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drawings/drawing2.xml" ContentType="application/vnd.openxmlformats-officedocument.drawingml.chartshapes+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drawings/drawing3.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32B75F" w14:textId="77777777" w:rsidR="00FB71BE" w:rsidRPr="007B2462" w:rsidRDefault="00FB71BE" w:rsidP="00FB71BE">
      <w:pPr>
        <w:pBdr>
          <w:bottom w:val="single" w:sz="12" w:space="0" w:color="auto"/>
        </w:pBdr>
        <w:spacing w:before="1560"/>
        <w:jc w:val="center"/>
        <w:rPr>
          <w:rFonts w:ascii="Calibri" w:hAnsi="Calibri"/>
          <w:b/>
          <w:sz w:val="52"/>
          <w:szCs w:val="52"/>
        </w:rPr>
      </w:pPr>
      <w:r>
        <w:rPr>
          <w:rFonts w:ascii="Calibri" w:hAnsi="Calibri"/>
          <w:b/>
          <w:sz w:val="52"/>
          <w:szCs w:val="52"/>
        </w:rPr>
        <w:t>Budget Update</w:t>
      </w:r>
    </w:p>
    <w:p w14:paraId="12B1A031" w14:textId="77777777" w:rsidR="00FB71BE" w:rsidRPr="00E34C95" w:rsidRDefault="00FB71BE" w:rsidP="00FB71BE">
      <w:pPr>
        <w:jc w:val="center"/>
        <w:rPr>
          <w:rFonts w:ascii="Calibri" w:hAnsi="Calibri"/>
          <w:b/>
          <w:sz w:val="50"/>
          <w:szCs w:val="52"/>
        </w:rPr>
      </w:pPr>
      <w:r w:rsidRPr="007B2462">
        <w:rPr>
          <w:rFonts w:ascii="Calibri" w:hAnsi="Calibri"/>
          <w:b/>
          <w:sz w:val="52"/>
          <w:szCs w:val="52"/>
        </w:rPr>
        <w:t>20</w:t>
      </w:r>
      <w:r>
        <w:rPr>
          <w:rFonts w:ascii="Calibri" w:hAnsi="Calibri"/>
          <w:b/>
          <w:sz w:val="52"/>
          <w:szCs w:val="52"/>
        </w:rPr>
        <w:t>21</w:t>
      </w:r>
      <w:r>
        <w:rPr>
          <w:rFonts w:ascii="Calibri" w:hAnsi="Calibri"/>
          <w:b/>
          <w:sz w:val="52"/>
          <w:szCs w:val="52"/>
        </w:rPr>
        <w:noBreakHyphen/>
        <w:t>22</w:t>
      </w:r>
    </w:p>
    <w:p w14:paraId="435B21D6" w14:textId="77777777" w:rsidR="00FB71BE" w:rsidRDefault="00FB71BE" w:rsidP="00FB71BE">
      <w:pPr>
        <w:jc w:val="center"/>
        <w:rPr>
          <w:rFonts w:ascii="Calibri" w:hAnsi="Calibri"/>
          <w:sz w:val="30"/>
          <w:szCs w:val="30"/>
        </w:rPr>
      </w:pPr>
    </w:p>
    <w:p w14:paraId="1A2DE4C3" w14:textId="77777777" w:rsidR="00FB71BE" w:rsidRPr="007B2462" w:rsidRDefault="00FB71BE" w:rsidP="00FB71BE">
      <w:pPr>
        <w:jc w:val="center"/>
        <w:rPr>
          <w:rFonts w:ascii="Calibri" w:hAnsi="Calibri"/>
          <w:sz w:val="30"/>
          <w:szCs w:val="30"/>
        </w:rPr>
      </w:pPr>
    </w:p>
    <w:p w14:paraId="6DADD465" w14:textId="77777777" w:rsidR="00FB71BE" w:rsidRPr="007B2462" w:rsidRDefault="00FB71BE" w:rsidP="00FB71BE">
      <w:pPr>
        <w:jc w:val="center"/>
      </w:pPr>
      <w:r w:rsidRPr="00D26163">
        <w:rPr>
          <w:rFonts w:ascii="Calibri" w:hAnsi="Calibri" w:cs="Calibri"/>
          <w:noProof/>
          <w:lang w:eastAsia="en-AU"/>
        </w:rPr>
        <w:drawing>
          <wp:inline distT="0" distB="0" distL="0" distR="0" wp14:anchorId="16221E5D" wp14:editId="35F3A270">
            <wp:extent cx="940435" cy="11474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0435" cy="1147445"/>
                    </a:xfrm>
                    <a:prstGeom prst="rect">
                      <a:avLst/>
                    </a:prstGeom>
                    <a:noFill/>
                    <a:ln>
                      <a:noFill/>
                    </a:ln>
                  </pic:spPr>
                </pic:pic>
              </a:graphicData>
            </a:graphic>
          </wp:inline>
        </w:drawing>
      </w:r>
    </w:p>
    <w:p w14:paraId="40BA1270" w14:textId="77777777" w:rsidR="00FB71BE" w:rsidRPr="007B2462" w:rsidRDefault="00FB71BE" w:rsidP="00FB71BE">
      <w:pPr>
        <w:jc w:val="center"/>
        <w:rPr>
          <w:sz w:val="36"/>
          <w:szCs w:val="36"/>
        </w:rPr>
      </w:pPr>
    </w:p>
    <w:p w14:paraId="3D623452" w14:textId="77777777" w:rsidR="00FB71BE" w:rsidRPr="007B2462" w:rsidRDefault="00FB71BE" w:rsidP="00FB71BE">
      <w:pPr>
        <w:jc w:val="center"/>
        <w:rPr>
          <w:sz w:val="36"/>
          <w:szCs w:val="36"/>
        </w:rPr>
      </w:pPr>
    </w:p>
    <w:p w14:paraId="7B7DFB43" w14:textId="77777777" w:rsidR="00FB71BE" w:rsidRPr="007B2462" w:rsidRDefault="00FB71BE" w:rsidP="00FB71BE">
      <w:pPr>
        <w:jc w:val="center"/>
        <w:rPr>
          <w:sz w:val="36"/>
          <w:szCs w:val="36"/>
        </w:rPr>
      </w:pPr>
    </w:p>
    <w:p w14:paraId="2B1D3280" w14:textId="77777777" w:rsidR="00FB71BE" w:rsidRPr="007B2462" w:rsidRDefault="00FB71BE" w:rsidP="00FB71BE">
      <w:pPr>
        <w:jc w:val="center"/>
        <w:rPr>
          <w:rFonts w:ascii="Calibri" w:hAnsi="Calibri"/>
          <w:sz w:val="28"/>
          <w:szCs w:val="28"/>
        </w:rPr>
      </w:pPr>
      <w:r w:rsidRPr="007B2462">
        <w:rPr>
          <w:rFonts w:ascii="Calibri" w:hAnsi="Calibri"/>
          <w:sz w:val="28"/>
          <w:szCs w:val="28"/>
        </w:rPr>
        <w:t>Presented by</w:t>
      </w:r>
    </w:p>
    <w:p w14:paraId="1A272767" w14:textId="77777777" w:rsidR="00FB71BE" w:rsidRPr="00D26163" w:rsidRDefault="00FB71BE" w:rsidP="00FB71BE">
      <w:pPr>
        <w:jc w:val="center"/>
        <w:rPr>
          <w:rFonts w:ascii="Calibri" w:hAnsi="Calibri" w:cs="Calibri"/>
          <w:b/>
          <w:sz w:val="36"/>
          <w:szCs w:val="36"/>
        </w:rPr>
      </w:pPr>
      <w:r w:rsidRPr="00D26163">
        <w:rPr>
          <w:rFonts w:ascii="Calibri" w:hAnsi="Calibri" w:cs="Calibri"/>
          <w:b/>
          <w:sz w:val="36"/>
          <w:szCs w:val="36"/>
        </w:rPr>
        <w:t>Tim Pallas MP</w:t>
      </w:r>
    </w:p>
    <w:p w14:paraId="6B1F5828" w14:textId="77777777" w:rsidR="00FB71BE" w:rsidRPr="00D26163" w:rsidRDefault="00FB71BE" w:rsidP="00FB71BE">
      <w:pPr>
        <w:jc w:val="center"/>
        <w:rPr>
          <w:rFonts w:ascii="Calibri" w:hAnsi="Calibri" w:cs="Calibri"/>
          <w:sz w:val="28"/>
          <w:szCs w:val="28"/>
        </w:rPr>
      </w:pPr>
      <w:r w:rsidRPr="00D26163">
        <w:rPr>
          <w:rFonts w:ascii="Calibri" w:hAnsi="Calibri" w:cs="Calibri"/>
          <w:sz w:val="28"/>
          <w:szCs w:val="28"/>
        </w:rPr>
        <w:t>Treasurer of the State of Victoria</w:t>
      </w:r>
    </w:p>
    <w:p w14:paraId="2C85EA26" w14:textId="77777777" w:rsidR="00FB71BE" w:rsidRDefault="00FB71BE" w:rsidP="00FB71BE">
      <w:pPr>
        <w:jc w:val="center"/>
        <w:rPr>
          <w:rFonts w:ascii="Calibri" w:hAnsi="Calibri"/>
          <w:sz w:val="30"/>
          <w:szCs w:val="30"/>
        </w:rPr>
      </w:pPr>
      <w:r w:rsidRPr="007B2462">
        <w:rPr>
          <w:rFonts w:ascii="Calibri" w:hAnsi="Calibri"/>
          <w:sz w:val="30"/>
          <w:szCs w:val="30"/>
        </w:rPr>
        <w:t>for the information of Honourable Members</w:t>
      </w:r>
    </w:p>
    <w:p w14:paraId="287471C6" w14:textId="77777777" w:rsidR="00FB71BE" w:rsidRDefault="00FB71BE" w:rsidP="00FB71BE">
      <w:pPr>
        <w:jc w:val="center"/>
        <w:rPr>
          <w:rFonts w:ascii="Calibri" w:hAnsi="Calibri"/>
          <w:sz w:val="30"/>
          <w:szCs w:val="30"/>
        </w:rPr>
      </w:pPr>
    </w:p>
    <w:p w14:paraId="163D74BA" w14:textId="77777777" w:rsidR="00FB71BE" w:rsidRDefault="00FB71BE" w:rsidP="00FB71BE">
      <w:pPr>
        <w:keepLines w:val="0"/>
        <w:rPr>
          <w:rFonts w:ascii="Calibri" w:hAnsi="Calibri"/>
          <w:sz w:val="30"/>
          <w:szCs w:val="30"/>
        </w:rPr>
        <w:sectPr w:rsidR="00FB71BE" w:rsidSect="00FB71BE">
          <w:headerReference w:type="even" r:id="rId10"/>
          <w:headerReference w:type="default" r:id="rId11"/>
          <w:footerReference w:type="even" r:id="rId12"/>
          <w:footerReference w:type="default" r:id="rId13"/>
          <w:headerReference w:type="first" r:id="rId14"/>
          <w:footerReference w:type="first" r:id="rId15"/>
          <w:pgSz w:w="9979" w:h="14175" w:code="9"/>
          <w:pgMar w:top="850" w:right="1134" w:bottom="850" w:left="1134" w:header="624" w:footer="567" w:gutter="0"/>
          <w:cols w:sep="1" w:space="567"/>
          <w:docGrid w:linePitch="360"/>
        </w:sectPr>
      </w:pPr>
    </w:p>
    <w:p w14:paraId="627A2010" w14:textId="2C9FCDA1" w:rsidR="00810818" w:rsidRPr="00810818" w:rsidRDefault="00810818" w:rsidP="00810818">
      <w:pPr>
        <w:rPr>
          <w:rFonts w:ascii="Calibri" w:hAnsi="Calibri"/>
          <w:sz w:val="16"/>
          <w:szCs w:val="16"/>
        </w:rPr>
      </w:pPr>
      <w:r w:rsidRPr="00810818">
        <w:rPr>
          <w:rFonts w:ascii="Calibri" w:hAnsi="Calibri"/>
          <w:sz w:val="16"/>
          <w:szCs w:val="16"/>
        </w:rPr>
        <w:lastRenderedPageBreak/>
        <w:t>The Secretary</w:t>
      </w:r>
      <w:r>
        <w:rPr>
          <w:rFonts w:ascii="Calibri" w:hAnsi="Calibri"/>
          <w:sz w:val="16"/>
          <w:szCs w:val="16"/>
        </w:rPr>
        <w:br/>
      </w:r>
      <w:r w:rsidRPr="00810818">
        <w:rPr>
          <w:rFonts w:ascii="Calibri" w:hAnsi="Calibri"/>
          <w:sz w:val="16"/>
          <w:szCs w:val="16"/>
        </w:rPr>
        <w:t>Department of Treasury and Finance</w:t>
      </w:r>
      <w:r>
        <w:rPr>
          <w:rFonts w:ascii="Calibri" w:hAnsi="Calibri"/>
          <w:sz w:val="16"/>
          <w:szCs w:val="16"/>
        </w:rPr>
        <w:br/>
      </w:r>
      <w:r w:rsidRPr="00810818">
        <w:rPr>
          <w:rFonts w:ascii="Calibri" w:hAnsi="Calibri"/>
          <w:sz w:val="16"/>
          <w:szCs w:val="16"/>
        </w:rPr>
        <w:t>1 Treasury Place</w:t>
      </w:r>
      <w:r>
        <w:rPr>
          <w:rFonts w:ascii="Calibri" w:hAnsi="Calibri"/>
          <w:sz w:val="16"/>
          <w:szCs w:val="16"/>
        </w:rPr>
        <w:br/>
      </w:r>
      <w:r w:rsidRPr="00810818">
        <w:rPr>
          <w:rFonts w:ascii="Calibri" w:hAnsi="Calibri"/>
          <w:sz w:val="16"/>
          <w:szCs w:val="16"/>
        </w:rPr>
        <w:t>Melbourne, Victoria, 3002</w:t>
      </w:r>
      <w:r>
        <w:rPr>
          <w:rFonts w:ascii="Calibri" w:hAnsi="Calibri"/>
          <w:sz w:val="16"/>
          <w:szCs w:val="16"/>
        </w:rPr>
        <w:br/>
        <w:t>A</w:t>
      </w:r>
      <w:r w:rsidRPr="00810818">
        <w:rPr>
          <w:rFonts w:ascii="Calibri" w:hAnsi="Calibri"/>
          <w:sz w:val="16"/>
          <w:szCs w:val="16"/>
        </w:rPr>
        <w:t>ustralia</w:t>
      </w:r>
    </w:p>
    <w:p w14:paraId="12FF2821" w14:textId="6864727E" w:rsidR="00810818" w:rsidRPr="00810818" w:rsidRDefault="00810818" w:rsidP="00810818">
      <w:pPr>
        <w:rPr>
          <w:rFonts w:ascii="Calibri" w:hAnsi="Calibri"/>
          <w:sz w:val="16"/>
          <w:szCs w:val="16"/>
        </w:rPr>
      </w:pPr>
      <w:r w:rsidRPr="00810818">
        <w:rPr>
          <w:rFonts w:ascii="Calibri" w:hAnsi="Calibri"/>
          <w:sz w:val="16"/>
          <w:szCs w:val="16"/>
        </w:rPr>
        <w:t>Tel: (03) 9651 5111</w:t>
      </w:r>
      <w:r>
        <w:rPr>
          <w:rFonts w:ascii="Calibri" w:hAnsi="Calibri"/>
          <w:sz w:val="16"/>
          <w:szCs w:val="16"/>
        </w:rPr>
        <w:br/>
      </w:r>
      <w:r w:rsidRPr="00810818">
        <w:rPr>
          <w:rFonts w:ascii="Calibri" w:hAnsi="Calibri"/>
          <w:sz w:val="16"/>
          <w:szCs w:val="16"/>
        </w:rPr>
        <w:t>dtf.vic.gov.au</w:t>
      </w:r>
    </w:p>
    <w:p w14:paraId="34793929" w14:textId="5A4394E2" w:rsidR="00810818" w:rsidRPr="00810818" w:rsidRDefault="00810818" w:rsidP="00810818">
      <w:pPr>
        <w:rPr>
          <w:rFonts w:ascii="Calibri" w:hAnsi="Calibri"/>
          <w:sz w:val="16"/>
          <w:szCs w:val="16"/>
        </w:rPr>
      </w:pPr>
      <w:r w:rsidRPr="00810818">
        <w:rPr>
          <w:rFonts w:ascii="Calibri" w:hAnsi="Calibri"/>
          <w:sz w:val="16"/>
          <w:szCs w:val="16"/>
        </w:rPr>
        <w:t>Authorised by the Victorian Government</w:t>
      </w:r>
      <w:r>
        <w:rPr>
          <w:rFonts w:ascii="Calibri" w:hAnsi="Calibri"/>
          <w:sz w:val="16"/>
          <w:szCs w:val="16"/>
        </w:rPr>
        <w:br/>
      </w:r>
      <w:r w:rsidRPr="00810818">
        <w:rPr>
          <w:rFonts w:ascii="Calibri" w:hAnsi="Calibri"/>
          <w:sz w:val="16"/>
          <w:szCs w:val="16"/>
        </w:rPr>
        <w:t>1 Treasury Place, Melbourne, 3002</w:t>
      </w:r>
      <w:r w:rsidRPr="00810818">
        <w:rPr>
          <w:rFonts w:ascii="Calibri" w:hAnsi="Calibri"/>
          <w:sz w:val="16"/>
          <w:szCs w:val="16"/>
        </w:rPr>
        <w:tab/>
      </w:r>
    </w:p>
    <w:p w14:paraId="7C4821FE" w14:textId="4D126FB7" w:rsidR="00810818" w:rsidRPr="00810818" w:rsidRDefault="00810818" w:rsidP="00810818">
      <w:pPr>
        <w:rPr>
          <w:rFonts w:ascii="Calibri" w:hAnsi="Calibri"/>
          <w:sz w:val="16"/>
          <w:szCs w:val="16"/>
        </w:rPr>
      </w:pPr>
      <w:r w:rsidRPr="00810818">
        <w:rPr>
          <w:rFonts w:ascii="Calibri" w:hAnsi="Calibri"/>
          <w:sz w:val="16"/>
          <w:szCs w:val="16"/>
        </w:rPr>
        <w:t xml:space="preserve">Printed by </w:t>
      </w:r>
      <w:r>
        <w:rPr>
          <w:rFonts w:ascii="Calibri" w:hAnsi="Calibri"/>
          <w:sz w:val="16"/>
          <w:szCs w:val="16"/>
        </w:rPr>
        <w:t>Southern Impact, Mount Waverley</w:t>
      </w:r>
      <w:r>
        <w:rPr>
          <w:rFonts w:ascii="Calibri" w:hAnsi="Calibri"/>
          <w:sz w:val="16"/>
          <w:szCs w:val="16"/>
        </w:rPr>
        <w:br/>
      </w:r>
      <w:r w:rsidRPr="00810818">
        <w:rPr>
          <w:rFonts w:ascii="Calibri" w:hAnsi="Calibri"/>
          <w:sz w:val="16"/>
          <w:szCs w:val="16"/>
        </w:rPr>
        <w:t>Printed on recycled paper</w:t>
      </w:r>
    </w:p>
    <w:p w14:paraId="764CFAF7" w14:textId="1DA5F02F" w:rsidR="00810818" w:rsidRPr="00810818" w:rsidRDefault="00810818" w:rsidP="00810818">
      <w:pPr>
        <w:rPr>
          <w:rFonts w:ascii="Calibri" w:hAnsi="Calibri"/>
          <w:sz w:val="16"/>
          <w:szCs w:val="16"/>
        </w:rPr>
      </w:pPr>
      <w:r w:rsidRPr="00810818">
        <w:rPr>
          <w:rFonts w:ascii="Calibri" w:hAnsi="Calibri"/>
          <w:sz w:val="16"/>
          <w:szCs w:val="16"/>
        </w:rPr>
        <w:t>© State of Victoria 202</w:t>
      </w:r>
      <w:r>
        <w:rPr>
          <w:rFonts w:ascii="Calibri" w:hAnsi="Calibri"/>
          <w:sz w:val="16"/>
          <w:szCs w:val="16"/>
        </w:rPr>
        <w:t>1</w:t>
      </w:r>
    </w:p>
    <w:p w14:paraId="0244D2F1" w14:textId="49CEED9C" w:rsidR="00810818" w:rsidRPr="00810818" w:rsidRDefault="00810818" w:rsidP="00810818">
      <w:pPr>
        <w:rPr>
          <w:rFonts w:ascii="Calibri" w:hAnsi="Calibri"/>
          <w:sz w:val="16"/>
          <w:szCs w:val="16"/>
        </w:rPr>
      </w:pPr>
      <w:r w:rsidRPr="00810818">
        <w:rPr>
          <w:rFonts w:ascii="Calibri" w:hAnsi="Calibri"/>
          <w:sz w:val="16"/>
          <w:szCs w:val="16"/>
        </w:rPr>
        <w:drawing>
          <wp:inline distT="0" distB="0" distL="0" distR="0" wp14:anchorId="227E52EA" wp14:editId="7EBA96E5">
            <wp:extent cx="873760" cy="296196"/>
            <wp:effectExtent l="0" t="0" r="2540" b="8890"/>
            <wp:docPr id="3" name="Picture 5">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6" name="Picture 5">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923110" cy="312925"/>
                    </a:xfrm>
                    <a:prstGeom prst="rect">
                      <a:avLst/>
                    </a:prstGeom>
                  </pic:spPr>
                </pic:pic>
              </a:graphicData>
            </a:graphic>
          </wp:inline>
        </w:drawing>
      </w:r>
    </w:p>
    <w:p w14:paraId="4797418F" w14:textId="69678E02" w:rsidR="00810818" w:rsidRPr="00810818" w:rsidRDefault="00E00690" w:rsidP="00E00690">
      <w:pPr>
        <w:rPr>
          <w:rFonts w:ascii="Calibri" w:hAnsi="Calibri"/>
          <w:sz w:val="16"/>
          <w:szCs w:val="16"/>
        </w:rPr>
      </w:pPr>
      <w:r w:rsidRPr="00E00690">
        <w:rPr>
          <w:rFonts w:ascii="Calibri" w:hAnsi="Calibri"/>
          <w:sz w:val="16"/>
          <w:szCs w:val="16"/>
        </w:rPr>
        <w:t>You are free to re-use this work under a Creative</w:t>
      </w:r>
      <w:r>
        <w:rPr>
          <w:rFonts w:ascii="Calibri" w:hAnsi="Calibri"/>
          <w:sz w:val="16"/>
          <w:szCs w:val="16"/>
        </w:rPr>
        <w:t xml:space="preserve"> </w:t>
      </w:r>
      <w:r w:rsidRPr="00E00690">
        <w:rPr>
          <w:rFonts w:ascii="Calibri" w:hAnsi="Calibri"/>
          <w:sz w:val="16"/>
          <w:szCs w:val="16"/>
        </w:rPr>
        <w:t xml:space="preserve">Commons </w:t>
      </w:r>
      <w:r>
        <w:rPr>
          <w:rFonts w:ascii="Calibri" w:hAnsi="Calibri"/>
          <w:sz w:val="16"/>
          <w:szCs w:val="16"/>
        </w:rPr>
        <w:br/>
      </w:r>
      <w:r w:rsidRPr="00E00690">
        <w:rPr>
          <w:rFonts w:ascii="Calibri" w:hAnsi="Calibri"/>
          <w:sz w:val="16"/>
          <w:szCs w:val="16"/>
        </w:rPr>
        <w:t>Attribution 4.0 licence, provided you</w:t>
      </w:r>
      <w:r>
        <w:rPr>
          <w:rFonts w:ascii="Calibri" w:hAnsi="Calibri"/>
          <w:sz w:val="16"/>
          <w:szCs w:val="16"/>
        </w:rPr>
        <w:t xml:space="preserve"> </w:t>
      </w:r>
      <w:r w:rsidRPr="00E00690">
        <w:rPr>
          <w:rFonts w:ascii="Calibri" w:hAnsi="Calibri"/>
          <w:sz w:val="16"/>
          <w:szCs w:val="16"/>
        </w:rPr>
        <w:t xml:space="preserve">credit the State of </w:t>
      </w:r>
      <w:r>
        <w:rPr>
          <w:rFonts w:ascii="Calibri" w:hAnsi="Calibri"/>
          <w:sz w:val="16"/>
          <w:szCs w:val="16"/>
        </w:rPr>
        <w:br/>
      </w:r>
      <w:r w:rsidRPr="00E00690">
        <w:rPr>
          <w:rFonts w:ascii="Calibri" w:hAnsi="Calibri"/>
          <w:sz w:val="16"/>
          <w:szCs w:val="16"/>
        </w:rPr>
        <w:t>Victoria (Department of Treasury</w:t>
      </w:r>
      <w:r>
        <w:rPr>
          <w:rFonts w:ascii="Calibri" w:hAnsi="Calibri"/>
          <w:sz w:val="16"/>
          <w:szCs w:val="16"/>
        </w:rPr>
        <w:t xml:space="preserve"> </w:t>
      </w:r>
      <w:r w:rsidRPr="00E00690">
        <w:rPr>
          <w:rFonts w:ascii="Calibri" w:hAnsi="Calibri"/>
          <w:sz w:val="16"/>
          <w:szCs w:val="16"/>
        </w:rPr>
        <w:t xml:space="preserve">and Finance) as author, </w:t>
      </w:r>
      <w:r>
        <w:rPr>
          <w:rFonts w:ascii="Calibri" w:hAnsi="Calibri"/>
          <w:sz w:val="16"/>
          <w:szCs w:val="16"/>
        </w:rPr>
        <w:br/>
      </w:r>
      <w:r w:rsidRPr="00E00690">
        <w:rPr>
          <w:rFonts w:ascii="Calibri" w:hAnsi="Calibri"/>
          <w:sz w:val="16"/>
          <w:szCs w:val="16"/>
        </w:rPr>
        <w:t>indicate if changes were</w:t>
      </w:r>
      <w:r>
        <w:rPr>
          <w:rFonts w:ascii="Calibri" w:hAnsi="Calibri"/>
          <w:sz w:val="16"/>
          <w:szCs w:val="16"/>
        </w:rPr>
        <w:t xml:space="preserve"> </w:t>
      </w:r>
      <w:r w:rsidRPr="00E00690">
        <w:rPr>
          <w:rFonts w:ascii="Calibri" w:hAnsi="Calibri"/>
          <w:sz w:val="16"/>
          <w:szCs w:val="16"/>
        </w:rPr>
        <w:t xml:space="preserve">made and comply with the other </w:t>
      </w:r>
      <w:r>
        <w:rPr>
          <w:rFonts w:ascii="Calibri" w:hAnsi="Calibri"/>
          <w:sz w:val="16"/>
          <w:szCs w:val="16"/>
        </w:rPr>
        <w:br/>
      </w:r>
      <w:r w:rsidRPr="00E00690">
        <w:rPr>
          <w:rFonts w:ascii="Calibri" w:hAnsi="Calibri"/>
          <w:sz w:val="16"/>
          <w:szCs w:val="16"/>
        </w:rPr>
        <w:t>licence terms.</w:t>
      </w:r>
      <w:r>
        <w:rPr>
          <w:rFonts w:ascii="Calibri" w:hAnsi="Calibri"/>
          <w:sz w:val="16"/>
          <w:szCs w:val="16"/>
        </w:rPr>
        <w:t xml:space="preserve"> </w:t>
      </w:r>
      <w:r w:rsidRPr="00E00690">
        <w:rPr>
          <w:rFonts w:ascii="Calibri" w:hAnsi="Calibri"/>
          <w:sz w:val="16"/>
          <w:szCs w:val="16"/>
        </w:rPr>
        <w:t>The licence does not apply to any branding,</w:t>
      </w:r>
      <w:r>
        <w:rPr>
          <w:rFonts w:ascii="Calibri" w:hAnsi="Calibri"/>
          <w:sz w:val="16"/>
          <w:szCs w:val="16"/>
        </w:rPr>
        <w:br/>
      </w:r>
      <w:r w:rsidRPr="00E00690">
        <w:rPr>
          <w:rFonts w:ascii="Calibri" w:hAnsi="Calibri"/>
          <w:sz w:val="16"/>
          <w:szCs w:val="16"/>
        </w:rPr>
        <w:t>including Government logos.</w:t>
      </w:r>
    </w:p>
    <w:p w14:paraId="399E7C86" w14:textId="11A0C2A4" w:rsidR="00810818" w:rsidRPr="00810818" w:rsidRDefault="00810818" w:rsidP="00810818">
      <w:pPr>
        <w:rPr>
          <w:rFonts w:ascii="Calibri" w:hAnsi="Calibri"/>
          <w:sz w:val="16"/>
          <w:szCs w:val="16"/>
        </w:rPr>
      </w:pPr>
      <w:r w:rsidRPr="00810818">
        <w:rPr>
          <w:rFonts w:ascii="Calibri" w:hAnsi="Calibri"/>
          <w:sz w:val="16"/>
          <w:szCs w:val="16"/>
        </w:rPr>
        <w:t>Copyright queries may be directed to</w:t>
      </w:r>
      <w:r>
        <w:rPr>
          <w:rFonts w:ascii="Calibri" w:hAnsi="Calibri"/>
          <w:sz w:val="16"/>
          <w:szCs w:val="16"/>
        </w:rPr>
        <w:t xml:space="preserve"> </w:t>
      </w:r>
      <w:r w:rsidRPr="00810818">
        <w:rPr>
          <w:rFonts w:ascii="Calibri" w:hAnsi="Calibri"/>
          <w:sz w:val="16"/>
          <w:szCs w:val="16"/>
        </w:rPr>
        <w:t>IPpolicy@dtf.vic.gov.au</w:t>
      </w:r>
    </w:p>
    <w:p w14:paraId="101BF906" w14:textId="77777777" w:rsidR="00810818" w:rsidRPr="00810818" w:rsidRDefault="00810818" w:rsidP="00810818">
      <w:pPr>
        <w:rPr>
          <w:rFonts w:ascii="Calibri" w:hAnsi="Calibri"/>
          <w:sz w:val="16"/>
          <w:szCs w:val="16"/>
        </w:rPr>
      </w:pPr>
      <w:r w:rsidRPr="00810818">
        <w:rPr>
          <w:rFonts w:ascii="Calibri" w:hAnsi="Calibri"/>
          <w:sz w:val="16"/>
          <w:szCs w:val="16"/>
        </w:rPr>
        <w:t>ISSN 2204-7182 (print)</w:t>
      </w:r>
      <w:r w:rsidRPr="00810818">
        <w:rPr>
          <w:rFonts w:ascii="Calibri" w:hAnsi="Calibri"/>
          <w:sz w:val="16"/>
          <w:szCs w:val="16"/>
        </w:rPr>
        <w:br/>
        <w:t>ISSN 2204-4701 (online)</w:t>
      </w:r>
    </w:p>
    <w:p w14:paraId="4EB3B519" w14:textId="2147AB34" w:rsidR="00FB71BE" w:rsidRDefault="00810818" w:rsidP="00810818">
      <w:pPr>
        <w:rPr>
          <w:rFonts w:ascii="Calibri" w:hAnsi="Calibri"/>
          <w:sz w:val="30"/>
          <w:szCs w:val="30"/>
        </w:rPr>
      </w:pPr>
      <w:r w:rsidRPr="00810818">
        <w:rPr>
          <w:rFonts w:ascii="Calibri" w:hAnsi="Calibri"/>
          <w:sz w:val="16"/>
          <w:szCs w:val="16"/>
        </w:rPr>
        <w:t xml:space="preserve">Published </w:t>
      </w:r>
      <w:r>
        <w:rPr>
          <w:rFonts w:ascii="Calibri" w:hAnsi="Calibri"/>
          <w:sz w:val="16"/>
          <w:szCs w:val="16"/>
        </w:rPr>
        <w:t>December</w:t>
      </w:r>
      <w:r w:rsidRPr="00810818">
        <w:rPr>
          <w:rFonts w:ascii="Calibri" w:hAnsi="Calibri"/>
          <w:sz w:val="16"/>
          <w:szCs w:val="16"/>
        </w:rPr>
        <w:t xml:space="preserve"> 202</w:t>
      </w:r>
      <w:r>
        <w:rPr>
          <w:rFonts w:ascii="Calibri" w:hAnsi="Calibri"/>
          <w:sz w:val="16"/>
          <w:szCs w:val="16"/>
        </w:rPr>
        <w:t>1</w:t>
      </w:r>
    </w:p>
    <w:p w14:paraId="5F375C64" w14:textId="77777777" w:rsidR="00FB71BE" w:rsidRPr="007B2462" w:rsidRDefault="00FB71BE" w:rsidP="00FB71BE">
      <w:pPr>
        <w:jc w:val="center"/>
        <w:rPr>
          <w:rFonts w:ascii="Calibri" w:hAnsi="Calibri"/>
          <w:sz w:val="30"/>
          <w:szCs w:val="30"/>
        </w:rPr>
      </w:pPr>
    </w:p>
    <w:p w14:paraId="69E06023" w14:textId="77777777" w:rsidR="00FB71BE" w:rsidRDefault="00FB71BE" w:rsidP="00FB71BE">
      <w:pPr>
        <w:sectPr w:rsidR="00FB71BE" w:rsidSect="0031078F">
          <w:pgSz w:w="9979" w:h="14175" w:code="9"/>
          <w:pgMar w:top="851" w:right="1134" w:bottom="851" w:left="1134" w:header="624" w:footer="567" w:gutter="0"/>
          <w:cols w:sep="1" w:space="567"/>
          <w:vAlign w:val="bottom"/>
          <w:docGrid w:linePitch="360"/>
        </w:sectPr>
      </w:pPr>
    </w:p>
    <w:p w14:paraId="5FD50990" w14:textId="77777777" w:rsidR="00FB71BE" w:rsidRPr="006F6363" w:rsidRDefault="00FB71BE" w:rsidP="00FB71BE">
      <w:pPr>
        <w:pageBreakBefore/>
        <w:pBdr>
          <w:bottom w:val="single" w:sz="6" w:space="1" w:color="auto"/>
        </w:pBdr>
        <w:spacing w:before="1440" w:after="240"/>
        <w:rPr>
          <w:rFonts w:ascii="Calibri" w:hAnsi="Calibri"/>
          <w:b/>
          <w:caps/>
          <w:sz w:val="36"/>
        </w:rPr>
      </w:pPr>
      <w:bookmarkStart w:id="0" w:name="_Toc481013395"/>
      <w:r w:rsidRPr="006F6363">
        <w:rPr>
          <w:rFonts w:ascii="Calibri" w:hAnsi="Calibri"/>
          <w:b/>
          <w:caps/>
          <w:sz w:val="36"/>
        </w:rPr>
        <w:lastRenderedPageBreak/>
        <w:t>TABLE OF CONTENTS</w:t>
      </w:r>
      <w:bookmarkEnd w:id="0"/>
    </w:p>
    <w:p w14:paraId="658B3CE6" w14:textId="09A47A17" w:rsidR="00CB5E47" w:rsidRDefault="00FB71BE">
      <w:pPr>
        <w:pStyle w:val="TOC1"/>
        <w:rPr>
          <w:rFonts w:asciiTheme="minorHAnsi" w:eastAsiaTheme="minorEastAsia" w:hAnsiTheme="minorHAnsi"/>
          <w:b w:val="0"/>
          <w:noProof/>
          <w:sz w:val="22"/>
          <w:lang w:eastAsia="en-AU"/>
        </w:rPr>
      </w:pPr>
      <w:r>
        <w:fldChar w:fldCharType="begin"/>
      </w:r>
      <w:r>
        <w:instrText xml:space="preserve"> TOC \h \z \t "Heading 1,2,Chapter Heading,1" </w:instrText>
      </w:r>
      <w:r>
        <w:fldChar w:fldCharType="separate"/>
      </w:r>
      <w:hyperlink w:anchor="_Toc89423572" w:history="1">
        <w:r w:rsidR="00CB5E47" w:rsidRPr="00EA3F12">
          <w:rPr>
            <w:rStyle w:val="Hyperlink"/>
            <w:noProof/>
          </w:rPr>
          <w:t>Chapter 1 – Economic and fiscal overview</w:t>
        </w:r>
        <w:r w:rsidR="00CB5E47">
          <w:rPr>
            <w:noProof/>
            <w:webHidden/>
          </w:rPr>
          <w:tab/>
        </w:r>
        <w:r w:rsidR="00CB5E47">
          <w:rPr>
            <w:noProof/>
            <w:webHidden/>
          </w:rPr>
          <w:fldChar w:fldCharType="begin"/>
        </w:r>
        <w:r w:rsidR="00CB5E47">
          <w:rPr>
            <w:noProof/>
            <w:webHidden/>
          </w:rPr>
          <w:instrText xml:space="preserve"> PAGEREF _Toc89423572 \h </w:instrText>
        </w:r>
        <w:r w:rsidR="00CB5E47">
          <w:rPr>
            <w:noProof/>
            <w:webHidden/>
          </w:rPr>
        </w:r>
        <w:r w:rsidR="00CB5E47">
          <w:rPr>
            <w:noProof/>
            <w:webHidden/>
          </w:rPr>
          <w:fldChar w:fldCharType="separate"/>
        </w:r>
        <w:r w:rsidR="00234937">
          <w:rPr>
            <w:noProof/>
            <w:webHidden/>
          </w:rPr>
          <w:t>1</w:t>
        </w:r>
        <w:r w:rsidR="00CB5E47">
          <w:rPr>
            <w:noProof/>
            <w:webHidden/>
          </w:rPr>
          <w:fldChar w:fldCharType="end"/>
        </w:r>
      </w:hyperlink>
    </w:p>
    <w:p w14:paraId="29AC3573" w14:textId="596AF2D2" w:rsidR="00CB5E47" w:rsidRDefault="005D5407">
      <w:pPr>
        <w:pStyle w:val="TOC2"/>
        <w:rPr>
          <w:rFonts w:asciiTheme="minorHAnsi" w:eastAsiaTheme="minorEastAsia" w:hAnsiTheme="minorHAnsi"/>
          <w:noProof/>
          <w:sz w:val="22"/>
          <w:lang w:eastAsia="en-AU"/>
        </w:rPr>
      </w:pPr>
      <w:hyperlink w:anchor="_Toc89423573" w:history="1">
        <w:r w:rsidR="00CB5E47" w:rsidRPr="00EA3F12">
          <w:rPr>
            <w:rStyle w:val="Hyperlink"/>
            <w:noProof/>
          </w:rPr>
          <w:t>A strong recovery ahead</w:t>
        </w:r>
        <w:r w:rsidR="00CB5E47">
          <w:rPr>
            <w:noProof/>
            <w:webHidden/>
          </w:rPr>
          <w:tab/>
        </w:r>
        <w:r w:rsidR="00CB5E47">
          <w:rPr>
            <w:noProof/>
            <w:webHidden/>
          </w:rPr>
          <w:fldChar w:fldCharType="begin"/>
        </w:r>
        <w:r w:rsidR="00CB5E47">
          <w:rPr>
            <w:noProof/>
            <w:webHidden/>
          </w:rPr>
          <w:instrText xml:space="preserve"> PAGEREF _Toc89423573 \h </w:instrText>
        </w:r>
        <w:r w:rsidR="00CB5E47">
          <w:rPr>
            <w:noProof/>
            <w:webHidden/>
          </w:rPr>
        </w:r>
        <w:r w:rsidR="00CB5E47">
          <w:rPr>
            <w:noProof/>
            <w:webHidden/>
          </w:rPr>
          <w:fldChar w:fldCharType="separate"/>
        </w:r>
        <w:r w:rsidR="00234937">
          <w:rPr>
            <w:noProof/>
            <w:webHidden/>
          </w:rPr>
          <w:t>1</w:t>
        </w:r>
        <w:r w:rsidR="00CB5E47">
          <w:rPr>
            <w:noProof/>
            <w:webHidden/>
          </w:rPr>
          <w:fldChar w:fldCharType="end"/>
        </w:r>
      </w:hyperlink>
    </w:p>
    <w:p w14:paraId="4E8B33D9" w14:textId="474420CA" w:rsidR="00CB5E47" w:rsidRDefault="005D5407">
      <w:pPr>
        <w:pStyle w:val="TOC2"/>
        <w:rPr>
          <w:rFonts w:asciiTheme="minorHAnsi" w:eastAsiaTheme="minorEastAsia" w:hAnsiTheme="minorHAnsi"/>
          <w:noProof/>
          <w:sz w:val="22"/>
          <w:lang w:eastAsia="en-AU"/>
        </w:rPr>
      </w:pPr>
      <w:hyperlink w:anchor="_Toc89423574" w:history="1">
        <w:r w:rsidR="00CB5E47" w:rsidRPr="00EA3F12">
          <w:rPr>
            <w:rStyle w:val="Hyperlink"/>
            <w:noProof/>
          </w:rPr>
          <w:t>Strong financial management</w:t>
        </w:r>
        <w:r w:rsidR="00CB5E47">
          <w:rPr>
            <w:noProof/>
            <w:webHidden/>
          </w:rPr>
          <w:tab/>
        </w:r>
        <w:r w:rsidR="00CB5E47">
          <w:rPr>
            <w:noProof/>
            <w:webHidden/>
          </w:rPr>
          <w:fldChar w:fldCharType="begin"/>
        </w:r>
        <w:r w:rsidR="00CB5E47">
          <w:rPr>
            <w:noProof/>
            <w:webHidden/>
          </w:rPr>
          <w:instrText xml:space="preserve"> PAGEREF _Toc89423574 \h </w:instrText>
        </w:r>
        <w:r w:rsidR="00CB5E47">
          <w:rPr>
            <w:noProof/>
            <w:webHidden/>
          </w:rPr>
        </w:r>
        <w:r w:rsidR="00CB5E47">
          <w:rPr>
            <w:noProof/>
            <w:webHidden/>
          </w:rPr>
          <w:fldChar w:fldCharType="separate"/>
        </w:r>
        <w:r w:rsidR="00234937">
          <w:rPr>
            <w:noProof/>
            <w:webHidden/>
          </w:rPr>
          <w:t>2</w:t>
        </w:r>
        <w:r w:rsidR="00CB5E47">
          <w:rPr>
            <w:noProof/>
            <w:webHidden/>
          </w:rPr>
          <w:fldChar w:fldCharType="end"/>
        </w:r>
      </w:hyperlink>
    </w:p>
    <w:p w14:paraId="4D50F914" w14:textId="7E60176E" w:rsidR="00CB5E47" w:rsidRDefault="005D5407">
      <w:pPr>
        <w:pStyle w:val="TOC1"/>
        <w:rPr>
          <w:rFonts w:asciiTheme="minorHAnsi" w:eastAsiaTheme="minorEastAsia" w:hAnsiTheme="minorHAnsi"/>
          <w:b w:val="0"/>
          <w:noProof/>
          <w:sz w:val="22"/>
          <w:lang w:eastAsia="en-AU"/>
        </w:rPr>
      </w:pPr>
      <w:hyperlink w:anchor="_Toc89423575" w:history="1">
        <w:r w:rsidR="00CB5E47" w:rsidRPr="00EA3F12">
          <w:rPr>
            <w:rStyle w:val="Hyperlink"/>
            <w:noProof/>
          </w:rPr>
          <w:t>Chapter 2 – Economic context</w:t>
        </w:r>
        <w:r w:rsidR="00CB5E47">
          <w:rPr>
            <w:noProof/>
            <w:webHidden/>
          </w:rPr>
          <w:tab/>
        </w:r>
        <w:r w:rsidR="00CB5E47">
          <w:rPr>
            <w:noProof/>
            <w:webHidden/>
          </w:rPr>
          <w:fldChar w:fldCharType="begin"/>
        </w:r>
        <w:r w:rsidR="00CB5E47">
          <w:rPr>
            <w:noProof/>
            <w:webHidden/>
          </w:rPr>
          <w:instrText xml:space="preserve"> PAGEREF _Toc89423575 \h </w:instrText>
        </w:r>
        <w:r w:rsidR="00CB5E47">
          <w:rPr>
            <w:noProof/>
            <w:webHidden/>
          </w:rPr>
        </w:r>
        <w:r w:rsidR="00CB5E47">
          <w:rPr>
            <w:noProof/>
            <w:webHidden/>
          </w:rPr>
          <w:fldChar w:fldCharType="separate"/>
        </w:r>
        <w:r w:rsidR="00234937">
          <w:rPr>
            <w:noProof/>
            <w:webHidden/>
          </w:rPr>
          <w:t>7</w:t>
        </w:r>
        <w:r w:rsidR="00CB5E47">
          <w:rPr>
            <w:noProof/>
            <w:webHidden/>
          </w:rPr>
          <w:fldChar w:fldCharType="end"/>
        </w:r>
      </w:hyperlink>
    </w:p>
    <w:p w14:paraId="367047A9" w14:textId="28703A13" w:rsidR="00CB5E47" w:rsidRDefault="005D5407">
      <w:pPr>
        <w:pStyle w:val="TOC2"/>
        <w:rPr>
          <w:rFonts w:asciiTheme="minorHAnsi" w:eastAsiaTheme="minorEastAsia" w:hAnsiTheme="minorHAnsi"/>
          <w:noProof/>
          <w:sz w:val="22"/>
          <w:lang w:eastAsia="en-AU"/>
        </w:rPr>
      </w:pPr>
      <w:hyperlink w:anchor="_Toc89423576" w:history="1">
        <w:r w:rsidR="00CB5E47" w:rsidRPr="00EA3F12">
          <w:rPr>
            <w:rStyle w:val="Hyperlink"/>
            <w:noProof/>
          </w:rPr>
          <w:t>Victorian economic conditions and outlook</w:t>
        </w:r>
        <w:r w:rsidR="00CB5E47">
          <w:rPr>
            <w:noProof/>
            <w:webHidden/>
          </w:rPr>
          <w:tab/>
        </w:r>
        <w:r w:rsidR="00CB5E47">
          <w:rPr>
            <w:noProof/>
            <w:webHidden/>
          </w:rPr>
          <w:fldChar w:fldCharType="begin"/>
        </w:r>
        <w:r w:rsidR="00CB5E47">
          <w:rPr>
            <w:noProof/>
            <w:webHidden/>
          </w:rPr>
          <w:instrText xml:space="preserve"> PAGEREF _Toc89423576 \h </w:instrText>
        </w:r>
        <w:r w:rsidR="00CB5E47">
          <w:rPr>
            <w:noProof/>
            <w:webHidden/>
          </w:rPr>
        </w:r>
        <w:r w:rsidR="00CB5E47">
          <w:rPr>
            <w:noProof/>
            <w:webHidden/>
          </w:rPr>
          <w:fldChar w:fldCharType="separate"/>
        </w:r>
        <w:r w:rsidR="00234937">
          <w:rPr>
            <w:noProof/>
            <w:webHidden/>
          </w:rPr>
          <w:t>7</w:t>
        </w:r>
        <w:r w:rsidR="00CB5E47">
          <w:rPr>
            <w:noProof/>
            <w:webHidden/>
          </w:rPr>
          <w:fldChar w:fldCharType="end"/>
        </w:r>
      </w:hyperlink>
    </w:p>
    <w:p w14:paraId="0C79FE9B" w14:textId="2494A612" w:rsidR="00CB5E47" w:rsidRDefault="005D5407">
      <w:pPr>
        <w:pStyle w:val="TOC2"/>
        <w:rPr>
          <w:rFonts w:asciiTheme="minorHAnsi" w:eastAsiaTheme="minorEastAsia" w:hAnsiTheme="minorHAnsi"/>
          <w:noProof/>
          <w:sz w:val="22"/>
          <w:lang w:eastAsia="en-AU"/>
        </w:rPr>
      </w:pPr>
      <w:hyperlink w:anchor="_Toc89423577" w:history="1">
        <w:r w:rsidR="00CB5E47" w:rsidRPr="00EA3F12">
          <w:rPr>
            <w:rStyle w:val="Hyperlink"/>
            <w:noProof/>
          </w:rPr>
          <w:t>Australian economic conditions and outlook</w:t>
        </w:r>
        <w:r w:rsidR="00CB5E47">
          <w:rPr>
            <w:noProof/>
            <w:webHidden/>
          </w:rPr>
          <w:tab/>
        </w:r>
        <w:r w:rsidR="00CB5E47">
          <w:rPr>
            <w:noProof/>
            <w:webHidden/>
          </w:rPr>
          <w:fldChar w:fldCharType="begin"/>
        </w:r>
        <w:r w:rsidR="00CB5E47">
          <w:rPr>
            <w:noProof/>
            <w:webHidden/>
          </w:rPr>
          <w:instrText xml:space="preserve"> PAGEREF _Toc89423577 \h </w:instrText>
        </w:r>
        <w:r w:rsidR="00CB5E47">
          <w:rPr>
            <w:noProof/>
            <w:webHidden/>
          </w:rPr>
        </w:r>
        <w:r w:rsidR="00CB5E47">
          <w:rPr>
            <w:noProof/>
            <w:webHidden/>
          </w:rPr>
          <w:fldChar w:fldCharType="separate"/>
        </w:r>
        <w:r w:rsidR="00234937">
          <w:rPr>
            <w:noProof/>
            <w:webHidden/>
          </w:rPr>
          <w:t>17</w:t>
        </w:r>
        <w:r w:rsidR="00CB5E47">
          <w:rPr>
            <w:noProof/>
            <w:webHidden/>
          </w:rPr>
          <w:fldChar w:fldCharType="end"/>
        </w:r>
      </w:hyperlink>
    </w:p>
    <w:p w14:paraId="3F293C7A" w14:textId="0AB487A1" w:rsidR="00CB5E47" w:rsidRDefault="005D5407">
      <w:pPr>
        <w:pStyle w:val="TOC2"/>
        <w:rPr>
          <w:rFonts w:asciiTheme="minorHAnsi" w:eastAsiaTheme="minorEastAsia" w:hAnsiTheme="minorHAnsi"/>
          <w:noProof/>
          <w:sz w:val="22"/>
          <w:lang w:eastAsia="en-AU"/>
        </w:rPr>
      </w:pPr>
      <w:hyperlink w:anchor="_Toc89423578" w:history="1">
        <w:r w:rsidR="00CB5E47" w:rsidRPr="00EA3F12">
          <w:rPr>
            <w:rStyle w:val="Hyperlink"/>
            <w:noProof/>
          </w:rPr>
          <w:t>International economic conditions and outlook</w:t>
        </w:r>
        <w:r w:rsidR="00CB5E47">
          <w:rPr>
            <w:noProof/>
            <w:webHidden/>
          </w:rPr>
          <w:tab/>
        </w:r>
        <w:r w:rsidR="00CB5E47">
          <w:rPr>
            <w:noProof/>
            <w:webHidden/>
          </w:rPr>
          <w:fldChar w:fldCharType="begin"/>
        </w:r>
        <w:r w:rsidR="00CB5E47">
          <w:rPr>
            <w:noProof/>
            <w:webHidden/>
          </w:rPr>
          <w:instrText xml:space="preserve"> PAGEREF _Toc89423578 \h </w:instrText>
        </w:r>
        <w:r w:rsidR="00CB5E47">
          <w:rPr>
            <w:noProof/>
            <w:webHidden/>
          </w:rPr>
        </w:r>
        <w:r w:rsidR="00CB5E47">
          <w:rPr>
            <w:noProof/>
            <w:webHidden/>
          </w:rPr>
          <w:fldChar w:fldCharType="separate"/>
        </w:r>
        <w:r w:rsidR="00234937">
          <w:rPr>
            <w:noProof/>
            <w:webHidden/>
          </w:rPr>
          <w:t>18</w:t>
        </w:r>
        <w:r w:rsidR="00CB5E47">
          <w:rPr>
            <w:noProof/>
            <w:webHidden/>
          </w:rPr>
          <w:fldChar w:fldCharType="end"/>
        </w:r>
      </w:hyperlink>
    </w:p>
    <w:p w14:paraId="2C01E8B1" w14:textId="55E90B70" w:rsidR="00CB5E47" w:rsidRDefault="005D5407">
      <w:pPr>
        <w:pStyle w:val="TOC2"/>
        <w:rPr>
          <w:rFonts w:asciiTheme="minorHAnsi" w:eastAsiaTheme="minorEastAsia" w:hAnsiTheme="minorHAnsi"/>
          <w:noProof/>
          <w:sz w:val="22"/>
          <w:lang w:eastAsia="en-AU"/>
        </w:rPr>
      </w:pPr>
      <w:hyperlink w:anchor="_Toc89423579" w:history="1">
        <w:r w:rsidR="00CB5E47" w:rsidRPr="00EA3F12">
          <w:rPr>
            <w:rStyle w:val="Hyperlink"/>
            <w:noProof/>
          </w:rPr>
          <w:t>Risks to the Victorian outlook</w:t>
        </w:r>
        <w:r w:rsidR="00CB5E47">
          <w:rPr>
            <w:noProof/>
            <w:webHidden/>
          </w:rPr>
          <w:tab/>
        </w:r>
        <w:r w:rsidR="00CB5E47">
          <w:rPr>
            <w:noProof/>
            <w:webHidden/>
          </w:rPr>
          <w:fldChar w:fldCharType="begin"/>
        </w:r>
        <w:r w:rsidR="00CB5E47">
          <w:rPr>
            <w:noProof/>
            <w:webHidden/>
          </w:rPr>
          <w:instrText xml:space="preserve"> PAGEREF _Toc89423579 \h </w:instrText>
        </w:r>
        <w:r w:rsidR="00CB5E47">
          <w:rPr>
            <w:noProof/>
            <w:webHidden/>
          </w:rPr>
        </w:r>
        <w:r w:rsidR="00CB5E47">
          <w:rPr>
            <w:noProof/>
            <w:webHidden/>
          </w:rPr>
          <w:fldChar w:fldCharType="separate"/>
        </w:r>
        <w:r w:rsidR="00234937">
          <w:rPr>
            <w:noProof/>
            <w:webHidden/>
          </w:rPr>
          <w:t>18</w:t>
        </w:r>
        <w:r w:rsidR="00CB5E47">
          <w:rPr>
            <w:noProof/>
            <w:webHidden/>
          </w:rPr>
          <w:fldChar w:fldCharType="end"/>
        </w:r>
      </w:hyperlink>
    </w:p>
    <w:p w14:paraId="60489601" w14:textId="12CFB549" w:rsidR="00CB5E47" w:rsidRDefault="005D5407">
      <w:pPr>
        <w:pStyle w:val="TOC1"/>
        <w:rPr>
          <w:rFonts w:asciiTheme="minorHAnsi" w:eastAsiaTheme="minorEastAsia" w:hAnsiTheme="minorHAnsi"/>
          <w:b w:val="0"/>
          <w:noProof/>
          <w:sz w:val="22"/>
          <w:lang w:eastAsia="en-AU"/>
        </w:rPr>
      </w:pPr>
      <w:hyperlink w:anchor="_Toc89423580" w:history="1">
        <w:r w:rsidR="00CB5E47" w:rsidRPr="00EA3F12">
          <w:rPr>
            <w:rStyle w:val="Hyperlink"/>
            <w:noProof/>
          </w:rPr>
          <w:t>Chapter 3 – Budget position and outlook</w:t>
        </w:r>
        <w:r w:rsidR="00CB5E47">
          <w:rPr>
            <w:noProof/>
            <w:webHidden/>
          </w:rPr>
          <w:tab/>
        </w:r>
        <w:r w:rsidR="00CB5E47">
          <w:rPr>
            <w:noProof/>
            <w:webHidden/>
          </w:rPr>
          <w:fldChar w:fldCharType="begin"/>
        </w:r>
        <w:r w:rsidR="00CB5E47">
          <w:rPr>
            <w:noProof/>
            <w:webHidden/>
          </w:rPr>
          <w:instrText xml:space="preserve"> PAGEREF _Toc89423580 \h </w:instrText>
        </w:r>
        <w:r w:rsidR="00CB5E47">
          <w:rPr>
            <w:noProof/>
            <w:webHidden/>
          </w:rPr>
        </w:r>
        <w:r w:rsidR="00CB5E47">
          <w:rPr>
            <w:noProof/>
            <w:webHidden/>
          </w:rPr>
          <w:fldChar w:fldCharType="separate"/>
        </w:r>
        <w:r w:rsidR="00234937">
          <w:rPr>
            <w:noProof/>
            <w:webHidden/>
          </w:rPr>
          <w:t>21</w:t>
        </w:r>
        <w:r w:rsidR="00CB5E47">
          <w:rPr>
            <w:noProof/>
            <w:webHidden/>
          </w:rPr>
          <w:fldChar w:fldCharType="end"/>
        </w:r>
      </w:hyperlink>
    </w:p>
    <w:p w14:paraId="5BAF9E0C" w14:textId="1DC85B47" w:rsidR="00CB5E47" w:rsidRDefault="005D5407">
      <w:pPr>
        <w:pStyle w:val="TOC2"/>
        <w:rPr>
          <w:rFonts w:asciiTheme="minorHAnsi" w:eastAsiaTheme="minorEastAsia" w:hAnsiTheme="minorHAnsi"/>
          <w:noProof/>
          <w:sz w:val="22"/>
          <w:lang w:eastAsia="en-AU"/>
        </w:rPr>
      </w:pPr>
      <w:hyperlink w:anchor="_Toc89423581" w:history="1">
        <w:r w:rsidR="00CB5E47" w:rsidRPr="00EA3F12">
          <w:rPr>
            <w:rStyle w:val="Hyperlink"/>
            <w:noProof/>
          </w:rPr>
          <w:t>General government sector</w:t>
        </w:r>
        <w:r w:rsidR="00CB5E47">
          <w:rPr>
            <w:noProof/>
            <w:webHidden/>
          </w:rPr>
          <w:tab/>
        </w:r>
        <w:r w:rsidR="00CB5E47">
          <w:rPr>
            <w:noProof/>
            <w:webHidden/>
          </w:rPr>
          <w:fldChar w:fldCharType="begin"/>
        </w:r>
        <w:r w:rsidR="00CB5E47">
          <w:rPr>
            <w:noProof/>
            <w:webHidden/>
          </w:rPr>
          <w:instrText xml:space="preserve"> PAGEREF _Toc89423581 \h </w:instrText>
        </w:r>
        <w:r w:rsidR="00CB5E47">
          <w:rPr>
            <w:noProof/>
            <w:webHidden/>
          </w:rPr>
        </w:r>
        <w:r w:rsidR="00CB5E47">
          <w:rPr>
            <w:noProof/>
            <w:webHidden/>
          </w:rPr>
          <w:fldChar w:fldCharType="separate"/>
        </w:r>
        <w:r w:rsidR="00234937">
          <w:rPr>
            <w:noProof/>
            <w:webHidden/>
          </w:rPr>
          <w:t>22</w:t>
        </w:r>
        <w:r w:rsidR="00CB5E47">
          <w:rPr>
            <w:noProof/>
            <w:webHidden/>
          </w:rPr>
          <w:fldChar w:fldCharType="end"/>
        </w:r>
      </w:hyperlink>
    </w:p>
    <w:p w14:paraId="7B4F0B98" w14:textId="1CB7EE35" w:rsidR="00CB5E47" w:rsidRDefault="005D5407">
      <w:pPr>
        <w:pStyle w:val="TOC2"/>
        <w:rPr>
          <w:rFonts w:asciiTheme="minorHAnsi" w:eastAsiaTheme="minorEastAsia" w:hAnsiTheme="minorHAnsi"/>
          <w:noProof/>
          <w:sz w:val="22"/>
          <w:lang w:eastAsia="en-AU"/>
        </w:rPr>
      </w:pPr>
      <w:hyperlink w:anchor="_Toc89423582" w:history="1">
        <w:r w:rsidR="00CB5E47" w:rsidRPr="00EA3F12">
          <w:rPr>
            <w:rStyle w:val="Hyperlink"/>
            <w:noProof/>
          </w:rPr>
          <w:t>Budget and forward estimates outlook</w:t>
        </w:r>
        <w:r w:rsidR="00CB5E47">
          <w:rPr>
            <w:noProof/>
            <w:webHidden/>
          </w:rPr>
          <w:tab/>
        </w:r>
        <w:r w:rsidR="00CB5E47">
          <w:rPr>
            <w:noProof/>
            <w:webHidden/>
          </w:rPr>
          <w:fldChar w:fldCharType="begin"/>
        </w:r>
        <w:r w:rsidR="00CB5E47">
          <w:rPr>
            <w:noProof/>
            <w:webHidden/>
          </w:rPr>
          <w:instrText xml:space="preserve"> PAGEREF _Toc89423582 \h </w:instrText>
        </w:r>
        <w:r w:rsidR="00CB5E47">
          <w:rPr>
            <w:noProof/>
            <w:webHidden/>
          </w:rPr>
        </w:r>
        <w:r w:rsidR="00CB5E47">
          <w:rPr>
            <w:noProof/>
            <w:webHidden/>
          </w:rPr>
          <w:fldChar w:fldCharType="separate"/>
        </w:r>
        <w:r w:rsidR="00234937">
          <w:rPr>
            <w:noProof/>
            <w:webHidden/>
          </w:rPr>
          <w:t>24</w:t>
        </w:r>
        <w:r w:rsidR="00CB5E47">
          <w:rPr>
            <w:noProof/>
            <w:webHidden/>
          </w:rPr>
          <w:fldChar w:fldCharType="end"/>
        </w:r>
      </w:hyperlink>
    </w:p>
    <w:p w14:paraId="227CD33C" w14:textId="6A8AD054" w:rsidR="00CB5E47" w:rsidRDefault="005D5407">
      <w:pPr>
        <w:pStyle w:val="TOC2"/>
        <w:rPr>
          <w:rFonts w:asciiTheme="minorHAnsi" w:eastAsiaTheme="minorEastAsia" w:hAnsiTheme="minorHAnsi"/>
          <w:noProof/>
          <w:sz w:val="22"/>
          <w:lang w:eastAsia="en-AU"/>
        </w:rPr>
      </w:pPr>
      <w:hyperlink w:anchor="_Toc89423583" w:history="1">
        <w:r w:rsidR="00CB5E47" w:rsidRPr="00EA3F12">
          <w:rPr>
            <w:rStyle w:val="Hyperlink"/>
            <w:noProof/>
          </w:rPr>
          <w:t>Fiscal risks</w:t>
        </w:r>
        <w:r w:rsidR="00CB5E47">
          <w:rPr>
            <w:noProof/>
            <w:webHidden/>
          </w:rPr>
          <w:tab/>
        </w:r>
        <w:r w:rsidR="00CB5E47">
          <w:rPr>
            <w:noProof/>
            <w:webHidden/>
          </w:rPr>
          <w:fldChar w:fldCharType="begin"/>
        </w:r>
        <w:r w:rsidR="00CB5E47">
          <w:rPr>
            <w:noProof/>
            <w:webHidden/>
          </w:rPr>
          <w:instrText xml:space="preserve"> PAGEREF _Toc89423583 \h </w:instrText>
        </w:r>
        <w:r w:rsidR="00CB5E47">
          <w:rPr>
            <w:noProof/>
            <w:webHidden/>
          </w:rPr>
        </w:r>
        <w:r w:rsidR="00CB5E47">
          <w:rPr>
            <w:noProof/>
            <w:webHidden/>
          </w:rPr>
          <w:fldChar w:fldCharType="separate"/>
        </w:r>
        <w:r w:rsidR="00234937">
          <w:rPr>
            <w:noProof/>
            <w:webHidden/>
          </w:rPr>
          <w:t>35</w:t>
        </w:r>
        <w:r w:rsidR="00CB5E47">
          <w:rPr>
            <w:noProof/>
            <w:webHidden/>
          </w:rPr>
          <w:fldChar w:fldCharType="end"/>
        </w:r>
      </w:hyperlink>
    </w:p>
    <w:p w14:paraId="29C078F1" w14:textId="0FD28EB6" w:rsidR="00CB5E47" w:rsidRDefault="005D5407">
      <w:pPr>
        <w:pStyle w:val="TOC2"/>
        <w:rPr>
          <w:rFonts w:asciiTheme="minorHAnsi" w:eastAsiaTheme="minorEastAsia" w:hAnsiTheme="minorHAnsi"/>
          <w:noProof/>
          <w:sz w:val="22"/>
          <w:lang w:eastAsia="en-AU"/>
        </w:rPr>
      </w:pPr>
      <w:hyperlink w:anchor="_Toc89423584" w:history="1">
        <w:r w:rsidR="00CB5E47" w:rsidRPr="00EA3F12">
          <w:rPr>
            <w:rStyle w:val="Hyperlink"/>
            <w:noProof/>
          </w:rPr>
          <w:t>Non-financial public sector</w:t>
        </w:r>
        <w:r w:rsidR="00CB5E47">
          <w:rPr>
            <w:noProof/>
            <w:webHidden/>
          </w:rPr>
          <w:tab/>
        </w:r>
        <w:r w:rsidR="00CB5E47">
          <w:rPr>
            <w:noProof/>
            <w:webHidden/>
          </w:rPr>
          <w:fldChar w:fldCharType="begin"/>
        </w:r>
        <w:r w:rsidR="00CB5E47">
          <w:rPr>
            <w:noProof/>
            <w:webHidden/>
          </w:rPr>
          <w:instrText xml:space="preserve"> PAGEREF _Toc89423584 \h </w:instrText>
        </w:r>
        <w:r w:rsidR="00CB5E47">
          <w:rPr>
            <w:noProof/>
            <w:webHidden/>
          </w:rPr>
        </w:r>
        <w:r w:rsidR="00CB5E47">
          <w:rPr>
            <w:noProof/>
            <w:webHidden/>
          </w:rPr>
          <w:fldChar w:fldCharType="separate"/>
        </w:r>
        <w:r w:rsidR="00234937">
          <w:rPr>
            <w:noProof/>
            <w:webHidden/>
          </w:rPr>
          <w:t>40</w:t>
        </w:r>
        <w:r w:rsidR="00CB5E47">
          <w:rPr>
            <w:noProof/>
            <w:webHidden/>
          </w:rPr>
          <w:fldChar w:fldCharType="end"/>
        </w:r>
      </w:hyperlink>
    </w:p>
    <w:p w14:paraId="57EC8EB7" w14:textId="3B1C70FE" w:rsidR="00CB5E47" w:rsidRDefault="005D5407">
      <w:pPr>
        <w:pStyle w:val="TOC2"/>
        <w:rPr>
          <w:rFonts w:asciiTheme="minorHAnsi" w:eastAsiaTheme="minorEastAsia" w:hAnsiTheme="minorHAnsi"/>
          <w:noProof/>
          <w:sz w:val="22"/>
          <w:lang w:eastAsia="en-AU"/>
        </w:rPr>
      </w:pPr>
      <w:hyperlink w:anchor="_Toc89423585" w:history="1">
        <w:r w:rsidR="00CB5E47" w:rsidRPr="00EA3F12">
          <w:rPr>
            <w:rStyle w:val="Hyperlink"/>
            <w:noProof/>
          </w:rPr>
          <w:t>Non-financial public sector net debt and net financial liabilities</w:t>
        </w:r>
        <w:r w:rsidR="00CB5E47">
          <w:rPr>
            <w:noProof/>
            <w:webHidden/>
          </w:rPr>
          <w:tab/>
        </w:r>
        <w:r w:rsidR="00CB5E47">
          <w:rPr>
            <w:noProof/>
            <w:webHidden/>
          </w:rPr>
          <w:fldChar w:fldCharType="begin"/>
        </w:r>
        <w:r w:rsidR="00CB5E47">
          <w:rPr>
            <w:noProof/>
            <w:webHidden/>
          </w:rPr>
          <w:instrText xml:space="preserve"> PAGEREF _Toc89423585 \h </w:instrText>
        </w:r>
        <w:r w:rsidR="00CB5E47">
          <w:rPr>
            <w:noProof/>
            <w:webHidden/>
          </w:rPr>
        </w:r>
        <w:r w:rsidR="00CB5E47">
          <w:rPr>
            <w:noProof/>
            <w:webHidden/>
          </w:rPr>
          <w:fldChar w:fldCharType="separate"/>
        </w:r>
        <w:r w:rsidR="00234937">
          <w:rPr>
            <w:noProof/>
            <w:webHidden/>
          </w:rPr>
          <w:t>42</w:t>
        </w:r>
        <w:r w:rsidR="00CB5E47">
          <w:rPr>
            <w:noProof/>
            <w:webHidden/>
          </w:rPr>
          <w:fldChar w:fldCharType="end"/>
        </w:r>
      </w:hyperlink>
    </w:p>
    <w:p w14:paraId="292BE22A" w14:textId="0144F3C0" w:rsidR="00CB5E47" w:rsidRDefault="005D5407">
      <w:pPr>
        <w:pStyle w:val="TOC2"/>
        <w:rPr>
          <w:rFonts w:asciiTheme="minorHAnsi" w:eastAsiaTheme="minorEastAsia" w:hAnsiTheme="minorHAnsi"/>
          <w:noProof/>
          <w:sz w:val="22"/>
          <w:lang w:eastAsia="en-AU"/>
        </w:rPr>
      </w:pPr>
      <w:hyperlink w:anchor="_Toc89423586" w:history="1">
        <w:r w:rsidR="00CB5E47" w:rsidRPr="00EA3F12">
          <w:rPr>
            <w:rStyle w:val="Hyperlink"/>
            <w:noProof/>
          </w:rPr>
          <w:t>State of Victoria</w:t>
        </w:r>
        <w:r w:rsidR="00CB5E47">
          <w:rPr>
            <w:noProof/>
            <w:webHidden/>
          </w:rPr>
          <w:tab/>
        </w:r>
        <w:r w:rsidR="00CB5E47">
          <w:rPr>
            <w:noProof/>
            <w:webHidden/>
          </w:rPr>
          <w:fldChar w:fldCharType="begin"/>
        </w:r>
        <w:r w:rsidR="00CB5E47">
          <w:rPr>
            <w:noProof/>
            <w:webHidden/>
          </w:rPr>
          <w:instrText xml:space="preserve"> PAGEREF _Toc89423586 \h </w:instrText>
        </w:r>
        <w:r w:rsidR="00CB5E47">
          <w:rPr>
            <w:noProof/>
            <w:webHidden/>
          </w:rPr>
        </w:r>
        <w:r w:rsidR="00CB5E47">
          <w:rPr>
            <w:noProof/>
            <w:webHidden/>
          </w:rPr>
          <w:fldChar w:fldCharType="separate"/>
        </w:r>
        <w:r w:rsidR="00234937">
          <w:rPr>
            <w:noProof/>
            <w:webHidden/>
          </w:rPr>
          <w:t>44</w:t>
        </w:r>
        <w:r w:rsidR="00CB5E47">
          <w:rPr>
            <w:noProof/>
            <w:webHidden/>
          </w:rPr>
          <w:fldChar w:fldCharType="end"/>
        </w:r>
      </w:hyperlink>
    </w:p>
    <w:p w14:paraId="13903D60" w14:textId="51FFE143" w:rsidR="00CB5E47" w:rsidRDefault="005D5407">
      <w:pPr>
        <w:pStyle w:val="TOC1"/>
        <w:rPr>
          <w:rFonts w:asciiTheme="minorHAnsi" w:eastAsiaTheme="minorEastAsia" w:hAnsiTheme="minorHAnsi"/>
          <w:b w:val="0"/>
          <w:noProof/>
          <w:sz w:val="22"/>
          <w:lang w:eastAsia="en-AU"/>
        </w:rPr>
      </w:pPr>
      <w:hyperlink w:anchor="_Toc89423587" w:history="1">
        <w:r w:rsidR="00CB5E47" w:rsidRPr="00EA3F12">
          <w:rPr>
            <w:rStyle w:val="Hyperlink"/>
            <w:noProof/>
          </w:rPr>
          <w:t>Chapter 4 – Estimated financial statements and notes</w:t>
        </w:r>
        <w:r w:rsidR="00CB5E47">
          <w:rPr>
            <w:noProof/>
            <w:webHidden/>
          </w:rPr>
          <w:tab/>
        </w:r>
        <w:r w:rsidR="00CB5E47">
          <w:rPr>
            <w:noProof/>
            <w:webHidden/>
          </w:rPr>
          <w:fldChar w:fldCharType="begin"/>
        </w:r>
        <w:r w:rsidR="00CB5E47">
          <w:rPr>
            <w:noProof/>
            <w:webHidden/>
          </w:rPr>
          <w:instrText xml:space="preserve"> PAGEREF _Toc89423587 \h </w:instrText>
        </w:r>
        <w:r w:rsidR="00CB5E47">
          <w:rPr>
            <w:noProof/>
            <w:webHidden/>
          </w:rPr>
        </w:r>
        <w:r w:rsidR="00CB5E47">
          <w:rPr>
            <w:noProof/>
            <w:webHidden/>
          </w:rPr>
          <w:fldChar w:fldCharType="separate"/>
        </w:r>
        <w:r w:rsidR="00234937">
          <w:rPr>
            <w:noProof/>
            <w:webHidden/>
          </w:rPr>
          <w:t>47</w:t>
        </w:r>
        <w:r w:rsidR="00CB5E47">
          <w:rPr>
            <w:noProof/>
            <w:webHidden/>
          </w:rPr>
          <w:fldChar w:fldCharType="end"/>
        </w:r>
      </w:hyperlink>
    </w:p>
    <w:p w14:paraId="1F8F56BB" w14:textId="05ED2919" w:rsidR="00CB5E47" w:rsidRDefault="005D5407">
      <w:pPr>
        <w:pStyle w:val="TOC2"/>
        <w:rPr>
          <w:rFonts w:asciiTheme="minorHAnsi" w:eastAsiaTheme="minorEastAsia" w:hAnsiTheme="minorHAnsi"/>
          <w:noProof/>
          <w:sz w:val="22"/>
          <w:lang w:eastAsia="en-AU"/>
        </w:rPr>
      </w:pPr>
      <w:hyperlink w:anchor="_Toc89423588" w:history="1">
        <w:r w:rsidR="00CB5E47" w:rsidRPr="00EA3F12">
          <w:rPr>
            <w:rStyle w:val="Hyperlink"/>
            <w:noProof/>
          </w:rPr>
          <w:t>Estimated general government sector comprehensive operating statement</w:t>
        </w:r>
        <w:r w:rsidR="00CB5E47">
          <w:rPr>
            <w:noProof/>
            <w:webHidden/>
          </w:rPr>
          <w:tab/>
        </w:r>
        <w:r w:rsidR="00CB5E47">
          <w:rPr>
            <w:noProof/>
            <w:webHidden/>
          </w:rPr>
          <w:fldChar w:fldCharType="begin"/>
        </w:r>
        <w:r w:rsidR="00CB5E47">
          <w:rPr>
            <w:noProof/>
            <w:webHidden/>
          </w:rPr>
          <w:instrText xml:space="preserve"> PAGEREF _Toc89423588 \h </w:instrText>
        </w:r>
        <w:r w:rsidR="00CB5E47">
          <w:rPr>
            <w:noProof/>
            <w:webHidden/>
          </w:rPr>
        </w:r>
        <w:r w:rsidR="00CB5E47">
          <w:rPr>
            <w:noProof/>
            <w:webHidden/>
          </w:rPr>
          <w:fldChar w:fldCharType="separate"/>
        </w:r>
        <w:r w:rsidR="00234937">
          <w:rPr>
            <w:noProof/>
            <w:webHidden/>
          </w:rPr>
          <w:t>47</w:t>
        </w:r>
        <w:r w:rsidR="00CB5E47">
          <w:rPr>
            <w:noProof/>
            <w:webHidden/>
          </w:rPr>
          <w:fldChar w:fldCharType="end"/>
        </w:r>
      </w:hyperlink>
    </w:p>
    <w:p w14:paraId="58FF0904" w14:textId="35B5C3CE" w:rsidR="00CB5E47" w:rsidRDefault="005D5407">
      <w:pPr>
        <w:pStyle w:val="TOC2"/>
        <w:rPr>
          <w:rFonts w:asciiTheme="minorHAnsi" w:eastAsiaTheme="minorEastAsia" w:hAnsiTheme="minorHAnsi"/>
          <w:noProof/>
          <w:sz w:val="22"/>
          <w:lang w:eastAsia="en-AU"/>
        </w:rPr>
      </w:pPr>
      <w:hyperlink w:anchor="_Toc89423589" w:history="1">
        <w:r w:rsidR="00CB5E47" w:rsidRPr="00EA3F12">
          <w:rPr>
            <w:rStyle w:val="Hyperlink"/>
            <w:noProof/>
          </w:rPr>
          <w:t>Estimated general government sector balance sheet</w:t>
        </w:r>
        <w:r w:rsidR="00CB5E47">
          <w:rPr>
            <w:noProof/>
            <w:webHidden/>
          </w:rPr>
          <w:tab/>
        </w:r>
        <w:r w:rsidR="00CB5E47">
          <w:rPr>
            <w:noProof/>
            <w:webHidden/>
          </w:rPr>
          <w:fldChar w:fldCharType="begin"/>
        </w:r>
        <w:r w:rsidR="00CB5E47">
          <w:rPr>
            <w:noProof/>
            <w:webHidden/>
          </w:rPr>
          <w:instrText xml:space="preserve"> PAGEREF _Toc89423589 \h </w:instrText>
        </w:r>
        <w:r w:rsidR="00CB5E47">
          <w:rPr>
            <w:noProof/>
            <w:webHidden/>
          </w:rPr>
        </w:r>
        <w:r w:rsidR="00CB5E47">
          <w:rPr>
            <w:noProof/>
            <w:webHidden/>
          </w:rPr>
          <w:fldChar w:fldCharType="separate"/>
        </w:r>
        <w:r w:rsidR="00234937">
          <w:rPr>
            <w:noProof/>
            <w:webHidden/>
          </w:rPr>
          <w:t>49</w:t>
        </w:r>
        <w:r w:rsidR="00CB5E47">
          <w:rPr>
            <w:noProof/>
            <w:webHidden/>
          </w:rPr>
          <w:fldChar w:fldCharType="end"/>
        </w:r>
      </w:hyperlink>
    </w:p>
    <w:p w14:paraId="4B09CA6D" w14:textId="4ED24ADE" w:rsidR="00CB5E47" w:rsidRDefault="005D5407">
      <w:pPr>
        <w:pStyle w:val="TOC2"/>
        <w:rPr>
          <w:rFonts w:asciiTheme="minorHAnsi" w:eastAsiaTheme="minorEastAsia" w:hAnsiTheme="minorHAnsi"/>
          <w:noProof/>
          <w:sz w:val="22"/>
          <w:lang w:eastAsia="en-AU"/>
        </w:rPr>
      </w:pPr>
      <w:hyperlink w:anchor="_Toc89423590" w:history="1">
        <w:r w:rsidR="00CB5E47" w:rsidRPr="00EA3F12">
          <w:rPr>
            <w:rStyle w:val="Hyperlink"/>
            <w:noProof/>
          </w:rPr>
          <w:t>Estimated general government sector cash flow statement</w:t>
        </w:r>
        <w:r w:rsidR="00CB5E47">
          <w:rPr>
            <w:noProof/>
            <w:webHidden/>
          </w:rPr>
          <w:tab/>
        </w:r>
        <w:r w:rsidR="00CB5E47">
          <w:rPr>
            <w:noProof/>
            <w:webHidden/>
          </w:rPr>
          <w:fldChar w:fldCharType="begin"/>
        </w:r>
        <w:r w:rsidR="00CB5E47">
          <w:rPr>
            <w:noProof/>
            <w:webHidden/>
          </w:rPr>
          <w:instrText xml:space="preserve"> PAGEREF _Toc89423590 \h </w:instrText>
        </w:r>
        <w:r w:rsidR="00CB5E47">
          <w:rPr>
            <w:noProof/>
            <w:webHidden/>
          </w:rPr>
        </w:r>
        <w:r w:rsidR="00CB5E47">
          <w:rPr>
            <w:noProof/>
            <w:webHidden/>
          </w:rPr>
          <w:fldChar w:fldCharType="separate"/>
        </w:r>
        <w:r w:rsidR="00234937">
          <w:rPr>
            <w:noProof/>
            <w:webHidden/>
          </w:rPr>
          <w:t>50</w:t>
        </w:r>
        <w:r w:rsidR="00CB5E47">
          <w:rPr>
            <w:noProof/>
            <w:webHidden/>
          </w:rPr>
          <w:fldChar w:fldCharType="end"/>
        </w:r>
      </w:hyperlink>
    </w:p>
    <w:p w14:paraId="51A7879F" w14:textId="2D51CA3D" w:rsidR="00CB5E47" w:rsidRDefault="005D5407">
      <w:pPr>
        <w:pStyle w:val="TOC2"/>
        <w:rPr>
          <w:rFonts w:asciiTheme="minorHAnsi" w:eastAsiaTheme="minorEastAsia" w:hAnsiTheme="minorHAnsi"/>
          <w:noProof/>
          <w:sz w:val="22"/>
          <w:lang w:eastAsia="en-AU"/>
        </w:rPr>
      </w:pPr>
      <w:hyperlink w:anchor="_Toc89423591" w:history="1">
        <w:r w:rsidR="00CB5E47" w:rsidRPr="00EA3F12">
          <w:rPr>
            <w:rStyle w:val="Hyperlink"/>
            <w:noProof/>
          </w:rPr>
          <w:t>Estimated general government sector  statement of changes in equity</w:t>
        </w:r>
        <w:r w:rsidR="00CB5E47">
          <w:rPr>
            <w:noProof/>
            <w:webHidden/>
          </w:rPr>
          <w:tab/>
        </w:r>
        <w:r w:rsidR="00CB5E47">
          <w:rPr>
            <w:noProof/>
            <w:webHidden/>
          </w:rPr>
          <w:fldChar w:fldCharType="begin"/>
        </w:r>
        <w:r w:rsidR="00CB5E47">
          <w:rPr>
            <w:noProof/>
            <w:webHidden/>
          </w:rPr>
          <w:instrText xml:space="preserve"> PAGEREF _Toc89423591 \h </w:instrText>
        </w:r>
        <w:r w:rsidR="00CB5E47">
          <w:rPr>
            <w:noProof/>
            <w:webHidden/>
          </w:rPr>
        </w:r>
        <w:r w:rsidR="00CB5E47">
          <w:rPr>
            <w:noProof/>
            <w:webHidden/>
          </w:rPr>
          <w:fldChar w:fldCharType="separate"/>
        </w:r>
        <w:r w:rsidR="00234937">
          <w:rPr>
            <w:noProof/>
            <w:webHidden/>
          </w:rPr>
          <w:t>52</w:t>
        </w:r>
        <w:r w:rsidR="00CB5E47">
          <w:rPr>
            <w:noProof/>
            <w:webHidden/>
          </w:rPr>
          <w:fldChar w:fldCharType="end"/>
        </w:r>
      </w:hyperlink>
    </w:p>
    <w:p w14:paraId="230AB84E" w14:textId="60EFCA80" w:rsidR="00CB5E47" w:rsidRDefault="005D5407">
      <w:pPr>
        <w:pStyle w:val="TOC1"/>
        <w:rPr>
          <w:rFonts w:asciiTheme="minorHAnsi" w:eastAsiaTheme="minorEastAsia" w:hAnsiTheme="minorHAnsi"/>
          <w:b w:val="0"/>
          <w:noProof/>
          <w:sz w:val="22"/>
          <w:lang w:eastAsia="en-AU"/>
        </w:rPr>
      </w:pPr>
      <w:hyperlink w:anchor="_Toc89423592" w:history="1">
        <w:r w:rsidR="00CB5E47" w:rsidRPr="00EA3F12">
          <w:rPr>
            <w:rStyle w:val="Hyperlink"/>
            <w:noProof/>
          </w:rPr>
          <w:t>Chapter 5 – Supplementary uniform presentation framework tables</w:t>
        </w:r>
        <w:r w:rsidR="00CB5E47">
          <w:rPr>
            <w:noProof/>
            <w:webHidden/>
          </w:rPr>
          <w:tab/>
        </w:r>
        <w:r w:rsidR="00CB5E47">
          <w:rPr>
            <w:noProof/>
            <w:webHidden/>
          </w:rPr>
          <w:fldChar w:fldCharType="begin"/>
        </w:r>
        <w:r w:rsidR="00CB5E47">
          <w:rPr>
            <w:noProof/>
            <w:webHidden/>
          </w:rPr>
          <w:instrText xml:space="preserve"> PAGEREF _Toc89423592 \h </w:instrText>
        </w:r>
        <w:r w:rsidR="00CB5E47">
          <w:rPr>
            <w:noProof/>
            <w:webHidden/>
          </w:rPr>
        </w:r>
        <w:r w:rsidR="00CB5E47">
          <w:rPr>
            <w:noProof/>
            <w:webHidden/>
          </w:rPr>
          <w:fldChar w:fldCharType="separate"/>
        </w:r>
        <w:r w:rsidR="00234937">
          <w:rPr>
            <w:noProof/>
            <w:webHidden/>
          </w:rPr>
          <w:t>89</w:t>
        </w:r>
        <w:r w:rsidR="00CB5E47">
          <w:rPr>
            <w:noProof/>
            <w:webHidden/>
          </w:rPr>
          <w:fldChar w:fldCharType="end"/>
        </w:r>
      </w:hyperlink>
    </w:p>
    <w:p w14:paraId="6D4D3E22" w14:textId="14DAF4AC" w:rsidR="00CB5E47" w:rsidRDefault="005D5407">
      <w:pPr>
        <w:pStyle w:val="TOC1"/>
        <w:rPr>
          <w:rFonts w:asciiTheme="minorHAnsi" w:eastAsiaTheme="minorEastAsia" w:hAnsiTheme="minorHAnsi"/>
          <w:b w:val="0"/>
          <w:noProof/>
          <w:sz w:val="22"/>
          <w:lang w:eastAsia="en-AU"/>
        </w:rPr>
      </w:pPr>
      <w:hyperlink w:anchor="_Toc89423593" w:history="1">
        <w:r w:rsidR="00CB5E47" w:rsidRPr="00EA3F12">
          <w:rPr>
            <w:rStyle w:val="Hyperlink"/>
            <w:noProof/>
          </w:rPr>
          <w:t>Chapter 6 – Contingent assets and contingent liabilities</w:t>
        </w:r>
        <w:r w:rsidR="00CB5E47">
          <w:rPr>
            <w:noProof/>
            <w:webHidden/>
          </w:rPr>
          <w:tab/>
        </w:r>
        <w:r w:rsidR="00CB5E47">
          <w:rPr>
            <w:noProof/>
            <w:webHidden/>
          </w:rPr>
          <w:fldChar w:fldCharType="begin"/>
        </w:r>
        <w:r w:rsidR="00CB5E47">
          <w:rPr>
            <w:noProof/>
            <w:webHidden/>
          </w:rPr>
          <w:instrText xml:space="preserve"> PAGEREF _Toc89423593 \h </w:instrText>
        </w:r>
        <w:r w:rsidR="00CB5E47">
          <w:rPr>
            <w:noProof/>
            <w:webHidden/>
          </w:rPr>
        </w:r>
        <w:r w:rsidR="00CB5E47">
          <w:rPr>
            <w:noProof/>
            <w:webHidden/>
          </w:rPr>
          <w:fldChar w:fldCharType="separate"/>
        </w:r>
        <w:r w:rsidR="00234937">
          <w:rPr>
            <w:noProof/>
            <w:webHidden/>
          </w:rPr>
          <w:t>113</w:t>
        </w:r>
        <w:r w:rsidR="00CB5E47">
          <w:rPr>
            <w:noProof/>
            <w:webHidden/>
          </w:rPr>
          <w:fldChar w:fldCharType="end"/>
        </w:r>
      </w:hyperlink>
    </w:p>
    <w:p w14:paraId="4755883A" w14:textId="41AAA6F8" w:rsidR="00CB5E47" w:rsidRDefault="005D5407">
      <w:pPr>
        <w:pStyle w:val="TOC2"/>
        <w:rPr>
          <w:rFonts w:asciiTheme="minorHAnsi" w:eastAsiaTheme="minorEastAsia" w:hAnsiTheme="minorHAnsi"/>
          <w:noProof/>
          <w:sz w:val="22"/>
          <w:lang w:eastAsia="en-AU"/>
        </w:rPr>
      </w:pPr>
      <w:hyperlink w:anchor="_Toc89423594" w:history="1">
        <w:r w:rsidR="00CB5E47" w:rsidRPr="00EA3F12">
          <w:rPr>
            <w:rStyle w:val="Hyperlink"/>
            <w:noProof/>
          </w:rPr>
          <w:t>Contingent assets</w:t>
        </w:r>
        <w:r w:rsidR="00CB5E47">
          <w:rPr>
            <w:noProof/>
            <w:webHidden/>
          </w:rPr>
          <w:tab/>
        </w:r>
        <w:r w:rsidR="00CB5E47">
          <w:rPr>
            <w:noProof/>
            <w:webHidden/>
          </w:rPr>
          <w:fldChar w:fldCharType="begin"/>
        </w:r>
        <w:r w:rsidR="00CB5E47">
          <w:rPr>
            <w:noProof/>
            <w:webHidden/>
          </w:rPr>
          <w:instrText xml:space="preserve"> PAGEREF _Toc89423594 \h </w:instrText>
        </w:r>
        <w:r w:rsidR="00CB5E47">
          <w:rPr>
            <w:noProof/>
            <w:webHidden/>
          </w:rPr>
        </w:r>
        <w:r w:rsidR="00CB5E47">
          <w:rPr>
            <w:noProof/>
            <w:webHidden/>
          </w:rPr>
          <w:fldChar w:fldCharType="separate"/>
        </w:r>
        <w:r w:rsidR="00234937">
          <w:rPr>
            <w:noProof/>
            <w:webHidden/>
          </w:rPr>
          <w:t>113</w:t>
        </w:r>
        <w:r w:rsidR="00CB5E47">
          <w:rPr>
            <w:noProof/>
            <w:webHidden/>
          </w:rPr>
          <w:fldChar w:fldCharType="end"/>
        </w:r>
      </w:hyperlink>
    </w:p>
    <w:p w14:paraId="3757E5DF" w14:textId="4D3E5C2B" w:rsidR="00CB5E47" w:rsidRDefault="005D5407">
      <w:pPr>
        <w:pStyle w:val="TOC2"/>
        <w:rPr>
          <w:rFonts w:asciiTheme="minorHAnsi" w:eastAsiaTheme="minorEastAsia" w:hAnsiTheme="minorHAnsi"/>
          <w:noProof/>
          <w:sz w:val="22"/>
          <w:lang w:eastAsia="en-AU"/>
        </w:rPr>
      </w:pPr>
      <w:hyperlink w:anchor="_Toc89423595" w:history="1">
        <w:r w:rsidR="00CB5E47" w:rsidRPr="00EA3F12">
          <w:rPr>
            <w:rStyle w:val="Hyperlink"/>
            <w:noProof/>
          </w:rPr>
          <w:t>Contingent liabilities</w:t>
        </w:r>
        <w:r w:rsidR="00CB5E47">
          <w:rPr>
            <w:noProof/>
            <w:webHidden/>
          </w:rPr>
          <w:tab/>
        </w:r>
        <w:r w:rsidR="00CB5E47">
          <w:rPr>
            <w:noProof/>
            <w:webHidden/>
          </w:rPr>
          <w:fldChar w:fldCharType="begin"/>
        </w:r>
        <w:r w:rsidR="00CB5E47">
          <w:rPr>
            <w:noProof/>
            <w:webHidden/>
          </w:rPr>
          <w:instrText xml:space="preserve"> PAGEREF _Toc89423595 \h </w:instrText>
        </w:r>
        <w:r w:rsidR="00CB5E47">
          <w:rPr>
            <w:noProof/>
            <w:webHidden/>
          </w:rPr>
        </w:r>
        <w:r w:rsidR="00CB5E47">
          <w:rPr>
            <w:noProof/>
            <w:webHidden/>
          </w:rPr>
          <w:fldChar w:fldCharType="separate"/>
        </w:r>
        <w:r w:rsidR="00234937">
          <w:rPr>
            <w:noProof/>
            <w:webHidden/>
          </w:rPr>
          <w:t>114</w:t>
        </w:r>
        <w:r w:rsidR="00CB5E47">
          <w:rPr>
            <w:noProof/>
            <w:webHidden/>
          </w:rPr>
          <w:fldChar w:fldCharType="end"/>
        </w:r>
      </w:hyperlink>
    </w:p>
    <w:p w14:paraId="421A7CD2" w14:textId="251BD966" w:rsidR="00CB5E47" w:rsidRDefault="005D5407">
      <w:pPr>
        <w:pStyle w:val="TOC1"/>
        <w:rPr>
          <w:rFonts w:asciiTheme="minorHAnsi" w:eastAsiaTheme="minorEastAsia" w:hAnsiTheme="minorHAnsi"/>
          <w:b w:val="0"/>
          <w:noProof/>
          <w:sz w:val="22"/>
          <w:lang w:eastAsia="en-AU"/>
        </w:rPr>
      </w:pPr>
      <w:hyperlink w:anchor="_Toc89423596" w:history="1">
        <w:r w:rsidR="00CB5E47" w:rsidRPr="00EA3F12">
          <w:rPr>
            <w:rStyle w:val="Hyperlink"/>
            <w:noProof/>
          </w:rPr>
          <w:t>Appendix A – Specific policy initiatives affecting the budget position</w:t>
        </w:r>
        <w:r w:rsidR="00CB5E47">
          <w:rPr>
            <w:noProof/>
            <w:webHidden/>
          </w:rPr>
          <w:tab/>
        </w:r>
        <w:r w:rsidR="00CB5E47">
          <w:rPr>
            <w:noProof/>
            <w:webHidden/>
          </w:rPr>
          <w:fldChar w:fldCharType="begin"/>
        </w:r>
        <w:r w:rsidR="00CB5E47">
          <w:rPr>
            <w:noProof/>
            <w:webHidden/>
          </w:rPr>
          <w:instrText xml:space="preserve"> PAGEREF _Toc89423596 \h </w:instrText>
        </w:r>
        <w:r w:rsidR="00CB5E47">
          <w:rPr>
            <w:noProof/>
            <w:webHidden/>
          </w:rPr>
        </w:r>
        <w:r w:rsidR="00CB5E47">
          <w:rPr>
            <w:noProof/>
            <w:webHidden/>
          </w:rPr>
          <w:fldChar w:fldCharType="separate"/>
        </w:r>
        <w:r w:rsidR="00234937">
          <w:rPr>
            <w:noProof/>
            <w:webHidden/>
          </w:rPr>
          <w:t>123</w:t>
        </w:r>
        <w:r w:rsidR="00CB5E47">
          <w:rPr>
            <w:noProof/>
            <w:webHidden/>
          </w:rPr>
          <w:fldChar w:fldCharType="end"/>
        </w:r>
      </w:hyperlink>
    </w:p>
    <w:p w14:paraId="0C837103" w14:textId="3869762D" w:rsidR="00CB5E47" w:rsidRDefault="005D5407">
      <w:pPr>
        <w:pStyle w:val="TOC1"/>
        <w:rPr>
          <w:rFonts w:asciiTheme="minorHAnsi" w:eastAsiaTheme="minorEastAsia" w:hAnsiTheme="minorHAnsi"/>
          <w:b w:val="0"/>
          <w:noProof/>
          <w:sz w:val="22"/>
          <w:lang w:eastAsia="en-AU"/>
        </w:rPr>
      </w:pPr>
      <w:hyperlink w:anchor="_Toc89423609" w:history="1">
        <w:r w:rsidR="00CB5E47" w:rsidRPr="00EA3F12">
          <w:rPr>
            <w:rStyle w:val="Hyperlink"/>
            <w:noProof/>
          </w:rPr>
          <w:t>Appendix B – Amendments to the 2021-22 output performance measures</w:t>
        </w:r>
        <w:r w:rsidR="00CB5E47">
          <w:rPr>
            <w:noProof/>
            <w:webHidden/>
          </w:rPr>
          <w:tab/>
        </w:r>
        <w:r w:rsidR="00CB5E47">
          <w:rPr>
            <w:noProof/>
            <w:webHidden/>
          </w:rPr>
          <w:fldChar w:fldCharType="begin"/>
        </w:r>
        <w:r w:rsidR="00CB5E47">
          <w:rPr>
            <w:noProof/>
            <w:webHidden/>
          </w:rPr>
          <w:instrText xml:space="preserve"> PAGEREF _Toc89423609 \h </w:instrText>
        </w:r>
        <w:r w:rsidR="00CB5E47">
          <w:rPr>
            <w:noProof/>
            <w:webHidden/>
          </w:rPr>
        </w:r>
        <w:r w:rsidR="00CB5E47">
          <w:rPr>
            <w:noProof/>
            <w:webHidden/>
          </w:rPr>
          <w:fldChar w:fldCharType="separate"/>
        </w:r>
        <w:r w:rsidR="00234937">
          <w:rPr>
            <w:noProof/>
            <w:webHidden/>
          </w:rPr>
          <w:t>155</w:t>
        </w:r>
        <w:r w:rsidR="00CB5E47">
          <w:rPr>
            <w:noProof/>
            <w:webHidden/>
          </w:rPr>
          <w:fldChar w:fldCharType="end"/>
        </w:r>
      </w:hyperlink>
    </w:p>
    <w:p w14:paraId="299348C6" w14:textId="0BBC14F5" w:rsidR="00CB5E47" w:rsidRDefault="005D5407">
      <w:pPr>
        <w:pStyle w:val="TOC1"/>
        <w:rPr>
          <w:rFonts w:asciiTheme="minorHAnsi" w:eastAsiaTheme="minorEastAsia" w:hAnsiTheme="minorHAnsi"/>
          <w:b w:val="0"/>
          <w:noProof/>
          <w:sz w:val="22"/>
          <w:lang w:eastAsia="en-AU"/>
        </w:rPr>
      </w:pPr>
      <w:hyperlink w:anchor="_Toc89423610" w:history="1">
        <w:r w:rsidR="00CB5E47" w:rsidRPr="00EA3F12">
          <w:rPr>
            <w:rStyle w:val="Hyperlink"/>
            <w:noProof/>
          </w:rPr>
          <w:t>Appendix C – Tax expenditures and concessions</w:t>
        </w:r>
        <w:r w:rsidR="00CB5E47">
          <w:rPr>
            <w:noProof/>
            <w:webHidden/>
          </w:rPr>
          <w:tab/>
        </w:r>
        <w:r w:rsidR="00CB5E47">
          <w:rPr>
            <w:noProof/>
            <w:webHidden/>
          </w:rPr>
          <w:fldChar w:fldCharType="begin"/>
        </w:r>
        <w:r w:rsidR="00CB5E47">
          <w:rPr>
            <w:noProof/>
            <w:webHidden/>
          </w:rPr>
          <w:instrText xml:space="preserve"> PAGEREF _Toc89423610 \h </w:instrText>
        </w:r>
        <w:r w:rsidR="00CB5E47">
          <w:rPr>
            <w:noProof/>
            <w:webHidden/>
          </w:rPr>
        </w:r>
        <w:r w:rsidR="00CB5E47">
          <w:rPr>
            <w:noProof/>
            <w:webHidden/>
          </w:rPr>
          <w:fldChar w:fldCharType="separate"/>
        </w:r>
        <w:r w:rsidR="00234937">
          <w:rPr>
            <w:noProof/>
            <w:webHidden/>
          </w:rPr>
          <w:t>157</w:t>
        </w:r>
        <w:r w:rsidR="00CB5E47">
          <w:rPr>
            <w:noProof/>
            <w:webHidden/>
          </w:rPr>
          <w:fldChar w:fldCharType="end"/>
        </w:r>
      </w:hyperlink>
    </w:p>
    <w:p w14:paraId="18362ED1" w14:textId="4E9D7D99" w:rsidR="00CB5E47" w:rsidRDefault="005D5407">
      <w:pPr>
        <w:pStyle w:val="TOC1"/>
        <w:rPr>
          <w:rFonts w:asciiTheme="minorHAnsi" w:eastAsiaTheme="minorEastAsia" w:hAnsiTheme="minorHAnsi"/>
          <w:b w:val="0"/>
          <w:noProof/>
          <w:sz w:val="22"/>
          <w:lang w:eastAsia="en-AU"/>
        </w:rPr>
      </w:pPr>
      <w:hyperlink w:anchor="_Toc89423613" w:history="1">
        <w:r w:rsidR="00CB5E47" w:rsidRPr="00EA3F12">
          <w:rPr>
            <w:rStyle w:val="Hyperlink"/>
            <w:noProof/>
          </w:rPr>
          <w:t>Appendix D – Sensitivity analysis</w:t>
        </w:r>
        <w:r w:rsidR="00CB5E47">
          <w:rPr>
            <w:noProof/>
            <w:webHidden/>
          </w:rPr>
          <w:tab/>
        </w:r>
        <w:r w:rsidR="00CB5E47">
          <w:rPr>
            <w:noProof/>
            <w:webHidden/>
          </w:rPr>
          <w:fldChar w:fldCharType="begin"/>
        </w:r>
        <w:r w:rsidR="00CB5E47">
          <w:rPr>
            <w:noProof/>
            <w:webHidden/>
          </w:rPr>
          <w:instrText xml:space="preserve"> PAGEREF _Toc89423613 \h </w:instrText>
        </w:r>
        <w:r w:rsidR="00CB5E47">
          <w:rPr>
            <w:noProof/>
            <w:webHidden/>
          </w:rPr>
        </w:r>
        <w:r w:rsidR="00CB5E47">
          <w:rPr>
            <w:noProof/>
            <w:webHidden/>
          </w:rPr>
          <w:fldChar w:fldCharType="separate"/>
        </w:r>
        <w:r w:rsidR="00234937">
          <w:rPr>
            <w:noProof/>
            <w:webHidden/>
          </w:rPr>
          <w:t>159</w:t>
        </w:r>
        <w:r w:rsidR="00CB5E47">
          <w:rPr>
            <w:noProof/>
            <w:webHidden/>
          </w:rPr>
          <w:fldChar w:fldCharType="end"/>
        </w:r>
      </w:hyperlink>
    </w:p>
    <w:p w14:paraId="3B5E4D31" w14:textId="089C30A7" w:rsidR="00CB5E47" w:rsidRDefault="005D5407">
      <w:pPr>
        <w:pStyle w:val="TOC1"/>
        <w:rPr>
          <w:rFonts w:asciiTheme="minorHAnsi" w:eastAsiaTheme="minorEastAsia" w:hAnsiTheme="minorHAnsi"/>
          <w:b w:val="0"/>
          <w:noProof/>
          <w:sz w:val="22"/>
          <w:lang w:eastAsia="en-AU"/>
        </w:rPr>
      </w:pPr>
      <w:hyperlink w:anchor="_Toc89423616" w:history="1">
        <w:r w:rsidR="00CB5E47" w:rsidRPr="00EA3F12">
          <w:rPr>
            <w:rStyle w:val="Hyperlink"/>
            <w:noProof/>
          </w:rPr>
          <w:t xml:space="preserve">Appendix E – Requirements of the </w:t>
        </w:r>
        <w:r w:rsidR="00CB5E47" w:rsidRPr="00EA3F12">
          <w:rPr>
            <w:rStyle w:val="Hyperlink"/>
            <w:i/>
            <w:iCs/>
            <w:noProof/>
          </w:rPr>
          <w:t>Financial Management Act 1994</w:t>
        </w:r>
        <w:r w:rsidR="00CB5E47">
          <w:rPr>
            <w:noProof/>
            <w:webHidden/>
          </w:rPr>
          <w:tab/>
        </w:r>
        <w:r w:rsidR="00CB5E47">
          <w:rPr>
            <w:noProof/>
            <w:webHidden/>
          </w:rPr>
          <w:fldChar w:fldCharType="begin"/>
        </w:r>
        <w:r w:rsidR="00CB5E47">
          <w:rPr>
            <w:noProof/>
            <w:webHidden/>
          </w:rPr>
          <w:instrText xml:space="preserve"> PAGEREF _Toc89423616 \h </w:instrText>
        </w:r>
        <w:r w:rsidR="00CB5E47">
          <w:rPr>
            <w:noProof/>
            <w:webHidden/>
          </w:rPr>
        </w:r>
        <w:r w:rsidR="00CB5E47">
          <w:rPr>
            <w:noProof/>
            <w:webHidden/>
          </w:rPr>
          <w:fldChar w:fldCharType="separate"/>
        </w:r>
        <w:r w:rsidR="00234937">
          <w:rPr>
            <w:noProof/>
            <w:webHidden/>
          </w:rPr>
          <w:t>167</w:t>
        </w:r>
        <w:r w:rsidR="00CB5E47">
          <w:rPr>
            <w:noProof/>
            <w:webHidden/>
          </w:rPr>
          <w:fldChar w:fldCharType="end"/>
        </w:r>
      </w:hyperlink>
    </w:p>
    <w:p w14:paraId="2BC43069" w14:textId="72272E1D" w:rsidR="00CB5E47" w:rsidRDefault="005D5407">
      <w:pPr>
        <w:pStyle w:val="TOC1"/>
        <w:rPr>
          <w:rFonts w:asciiTheme="minorHAnsi" w:eastAsiaTheme="minorEastAsia" w:hAnsiTheme="minorHAnsi"/>
          <w:b w:val="0"/>
          <w:noProof/>
          <w:sz w:val="22"/>
          <w:lang w:eastAsia="en-AU"/>
        </w:rPr>
      </w:pPr>
      <w:hyperlink w:anchor="_Toc89423617" w:history="1">
        <w:r w:rsidR="00CB5E47" w:rsidRPr="00EA3F12">
          <w:rPr>
            <w:rStyle w:val="Hyperlink"/>
            <w:noProof/>
          </w:rPr>
          <w:t>Style conventions</w:t>
        </w:r>
        <w:r w:rsidR="00CB5E47">
          <w:rPr>
            <w:noProof/>
            <w:webHidden/>
          </w:rPr>
          <w:tab/>
        </w:r>
        <w:r w:rsidR="00CB5E47">
          <w:rPr>
            <w:noProof/>
            <w:webHidden/>
          </w:rPr>
          <w:fldChar w:fldCharType="begin"/>
        </w:r>
        <w:r w:rsidR="00CB5E47">
          <w:rPr>
            <w:noProof/>
            <w:webHidden/>
          </w:rPr>
          <w:instrText xml:space="preserve"> PAGEREF _Toc89423617 \h </w:instrText>
        </w:r>
        <w:r w:rsidR="00CB5E47">
          <w:rPr>
            <w:noProof/>
            <w:webHidden/>
          </w:rPr>
        </w:r>
        <w:r w:rsidR="00CB5E47">
          <w:rPr>
            <w:noProof/>
            <w:webHidden/>
          </w:rPr>
          <w:fldChar w:fldCharType="separate"/>
        </w:r>
        <w:r w:rsidR="00234937">
          <w:rPr>
            <w:noProof/>
            <w:webHidden/>
          </w:rPr>
          <w:t>169</w:t>
        </w:r>
        <w:r w:rsidR="00CB5E47">
          <w:rPr>
            <w:noProof/>
            <w:webHidden/>
          </w:rPr>
          <w:fldChar w:fldCharType="end"/>
        </w:r>
      </w:hyperlink>
    </w:p>
    <w:p w14:paraId="27539480" w14:textId="2081FD4B" w:rsidR="008D6F13" w:rsidRDefault="00FB71BE" w:rsidP="00FB71BE">
      <w:pPr>
        <w:sectPr w:rsidR="008D6F13" w:rsidSect="00CD78F6">
          <w:headerReference w:type="default" r:id="rId18"/>
          <w:footerReference w:type="even" r:id="rId19"/>
          <w:footerReference w:type="default" r:id="rId20"/>
          <w:headerReference w:type="first" r:id="rId21"/>
          <w:footerReference w:type="first" r:id="rId22"/>
          <w:pgSz w:w="9979" w:h="14175" w:code="9"/>
          <w:pgMar w:top="1134" w:right="1134" w:bottom="1134" w:left="1134" w:header="624" w:footer="567" w:gutter="0"/>
          <w:cols w:space="708"/>
          <w:titlePg/>
          <w:docGrid w:linePitch="360"/>
        </w:sectPr>
      </w:pPr>
      <w:r>
        <w:fldChar w:fldCharType="end"/>
      </w:r>
    </w:p>
    <w:p w14:paraId="540DC381" w14:textId="77777777" w:rsidR="008D6F13" w:rsidRDefault="008D6F13" w:rsidP="008D6F13">
      <w:pPr>
        <w:pStyle w:val="ChapterHeading"/>
      </w:pPr>
      <w:bookmarkStart w:id="1" w:name="_Toc89423572"/>
      <w:r w:rsidRPr="00BA2C2C">
        <w:lastRenderedPageBreak/>
        <w:t xml:space="preserve">Chapter 1 – Economic and </w:t>
      </w:r>
      <w:r>
        <w:t>f</w:t>
      </w:r>
      <w:r w:rsidRPr="00BA2C2C">
        <w:t xml:space="preserve">iscal </w:t>
      </w:r>
      <w:r>
        <w:t>o</w:t>
      </w:r>
      <w:r w:rsidRPr="00BA2C2C">
        <w:t>verview</w:t>
      </w:r>
      <w:bookmarkEnd w:id="1"/>
    </w:p>
    <w:p w14:paraId="2F121CC8" w14:textId="77777777" w:rsidR="008D6F13" w:rsidRDefault="008D6F13" w:rsidP="008D6F13">
      <w:pPr>
        <w:pStyle w:val="Heading10"/>
      </w:pPr>
      <w:bookmarkStart w:id="2" w:name="_Toc89423573"/>
      <w:r>
        <w:t>A strong recovery ahead</w:t>
      </w:r>
      <w:bookmarkEnd w:id="2"/>
    </w:p>
    <w:p w14:paraId="64E6F43A" w14:textId="77777777" w:rsidR="008D6F13" w:rsidRDefault="008D6F13" w:rsidP="008D6F13">
      <w:r>
        <w:t>After the easing of necessary public health restrictions in late 2020, the Victorian economy was recovering strongly. By June 2021, state final demand had recovered to be above pre</w:t>
      </w:r>
      <w:r>
        <w:noBreakHyphen/>
        <w:t xml:space="preserve">pandemic levels. Amid the global coronavirus (COVID-19) pandemic, which led to a significant global economic downturn, real gross state product (GSP) fell by </w:t>
      </w:r>
      <w:r w:rsidRPr="009457A5">
        <w:t xml:space="preserve">0.4 </w:t>
      </w:r>
      <w:r>
        <w:t>per cent in 2020-21. This followed a period preceding the pandemic when, from 2014-15 to 2018</w:t>
      </w:r>
      <w:r>
        <w:noBreakHyphen/>
        <w:t>19, Victoria’s economic performance led the nation. Economic growth averaged 3.3 per cent and employment growth averaged 3.1 per cent per year over the five years to 2018-19, the strongest growth of all the states.</w:t>
      </w:r>
    </w:p>
    <w:p w14:paraId="0B345188" w14:textId="77777777" w:rsidR="008D6F13" w:rsidRPr="00166384" w:rsidRDefault="008D6F13" w:rsidP="008D6F13">
      <w:r>
        <w:t xml:space="preserve">The Government’s </w:t>
      </w:r>
      <w:r w:rsidRPr="00281980">
        <w:rPr>
          <w:i/>
          <w:iCs/>
        </w:rPr>
        <w:t>Jobs Plan</w:t>
      </w:r>
      <w:r>
        <w:t xml:space="preserve">, </w:t>
      </w:r>
      <w:r w:rsidRPr="00166384">
        <w:t xml:space="preserve">announced as part of the </w:t>
      </w:r>
      <w:r w:rsidRPr="00166384">
        <w:rPr>
          <w:i/>
          <w:iCs/>
        </w:rPr>
        <w:t>2020-21 Budget</w:t>
      </w:r>
      <w:r w:rsidRPr="00166384">
        <w:t>, included a target to create 400 000 jobs by 2025, half of which would be created by 2022. Such was the strength of the recovery in economic activity and employment</w:t>
      </w:r>
      <w:r w:rsidRPr="00D02B6A">
        <w:t>,</w:t>
      </w:r>
      <w:r w:rsidRPr="00166384">
        <w:t xml:space="preserve"> the interim target was met in early 2021. By August 2021, the labour market had strengthened even further. Employment had risen by 288 000 since its trough in September 2020, the unemployment rate was at a record low of 4.1 per cent and the workforce participation rate was at a record high. </w:t>
      </w:r>
    </w:p>
    <w:p w14:paraId="71287691" w14:textId="77777777" w:rsidR="008D6F13" w:rsidRPr="00466373" w:rsidRDefault="008D6F13" w:rsidP="008D6F13">
      <w:bookmarkStart w:id="3" w:name="_Hlk88153176"/>
      <w:r w:rsidRPr="00166384">
        <w:t xml:space="preserve">Employment for women and young people – who had been disproportionately affected by the events of 2020 – had also recovered strongly, with the proportion of women and young people in work back above pre-pandemic levels. The labour market in Victoria’s regions was particularly strong, with </w:t>
      </w:r>
      <w:r w:rsidRPr="00D02B6A">
        <w:t>a low unemployment rate of 3.3 per cent in October</w:t>
      </w:r>
      <w:r>
        <w:t> </w:t>
      </w:r>
      <w:r w:rsidRPr="00D02B6A">
        <w:t>2021, just above the record low reached in September.</w:t>
      </w:r>
    </w:p>
    <w:bookmarkEnd w:id="3"/>
    <w:p w14:paraId="3859804D" w14:textId="77777777" w:rsidR="008D6F13" w:rsidRPr="00166384" w:rsidRDefault="008D6F13" w:rsidP="008D6F13">
      <w:pPr>
        <w:keepLines w:val="0"/>
      </w:pPr>
      <w:r w:rsidRPr="00166384">
        <w:t xml:space="preserve">The outbreak of the Delta variant </w:t>
      </w:r>
      <w:r>
        <w:t xml:space="preserve">of COVID-19 </w:t>
      </w:r>
      <w:r w:rsidRPr="00166384">
        <w:t xml:space="preserve">caused a setback to this strong recovery, but the economic recovery is expected to resume quickly now that most domestic restrictions have been eased. </w:t>
      </w:r>
    </w:p>
    <w:p w14:paraId="5C9BEBE7" w14:textId="77777777" w:rsidR="008D6F13" w:rsidRDefault="008D6F13" w:rsidP="008D6F13">
      <w:pPr>
        <w:ind w:right="198"/>
      </w:pPr>
      <w:r w:rsidRPr="00166384">
        <w:t>Necessary restrictions were put in place in July</w:t>
      </w:r>
      <w:r>
        <w:t xml:space="preserve"> 2021</w:t>
      </w:r>
      <w:r w:rsidRPr="00166384">
        <w:t xml:space="preserve"> and again from August to October</w:t>
      </w:r>
      <w:r>
        <w:t> </w:t>
      </w:r>
      <w:r w:rsidRPr="00166384">
        <w:t xml:space="preserve">2021 to </w:t>
      </w:r>
      <w:r w:rsidRPr="00D02B6A">
        <w:t>contain the new Delta variant</w:t>
      </w:r>
      <w:r w:rsidRPr="00166384">
        <w:t>, with the restrictions gradually easing over the following month or so</w:t>
      </w:r>
      <w:r>
        <w:t xml:space="preserve"> </w:t>
      </w:r>
      <w:r w:rsidRPr="009457A5">
        <w:t>as vaccination rates increased</w:t>
      </w:r>
      <w:r w:rsidRPr="00166384">
        <w:t xml:space="preserve">. </w:t>
      </w:r>
      <w:r w:rsidRPr="009457A5">
        <w:t>While this</w:t>
      </w:r>
      <w:r w:rsidRPr="00166384">
        <w:t xml:space="preserve"> led to a decline in economic activity in the September quarter and a significant fall in employment</w:t>
      </w:r>
      <w:r>
        <w:t xml:space="preserve">, </w:t>
      </w:r>
      <w:r w:rsidRPr="00166384">
        <w:t>the Victorian economy has proven more resilient than during restrictions in 2020. Employment has fallen below pre</w:t>
      </w:r>
      <w:r>
        <w:noBreakHyphen/>
      </w:r>
      <w:r w:rsidRPr="00166384">
        <w:t xml:space="preserve">pandemic </w:t>
      </w:r>
      <w:proofErr w:type="gramStart"/>
      <w:r w:rsidRPr="00166384">
        <w:t>levels, but</w:t>
      </w:r>
      <w:proofErr w:type="gramEnd"/>
      <w:r w:rsidRPr="00166384">
        <w:t xml:space="preserve"> remains 112</w:t>
      </w:r>
      <w:r>
        <w:t> </w:t>
      </w:r>
      <w:r w:rsidRPr="00166384">
        <w:t xml:space="preserve">400 above its trough in September 2020. Total hours worked – a measure more closely aligned with economic activity – fell from August to </w:t>
      </w:r>
      <w:proofErr w:type="gramStart"/>
      <w:r w:rsidRPr="00166384">
        <w:t>October, but</w:t>
      </w:r>
      <w:proofErr w:type="gramEnd"/>
      <w:r w:rsidRPr="00166384">
        <w:t xml:space="preserve"> was 4.6</w:t>
      </w:r>
      <w:r>
        <w:t> </w:t>
      </w:r>
      <w:r w:rsidRPr="00166384">
        <w:t>per cent above the low reached in September 2020.</w:t>
      </w:r>
      <w:r w:rsidRPr="00CA3E40">
        <w:t xml:space="preserve"> </w:t>
      </w:r>
    </w:p>
    <w:p w14:paraId="64B5E644" w14:textId="77777777" w:rsidR="008D6F13" w:rsidRDefault="008D6F13" w:rsidP="008D6F13">
      <w:r>
        <w:lastRenderedPageBreak/>
        <w:t xml:space="preserve">Other indicators also highlight the Victorian economy’s resilience. Retail sales, surveyed business conditions, and business and consumer confidence all remained much higher than their lows in 2020. Indicators of labour demand also remain strong – including in sectors most affected by restrictions, such as hospitality, </w:t>
      </w:r>
      <w:proofErr w:type="gramStart"/>
      <w:r>
        <w:t>arts</w:t>
      </w:r>
      <w:proofErr w:type="gramEnd"/>
      <w:r>
        <w:t xml:space="preserve"> and recreation. </w:t>
      </w:r>
    </w:p>
    <w:p w14:paraId="314FA761" w14:textId="45A4DEF5" w:rsidR="008D6F13" w:rsidRPr="00466373" w:rsidRDefault="008D6F13" w:rsidP="008D6F13">
      <w:pPr>
        <w:rPr>
          <w:strike/>
        </w:rPr>
      </w:pPr>
      <w:bookmarkStart w:id="4" w:name="_Hlk88645812"/>
      <w:r>
        <w:t xml:space="preserve">Now that vaccination rates have risen and most domestic restrictions have been eased, economic activity and employment are expected to pick up quickly. The Government has allocated </w:t>
      </w:r>
      <w:r w:rsidR="00B574E9">
        <w:t>more than $13</w:t>
      </w:r>
      <w:r w:rsidRPr="00FB05AE">
        <w:t xml:space="preserve"> billion</w:t>
      </w:r>
      <w:r>
        <w:t xml:space="preserve"> in business support </w:t>
      </w:r>
      <w:r w:rsidRPr="00BB6C57">
        <w:t>since the COVID-19 pandemic began</w:t>
      </w:r>
      <w:r>
        <w:t xml:space="preserve"> (with $10 billion funded by the Government, and the Commonwealth contributing $3</w:t>
      </w:r>
      <w:r w:rsidR="00B574E9">
        <w:t> </w:t>
      </w:r>
      <w:r>
        <w:t>billion)</w:t>
      </w:r>
      <w:r w:rsidRPr="00BB6C57">
        <w:t xml:space="preserve">, and implemented programs to </w:t>
      </w:r>
      <w:r w:rsidRPr="00186DEA">
        <w:t xml:space="preserve">support Victorian </w:t>
      </w:r>
      <w:r w:rsidRPr="00F62D4A">
        <w:t>households. This strong support during recent restrictions meant that, in aggregate, businesses and households were in a robust position as the economy reopened. The recovery will</w:t>
      </w:r>
      <w:r w:rsidRPr="00471A98">
        <w:t xml:space="preserve"> also be supported by low interest rates and strong demand for workers.</w:t>
      </w:r>
      <w:r>
        <w:t xml:space="preserve"> </w:t>
      </w:r>
    </w:p>
    <w:bookmarkEnd w:id="4"/>
    <w:p w14:paraId="57D5048F" w14:textId="77777777" w:rsidR="008D6F13" w:rsidRPr="00166384" w:rsidRDefault="008D6F13" w:rsidP="008D6F13">
      <w:pPr>
        <w:ind w:right="-227"/>
      </w:pPr>
      <w:r w:rsidRPr="00166384">
        <w:t xml:space="preserve">The economy is expected to broadly return to the growth path forecast in the </w:t>
      </w:r>
      <w:r w:rsidRPr="00166384">
        <w:rPr>
          <w:i/>
          <w:iCs/>
        </w:rPr>
        <w:t>2021</w:t>
      </w:r>
      <w:r>
        <w:rPr>
          <w:i/>
          <w:iCs/>
        </w:rPr>
        <w:noBreakHyphen/>
      </w:r>
      <w:r w:rsidRPr="00166384">
        <w:rPr>
          <w:i/>
          <w:iCs/>
        </w:rPr>
        <w:t>22</w:t>
      </w:r>
      <w:r>
        <w:rPr>
          <w:i/>
          <w:iCs/>
        </w:rPr>
        <w:t> </w:t>
      </w:r>
      <w:r w:rsidRPr="00166384">
        <w:rPr>
          <w:i/>
          <w:iCs/>
        </w:rPr>
        <w:t>Budget</w:t>
      </w:r>
      <w:r w:rsidRPr="00166384">
        <w:t xml:space="preserve"> by mid-2022. In annual growth terms, real GSP </w:t>
      </w:r>
      <w:r w:rsidRPr="00E401C3">
        <w:t xml:space="preserve">growth is forecast to reach 2.25 per cent in 2021-22, which is 4.25 percentage points below the </w:t>
      </w:r>
      <w:r w:rsidRPr="00E401C3">
        <w:rPr>
          <w:i/>
          <w:iCs/>
        </w:rPr>
        <w:t>2021</w:t>
      </w:r>
      <w:r w:rsidRPr="00E401C3">
        <w:rPr>
          <w:i/>
          <w:iCs/>
        </w:rPr>
        <w:noBreakHyphen/>
        <w:t>22 Budget</w:t>
      </w:r>
      <w:r w:rsidRPr="00E401C3">
        <w:t xml:space="preserve"> forecast, reflecting the effects of the Delta variant of COVID-19 and associated restrictions. This temporary setback in Victoria’s economic</w:t>
      </w:r>
      <w:r w:rsidRPr="00166384">
        <w:t xml:space="preserve"> recovery is expected to </w:t>
      </w:r>
      <w:r w:rsidRPr="000D58E5">
        <w:t>shift the peak in annual GSP growth from 2021-22 to 2022-23, when growth is forecast to rise to 4.50</w:t>
      </w:r>
      <w:r>
        <w:t> </w:t>
      </w:r>
      <w:r w:rsidRPr="000D58E5">
        <w:t>per cent, compared to the 3.25</w:t>
      </w:r>
      <w:r>
        <w:t> </w:t>
      </w:r>
      <w:r w:rsidRPr="000D58E5">
        <w:t>per cent forecast in the</w:t>
      </w:r>
      <w:r w:rsidRPr="000D58E5">
        <w:rPr>
          <w:i/>
          <w:iCs/>
        </w:rPr>
        <w:t xml:space="preserve"> 2021-22 Budget</w:t>
      </w:r>
      <w:r w:rsidRPr="000D58E5">
        <w:t>.</w:t>
      </w:r>
      <w:r w:rsidRPr="00166384">
        <w:t xml:space="preserve"> </w:t>
      </w:r>
    </w:p>
    <w:p w14:paraId="221CD75D" w14:textId="77777777" w:rsidR="008D6F13" w:rsidRDefault="008D6F13" w:rsidP="008D6F13">
      <w:r w:rsidRPr="00166384">
        <w:t xml:space="preserve">Employment is also forecast to recover strongly as restrictions ease, amid high labour demand and the recovery in economic activity. Employment growth is expected to reach 2.5 per cent in 2021-22, unchanged from the </w:t>
      </w:r>
      <w:r w:rsidRPr="00166384">
        <w:rPr>
          <w:i/>
          <w:iCs/>
        </w:rPr>
        <w:t>2021-22 Budget</w:t>
      </w:r>
      <w:r w:rsidRPr="00166384">
        <w:t xml:space="preserve">. The unemployment rate is expected to average 4.5 per cent in 2021-22, slightly lower than forecast in the </w:t>
      </w:r>
      <w:r w:rsidRPr="00166384">
        <w:rPr>
          <w:i/>
          <w:iCs/>
        </w:rPr>
        <w:t>2021</w:t>
      </w:r>
      <w:r>
        <w:rPr>
          <w:i/>
          <w:iCs/>
        </w:rPr>
        <w:noBreakHyphen/>
      </w:r>
      <w:r w:rsidRPr="00166384">
        <w:rPr>
          <w:i/>
          <w:iCs/>
        </w:rPr>
        <w:t>22</w:t>
      </w:r>
      <w:r>
        <w:t> </w:t>
      </w:r>
      <w:proofErr w:type="gramStart"/>
      <w:r w:rsidRPr="00166384">
        <w:rPr>
          <w:i/>
          <w:iCs/>
        </w:rPr>
        <w:t>Budget</w:t>
      </w:r>
      <w:r w:rsidRPr="00166384">
        <w:t>, and</w:t>
      </w:r>
      <w:proofErr w:type="gramEnd"/>
      <w:r w:rsidRPr="00166384">
        <w:t xml:space="preserve"> remain at this low level in 2022-23.</w:t>
      </w:r>
    </w:p>
    <w:p w14:paraId="477ED676" w14:textId="77777777" w:rsidR="008D6F13" w:rsidRDefault="008D6F13" w:rsidP="008D6F13">
      <w:pPr>
        <w:pStyle w:val="Heading10"/>
      </w:pPr>
      <w:bookmarkStart w:id="5" w:name="_Toc71913882"/>
      <w:bookmarkStart w:id="6" w:name="_Toc89423574"/>
      <w:r>
        <w:t>Strong financial management</w:t>
      </w:r>
      <w:bookmarkEnd w:id="5"/>
      <w:bookmarkEnd w:id="6"/>
    </w:p>
    <w:p w14:paraId="67F6583D" w14:textId="77777777" w:rsidR="008D6F13" w:rsidRPr="00827DA2" w:rsidRDefault="008D6F13" w:rsidP="008D6F13">
      <w:r w:rsidRPr="00827DA2">
        <w:t xml:space="preserve">Prior to the COVID-19 pandemic, the Government demonstrated its strong financial management by adhering to a robust fiscal framework, including </w:t>
      </w:r>
      <w:r>
        <w:t xml:space="preserve">consistent </w:t>
      </w:r>
      <w:r w:rsidRPr="00827DA2">
        <w:t xml:space="preserve">operating </w:t>
      </w:r>
      <w:proofErr w:type="gramStart"/>
      <w:r w:rsidRPr="00827DA2">
        <w:t>surpluses</w:t>
      </w:r>
      <w:proofErr w:type="gramEnd"/>
      <w:r w:rsidRPr="00827DA2">
        <w:t xml:space="preserve"> and maintaining debt at a sustainable level</w:t>
      </w:r>
      <w:r>
        <w:t>,</w:t>
      </w:r>
      <w:r w:rsidRPr="00827DA2">
        <w:t xml:space="preserve"> while delivering improved services and infrastructure.</w:t>
      </w:r>
    </w:p>
    <w:p w14:paraId="70A40129" w14:textId="77777777" w:rsidR="008D6F13" w:rsidRDefault="008D6F13" w:rsidP="008D6F13">
      <w:pPr>
        <w:keepNext/>
      </w:pPr>
      <w:r>
        <w:t>I</w:t>
      </w:r>
      <w:r w:rsidRPr="00827DA2">
        <w:t xml:space="preserve">n 2020, the </w:t>
      </w:r>
      <w:r>
        <w:t xml:space="preserve">COVID-19 </w:t>
      </w:r>
      <w:r w:rsidRPr="00827DA2">
        <w:t>pandemic severely impacted the State’s financial position and outlook.</w:t>
      </w:r>
      <w:r>
        <w:t xml:space="preserve"> </w:t>
      </w:r>
      <w:r w:rsidRPr="00827DA2">
        <w:t xml:space="preserve">In the </w:t>
      </w:r>
      <w:r w:rsidRPr="00BA2825">
        <w:rPr>
          <w:i/>
          <w:iCs/>
        </w:rPr>
        <w:t>2020-21 Budget</w:t>
      </w:r>
      <w:r w:rsidRPr="00827DA2">
        <w:t>, the Government prioritised the use of its balance sheet to support the Victorian community</w:t>
      </w:r>
      <w:r>
        <w:t xml:space="preserve"> and economy</w:t>
      </w:r>
      <w:r w:rsidRPr="00827DA2">
        <w:t xml:space="preserve">. This approach was consistent with stimulus approaches </w:t>
      </w:r>
      <w:r>
        <w:t xml:space="preserve">elsewhere </w:t>
      </w:r>
      <w:r w:rsidRPr="00827DA2">
        <w:t>in Australia and around the world.</w:t>
      </w:r>
    </w:p>
    <w:p w14:paraId="5ECD7C67" w14:textId="77777777" w:rsidR="008D6F13" w:rsidRDefault="008D6F13" w:rsidP="008D6F13">
      <w:pPr>
        <w:keepNext/>
      </w:pPr>
      <w:r w:rsidRPr="00827DA2">
        <w:t xml:space="preserve">In early 2021, </w:t>
      </w:r>
      <w:r w:rsidRPr="00A310EC">
        <w:t>a strong rebound in the economy showed</w:t>
      </w:r>
      <w:r>
        <w:t xml:space="preserve"> </w:t>
      </w:r>
      <w:r w:rsidRPr="00827DA2">
        <w:t>that the Government’s stimulus strategy was working</w:t>
      </w:r>
      <w:r>
        <w:t>.</w:t>
      </w:r>
      <w:r w:rsidRPr="00827DA2">
        <w:t xml:space="preserve"> The </w:t>
      </w:r>
      <w:r w:rsidRPr="00BA2825">
        <w:rPr>
          <w:i/>
          <w:iCs/>
        </w:rPr>
        <w:t>2021-22 Budget</w:t>
      </w:r>
      <w:r w:rsidRPr="00827DA2">
        <w:t xml:space="preserve"> forecast significant improvement in the State’s key fiscal aggregates.</w:t>
      </w:r>
    </w:p>
    <w:p w14:paraId="0C2A54A9" w14:textId="77777777" w:rsidR="008D6F13" w:rsidRDefault="008D6F13" w:rsidP="008D6F13">
      <w:pPr>
        <w:keepLines w:val="0"/>
      </w:pPr>
      <w:r>
        <w:br w:type="page"/>
      </w:r>
    </w:p>
    <w:p w14:paraId="4EFE97AF" w14:textId="77777777" w:rsidR="008D6F13" w:rsidRDefault="008D6F13" w:rsidP="008D6F13">
      <w:pPr>
        <w:keepNext/>
      </w:pPr>
      <w:r>
        <w:lastRenderedPageBreak/>
        <w:t>This improvement was the result of the Government’s comprehensive and deliberate fiscal strategy. This strategy focused on the medium term and involved four steps:</w:t>
      </w:r>
    </w:p>
    <w:p w14:paraId="180DE892" w14:textId="77777777" w:rsidR="008D6F13" w:rsidRDefault="008D6F13" w:rsidP="008D6F13">
      <w:pPr>
        <w:pStyle w:val="ListBullet"/>
      </w:pPr>
      <w:r w:rsidRPr="001E77B6">
        <w:rPr>
          <w:b/>
          <w:bCs/>
        </w:rPr>
        <w:t>Step 1</w:t>
      </w:r>
      <w:r>
        <w:t xml:space="preserve">: creating jobs, reducing </w:t>
      </w:r>
      <w:proofErr w:type="gramStart"/>
      <w:r>
        <w:t>unemployment</w:t>
      </w:r>
      <w:proofErr w:type="gramEnd"/>
      <w:r>
        <w:t xml:space="preserve"> and restoring economic growth</w:t>
      </w:r>
    </w:p>
    <w:p w14:paraId="689FF444" w14:textId="77777777" w:rsidR="008D6F13" w:rsidRDefault="008D6F13" w:rsidP="008D6F13">
      <w:pPr>
        <w:pStyle w:val="ListBullet"/>
      </w:pPr>
      <w:r w:rsidRPr="001E77B6">
        <w:rPr>
          <w:b/>
          <w:bCs/>
        </w:rPr>
        <w:t>Step 2</w:t>
      </w:r>
      <w:r>
        <w:t>: returning to an operating cash surplus</w:t>
      </w:r>
    </w:p>
    <w:p w14:paraId="5B6ABCA1" w14:textId="77777777" w:rsidR="008D6F13" w:rsidRDefault="008D6F13" w:rsidP="008D6F13">
      <w:pPr>
        <w:pStyle w:val="ListBullet"/>
      </w:pPr>
      <w:r w:rsidRPr="001E77B6">
        <w:rPr>
          <w:b/>
          <w:bCs/>
        </w:rPr>
        <w:t>Step 3</w:t>
      </w:r>
      <w:r>
        <w:t>: returning to operating surpluses</w:t>
      </w:r>
    </w:p>
    <w:p w14:paraId="28D343DB" w14:textId="77777777" w:rsidR="008D6F13" w:rsidRDefault="008D6F13" w:rsidP="008D6F13">
      <w:pPr>
        <w:pStyle w:val="ListBullet"/>
      </w:pPr>
      <w:r w:rsidRPr="001E77B6">
        <w:rPr>
          <w:b/>
          <w:bCs/>
        </w:rPr>
        <w:t>Step 4</w:t>
      </w:r>
      <w:r>
        <w:t>: stabilising debt levels.</w:t>
      </w:r>
    </w:p>
    <w:p w14:paraId="4BDEFA74" w14:textId="77777777" w:rsidR="008D6F13" w:rsidRDefault="008D6F13" w:rsidP="008D6F13">
      <w:pPr>
        <w:keepNext/>
      </w:pPr>
      <w:r w:rsidRPr="00A310EC">
        <w:t xml:space="preserve">Public health restrictions were </w:t>
      </w:r>
      <w:r>
        <w:t>renewed from</w:t>
      </w:r>
      <w:r w:rsidRPr="00A310EC">
        <w:t xml:space="preserve"> </w:t>
      </w:r>
      <w:r>
        <w:t>July</w:t>
      </w:r>
      <w:r w:rsidRPr="00A310EC">
        <w:t xml:space="preserve"> 2021 to contain the Delta</w:t>
      </w:r>
      <w:r>
        <w:t> </w:t>
      </w:r>
      <w:r w:rsidRPr="00A310EC">
        <w:t>variant</w:t>
      </w:r>
      <w:r>
        <w:t xml:space="preserve"> of COVID-19</w:t>
      </w:r>
      <w:r w:rsidRPr="00A310EC">
        <w:t>.</w:t>
      </w:r>
      <w:r>
        <w:t xml:space="preserve"> The Government provided financial assistance to strengthen the health response </w:t>
      </w:r>
      <w:proofErr w:type="gramStart"/>
      <w:r>
        <w:t>and also</w:t>
      </w:r>
      <w:proofErr w:type="gramEnd"/>
      <w:r>
        <w:t xml:space="preserve"> provided significant assistance to businesses and households to ensure the economy could rebound quickly as restrictions eased.</w:t>
      </w:r>
    </w:p>
    <w:p w14:paraId="443B226F" w14:textId="77777777" w:rsidR="008D6F13" w:rsidRDefault="008D6F13" w:rsidP="008D6F13">
      <w:pPr>
        <w:keepNext/>
      </w:pPr>
      <w:r>
        <w:t>The short-term and targeted nature of this additional health response and economic stimulus has supported the community and economy while maintaining the fiscal strategy for the medium term. However, this has impacted</w:t>
      </w:r>
      <w:r w:rsidRPr="00811966">
        <w:rPr>
          <w:rFonts w:ascii="Garamond" w:hAnsi="Garamond"/>
        </w:rPr>
        <w:t xml:space="preserve"> the State’s financial position</w:t>
      </w:r>
      <w:r>
        <w:rPr>
          <w:rFonts w:ascii="Garamond" w:hAnsi="Garamond"/>
        </w:rPr>
        <w:t>, particularly in 2021-22.</w:t>
      </w:r>
    </w:p>
    <w:p w14:paraId="2BA4E48D" w14:textId="77777777" w:rsidR="008D6F13" w:rsidRPr="006217AA" w:rsidRDefault="008D6F13" w:rsidP="008D6F13">
      <w:pPr>
        <w:pStyle w:val="Heading30"/>
      </w:pPr>
      <w:r w:rsidRPr="006217AA">
        <w:t xml:space="preserve">Progress towards </w:t>
      </w:r>
      <w:r>
        <w:t>achieving</w:t>
      </w:r>
      <w:r w:rsidRPr="006217AA">
        <w:t xml:space="preserve"> the Government</w:t>
      </w:r>
      <w:r>
        <w:t>’</w:t>
      </w:r>
      <w:r w:rsidRPr="006217AA">
        <w:t>s fiscal strategy</w:t>
      </w:r>
    </w:p>
    <w:p w14:paraId="6FE0C219" w14:textId="77777777" w:rsidR="008D6F13" w:rsidRDefault="008D6F13" w:rsidP="008D6F13">
      <w:r w:rsidRPr="003D0685">
        <w:t>The Government remain</w:t>
      </w:r>
      <w:r>
        <w:t>s</w:t>
      </w:r>
      <w:r w:rsidRPr="003D0685">
        <w:t xml:space="preserve"> committed to the four-step fiscal strategy.</w:t>
      </w:r>
      <w:r>
        <w:t xml:space="preserve"> The renewed public health restrictions led to a fall in employment, which affected the first step of the fiscal strategy – creating jobs, reducing </w:t>
      </w:r>
      <w:proofErr w:type="gramStart"/>
      <w:r>
        <w:t>unemployment</w:t>
      </w:r>
      <w:proofErr w:type="gramEnd"/>
      <w:r>
        <w:t xml:space="preserve"> and restoring economic growth. However, the Victorian economy has proven more resilient than during restrictions in 2020. With the easing of public health restrictions, the economy is expected to broadly return to the growth path forecast in the </w:t>
      </w:r>
      <w:r w:rsidRPr="005B15B0">
        <w:rPr>
          <w:i/>
          <w:iCs/>
        </w:rPr>
        <w:t>2021-22 Budget</w:t>
      </w:r>
      <w:r>
        <w:t xml:space="preserve"> by mid-2022.</w:t>
      </w:r>
    </w:p>
    <w:p w14:paraId="1C8320DC" w14:textId="77777777" w:rsidR="008D6F13" w:rsidRDefault="008D6F13" w:rsidP="008D6F13">
      <w:r>
        <w:t>The second step in the Government’s fiscal strategy, returning to an operating cash surplus, is important because it means the State is generating sufficient cash inflows to offset its cash outflows on operating activities, a key pillar of fiscal sustainability.</w:t>
      </w:r>
    </w:p>
    <w:p w14:paraId="6D90616D" w14:textId="77777777" w:rsidR="008D6F13" w:rsidRDefault="008D6F13" w:rsidP="008D6F13">
      <w:r>
        <w:t>Despite the recent restrictions, the Government is still forecasting a return to an operating cash surplus from 2022-23 onwards,</w:t>
      </w:r>
      <w:r w:rsidRPr="00FE5711">
        <w:t xml:space="preserve"> </w:t>
      </w:r>
      <w:r>
        <w:t xml:space="preserve">in line with the </w:t>
      </w:r>
      <w:r w:rsidRPr="00AA2446">
        <w:rPr>
          <w:i/>
          <w:iCs/>
        </w:rPr>
        <w:t>2021-22 Budget</w:t>
      </w:r>
      <w:r>
        <w:t>.</w:t>
      </w:r>
    </w:p>
    <w:p w14:paraId="56F673B4" w14:textId="77777777" w:rsidR="008D6F13" w:rsidRDefault="008D6F13" w:rsidP="008D6F13">
      <w:r>
        <w:t>The third step, returning to an operating surplus, remains a key priority for the Government. An operating surplus is important as this is where the Government generates sufficient revenues to not just cover its cash expenditure, but also support the ongoing replacement of existing assets.</w:t>
      </w:r>
    </w:p>
    <w:p w14:paraId="47C1A9D1" w14:textId="77777777" w:rsidR="008D6F13" w:rsidRDefault="008D6F13" w:rsidP="008D6F13">
      <w:pPr>
        <w:keepNext/>
      </w:pPr>
      <w:r>
        <w:t xml:space="preserve">As a result of the additional economic stimulus, compared with the </w:t>
      </w:r>
      <w:r w:rsidRPr="001D4A62">
        <w:rPr>
          <w:i/>
          <w:iCs/>
        </w:rPr>
        <w:t>2021</w:t>
      </w:r>
      <w:r w:rsidRPr="001D4A62">
        <w:rPr>
          <w:i/>
          <w:iCs/>
        </w:rPr>
        <w:noBreakHyphen/>
        <w:t>22 Budget</w:t>
      </w:r>
      <w:r>
        <w:t xml:space="preserve"> the net result from transactions has been revised down by $7.9 billion in 2021</w:t>
      </w:r>
      <w:r>
        <w:noBreakHyphen/>
        <w:t>22, and by an average of $0.9 billion a year across the forward estimates.</w:t>
      </w:r>
      <w:r w:rsidRPr="00672007">
        <w:t xml:space="preserve"> </w:t>
      </w:r>
      <w:r>
        <w:t>However, o</w:t>
      </w:r>
      <w:r w:rsidRPr="009B27FA">
        <w:t xml:space="preserve">perating deficits are </w:t>
      </w:r>
      <w:r>
        <w:t xml:space="preserve">still </w:t>
      </w:r>
      <w:r w:rsidRPr="009B27FA">
        <w:t xml:space="preserve">forecast </w:t>
      </w:r>
      <w:r>
        <w:t xml:space="preserve">to decrease </w:t>
      </w:r>
      <w:r w:rsidRPr="009B27FA">
        <w:t>over the forward estimates</w:t>
      </w:r>
      <w:r w:rsidRPr="00B938EF">
        <w:rPr>
          <w:color w:val="000000" w:themeColor="text1"/>
        </w:rPr>
        <w:t xml:space="preserve">, </w:t>
      </w:r>
      <w:r>
        <w:rPr>
          <w:color w:val="000000" w:themeColor="text1"/>
        </w:rPr>
        <w:t>in line with the third step of the fiscal strategy.</w:t>
      </w:r>
    </w:p>
    <w:p w14:paraId="6B9C8034" w14:textId="77777777" w:rsidR="008D6F13" w:rsidRDefault="008D6F13" w:rsidP="008D6F13">
      <w:r>
        <w:t>The fourth and final step in the Government’s fiscal strategy, stabilising net debt</w:t>
      </w:r>
      <w:r w:rsidRPr="000C7359">
        <w:t xml:space="preserve"> as a percentage of GSP</w:t>
      </w:r>
      <w:r>
        <w:t>, remains an important medium-term objective</w:t>
      </w:r>
      <w:r w:rsidRPr="000C7359">
        <w:t>.</w:t>
      </w:r>
    </w:p>
    <w:p w14:paraId="6DEF3D74" w14:textId="77777777" w:rsidR="008D6F13" w:rsidRDefault="008D6F13" w:rsidP="008D6F13">
      <w:r>
        <w:t xml:space="preserve">Net debt is expected to be $6.4 billion higher by June 2025 compared with the </w:t>
      </w:r>
      <w:r w:rsidRPr="00FE5711">
        <w:rPr>
          <w:i/>
          <w:iCs/>
        </w:rPr>
        <w:t>2021</w:t>
      </w:r>
      <w:r>
        <w:rPr>
          <w:i/>
          <w:iCs/>
        </w:rPr>
        <w:noBreakHyphen/>
      </w:r>
      <w:r w:rsidRPr="00FE5711">
        <w:rPr>
          <w:i/>
          <w:iCs/>
        </w:rPr>
        <w:t>22</w:t>
      </w:r>
      <w:r>
        <w:rPr>
          <w:i/>
          <w:iCs/>
        </w:rPr>
        <w:t> </w:t>
      </w:r>
      <w:r w:rsidRPr="00FE5711">
        <w:rPr>
          <w:i/>
          <w:iCs/>
        </w:rPr>
        <w:t>Budget</w:t>
      </w:r>
      <w:r>
        <w:rPr>
          <w:i/>
          <w:iCs/>
        </w:rPr>
        <w:t xml:space="preserve">, </w:t>
      </w:r>
      <w:r>
        <w:t xml:space="preserve">largely </w:t>
      </w:r>
      <w:r w:rsidRPr="00BF0EC6">
        <w:t xml:space="preserve">due to </w:t>
      </w:r>
      <w:r>
        <w:t xml:space="preserve">the </w:t>
      </w:r>
      <w:r w:rsidRPr="00BF0EC6">
        <w:t xml:space="preserve">additional </w:t>
      </w:r>
      <w:r>
        <w:t>g</w:t>
      </w:r>
      <w:r w:rsidRPr="00BF0EC6">
        <w:t xml:space="preserve">overnment support </w:t>
      </w:r>
      <w:r>
        <w:t xml:space="preserve">provided in 2021-22 </w:t>
      </w:r>
      <w:r w:rsidRPr="00BF0EC6">
        <w:t xml:space="preserve">in response to the </w:t>
      </w:r>
      <w:r>
        <w:t>COVID-19 pandemic</w:t>
      </w:r>
      <w:r w:rsidRPr="00BF0EC6">
        <w:t>.</w:t>
      </w:r>
      <w:r>
        <w:t xml:space="preserve"> Despite the necessary increase, the Government remains committed to stabilising net debt </w:t>
      </w:r>
      <w:r w:rsidRPr="000C7359">
        <w:t>as a percentage of GSP</w:t>
      </w:r>
      <w:r>
        <w:t xml:space="preserve"> over the medium term.</w:t>
      </w:r>
    </w:p>
    <w:p w14:paraId="0E158102" w14:textId="77777777" w:rsidR="008D6F13" w:rsidRDefault="008D6F13" w:rsidP="008D6F13">
      <w:pPr>
        <w:pStyle w:val="TableHeading"/>
      </w:pPr>
      <w:r>
        <w:lastRenderedPageBreak/>
        <w:t xml:space="preserve">Table 1.1: </w:t>
      </w:r>
      <w:r>
        <w:tab/>
        <w:t>General government fiscal aggregates</w:t>
      </w:r>
    </w:p>
    <w:tbl>
      <w:tblPr>
        <w:tblStyle w:val="DTFTableNumeric"/>
        <w:tblW w:w="7710" w:type="dxa"/>
        <w:tblLayout w:type="fixed"/>
        <w:tblLook w:val="06A0" w:firstRow="1" w:lastRow="0" w:firstColumn="1" w:lastColumn="0" w:noHBand="1" w:noVBand="1"/>
      </w:tblPr>
      <w:tblGrid>
        <w:gridCol w:w="3600"/>
        <w:gridCol w:w="934"/>
        <w:gridCol w:w="794"/>
        <w:gridCol w:w="794"/>
        <w:gridCol w:w="794"/>
        <w:gridCol w:w="794"/>
      </w:tblGrid>
      <w:tr w:rsidR="008D6F13" w14:paraId="59A60C0A" w14:textId="77777777" w:rsidTr="0031078F">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3600" w:type="dxa"/>
          </w:tcPr>
          <w:p w14:paraId="6A02D28F" w14:textId="37C02318" w:rsidR="008D6F13" w:rsidRDefault="008D6F13" w:rsidP="0031078F"/>
        </w:tc>
        <w:tc>
          <w:tcPr>
            <w:tcW w:w="934" w:type="dxa"/>
          </w:tcPr>
          <w:p w14:paraId="0954B7EE" w14:textId="77777777" w:rsidR="008D6F13" w:rsidRDefault="008D6F13" w:rsidP="0031078F">
            <w:pPr>
              <w:jc w:val="center"/>
              <w:cnfStyle w:val="100000000000" w:firstRow="1" w:lastRow="0" w:firstColumn="0" w:lastColumn="0" w:oddVBand="0" w:evenVBand="0" w:oddHBand="0" w:evenHBand="0" w:firstRowFirstColumn="0" w:firstRowLastColumn="0" w:lastRowFirstColumn="0" w:lastRowLastColumn="0"/>
              <w:rPr>
                <w:i w:val="0"/>
              </w:rPr>
            </w:pPr>
            <w:r>
              <w:t>Unit of</w:t>
            </w:r>
          </w:p>
          <w:p w14:paraId="1220E23B" w14:textId="77777777" w:rsidR="008D6F13" w:rsidRDefault="008D6F13" w:rsidP="0031078F">
            <w:pPr>
              <w:jc w:val="center"/>
              <w:cnfStyle w:val="100000000000" w:firstRow="1" w:lastRow="0" w:firstColumn="0" w:lastColumn="0" w:oddVBand="0" w:evenVBand="0" w:oddHBand="0" w:evenHBand="0" w:firstRowFirstColumn="0" w:firstRowLastColumn="0" w:lastRowFirstColumn="0" w:lastRowLastColumn="0"/>
            </w:pPr>
            <w:r>
              <w:t>measure</w:t>
            </w:r>
          </w:p>
        </w:tc>
        <w:tc>
          <w:tcPr>
            <w:tcW w:w="794" w:type="dxa"/>
          </w:tcPr>
          <w:p w14:paraId="1293B0D3"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rPr>
                <w:i w:val="0"/>
              </w:rPr>
            </w:pPr>
            <w:r>
              <w:t>2021</w:t>
            </w:r>
            <w:r>
              <w:noBreakHyphen/>
              <w:t>22</w:t>
            </w:r>
          </w:p>
          <w:p w14:paraId="46F35BC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revised</w:t>
            </w:r>
          </w:p>
        </w:tc>
        <w:tc>
          <w:tcPr>
            <w:tcW w:w="794" w:type="dxa"/>
          </w:tcPr>
          <w:p w14:paraId="0113D16F"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rPr>
                <w:i w:val="0"/>
              </w:rPr>
            </w:pPr>
            <w:r>
              <w:t>2022</w:t>
            </w:r>
            <w:r>
              <w:noBreakHyphen/>
              <w:t>23</w:t>
            </w:r>
          </w:p>
          <w:p w14:paraId="70564C63"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estimate</w:t>
            </w:r>
          </w:p>
        </w:tc>
        <w:tc>
          <w:tcPr>
            <w:tcW w:w="794" w:type="dxa"/>
          </w:tcPr>
          <w:p w14:paraId="39BD7398"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rPr>
                <w:i w:val="0"/>
              </w:rPr>
            </w:pPr>
            <w:r>
              <w:t>2023</w:t>
            </w:r>
            <w:r>
              <w:noBreakHyphen/>
              <w:t>24</w:t>
            </w:r>
          </w:p>
          <w:p w14:paraId="34085660"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estimate</w:t>
            </w:r>
          </w:p>
        </w:tc>
        <w:tc>
          <w:tcPr>
            <w:tcW w:w="794" w:type="dxa"/>
          </w:tcPr>
          <w:p w14:paraId="3EE677A4"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rPr>
                <w:i w:val="0"/>
              </w:rPr>
            </w:pPr>
            <w:r>
              <w:t>2024</w:t>
            </w:r>
            <w:r>
              <w:noBreakHyphen/>
              <w:t>25</w:t>
            </w:r>
          </w:p>
          <w:p w14:paraId="2A88B575"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estimate</w:t>
            </w:r>
          </w:p>
        </w:tc>
      </w:tr>
      <w:tr w:rsidR="008D6F13" w14:paraId="2CAAF690" w14:textId="77777777" w:rsidTr="0031078F">
        <w:tc>
          <w:tcPr>
            <w:cnfStyle w:val="001000000000" w:firstRow="0" w:lastRow="0" w:firstColumn="1" w:lastColumn="0" w:oddVBand="0" w:evenVBand="0" w:oddHBand="0" w:evenHBand="0" w:firstRowFirstColumn="0" w:firstRowLastColumn="0" w:lastRowFirstColumn="0" w:lastRowLastColumn="0"/>
            <w:tcW w:w="3600" w:type="dxa"/>
          </w:tcPr>
          <w:p w14:paraId="5228C0DC" w14:textId="77777777" w:rsidR="008D6F13" w:rsidRDefault="008D6F13" w:rsidP="0031078F">
            <w:r>
              <w:t>Net result from transactions</w:t>
            </w:r>
          </w:p>
        </w:tc>
        <w:tc>
          <w:tcPr>
            <w:tcW w:w="934" w:type="dxa"/>
          </w:tcPr>
          <w:p w14:paraId="007BA0FA"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r>
              <w:t>$ billion</w:t>
            </w:r>
          </w:p>
        </w:tc>
        <w:tc>
          <w:tcPr>
            <w:tcW w:w="794" w:type="dxa"/>
          </w:tcPr>
          <w:p w14:paraId="21DB3D4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(19.5)</w:t>
            </w:r>
          </w:p>
        </w:tc>
        <w:tc>
          <w:tcPr>
            <w:tcW w:w="794" w:type="dxa"/>
          </w:tcPr>
          <w:p w14:paraId="72C9EDC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(5.3)</w:t>
            </w:r>
          </w:p>
        </w:tc>
        <w:tc>
          <w:tcPr>
            <w:tcW w:w="794" w:type="dxa"/>
          </w:tcPr>
          <w:p w14:paraId="47B4111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(3.4)</w:t>
            </w:r>
          </w:p>
        </w:tc>
        <w:tc>
          <w:tcPr>
            <w:tcW w:w="794" w:type="dxa"/>
          </w:tcPr>
          <w:p w14:paraId="61FFC81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w:t>
            </w:r>
          </w:p>
        </w:tc>
      </w:tr>
      <w:tr w:rsidR="008D6F13" w14:paraId="2D2402AD" w14:textId="77777777" w:rsidTr="0031078F">
        <w:tc>
          <w:tcPr>
            <w:cnfStyle w:val="001000000000" w:firstRow="0" w:lastRow="0" w:firstColumn="1" w:lastColumn="0" w:oddVBand="0" w:evenVBand="0" w:oddHBand="0" w:evenHBand="0" w:firstRowFirstColumn="0" w:firstRowLastColumn="0" w:lastRowFirstColumn="0" w:lastRowLastColumn="0"/>
            <w:tcW w:w="3600" w:type="dxa"/>
          </w:tcPr>
          <w:p w14:paraId="35C1C99B" w14:textId="77777777" w:rsidR="008D6F13" w:rsidRDefault="008D6F13" w:rsidP="0031078F">
            <w:r>
              <w:t>Net cash flows from operating activities</w:t>
            </w:r>
          </w:p>
        </w:tc>
        <w:tc>
          <w:tcPr>
            <w:tcW w:w="934" w:type="dxa"/>
          </w:tcPr>
          <w:p w14:paraId="66600A3C"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r>
              <w:t>$ billion</w:t>
            </w:r>
          </w:p>
        </w:tc>
        <w:tc>
          <w:tcPr>
            <w:tcW w:w="794" w:type="dxa"/>
          </w:tcPr>
          <w:p w14:paraId="0D75923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(14.7)</w:t>
            </w:r>
          </w:p>
        </w:tc>
        <w:tc>
          <w:tcPr>
            <w:tcW w:w="794" w:type="dxa"/>
          </w:tcPr>
          <w:p w14:paraId="7277097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w:t>
            </w:r>
          </w:p>
        </w:tc>
        <w:tc>
          <w:tcPr>
            <w:tcW w:w="794" w:type="dxa"/>
          </w:tcPr>
          <w:p w14:paraId="5BB310F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0.8</w:t>
            </w:r>
          </w:p>
        </w:tc>
        <w:tc>
          <w:tcPr>
            <w:tcW w:w="794" w:type="dxa"/>
          </w:tcPr>
          <w:p w14:paraId="7F9FB65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w:t>
            </w:r>
          </w:p>
        </w:tc>
      </w:tr>
      <w:tr w:rsidR="008D6F13" w14:paraId="6B7766C5" w14:textId="77777777" w:rsidTr="0031078F">
        <w:tc>
          <w:tcPr>
            <w:cnfStyle w:val="001000000000" w:firstRow="0" w:lastRow="0" w:firstColumn="1" w:lastColumn="0" w:oddVBand="0" w:evenVBand="0" w:oddHBand="0" w:evenHBand="0" w:firstRowFirstColumn="0" w:firstRowLastColumn="0" w:lastRowFirstColumn="0" w:lastRowLastColumn="0"/>
            <w:tcW w:w="3600" w:type="dxa"/>
          </w:tcPr>
          <w:p w14:paraId="5987681C" w14:textId="77777777" w:rsidR="008D6F13" w:rsidRDefault="008D6F13" w:rsidP="0031078F">
            <w:r>
              <w:t xml:space="preserve">Government infrastructure investment </w:t>
            </w:r>
            <w:r>
              <w:rPr>
                <w:vertAlign w:val="superscript"/>
              </w:rPr>
              <w:t>(a)(b)</w:t>
            </w:r>
          </w:p>
        </w:tc>
        <w:tc>
          <w:tcPr>
            <w:tcW w:w="934" w:type="dxa"/>
          </w:tcPr>
          <w:p w14:paraId="3AB1DC07"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r>
              <w:t>$ billion</w:t>
            </w:r>
          </w:p>
        </w:tc>
        <w:tc>
          <w:tcPr>
            <w:tcW w:w="794" w:type="dxa"/>
          </w:tcPr>
          <w:p w14:paraId="5452DAE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18.8</w:t>
            </w:r>
          </w:p>
        </w:tc>
        <w:tc>
          <w:tcPr>
            <w:tcW w:w="794" w:type="dxa"/>
          </w:tcPr>
          <w:p w14:paraId="09A57C8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21.7</w:t>
            </w:r>
          </w:p>
        </w:tc>
        <w:tc>
          <w:tcPr>
            <w:tcW w:w="794" w:type="dxa"/>
          </w:tcPr>
          <w:p w14:paraId="2CA73D5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24.3</w:t>
            </w:r>
          </w:p>
        </w:tc>
        <w:tc>
          <w:tcPr>
            <w:tcW w:w="794" w:type="dxa"/>
          </w:tcPr>
          <w:p w14:paraId="26E99EA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24.0</w:t>
            </w:r>
          </w:p>
        </w:tc>
      </w:tr>
      <w:tr w:rsidR="008D6F13" w14:paraId="56B917AF" w14:textId="77777777" w:rsidTr="0031078F">
        <w:tc>
          <w:tcPr>
            <w:cnfStyle w:val="001000000000" w:firstRow="0" w:lastRow="0" w:firstColumn="1" w:lastColumn="0" w:oddVBand="0" w:evenVBand="0" w:oddHBand="0" w:evenHBand="0" w:firstRowFirstColumn="0" w:firstRowLastColumn="0" w:lastRowFirstColumn="0" w:lastRowLastColumn="0"/>
            <w:tcW w:w="3600" w:type="dxa"/>
          </w:tcPr>
          <w:p w14:paraId="5EAE7D10" w14:textId="77777777" w:rsidR="008D6F13" w:rsidRDefault="008D6F13" w:rsidP="0031078F">
            <w:r>
              <w:t>Net debt</w:t>
            </w:r>
          </w:p>
        </w:tc>
        <w:tc>
          <w:tcPr>
            <w:tcW w:w="934" w:type="dxa"/>
          </w:tcPr>
          <w:p w14:paraId="6700C56C"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r>
              <w:t>$ billion</w:t>
            </w:r>
          </w:p>
        </w:tc>
        <w:tc>
          <w:tcPr>
            <w:tcW w:w="794" w:type="dxa"/>
          </w:tcPr>
          <w:p w14:paraId="23A2AEA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104.5</w:t>
            </w:r>
          </w:p>
        </w:tc>
        <w:tc>
          <w:tcPr>
            <w:tcW w:w="794" w:type="dxa"/>
          </w:tcPr>
          <w:p w14:paraId="3314190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121.1</w:t>
            </w:r>
          </w:p>
        </w:tc>
        <w:tc>
          <w:tcPr>
            <w:tcW w:w="794" w:type="dxa"/>
          </w:tcPr>
          <w:p w14:paraId="25104CB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141.6</w:t>
            </w:r>
          </w:p>
        </w:tc>
        <w:tc>
          <w:tcPr>
            <w:tcW w:w="794" w:type="dxa"/>
          </w:tcPr>
          <w:p w14:paraId="7D5C3DB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162.7</w:t>
            </w:r>
          </w:p>
        </w:tc>
      </w:tr>
      <w:tr w:rsidR="008D6F13" w14:paraId="792BEBA7" w14:textId="77777777" w:rsidTr="0031078F">
        <w:tc>
          <w:tcPr>
            <w:cnfStyle w:val="001000000000" w:firstRow="0" w:lastRow="0" w:firstColumn="1" w:lastColumn="0" w:oddVBand="0" w:evenVBand="0" w:oddHBand="0" w:evenHBand="0" w:firstRowFirstColumn="0" w:firstRowLastColumn="0" w:lastRowFirstColumn="0" w:lastRowLastColumn="0"/>
            <w:tcW w:w="3600" w:type="dxa"/>
          </w:tcPr>
          <w:p w14:paraId="15CE6C05" w14:textId="77777777" w:rsidR="008D6F13" w:rsidRDefault="008D6F13" w:rsidP="0031078F">
            <w:r>
              <w:t xml:space="preserve">Net debt to GSP </w:t>
            </w:r>
            <w:r>
              <w:rPr>
                <w:vertAlign w:val="superscript"/>
              </w:rPr>
              <w:t>(c)</w:t>
            </w:r>
          </w:p>
        </w:tc>
        <w:tc>
          <w:tcPr>
            <w:tcW w:w="934" w:type="dxa"/>
          </w:tcPr>
          <w:p w14:paraId="2B12AE52"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r>
              <w:t>per cent</w:t>
            </w:r>
          </w:p>
        </w:tc>
        <w:tc>
          <w:tcPr>
            <w:tcW w:w="794" w:type="dxa"/>
          </w:tcPr>
          <w:p w14:paraId="06B6439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21.1</w:t>
            </w:r>
          </w:p>
        </w:tc>
        <w:tc>
          <w:tcPr>
            <w:tcW w:w="794" w:type="dxa"/>
          </w:tcPr>
          <w:p w14:paraId="194C2D2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23.0</w:t>
            </w:r>
          </w:p>
        </w:tc>
        <w:tc>
          <w:tcPr>
            <w:tcW w:w="794" w:type="dxa"/>
          </w:tcPr>
          <w:p w14:paraId="1A6E2D6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25.6</w:t>
            </w:r>
          </w:p>
        </w:tc>
        <w:tc>
          <w:tcPr>
            <w:tcW w:w="794" w:type="dxa"/>
          </w:tcPr>
          <w:p w14:paraId="0FD1A822" w14:textId="54F0DFA2" w:rsidR="008D6F13" w:rsidRDefault="008D6F13" w:rsidP="0031078F">
            <w:pPr>
              <w:cnfStyle w:val="000000000000" w:firstRow="0" w:lastRow="0" w:firstColumn="0" w:lastColumn="0" w:oddVBand="0" w:evenVBand="0" w:oddHBand="0" w:evenHBand="0" w:firstRowFirstColumn="0" w:firstRowLastColumn="0" w:lastRowFirstColumn="0" w:lastRowLastColumn="0"/>
            </w:pPr>
            <w:r>
              <w:t>27.9</w:t>
            </w:r>
          </w:p>
        </w:tc>
      </w:tr>
    </w:tbl>
    <w:p w14:paraId="24FC5490" w14:textId="77777777" w:rsidR="008D6F13" w:rsidRPr="00ED09E9" w:rsidRDefault="008D6F13" w:rsidP="008D6F13">
      <w:pPr>
        <w:pStyle w:val="Source"/>
      </w:pPr>
      <w:r w:rsidRPr="00ED09E9">
        <w:t>Source: Department of Treasury and Finance</w:t>
      </w:r>
    </w:p>
    <w:p w14:paraId="7F44EB8E" w14:textId="77777777" w:rsidR="008D6F13" w:rsidRPr="00AB3600" w:rsidRDefault="008D6F13" w:rsidP="008D6F13">
      <w:pPr>
        <w:pStyle w:val="Note"/>
      </w:pPr>
      <w:r w:rsidRPr="00ED09E9">
        <w:t>Notes:</w:t>
      </w:r>
    </w:p>
    <w:p w14:paraId="120D9F39" w14:textId="77777777" w:rsidR="008D6F13" w:rsidRDefault="008D6F13" w:rsidP="008D6F13">
      <w:pPr>
        <w:pStyle w:val="Note"/>
      </w:pPr>
      <w:r w:rsidRPr="00C203E5">
        <w:t>(</w:t>
      </w:r>
      <w:r>
        <w:t>a</w:t>
      </w:r>
      <w:r w:rsidRPr="00C203E5">
        <w:t>)</w:t>
      </w:r>
      <w:r w:rsidRPr="00C203E5">
        <w:tab/>
      </w:r>
      <w:r w:rsidRPr="00E678D0">
        <w:t xml:space="preserve">Includes general government net infrastructure investment and estimated construction costs </w:t>
      </w:r>
      <w:r>
        <w:t>of</w:t>
      </w:r>
      <w:r w:rsidRPr="00E678D0">
        <w:t xml:space="preserve"> public private partnership projects.</w:t>
      </w:r>
    </w:p>
    <w:p w14:paraId="2FA21245" w14:textId="77777777" w:rsidR="008D6F13" w:rsidRPr="00E678D0" w:rsidRDefault="008D6F13" w:rsidP="008D6F13">
      <w:pPr>
        <w:pStyle w:val="Note"/>
      </w:pPr>
      <w:r>
        <w:t>(b)</w:t>
      </w:r>
      <w:r>
        <w:tab/>
      </w:r>
      <w:r w:rsidRPr="00961C37">
        <w:t xml:space="preserve">Includes the </w:t>
      </w:r>
      <w:r w:rsidRPr="00856778">
        <w:t>estimated private sector construction</w:t>
      </w:r>
      <w:r>
        <w:t>-</w:t>
      </w:r>
      <w:r w:rsidRPr="00856778">
        <w:t xml:space="preserve">related expenditure </w:t>
      </w:r>
      <w:r w:rsidRPr="00961C37">
        <w:t xml:space="preserve">associated with the North East Link held in the </w:t>
      </w:r>
      <w:r>
        <w:t>public non</w:t>
      </w:r>
      <w:r>
        <w:noBreakHyphen/>
        <w:t>financial corporations (</w:t>
      </w:r>
      <w:r w:rsidRPr="00961C37">
        <w:t>PNFC</w:t>
      </w:r>
      <w:r>
        <w:t>)</w:t>
      </w:r>
      <w:r w:rsidRPr="00961C37">
        <w:t xml:space="preserve"> sector</w:t>
      </w:r>
      <w:r>
        <w:t>.</w:t>
      </w:r>
    </w:p>
    <w:p w14:paraId="77A39C42" w14:textId="70702EEB" w:rsidR="008D6F13" w:rsidRDefault="008D6F13" w:rsidP="008D6F13">
      <w:pPr>
        <w:pStyle w:val="Note"/>
      </w:pPr>
      <w:r w:rsidRPr="00E678D0">
        <w:t>(</w:t>
      </w:r>
      <w:r>
        <w:t>c</w:t>
      </w:r>
      <w:r w:rsidRPr="00E678D0">
        <w:t>)</w:t>
      </w:r>
      <w:r>
        <w:tab/>
      </w:r>
      <w:r w:rsidRPr="00E678D0">
        <w:t>The ratios to GSP may vary from publications year to year due to revisions to the Australian Bureau of Statistics GSP data.</w:t>
      </w:r>
    </w:p>
    <w:p w14:paraId="1AC4D47A" w14:textId="77777777" w:rsidR="00216BE3" w:rsidRPr="00216BE3" w:rsidRDefault="00216BE3" w:rsidP="00216BE3"/>
    <w:p w14:paraId="5AAE7CD9" w14:textId="77777777" w:rsidR="008D6F13" w:rsidRPr="00FE0E34" w:rsidRDefault="008D6F13" w:rsidP="008D6F13">
      <w:pPr>
        <w:pStyle w:val="HighlightBoxHeading"/>
      </w:pPr>
      <w:r w:rsidRPr="001D2C22">
        <w:t xml:space="preserve">Box </w:t>
      </w:r>
      <w:r w:rsidRPr="00290A3A">
        <w:t>1.1:</w:t>
      </w:r>
      <w:r>
        <w:t xml:space="preserve"> </w:t>
      </w:r>
      <w:r>
        <w:tab/>
        <w:t>Victoria’s fiscal position compared with the Commonwealth Government</w:t>
      </w:r>
    </w:p>
    <w:p w14:paraId="72F867D2" w14:textId="77777777" w:rsidR="008D6F13" w:rsidRDefault="008D6F13" w:rsidP="008D6F13">
      <w:pPr>
        <w:pStyle w:val="HighlightBoxText"/>
      </w:pPr>
      <w:r>
        <w:t>The fiscal positions of both the Victorian and Commonwealth Governments have been greatly impacted by the COVID</w:t>
      </w:r>
      <w:r>
        <w:noBreakHyphen/>
        <w:t>19 pandemic.</w:t>
      </w:r>
    </w:p>
    <w:p w14:paraId="3EB3DF12" w14:textId="77777777" w:rsidR="008D6F13" w:rsidRDefault="008D6F13" w:rsidP="00216BE3">
      <w:pPr>
        <w:pStyle w:val="HighlightBoxText"/>
        <w:keepNext w:val="0"/>
      </w:pPr>
      <w:r>
        <w:t>Like Victoria, the Commonwealth Government is expecting net debt to increase, as it too increases borrowings to fund its response to the COVID</w:t>
      </w:r>
      <w:r>
        <w:noBreakHyphen/>
        <w:t xml:space="preserve">19 pandemic. As a share of GDP, it is expecting net debt to increase from 28.6 per cent in June 2021 to 40.9 per cent by June 2025. This is an increase of around 12 percentage points – </w:t>
      </w:r>
      <w:proofErr w:type="gramStart"/>
      <w:r>
        <w:t>similar to</w:t>
      </w:r>
      <w:proofErr w:type="gramEnd"/>
      <w:r>
        <w:t xml:space="preserve"> the increase that Victoria is expecting for its net debt to GSP.</w:t>
      </w:r>
    </w:p>
    <w:p w14:paraId="15819214" w14:textId="3D1EAE1F" w:rsidR="008D6F13" w:rsidRPr="00491C82" w:rsidRDefault="008D6F13" w:rsidP="00216BE3">
      <w:pPr>
        <w:pStyle w:val="HighlightBoxHeading"/>
      </w:pPr>
      <w:r w:rsidRPr="00491C82">
        <w:t xml:space="preserve">Chart 1.1: </w:t>
      </w:r>
      <w:r w:rsidR="00216BE3">
        <w:tab/>
      </w:r>
      <w:r w:rsidRPr="00491C82">
        <w:t>Net debt to GSP and GDP</w:t>
      </w:r>
    </w:p>
    <w:p w14:paraId="26CDC942" w14:textId="77777777" w:rsidR="008D6F13" w:rsidRDefault="008D6F13" w:rsidP="00216BE3">
      <w:pPr>
        <w:pStyle w:val="HighlightBoxText"/>
        <w:keepNext w:val="0"/>
      </w:pPr>
      <w:r w:rsidRPr="008E4CB1">
        <w:rPr>
          <w:noProof/>
        </w:rPr>
        <w:drawing>
          <wp:inline distT="0" distB="0" distL="0" distR="0" wp14:anchorId="3A55E609" wp14:editId="0F698954">
            <wp:extent cx="4752975" cy="2292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872" b="2968"/>
                    <a:stretch/>
                  </pic:blipFill>
                  <pic:spPr bwMode="auto">
                    <a:xfrm>
                      <a:off x="0" y="0"/>
                      <a:ext cx="4757603" cy="2294582"/>
                    </a:xfrm>
                    <a:prstGeom prst="rect">
                      <a:avLst/>
                    </a:prstGeom>
                    <a:noFill/>
                    <a:ln>
                      <a:noFill/>
                    </a:ln>
                    <a:extLst>
                      <a:ext uri="{53640926-AAD7-44D8-BBD7-CCE9431645EC}">
                        <a14:shadowObscured xmlns:a14="http://schemas.microsoft.com/office/drawing/2010/main"/>
                      </a:ext>
                    </a:extLst>
                  </pic:spPr>
                </pic:pic>
              </a:graphicData>
            </a:graphic>
          </wp:inline>
        </w:drawing>
      </w:r>
    </w:p>
    <w:p w14:paraId="3FAEA119" w14:textId="77777777" w:rsidR="008D6F13" w:rsidRPr="00F75A12" w:rsidRDefault="008D6F13" w:rsidP="00216BE3">
      <w:pPr>
        <w:pStyle w:val="HighlightBoxText"/>
        <w:keepNext w:val="0"/>
        <w:rPr>
          <w:i/>
          <w:iCs/>
        </w:rPr>
      </w:pPr>
      <w:r w:rsidRPr="00F75A12">
        <w:rPr>
          <w:rFonts w:asciiTheme="majorHAnsi" w:hAnsiTheme="majorHAnsi" w:cstheme="majorHAnsi"/>
          <w:i/>
          <w:iCs/>
          <w:sz w:val="14"/>
          <w:szCs w:val="14"/>
        </w:rPr>
        <w:t xml:space="preserve">Sources: </w:t>
      </w:r>
      <w:r w:rsidRPr="00F75A12">
        <w:rPr>
          <w:rFonts w:asciiTheme="majorHAnsi" w:hAnsiTheme="majorHAnsi" w:cstheme="majorHAnsi"/>
          <w:sz w:val="14"/>
          <w:szCs w:val="14"/>
        </w:rPr>
        <w:t>2021</w:t>
      </w:r>
      <w:r w:rsidRPr="00F75A12">
        <w:rPr>
          <w:rFonts w:asciiTheme="majorHAnsi" w:hAnsiTheme="majorHAnsi" w:cstheme="majorHAnsi"/>
          <w:sz w:val="14"/>
          <w:szCs w:val="14"/>
        </w:rPr>
        <w:noBreakHyphen/>
        <w:t>22 Commonwealth Budget</w:t>
      </w:r>
      <w:r>
        <w:rPr>
          <w:rFonts w:asciiTheme="majorHAnsi" w:hAnsiTheme="majorHAnsi" w:cstheme="majorHAnsi"/>
          <w:sz w:val="14"/>
          <w:szCs w:val="14"/>
        </w:rPr>
        <w:t xml:space="preserve"> and Final Budget Outcome 2020-21</w:t>
      </w:r>
      <w:r w:rsidRPr="00F75A12">
        <w:rPr>
          <w:rFonts w:asciiTheme="majorHAnsi" w:hAnsiTheme="majorHAnsi" w:cstheme="majorHAnsi"/>
          <w:i/>
          <w:iCs/>
          <w:sz w:val="14"/>
          <w:szCs w:val="14"/>
        </w:rPr>
        <w:t>; Department of Treasury and Finance</w:t>
      </w:r>
    </w:p>
    <w:p w14:paraId="7308AD2C" w14:textId="77777777" w:rsidR="008D6F13" w:rsidRDefault="008D6F13" w:rsidP="008D6F13">
      <w:pPr>
        <w:pStyle w:val="Heading20"/>
      </w:pPr>
      <w:r>
        <w:lastRenderedPageBreak/>
        <w:t>Longer-term objectives and targets</w:t>
      </w:r>
    </w:p>
    <w:p w14:paraId="2EE85670" w14:textId="77777777" w:rsidR="008D6F13" w:rsidRDefault="008D6F13" w:rsidP="008D6F13">
      <w:pPr>
        <w:keepNext/>
        <w:ind w:right="-227"/>
      </w:pPr>
      <w:r>
        <w:t xml:space="preserve">The long-term financial management objectives remain unchanged from the </w:t>
      </w:r>
      <w:r w:rsidRPr="00807A0D">
        <w:rPr>
          <w:i/>
          <w:iCs/>
        </w:rPr>
        <w:t>202</w:t>
      </w:r>
      <w:r>
        <w:rPr>
          <w:i/>
          <w:iCs/>
        </w:rPr>
        <w:t>1</w:t>
      </w:r>
      <w:r>
        <w:rPr>
          <w:i/>
          <w:iCs/>
        </w:rPr>
        <w:noBreakHyphen/>
      </w:r>
      <w:r w:rsidRPr="00807A0D">
        <w:rPr>
          <w:i/>
          <w:iCs/>
        </w:rPr>
        <w:t>2</w:t>
      </w:r>
      <w:r>
        <w:rPr>
          <w:i/>
          <w:iCs/>
        </w:rPr>
        <w:t>2 </w:t>
      </w:r>
      <w:r w:rsidRPr="00807A0D">
        <w:rPr>
          <w:i/>
          <w:iCs/>
        </w:rPr>
        <w:t>Budget</w:t>
      </w:r>
      <w:r>
        <w:t>.</w:t>
      </w:r>
    </w:p>
    <w:p w14:paraId="2248DE6E" w14:textId="77777777" w:rsidR="008D6F13" w:rsidRPr="00033297" w:rsidRDefault="008D6F13" w:rsidP="008D6F13">
      <w:pPr>
        <w:pStyle w:val="TableHeading"/>
        <w:rPr>
          <w:sz w:val="22"/>
        </w:rPr>
      </w:pPr>
      <w:r w:rsidRPr="00033297">
        <w:rPr>
          <w:sz w:val="22"/>
        </w:rPr>
        <w:t>Table 1.</w:t>
      </w:r>
      <w:r>
        <w:rPr>
          <w:sz w:val="22"/>
        </w:rPr>
        <w:t>2</w:t>
      </w:r>
      <w:r w:rsidRPr="00033297">
        <w:rPr>
          <w:sz w:val="22"/>
        </w:rPr>
        <w:t xml:space="preserve">: </w:t>
      </w:r>
      <w:r w:rsidRPr="00033297">
        <w:rPr>
          <w:sz w:val="22"/>
        </w:rPr>
        <w:tab/>
        <w:t>Long-term financial management objectives</w:t>
      </w:r>
    </w:p>
    <w:tbl>
      <w:tblPr>
        <w:tblStyle w:val="DTFTableText"/>
        <w:tblW w:w="7711" w:type="dxa"/>
        <w:tblLook w:val="06A0" w:firstRow="1" w:lastRow="0" w:firstColumn="1" w:lastColumn="0" w:noHBand="1" w:noVBand="1"/>
      </w:tblPr>
      <w:tblGrid>
        <w:gridCol w:w="2391"/>
        <w:gridCol w:w="5320"/>
      </w:tblGrid>
      <w:tr w:rsidR="008D6F13" w14:paraId="77EF508E" w14:textId="77777777" w:rsidTr="0031078F">
        <w:trPr>
          <w:cnfStyle w:val="100000000000" w:firstRow="1" w:lastRow="0" w:firstColumn="0" w:lastColumn="0" w:oddVBand="0" w:evenVBand="0" w:oddHBand="0" w:evenHBand="0" w:firstRowFirstColumn="0" w:firstRowLastColumn="0" w:lastRowFirstColumn="0" w:lastRowLastColumn="0"/>
        </w:trPr>
        <w:tc>
          <w:tcPr>
            <w:tcW w:w="2382" w:type="dxa"/>
          </w:tcPr>
          <w:p w14:paraId="6089F056" w14:textId="77777777" w:rsidR="008D6F13" w:rsidRPr="008B12C7" w:rsidRDefault="008D6F13" w:rsidP="0031078F">
            <w:pPr>
              <w:rPr>
                <w:rFonts w:cstheme="majorHAnsi"/>
                <w:szCs w:val="20"/>
              </w:rPr>
            </w:pPr>
            <w:r w:rsidRPr="008B12C7">
              <w:rPr>
                <w:rFonts w:cstheme="majorHAnsi"/>
                <w:szCs w:val="20"/>
              </w:rPr>
              <w:t>Priority</w:t>
            </w:r>
          </w:p>
        </w:tc>
        <w:tc>
          <w:tcPr>
            <w:tcW w:w="5301" w:type="dxa"/>
          </w:tcPr>
          <w:p w14:paraId="26D5ECEF" w14:textId="77777777" w:rsidR="008D6F13" w:rsidRPr="008B12C7" w:rsidRDefault="008D6F13" w:rsidP="0031078F">
            <w:pPr>
              <w:rPr>
                <w:rFonts w:cstheme="majorHAnsi"/>
                <w:b/>
                <w:bCs/>
                <w:szCs w:val="20"/>
              </w:rPr>
            </w:pPr>
            <w:r w:rsidRPr="008B12C7">
              <w:rPr>
                <w:rFonts w:cstheme="majorHAnsi"/>
                <w:szCs w:val="20"/>
              </w:rPr>
              <w:t>Objective</w:t>
            </w:r>
          </w:p>
        </w:tc>
      </w:tr>
      <w:tr w:rsidR="008D6F13" w14:paraId="7F3F80F9" w14:textId="77777777" w:rsidTr="0031078F">
        <w:tc>
          <w:tcPr>
            <w:tcW w:w="2382" w:type="dxa"/>
          </w:tcPr>
          <w:p w14:paraId="32F25F95" w14:textId="77777777" w:rsidR="008D6F13" w:rsidRPr="001E003E" w:rsidRDefault="008D6F13" w:rsidP="0031078F">
            <w:pPr>
              <w:rPr>
                <w:rFonts w:cstheme="majorHAnsi"/>
                <w:szCs w:val="20"/>
              </w:rPr>
            </w:pPr>
            <w:r w:rsidRPr="001E003E">
              <w:rPr>
                <w:rFonts w:cstheme="majorHAnsi"/>
                <w:szCs w:val="20"/>
              </w:rPr>
              <w:t>Sound financial management</w:t>
            </w:r>
          </w:p>
        </w:tc>
        <w:tc>
          <w:tcPr>
            <w:tcW w:w="5301" w:type="dxa"/>
          </w:tcPr>
          <w:p w14:paraId="1749A4AF" w14:textId="77777777" w:rsidR="008D6F13" w:rsidRPr="001E003E" w:rsidRDefault="008D6F13" w:rsidP="0031078F">
            <w:pPr>
              <w:rPr>
                <w:rFonts w:cstheme="majorHAnsi"/>
                <w:szCs w:val="20"/>
              </w:rPr>
            </w:pPr>
            <w:r>
              <w:rPr>
                <w:rFonts w:cstheme="majorHAnsi"/>
                <w:szCs w:val="20"/>
              </w:rPr>
              <w:t>Victoria’s finances will be managed in a responsible manner to provide capacity to fund services and infrastructure and support households and businesses in the economic recovery at levels consistent with sound financial management.</w:t>
            </w:r>
          </w:p>
        </w:tc>
      </w:tr>
      <w:tr w:rsidR="008D6F13" w14:paraId="65AA7885" w14:textId="77777777" w:rsidTr="0031078F">
        <w:tc>
          <w:tcPr>
            <w:tcW w:w="2382" w:type="dxa"/>
          </w:tcPr>
          <w:p w14:paraId="4243C186" w14:textId="77777777" w:rsidR="008D6F13" w:rsidRPr="001E003E" w:rsidRDefault="008D6F13" w:rsidP="0031078F">
            <w:pPr>
              <w:rPr>
                <w:rFonts w:cstheme="majorHAnsi"/>
                <w:szCs w:val="20"/>
              </w:rPr>
            </w:pPr>
            <w:r>
              <w:rPr>
                <w:rFonts w:cstheme="majorHAnsi"/>
                <w:szCs w:val="20"/>
              </w:rPr>
              <w:t>Improved services</w:t>
            </w:r>
          </w:p>
        </w:tc>
        <w:tc>
          <w:tcPr>
            <w:tcW w:w="5301" w:type="dxa"/>
          </w:tcPr>
          <w:p w14:paraId="3C640F44" w14:textId="77777777" w:rsidR="008D6F13" w:rsidRPr="001E003E" w:rsidRDefault="008D6F13" w:rsidP="0031078F">
            <w:pPr>
              <w:rPr>
                <w:rFonts w:cstheme="majorHAnsi"/>
                <w:szCs w:val="20"/>
              </w:rPr>
            </w:pPr>
            <w:r>
              <w:rPr>
                <w:rFonts w:cstheme="majorHAnsi"/>
                <w:szCs w:val="20"/>
              </w:rPr>
              <w:t>Public services will improve over time.</w:t>
            </w:r>
          </w:p>
        </w:tc>
      </w:tr>
      <w:tr w:rsidR="008D6F13" w14:paraId="252E49BB" w14:textId="77777777" w:rsidTr="0031078F">
        <w:tc>
          <w:tcPr>
            <w:tcW w:w="2382" w:type="dxa"/>
          </w:tcPr>
          <w:p w14:paraId="57DE77D5" w14:textId="77777777" w:rsidR="008D6F13" w:rsidRPr="001E003E" w:rsidRDefault="008D6F13" w:rsidP="0031078F">
            <w:pPr>
              <w:rPr>
                <w:rFonts w:cstheme="majorHAnsi"/>
                <w:szCs w:val="20"/>
              </w:rPr>
            </w:pPr>
            <w:r>
              <w:rPr>
                <w:rFonts w:cstheme="majorHAnsi"/>
                <w:szCs w:val="20"/>
              </w:rPr>
              <w:t>Building infrastructure</w:t>
            </w:r>
          </w:p>
        </w:tc>
        <w:tc>
          <w:tcPr>
            <w:tcW w:w="5301" w:type="dxa"/>
          </w:tcPr>
          <w:p w14:paraId="0CA80757" w14:textId="77777777" w:rsidR="008D6F13" w:rsidRPr="001E003E" w:rsidRDefault="008D6F13" w:rsidP="0031078F">
            <w:pPr>
              <w:rPr>
                <w:rFonts w:cstheme="majorHAnsi"/>
                <w:szCs w:val="20"/>
              </w:rPr>
            </w:pPr>
            <w:r w:rsidRPr="001E003E">
              <w:rPr>
                <w:rFonts w:cstheme="majorHAnsi"/>
                <w:szCs w:val="20"/>
              </w:rPr>
              <w:t>Public infrastructure will grow steadily over time to meet the needs of a</w:t>
            </w:r>
            <w:r>
              <w:rPr>
                <w:rFonts w:cstheme="majorHAnsi"/>
                <w:szCs w:val="20"/>
              </w:rPr>
              <w:t xml:space="preserve"> </w:t>
            </w:r>
            <w:r w:rsidRPr="001E003E">
              <w:rPr>
                <w:rFonts w:cstheme="majorHAnsi"/>
                <w:szCs w:val="20"/>
              </w:rPr>
              <w:t>growing population.</w:t>
            </w:r>
          </w:p>
        </w:tc>
      </w:tr>
      <w:tr w:rsidR="008D6F13" w14:paraId="6642F08B" w14:textId="77777777" w:rsidTr="007139BD">
        <w:tc>
          <w:tcPr>
            <w:tcW w:w="2382" w:type="dxa"/>
            <w:tcBorders>
              <w:bottom w:val="nil"/>
            </w:tcBorders>
          </w:tcPr>
          <w:p w14:paraId="7BCF5C74" w14:textId="77777777" w:rsidR="008D6F13" w:rsidRPr="001E003E" w:rsidRDefault="008D6F13" w:rsidP="0031078F">
            <w:pPr>
              <w:rPr>
                <w:rFonts w:cstheme="majorHAnsi"/>
                <w:szCs w:val="20"/>
              </w:rPr>
            </w:pPr>
            <w:r>
              <w:rPr>
                <w:rFonts w:cstheme="majorHAnsi"/>
                <w:szCs w:val="20"/>
              </w:rPr>
              <w:t>Efficient use of public resources</w:t>
            </w:r>
          </w:p>
        </w:tc>
        <w:tc>
          <w:tcPr>
            <w:tcW w:w="5301" w:type="dxa"/>
            <w:tcBorders>
              <w:bottom w:val="nil"/>
            </w:tcBorders>
          </w:tcPr>
          <w:p w14:paraId="5D1ABFF5" w14:textId="77777777" w:rsidR="008D6F13" w:rsidRPr="001E003E" w:rsidRDefault="008D6F13" w:rsidP="0031078F">
            <w:pPr>
              <w:rPr>
                <w:rFonts w:cstheme="majorHAnsi"/>
                <w:szCs w:val="20"/>
              </w:rPr>
            </w:pPr>
            <w:r>
              <w:rPr>
                <w:rFonts w:cstheme="majorHAnsi"/>
                <w:szCs w:val="20"/>
              </w:rPr>
              <w:t xml:space="preserve">Public sector resources will be invested in services and infrastructure to maximise the economic, </w:t>
            </w:r>
            <w:proofErr w:type="gramStart"/>
            <w:r>
              <w:rPr>
                <w:rFonts w:cstheme="majorHAnsi"/>
                <w:szCs w:val="20"/>
              </w:rPr>
              <w:t>social</w:t>
            </w:r>
            <w:proofErr w:type="gramEnd"/>
            <w:r>
              <w:rPr>
                <w:rFonts w:cstheme="majorHAnsi"/>
                <w:szCs w:val="20"/>
              </w:rPr>
              <w:t xml:space="preserve"> and environmental benefits.</w:t>
            </w:r>
          </w:p>
        </w:tc>
      </w:tr>
      <w:tr w:rsidR="008D6F13" w14:paraId="2DE6F5E6" w14:textId="77777777" w:rsidTr="007139BD">
        <w:tc>
          <w:tcPr>
            <w:tcW w:w="2382" w:type="dxa"/>
            <w:tcBorders>
              <w:bottom w:val="single" w:sz="12" w:space="0" w:color="auto"/>
            </w:tcBorders>
          </w:tcPr>
          <w:p w14:paraId="3112FCD5" w14:textId="77777777" w:rsidR="008D6F13" w:rsidRPr="001E003E" w:rsidRDefault="008D6F13" w:rsidP="0031078F">
            <w:pPr>
              <w:rPr>
                <w:rFonts w:cstheme="majorHAnsi"/>
                <w:szCs w:val="20"/>
              </w:rPr>
            </w:pPr>
            <w:r>
              <w:rPr>
                <w:rFonts w:cstheme="majorHAnsi"/>
                <w:szCs w:val="20"/>
              </w:rPr>
              <w:t>A resilient economy</w:t>
            </w:r>
          </w:p>
        </w:tc>
        <w:tc>
          <w:tcPr>
            <w:tcW w:w="5301" w:type="dxa"/>
            <w:tcBorders>
              <w:bottom w:val="single" w:sz="12" w:space="0" w:color="auto"/>
            </w:tcBorders>
          </w:tcPr>
          <w:p w14:paraId="407A4647" w14:textId="77777777" w:rsidR="008D6F13" w:rsidRPr="001E003E" w:rsidRDefault="008D6F13" w:rsidP="0031078F">
            <w:pPr>
              <w:rPr>
                <w:rFonts w:cstheme="majorHAnsi"/>
                <w:szCs w:val="20"/>
              </w:rPr>
            </w:pPr>
            <w:r>
              <w:rPr>
                <w:rFonts w:cstheme="majorHAnsi"/>
                <w:szCs w:val="20"/>
              </w:rPr>
              <w:t xml:space="preserve">Increase economic resilience by supporting an innovative and diversified economy that will unlock employment growth, long-term economic </w:t>
            </w:r>
            <w:proofErr w:type="gramStart"/>
            <w:r>
              <w:rPr>
                <w:rFonts w:cstheme="majorHAnsi"/>
                <w:szCs w:val="20"/>
              </w:rPr>
              <w:t>growth</w:t>
            </w:r>
            <w:proofErr w:type="gramEnd"/>
            <w:r>
              <w:rPr>
                <w:rFonts w:cstheme="majorHAnsi"/>
                <w:szCs w:val="20"/>
              </w:rPr>
              <w:t xml:space="preserve"> and productivity in Victoria.</w:t>
            </w:r>
          </w:p>
        </w:tc>
      </w:tr>
    </w:tbl>
    <w:p w14:paraId="107445CF" w14:textId="77777777" w:rsidR="008D6F13" w:rsidRPr="00FE2DD0" w:rsidRDefault="008D6F13" w:rsidP="008D6F13">
      <w:pPr>
        <w:ind w:right="56"/>
        <w:rPr>
          <w:rFonts w:asciiTheme="majorHAnsi" w:hAnsiTheme="majorHAnsi" w:cstheme="majorHAnsi"/>
          <w:b/>
          <w:bCs/>
          <w:sz w:val="24"/>
          <w:szCs w:val="24"/>
        </w:rPr>
      </w:pPr>
      <w:r>
        <w:t xml:space="preserve">Progress towards these financial management objectives is supported by the measures and targets in Table 1.3. These measures and targets are also unchanged from the </w:t>
      </w:r>
      <w:r>
        <w:rPr>
          <w:i/>
          <w:iCs/>
        </w:rPr>
        <w:t>2021</w:t>
      </w:r>
      <w:r>
        <w:rPr>
          <w:i/>
          <w:iCs/>
        </w:rPr>
        <w:noBreakHyphen/>
        <w:t>22 Budget</w:t>
      </w:r>
      <w:r>
        <w:t>.</w:t>
      </w:r>
    </w:p>
    <w:p w14:paraId="57A6D417" w14:textId="77777777" w:rsidR="008D6F13" w:rsidRPr="00033297" w:rsidRDefault="008D6F13" w:rsidP="008D6F13">
      <w:pPr>
        <w:pStyle w:val="TableHeading"/>
        <w:rPr>
          <w:i/>
          <w:iCs/>
          <w:sz w:val="22"/>
        </w:rPr>
      </w:pPr>
      <w:r w:rsidRPr="00033297">
        <w:rPr>
          <w:sz w:val="22"/>
        </w:rPr>
        <w:t>Table 1.</w:t>
      </w:r>
      <w:r>
        <w:rPr>
          <w:sz w:val="22"/>
        </w:rPr>
        <w:t>3</w:t>
      </w:r>
      <w:r w:rsidRPr="00033297">
        <w:rPr>
          <w:sz w:val="22"/>
        </w:rPr>
        <w:t xml:space="preserve">: </w:t>
      </w:r>
      <w:r w:rsidRPr="00033297">
        <w:rPr>
          <w:sz w:val="22"/>
        </w:rPr>
        <w:tab/>
        <w:t xml:space="preserve">Financial measures and targets for the </w:t>
      </w:r>
      <w:r w:rsidRPr="00033297">
        <w:rPr>
          <w:i/>
          <w:iCs/>
          <w:sz w:val="22"/>
        </w:rPr>
        <w:t>2021-22 Budget</w:t>
      </w:r>
      <w:r>
        <w:rPr>
          <w:i/>
          <w:iCs/>
          <w:sz w:val="22"/>
        </w:rPr>
        <w:t xml:space="preserve"> Update</w:t>
      </w:r>
    </w:p>
    <w:tbl>
      <w:tblPr>
        <w:tblStyle w:val="DTFTableText"/>
        <w:tblW w:w="0" w:type="auto"/>
        <w:tblLook w:val="06A0" w:firstRow="1" w:lastRow="0" w:firstColumn="1" w:lastColumn="0" w:noHBand="1" w:noVBand="1"/>
      </w:tblPr>
      <w:tblGrid>
        <w:gridCol w:w="2382"/>
        <w:gridCol w:w="5301"/>
      </w:tblGrid>
      <w:tr w:rsidR="008D6F13" w14:paraId="7A04E029" w14:textId="77777777" w:rsidTr="0031078F">
        <w:trPr>
          <w:cnfStyle w:val="100000000000" w:firstRow="1" w:lastRow="0" w:firstColumn="0" w:lastColumn="0" w:oddVBand="0" w:evenVBand="0" w:oddHBand="0" w:evenHBand="0" w:firstRowFirstColumn="0" w:firstRowLastColumn="0" w:lastRowFirstColumn="0" w:lastRowLastColumn="0"/>
        </w:trPr>
        <w:tc>
          <w:tcPr>
            <w:tcW w:w="2382" w:type="dxa"/>
          </w:tcPr>
          <w:p w14:paraId="3623518B" w14:textId="77777777" w:rsidR="008D6F13" w:rsidRPr="008B12C7" w:rsidRDefault="008D6F13" w:rsidP="0031078F">
            <w:pPr>
              <w:rPr>
                <w:rFonts w:cstheme="majorHAnsi"/>
                <w:szCs w:val="20"/>
              </w:rPr>
            </w:pPr>
            <w:r>
              <w:rPr>
                <w:rFonts w:cstheme="majorHAnsi"/>
                <w:szCs w:val="20"/>
              </w:rPr>
              <w:t>Financial measures</w:t>
            </w:r>
          </w:p>
        </w:tc>
        <w:tc>
          <w:tcPr>
            <w:tcW w:w="5301" w:type="dxa"/>
          </w:tcPr>
          <w:p w14:paraId="03FC1D83" w14:textId="77777777" w:rsidR="008D6F13" w:rsidRPr="008B12C7" w:rsidRDefault="008D6F13" w:rsidP="0031078F">
            <w:pPr>
              <w:rPr>
                <w:rFonts w:cstheme="majorHAnsi"/>
                <w:b/>
                <w:bCs/>
                <w:szCs w:val="20"/>
              </w:rPr>
            </w:pPr>
            <w:r>
              <w:rPr>
                <w:rFonts w:cstheme="majorHAnsi"/>
                <w:szCs w:val="20"/>
              </w:rPr>
              <w:t>Target</w:t>
            </w:r>
          </w:p>
        </w:tc>
      </w:tr>
      <w:tr w:rsidR="008D6F13" w14:paraId="36245F5A" w14:textId="77777777" w:rsidTr="0031078F">
        <w:tc>
          <w:tcPr>
            <w:tcW w:w="2382" w:type="dxa"/>
          </w:tcPr>
          <w:p w14:paraId="2818803A" w14:textId="77777777" w:rsidR="008D6F13" w:rsidRPr="001E003E" w:rsidRDefault="008D6F13" w:rsidP="0031078F">
            <w:r>
              <w:t>Net debt to GSP</w:t>
            </w:r>
          </w:p>
        </w:tc>
        <w:tc>
          <w:tcPr>
            <w:tcW w:w="5301" w:type="dxa"/>
          </w:tcPr>
          <w:p w14:paraId="4EFC0A4F" w14:textId="77777777" w:rsidR="008D6F13" w:rsidRPr="001E003E" w:rsidRDefault="008D6F13" w:rsidP="0031078F">
            <w:r>
              <w:t>General government net debt as a percentage of GSP to stabilise in the medium term.</w:t>
            </w:r>
          </w:p>
        </w:tc>
      </w:tr>
      <w:tr w:rsidR="008D6F13" w14:paraId="79163AF7" w14:textId="77777777" w:rsidTr="0031078F">
        <w:tc>
          <w:tcPr>
            <w:tcW w:w="2382" w:type="dxa"/>
          </w:tcPr>
          <w:p w14:paraId="2C6AD3B1" w14:textId="77777777" w:rsidR="008D6F13" w:rsidRPr="001E003E" w:rsidRDefault="008D6F13" w:rsidP="0031078F">
            <w:pPr>
              <w:rPr>
                <w:rFonts w:cstheme="majorHAnsi"/>
                <w:szCs w:val="20"/>
              </w:rPr>
            </w:pPr>
            <w:r>
              <w:rPr>
                <w:rFonts w:cstheme="majorHAnsi"/>
                <w:szCs w:val="20"/>
              </w:rPr>
              <w:t>Interest expense to revenue</w:t>
            </w:r>
          </w:p>
        </w:tc>
        <w:tc>
          <w:tcPr>
            <w:tcW w:w="5301" w:type="dxa"/>
          </w:tcPr>
          <w:p w14:paraId="1947F888" w14:textId="77777777" w:rsidR="008D6F13" w:rsidRPr="001E003E" w:rsidRDefault="008D6F13" w:rsidP="0031078F">
            <w:pPr>
              <w:rPr>
                <w:rFonts w:cstheme="majorHAnsi"/>
                <w:szCs w:val="20"/>
              </w:rPr>
            </w:pPr>
            <w:r>
              <w:rPr>
                <w:rFonts w:cstheme="majorHAnsi"/>
                <w:szCs w:val="20"/>
              </w:rPr>
              <w:t>General government interest expense as a percentage of revenue to stabilise in the medium term.</w:t>
            </w:r>
          </w:p>
        </w:tc>
      </w:tr>
      <w:tr w:rsidR="008D6F13" w14:paraId="090351E1" w14:textId="77777777" w:rsidTr="007139BD">
        <w:tc>
          <w:tcPr>
            <w:tcW w:w="2382" w:type="dxa"/>
            <w:tcBorders>
              <w:bottom w:val="nil"/>
            </w:tcBorders>
          </w:tcPr>
          <w:p w14:paraId="64E11375" w14:textId="77777777" w:rsidR="008D6F13" w:rsidRPr="001E003E" w:rsidRDefault="008D6F13" w:rsidP="0031078F">
            <w:pPr>
              <w:rPr>
                <w:rFonts w:cstheme="majorHAnsi"/>
                <w:szCs w:val="20"/>
              </w:rPr>
            </w:pPr>
            <w:r>
              <w:rPr>
                <w:rFonts w:cstheme="majorHAnsi"/>
                <w:szCs w:val="20"/>
              </w:rPr>
              <w:t>Superannuation liabilities</w:t>
            </w:r>
          </w:p>
        </w:tc>
        <w:tc>
          <w:tcPr>
            <w:tcW w:w="5301" w:type="dxa"/>
            <w:tcBorders>
              <w:bottom w:val="nil"/>
            </w:tcBorders>
          </w:tcPr>
          <w:p w14:paraId="29B467EA" w14:textId="77777777" w:rsidR="008D6F13" w:rsidRPr="001E003E" w:rsidRDefault="008D6F13" w:rsidP="0031078F">
            <w:pPr>
              <w:rPr>
                <w:rFonts w:cstheme="majorHAnsi"/>
                <w:szCs w:val="20"/>
              </w:rPr>
            </w:pPr>
            <w:r>
              <w:rPr>
                <w:rFonts w:cstheme="majorHAnsi"/>
                <w:szCs w:val="20"/>
              </w:rPr>
              <w:t>Fully fund the unfunded superannuation liability by 2035.</w:t>
            </w:r>
          </w:p>
        </w:tc>
      </w:tr>
      <w:tr w:rsidR="008D6F13" w14:paraId="5D5DD617" w14:textId="77777777" w:rsidTr="007139BD">
        <w:tc>
          <w:tcPr>
            <w:tcW w:w="2382" w:type="dxa"/>
            <w:tcBorders>
              <w:bottom w:val="single" w:sz="12" w:space="0" w:color="auto"/>
            </w:tcBorders>
          </w:tcPr>
          <w:p w14:paraId="5F68DE5B" w14:textId="77777777" w:rsidR="008D6F13" w:rsidRPr="001E003E" w:rsidRDefault="008D6F13" w:rsidP="0031078F">
            <w:pPr>
              <w:rPr>
                <w:rFonts w:cstheme="majorHAnsi"/>
                <w:szCs w:val="20"/>
              </w:rPr>
            </w:pPr>
            <w:r>
              <w:rPr>
                <w:rFonts w:cstheme="majorHAnsi"/>
                <w:szCs w:val="20"/>
              </w:rPr>
              <w:t>Operating cash surplus</w:t>
            </w:r>
          </w:p>
        </w:tc>
        <w:tc>
          <w:tcPr>
            <w:tcW w:w="5301" w:type="dxa"/>
            <w:tcBorders>
              <w:bottom w:val="single" w:sz="12" w:space="0" w:color="auto"/>
            </w:tcBorders>
          </w:tcPr>
          <w:p w14:paraId="55273D0C" w14:textId="77777777" w:rsidR="008D6F13" w:rsidRPr="001E003E" w:rsidRDefault="008D6F13" w:rsidP="0031078F">
            <w:pPr>
              <w:rPr>
                <w:rFonts w:cstheme="majorHAnsi"/>
                <w:szCs w:val="20"/>
              </w:rPr>
            </w:pPr>
            <w:r>
              <w:rPr>
                <w:rFonts w:cstheme="majorHAnsi"/>
                <w:szCs w:val="20"/>
              </w:rPr>
              <w:t>A net operating cash surplus consistent with maintaining general government net debt at a sustainable level after the economy has recovered from the COVID</w:t>
            </w:r>
            <w:r>
              <w:rPr>
                <w:rFonts w:cstheme="majorHAnsi"/>
                <w:szCs w:val="20"/>
              </w:rPr>
              <w:noBreakHyphen/>
              <w:t>19 pandemic.</w:t>
            </w:r>
          </w:p>
        </w:tc>
      </w:tr>
    </w:tbl>
    <w:p w14:paraId="4D57F253" w14:textId="77777777" w:rsidR="008D6F13" w:rsidRPr="007A5B26" w:rsidRDefault="008D6F13" w:rsidP="008D6F13">
      <w:pPr>
        <w:pStyle w:val="Heading20"/>
        <w:rPr>
          <w:i/>
          <w:iCs/>
        </w:rPr>
      </w:pPr>
      <w:r w:rsidRPr="007A5B26">
        <w:t xml:space="preserve">Key new initiatives since the </w:t>
      </w:r>
      <w:r w:rsidRPr="007A5B26">
        <w:rPr>
          <w:i/>
          <w:iCs/>
        </w:rPr>
        <w:t>2021-22 Budget</w:t>
      </w:r>
    </w:p>
    <w:p w14:paraId="41F84227" w14:textId="77777777" w:rsidR="008D6F13" w:rsidRPr="005D36F3" w:rsidRDefault="008D6F13" w:rsidP="008D6F13">
      <w:r w:rsidRPr="005D36F3">
        <w:t>Consistent with the Government</w:t>
      </w:r>
      <w:r>
        <w:t>’</w:t>
      </w:r>
      <w:r w:rsidRPr="005D36F3">
        <w:t xml:space="preserve">s fiscal strategy, </w:t>
      </w:r>
      <w:r>
        <w:t>new initiatives</w:t>
      </w:r>
      <w:r w:rsidRPr="005D36F3">
        <w:t xml:space="preserve"> focus on consolidating Victoria</w:t>
      </w:r>
      <w:r>
        <w:t>’</w:t>
      </w:r>
      <w:r w:rsidRPr="005D36F3">
        <w:t xml:space="preserve">s rapid economic recovery and growing employment </w:t>
      </w:r>
      <w:r>
        <w:t>to build</w:t>
      </w:r>
      <w:r w:rsidRPr="005D36F3">
        <w:t xml:space="preserve"> a strong economic foundation. </w:t>
      </w:r>
    </w:p>
    <w:p w14:paraId="6C0EB080" w14:textId="77777777" w:rsidR="008D6F13" w:rsidRDefault="008D6F13" w:rsidP="008D6F13">
      <w:r>
        <w:t>This budget update provides $11.1 billion in 2021-22 and $11.7 billion over four years in output spending and $3.0 billion total estimated investment (TEI) in new and improved assets – creating jobs, continuing to drive Victoria’s economic recovery, and supporting the mental health and wellbeing of all Victorians.</w:t>
      </w:r>
    </w:p>
    <w:p w14:paraId="6122E461" w14:textId="07C65A59" w:rsidR="008D6F13" w:rsidRDefault="008D6F13" w:rsidP="00216BE3">
      <w:r>
        <w:t xml:space="preserve">Appendix A </w:t>
      </w:r>
      <w:r w:rsidRPr="00644EFD">
        <w:rPr>
          <w:i/>
          <w:iCs/>
        </w:rPr>
        <w:t xml:space="preserve">Specific policy initiatives affecting </w:t>
      </w:r>
      <w:r>
        <w:rPr>
          <w:i/>
          <w:iCs/>
        </w:rPr>
        <w:t xml:space="preserve">the </w:t>
      </w:r>
      <w:r w:rsidRPr="00644EFD">
        <w:rPr>
          <w:i/>
          <w:iCs/>
        </w:rPr>
        <w:t>budget position</w:t>
      </w:r>
      <w:r>
        <w:t xml:space="preserve"> details the specific new output and asset initiatives.</w:t>
      </w:r>
    </w:p>
    <w:p w14:paraId="3AB18AD2" w14:textId="77777777" w:rsidR="008D6F13" w:rsidRDefault="008D6F13" w:rsidP="003610AD"/>
    <w:p w14:paraId="7C88CE84" w14:textId="25153C28" w:rsidR="00F51471" w:rsidRDefault="00F51471" w:rsidP="003610AD">
      <w:pPr>
        <w:sectPr w:rsidR="00F51471" w:rsidSect="00E32AB3">
          <w:footerReference w:type="even" r:id="rId24"/>
          <w:footerReference w:type="default" r:id="rId25"/>
          <w:footerReference w:type="first" r:id="rId26"/>
          <w:pgSz w:w="9979" w:h="14175" w:code="9"/>
          <w:pgMar w:top="1134" w:right="1134" w:bottom="1134" w:left="1134" w:header="624" w:footer="567" w:gutter="0"/>
          <w:pgNumType w:start="1"/>
          <w:cols w:space="708"/>
          <w:docGrid w:linePitch="360"/>
        </w:sectPr>
      </w:pPr>
    </w:p>
    <w:p w14:paraId="2A98CC93" w14:textId="77777777" w:rsidR="008D6F13" w:rsidRDefault="008D6F13" w:rsidP="00F51471">
      <w:pPr>
        <w:pStyle w:val="ChapterHeading"/>
      </w:pPr>
      <w:bookmarkStart w:id="7" w:name="_Toc89423575"/>
      <w:r>
        <w:lastRenderedPageBreak/>
        <w:t>Chapter 2 – Economic context</w:t>
      </w:r>
      <w:bookmarkEnd w:id="7"/>
    </w:p>
    <w:p w14:paraId="42ECDCDF" w14:textId="77777777" w:rsidR="008D6F13" w:rsidRDefault="008D6F13" w:rsidP="008D6F13">
      <w:pPr>
        <w:pStyle w:val="HighlightBoxBullet"/>
        <w:numPr>
          <w:ilvl w:val="0"/>
          <w:numId w:val="10"/>
        </w:numPr>
        <w:pBdr>
          <w:top w:val="single" w:sz="6" w:space="3" w:color="auto"/>
          <w:left w:val="single" w:sz="6" w:space="5" w:color="auto"/>
          <w:bottom w:val="single" w:sz="6" w:space="3" w:color="auto"/>
          <w:right w:val="single" w:sz="6" w:space="5" w:color="auto"/>
        </w:pBdr>
      </w:pPr>
      <w:bookmarkStart w:id="8" w:name="_Hlk25659494"/>
      <w:bookmarkStart w:id="9" w:name="_Hlk67656980"/>
      <w:r>
        <w:t>The Victorian economy had been recovering rapidly from the economic shock caused by the COVID-19 pandemic, with employment and state final demand exceeding pre</w:t>
      </w:r>
      <w:r>
        <w:noBreakHyphen/>
        <w:t>pandemic levels in the June quarter 2021.</w:t>
      </w:r>
    </w:p>
    <w:p w14:paraId="13E23D11" w14:textId="77777777" w:rsidR="008D6F13" w:rsidRDefault="008D6F13" w:rsidP="008D6F13">
      <w:pPr>
        <w:pStyle w:val="HighlightBoxBullet"/>
        <w:numPr>
          <w:ilvl w:val="0"/>
          <w:numId w:val="10"/>
        </w:numPr>
        <w:pBdr>
          <w:top w:val="single" w:sz="6" w:space="3" w:color="auto"/>
          <w:left w:val="single" w:sz="6" w:space="5" w:color="auto"/>
          <w:bottom w:val="single" w:sz="6" w:space="3" w:color="auto"/>
          <w:right w:val="single" w:sz="6" w:space="5" w:color="auto"/>
        </w:pBdr>
      </w:pPr>
      <w:r>
        <w:rPr>
          <w:rFonts w:ascii="Garamond" w:hAnsi="Garamond"/>
        </w:rPr>
        <w:t>By August 2021, employment had increased by 288 000 persons relative to its trough in September 2020, the unemployment rate was at a record low of 4.1 per cent, and workforce participation was at a record high.</w:t>
      </w:r>
    </w:p>
    <w:p w14:paraId="694D77C9" w14:textId="77777777" w:rsidR="008D6F13" w:rsidRDefault="008D6F13" w:rsidP="008D6F13">
      <w:pPr>
        <w:pStyle w:val="HighlightBoxBullet"/>
        <w:numPr>
          <w:ilvl w:val="0"/>
          <w:numId w:val="10"/>
        </w:numPr>
        <w:pBdr>
          <w:top w:val="single" w:sz="6" w:space="3" w:color="auto"/>
          <w:left w:val="single" w:sz="6" w:space="5" w:color="auto"/>
          <w:bottom w:val="single" w:sz="6" w:space="3" w:color="auto"/>
          <w:right w:val="single" w:sz="6" w:space="5" w:color="auto"/>
        </w:pBdr>
      </w:pPr>
      <w:r>
        <w:t xml:space="preserve">More recently, sustained growth faced a setback with the emergence of the Delta variant of COVID-19 and associated necessary public health restrictions. Nevertheless, the economy has proven more resilient than in 2020. </w:t>
      </w:r>
    </w:p>
    <w:p w14:paraId="5BF94637" w14:textId="77777777" w:rsidR="008D6F13" w:rsidRDefault="008D6F13" w:rsidP="008D6F13">
      <w:pPr>
        <w:pStyle w:val="HighlightBoxBullet"/>
        <w:numPr>
          <w:ilvl w:val="0"/>
          <w:numId w:val="10"/>
        </w:numPr>
        <w:pBdr>
          <w:top w:val="single" w:sz="6" w:space="3" w:color="auto"/>
          <w:left w:val="single" w:sz="6" w:space="5" w:color="auto"/>
          <w:bottom w:val="single" w:sz="6" w:space="3" w:color="auto"/>
          <w:right w:val="single" w:sz="6" w:space="5" w:color="auto"/>
        </w:pBdr>
      </w:pPr>
      <w:r>
        <w:t xml:space="preserve">The Victorian economy is expected to recover strongly now that most restrictions have been eased, and </w:t>
      </w:r>
      <w:r w:rsidRPr="00703206">
        <w:t>as</w:t>
      </w:r>
      <w:r>
        <w:t xml:space="preserve"> the</w:t>
      </w:r>
      <w:r w:rsidRPr="00703206">
        <w:t xml:space="preserve"> </w:t>
      </w:r>
      <w:r>
        <w:t xml:space="preserve">remaining </w:t>
      </w:r>
      <w:r w:rsidRPr="00703206">
        <w:t xml:space="preserve">restrictions </w:t>
      </w:r>
      <w:r>
        <w:t xml:space="preserve">continue to </w:t>
      </w:r>
      <w:r w:rsidRPr="00703206">
        <w:t xml:space="preserve">ease with rising vaccination rates in line with the </w:t>
      </w:r>
      <w:r w:rsidRPr="00703206">
        <w:rPr>
          <w:i/>
          <w:iCs/>
        </w:rPr>
        <w:t>Roadmap to Deliver the National Plan</w:t>
      </w:r>
      <w:r>
        <w:rPr>
          <w:i/>
          <w:iCs/>
        </w:rPr>
        <w:t xml:space="preserve">. </w:t>
      </w:r>
      <w:r w:rsidRPr="00EE48C7">
        <w:t>Consumer</w:t>
      </w:r>
      <w:r>
        <w:t xml:space="preserve"> confidence has remained positive throughout restrictions, and business confidence surged ahead of restrictions easing.</w:t>
      </w:r>
      <w:r>
        <w:rPr>
          <w:i/>
          <w:iCs/>
        </w:rPr>
        <w:t xml:space="preserve"> </w:t>
      </w:r>
      <w:r w:rsidRPr="00102EC0">
        <w:t xml:space="preserve">Strong government support to businesses and households during recent restrictions </w:t>
      </w:r>
      <w:r>
        <w:t xml:space="preserve">meant that in aggregate they were in a robust position as the economy reopened. </w:t>
      </w:r>
      <w:r w:rsidRPr="00102EC0">
        <w:t>Th</w:t>
      </w:r>
      <w:r>
        <w:t>e</w:t>
      </w:r>
      <w:r w:rsidRPr="00102EC0">
        <w:t xml:space="preserve"> recovery</w:t>
      </w:r>
      <w:r>
        <w:t xml:space="preserve"> will also be supported by low interest rates and strong demand for workers. </w:t>
      </w:r>
      <w:bookmarkStart w:id="10" w:name="_Hlk87199727"/>
      <w:r>
        <w:t xml:space="preserve">The economy is expected to broadly return to the growth path forecast in the </w:t>
      </w:r>
      <w:r w:rsidRPr="00166B99">
        <w:rPr>
          <w:i/>
          <w:iCs/>
        </w:rPr>
        <w:t>2021-22 Budget</w:t>
      </w:r>
      <w:r>
        <w:t xml:space="preserve"> by mid-2022.</w:t>
      </w:r>
      <w:bookmarkEnd w:id="10"/>
    </w:p>
    <w:p w14:paraId="050790EA" w14:textId="77777777" w:rsidR="008D6F13" w:rsidRDefault="008D6F13" w:rsidP="008D6F13">
      <w:pPr>
        <w:pStyle w:val="HighlightBoxBullet"/>
        <w:numPr>
          <w:ilvl w:val="0"/>
          <w:numId w:val="10"/>
        </w:numPr>
        <w:pBdr>
          <w:top w:val="single" w:sz="6" w:space="3" w:color="auto"/>
          <w:left w:val="single" w:sz="6" w:space="5" w:color="auto"/>
          <w:bottom w:val="single" w:sz="6" w:space="3" w:color="auto"/>
          <w:right w:val="single" w:sz="6" w:space="5" w:color="auto"/>
        </w:pBdr>
      </w:pPr>
      <w:r w:rsidRPr="00A1401D">
        <w:t xml:space="preserve">Risks to Victoria’s economic outlook remain greater than normal </w:t>
      </w:r>
      <w:r>
        <w:t>and</w:t>
      </w:r>
      <w:r w:rsidRPr="00A1401D">
        <w:t xml:space="preserve"> continue to be dominated by the </w:t>
      </w:r>
      <w:r>
        <w:t xml:space="preserve">COVID-19 pandemic </w:t>
      </w:r>
      <w:r w:rsidRPr="00A1401D">
        <w:t xml:space="preserve">and potential changes to </w:t>
      </w:r>
      <w:r>
        <w:t xml:space="preserve">global and domestic </w:t>
      </w:r>
      <w:r w:rsidRPr="00A1401D">
        <w:t>economic policy responses.</w:t>
      </w:r>
      <w:bookmarkStart w:id="11" w:name="_Toc56718736"/>
      <w:bookmarkEnd w:id="8"/>
      <w:bookmarkEnd w:id="9"/>
    </w:p>
    <w:p w14:paraId="0E4F07D3" w14:textId="77777777" w:rsidR="008D6F13" w:rsidRPr="00D73938" w:rsidRDefault="008D6F13" w:rsidP="008D6F13">
      <w:pPr>
        <w:pStyle w:val="Heading10"/>
      </w:pPr>
      <w:bookmarkStart w:id="12" w:name="_Toc89423576"/>
      <w:r w:rsidRPr="00A530E3">
        <w:t>Victorian</w:t>
      </w:r>
      <w:r w:rsidRPr="00D73938">
        <w:t xml:space="preserve"> economic conditions and outlook</w:t>
      </w:r>
      <w:bookmarkEnd w:id="11"/>
      <w:bookmarkEnd w:id="12"/>
    </w:p>
    <w:p w14:paraId="08EBE094" w14:textId="77777777" w:rsidR="008D6F13" w:rsidRDefault="008D6F13" w:rsidP="008D6F13">
      <w:pPr>
        <w:ind w:right="198"/>
      </w:pPr>
      <w:bookmarkStart w:id="13" w:name="_Hlk88677617"/>
      <w:r>
        <w:t>In the months following the</w:t>
      </w:r>
      <w:r w:rsidRPr="00A06F20">
        <w:t xml:space="preserve"> </w:t>
      </w:r>
      <w:r w:rsidRPr="00904FAC">
        <w:rPr>
          <w:i/>
          <w:iCs/>
        </w:rPr>
        <w:t>2021</w:t>
      </w:r>
      <w:r>
        <w:rPr>
          <w:i/>
          <w:iCs/>
        </w:rPr>
        <w:noBreakHyphen/>
      </w:r>
      <w:r w:rsidRPr="00904FAC">
        <w:rPr>
          <w:i/>
          <w:iCs/>
        </w:rPr>
        <w:t>22</w:t>
      </w:r>
      <w:r>
        <w:rPr>
          <w:i/>
          <w:iCs/>
        </w:rPr>
        <w:t> </w:t>
      </w:r>
      <w:r w:rsidRPr="00904FAC">
        <w:rPr>
          <w:i/>
          <w:iCs/>
        </w:rPr>
        <w:t>Budget</w:t>
      </w:r>
      <w:r>
        <w:t xml:space="preserve">, the Victorian economy continued its strong recovery from the COVID-19 pandemic. After increasing by 2.6 per cent in the March quarter, state final demand continued to grow strongly, and by the June quarter 2021 had already exceeded pre-pandemic levels. Victorian employment had staged a similarly strong recovery, with the Government’s </w:t>
      </w:r>
      <w:r w:rsidRPr="00FD6736">
        <w:rPr>
          <w:i/>
          <w:iCs/>
        </w:rPr>
        <w:t>Jobs Plan</w:t>
      </w:r>
      <w:r>
        <w:t xml:space="preserve"> interim target of 200 000 new jobs by 2022 having already been met by early 2021, and employment exceeding pre-pandemic levels by May 2021. </w:t>
      </w:r>
      <w:r>
        <w:rPr>
          <w:rFonts w:ascii="Garamond" w:hAnsi="Garamond"/>
        </w:rPr>
        <w:t xml:space="preserve">By August 2021, employment had increased by 288 000 persons relative to September 2020, the unemployment rate was at a record low of 4.1 per cent, and workforce participation was at a record high. The Government’s </w:t>
      </w:r>
      <w:r w:rsidRPr="00A14FC5">
        <w:rPr>
          <w:rFonts w:ascii="Garamond" w:hAnsi="Garamond"/>
          <w:i/>
          <w:iCs/>
        </w:rPr>
        <w:t>Jobs Plan</w:t>
      </w:r>
      <w:r>
        <w:rPr>
          <w:rFonts w:ascii="Garamond" w:hAnsi="Garamond"/>
        </w:rPr>
        <w:t xml:space="preserve">, along with Commonwealth support policies and Reserve Bank of Australia (RBA) monetary policy measures, all helped drive this recovery.  </w:t>
      </w:r>
    </w:p>
    <w:p w14:paraId="5C1346B6" w14:textId="77777777" w:rsidR="008D6F13" w:rsidRDefault="008D6F13" w:rsidP="008D6F13">
      <w:pPr>
        <w:ind w:right="198"/>
      </w:pPr>
      <w:bookmarkStart w:id="14" w:name="_Hlk88677631"/>
      <w:bookmarkEnd w:id="13"/>
      <w:r>
        <w:lastRenderedPageBreak/>
        <w:t>The emergence of the Delta variant of COVID-19 created a renewed challenge for the Victorian economy. Public health restrictions were strengthened in July and again from August to October 2021, then</w:t>
      </w:r>
      <w:r w:rsidRPr="00107BDA">
        <w:t xml:space="preserve"> </w:t>
      </w:r>
      <w:r w:rsidRPr="00733E6C">
        <w:t>gradually eased over</w:t>
      </w:r>
      <w:r>
        <w:t xml:space="preserve"> the following month or so. This led to a </w:t>
      </w:r>
      <w:r w:rsidRPr="00DC241C">
        <w:t xml:space="preserve">decrease in </w:t>
      </w:r>
      <w:r>
        <w:t xml:space="preserve">economic </w:t>
      </w:r>
      <w:r w:rsidRPr="00DC241C">
        <w:t xml:space="preserve">activity in the September quarter, and a large </w:t>
      </w:r>
      <w:r>
        <w:t>fall in</w:t>
      </w:r>
      <w:r w:rsidRPr="00DC241C">
        <w:t xml:space="preserve"> employment. </w:t>
      </w:r>
      <w:r>
        <w:t>Nonetheless, the economy has proven more resilient than in</w:t>
      </w:r>
      <w:r w:rsidRPr="009D3858">
        <w:t xml:space="preserve"> 2020</w:t>
      </w:r>
      <w:r>
        <w:t xml:space="preserve"> </w:t>
      </w:r>
      <w:bookmarkEnd w:id="14"/>
      <w:r>
        <w:t>(see </w:t>
      </w:r>
      <w:r w:rsidRPr="0033178F">
        <w:t>Box 2.2)</w:t>
      </w:r>
      <w:r>
        <w:t xml:space="preserve">. </w:t>
      </w:r>
    </w:p>
    <w:p w14:paraId="6A8C8FC1" w14:textId="77777777" w:rsidR="008D6F13" w:rsidRDefault="008D6F13" w:rsidP="008D6F13">
      <w:pPr>
        <w:ind w:right="-227"/>
      </w:pPr>
      <w:bookmarkStart w:id="15" w:name="_Hlk88677815"/>
      <w:r>
        <w:t>A</w:t>
      </w:r>
      <w:r w:rsidRPr="00121694">
        <w:t xml:space="preserve">ctivity is expected to recover </w:t>
      </w:r>
      <w:r>
        <w:t>now that most</w:t>
      </w:r>
      <w:r w:rsidRPr="00121694">
        <w:t xml:space="preserve"> restrictions </w:t>
      </w:r>
      <w:r>
        <w:t xml:space="preserve">have </w:t>
      </w:r>
      <w:r w:rsidRPr="00121694">
        <w:t>ease</w:t>
      </w:r>
      <w:r>
        <w:t>d</w:t>
      </w:r>
      <w:r w:rsidRPr="00121694">
        <w:t xml:space="preserve"> with rising vaccination rates, in line with the </w:t>
      </w:r>
      <w:r w:rsidRPr="00121694">
        <w:rPr>
          <w:i/>
          <w:iCs/>
        </w:rPr>
        <w:t>Roadmap to Deliver the National Plan</w:t>
      </w:r>
      <w:r w:rsidRPr="00121694">
        <w:t>.</w:t>
      </w:r>
      <w:r>
        <w:t xml:space="preserve"> Strong government support to businesses and households assisted them through the recent period of renewed restrictions, putting them in a robust position in aggregate as the economy reopened. Low interest rates and strong labour demand will also support Victoria’s economic recovery. </w:t>
      </w:r>
    </w:p>
    <w:bookmarkEnd w:id="15"/>
    <w:p w14:paraId="2D73BE93" w14:textId="77777777" w:rsidR="008D6F13" w:rsidRDefault="008D6F13" w:rsidP="008D6F13">
      <w:pPr>
        <w:ind w:right="-86"/>
      </w:pPr>
      <w:r>
        <w:t xml:space="preserve">Employment is also expected to recover recent losses relating to the Delta variant of COVID-19 in coming months. Labour demand, as evidenced by a range of data such as job advertisements and business surveys, is very strong – and now that most restrictions have eased, employment is expected to rise significantly. </w:t>
      </w:r>
    </w:p>
    <w:p w14:paraId="4C62D09D" w14:textId="77777777" w:rsidR="008D6F13" w:rsidRDefault="008D6F13" w:rsidP="008D6F13">
      <w:pPr>
        <w:ind w:right="-86"/>
      </w:pPr>
      <w:r>
        <w:t xml:space="preserve">By mid-2022, GSP is forecast to broadly catch up with the level and growth path forecast in the </w:t>
      </w:r>
      <w:r w:rsidRPr="00781880">
        <w:rPr>
          <w:i/>
          <w:iCs/>
        </w:rPr>
        <w:t>2021-22 Budget</w:t>
      </w:r>
      <w:r>
        <w:t xml:space="preserve">, while constrained a little by a smaller </w:t>
      </w:r>
      <w:r w:rsidRPr="00781880">
        <w:t>population</w:t>
      </w:r>
      <w:r>
        <w:t xml:space="preserve">. The effects of the Delta variant of COVID-19 mean that annual GSP growth in 2021-22 is likely to be substantially lower than forecast in the </w:t>
      </w:r>
      <w:r w:rsidRPr="00781880">
        <w:rPr>
          <w:i/>
          <w:iCs/>
        </w:rPr>
        <w:t>2021-22 Budget</w:t>
      </w:r>
      <w:r>
        <w:t xml:space="preserve">, while GSP growth for 2022-23 has been revised up by 1.25 percentage points. </w:t>
      </w:r>
    </w:p>
    <w:p w14:paraId="05E9EE41" w14:textId="77777777" w:rsidR="008D6F13" w:rsidRDefault="008D6F13" w:rsidP="008D6F13">
      <w:pPr>
        <w:ind w:right="-86"/>
      </w:pPr>
      <w:r w:rsidRPr="00DC241C">
        <w:t>Over the longer term, the current period of low population growth will have an enduring effect on the size of the Victorian economy. Population growth</w:t>
      </w:r>
      <w:r>
        <w:t>, led by high levels of net overseas migration,</w:t>
      </w:r>
      <w:r w:rsidRPr="00DC241C">
        <w:t xml:space="preserve"> </w:t>
      </w:r>
      <w:r>
        <w:t>had</w:t>
      </w:r>
      <w:r w:rsidRPr="00DC241C">
        <w:t xml:space="preserve"> been an important driver of Victorian and national economic growth in recent years. </w:t>
      </w:r>
      <w:r>
        <w:t>Since March 2020</w:t>
      </w:r>
      <w:r w:rsidRPr="00DC241C">
        <w:t>, Victoria recorded a net outflow of overseas migration, and net migration is expected to remain subdued for some time. This will leave the size of the Victorian population lower over the forecast period than would otherwise have been expected in the absence of the COVID-19 pandemic.</w:t>
      </w:r>
      <w:r>
        <w:t xml:space="preserve"> </w:t>
      </w:r>
    </w:p>
    <w:p w14:paraId="7A65F792" w14:textId="77777777" w:rsidR="008D6F13" w:rsidRDefault="008D6F13" w:rsidP="008D6F13">
      <w:pPr>
        <w:keepLines w:val="0"/>
      </w:pPr>
      <w:r>
        <w:t xml:space="preserve">Table 2.1 sets out the economic forecasts, with the </w:t>
      </w:r>
      <w:r w:rsidRPr="00434DBD">
        <w:rPr>
          <w:i/>
        </w:rPr>
        <w:t>20</w:t>
      </w:r>
      <w:r>
        <w:rPr>
          <w:i/>
        </w:rPr>
        <w:t>21</w:t>
      </w:r>
      <w:r>
        <w:rPr>
          <w:i/>
        </w:rPr>
        <w:noBreakHyphen/>
      </w:r>
      <w:r w:rsidRPr="00434DBD">
        <w:rPr>
          <w:i/>
        </w:rPr>
        <w:t>2</w:t>
      </w:r>
      <w:r>
        <w:rPr>
          <w:i/>
        </w:rPr>
        <w:t>2 </w:t>
      </w:r>
      <w:r w:rsidRPr="00434DBD">
        <w:rPr>
          <w:i/>
        </w:rPr>
        <w:t>Budget</w:t>
      </w:r>
      <w:r>
        <w:t xml:space="preserve"> forecasts in italics where different. </w:t>
      </w:r>
      <w:r w:rsidRPr="0033178F">
        <w:t>Box 2.1</w:t>
      </w:r>
      <w:r w:rsidRPr="009A1813">
        <w:t xml:space="preserve"> provides details of the major assumptions underpinning the forecasts. The nature of the pandemic means that the economic forecasts continue to be subject to a high degree of uncertainty. Key risks are discussed later in the chapter.</w:t>
      </w:r>
    </w:p>
    <w:p w14:paraId="34D79294" w14:textId="77777777" w:rsidR="008D6F13" w:rsidRDefault="008D6F13" w:rsidP="008D6F13">
      <w:pPr>
        <w:keepLines w:val="0"/>
      </w:pPr>
      <w:r>
        <w:br w:type="page"/>
      </w:r>
    </w:p>
    <w:p w14:paraId="4D1EF907" w14:textId="77777777" w:rsidR="008D6F13" w:rsidRPr="0096730B" w:rsidRDefault="008D6F13" w:rsidP="008D6F13">
      <w:pPr>
        <w:pStyle w:val="TableHeading"/>
        <w:ind w:left="0" w:firstLine="0"/>
      </w:pPr>
      <w:r w:rsidRPr="000E2E6A">
        <w:lastRenderedPageBreak/>
        <w:t>Table 2.1:</w:t>
      </w:r>
      <w:r w:rsidRPr="000E2E6A">
        <w:tab/>
        <w:t xml:space="preserve">Victorian economic forecasts </w:t>
      </w:r>
      <w:r w:rsidRPr="000E2E6A">
        <w:rPr>
          <w:vertAlign w:val="superscript"/>
        </w:rPr>
        <w:t>(a)</w:t>
      </w:r>
      <w:r w:rsidRPr="000E2E6A">
        <w:tab/>
        <w:t>(per cent)</w:t>
      </w:r>
    </w:p>
    <w:tbl>
      <w:tblPr>
        <w:tblStyle w:val="DTFTable"/>
        <w:tblW w:w="7684" w:type="dxa"/>
        <w:tblLayout w:type="fixed"/>
        <w:tblLook w:val="06A0" w:firstRow="1" w:lastRow="0" w:firstColumn="1" w:lastColumn="0" w:noHBand="1" w:noVBand="1"/>
      </w:tblPr>
      <w:tblGrid>
        <w:gridCol w:w="2552"/>
        <w:gridCol w:w="1026"/>
        <w:gridCol w:w="174"/>
        <w:gridCol w:w="853"/>
        <w:gridCol w:w="1026"/>
        <w:gridCol w:w="1027"/>
        <w:gridCol w:w="1026"/>
      </w:tblGrid>
      <w:tr w:rsidR="008D6F13" w:rsidRPr="000E2E6A" w14:paraId="3855E558" w14:textId="77777777" w:rsidTr="003107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8446366" w14:textId="77777777" w:rsidR="008D6F13" w:rsidRPr="000E2E6A" w:rsidRDefault="008D6F13" w:rsidP="0031078F">
            <w:pPr>
              <w:rPr>
                <w:rFonts w:eastAsia="Garamond" w:cs="Times New Roman"/>
                <w:lang w:eastAsia="en-AU"/>
              </w:rPr>
            </w:pPr>
          </w:p>
        </w:tc>
        <w:tc>
          <w:tcPr>
            <w:tcW w:w="1026" w:type="dxa"/>
          </w:tcPr>
          <w:p w14:paraId="32A62270" w14:textId="77777777" w:rsidR="008D6F13" w:rsidRPr="000E2E6A" w:rsidRDefault="008D6F13" w:rsidP="0031078F">
            <w:pPr>
              <w:ind w:right="88"/>
              <w:cnfStyle w:val="100000000000" w:firstRow="1" w:lastRow="0" w:firstColumn="0" w:lastColumn="0" w:oddVBand="0" w:evenVBand="0" w:oddHBand="0" w:evenHBand="0" w:firstRowFirstColumn="0" w:firstRowLastColumn="0" w:lastRowFirstColumn="0" w:lastRowLastColumn="0"/>
              <w:rPr>
                <w:rFonts w:eastAsia="Garamond" w:cs="Calibri"/>
                <w:color w:val="FFFFFF"/>
                <w:szCs w:val="20"/>
                <w:lang w:eastAsia="en-AU"/>
              </w:rPr>
            </w:pPr>
            <w:r>
              <w:rPr>
                <w:rFonts w:eastAsia="Garamond" w:cs="Calibri"/>
                <w:color w:val="FFFFFF"/>
                <w:szCs w:val="20"/>
                <w:lang w:eastAsia="en-AU"/>
              </w:rPr>
              <w:t>2020-21</w:t>
            </w:r>
            <w:r w:rsidRPr="000E2E6A">
              <w:rPr>
                <w:rFonts w:eastAsia="Garamond" w:cs="Calibri"/>
                <w:color w:val="FFFFFF"/>
                <w:szCs w:val="20"/>
                <w:lang w:eastAsia="en-AU"/>
              </w:rPr>
              <w:br/>
              <w:t>actual</w:t>
            </w:r>
          </w:p>
        </w:tc>
        <w:tc>
          <w:tcPr>
            <w:tcW w:w="1027" w:type="dxa"/>
            <w:gridSpan w:val="2"/>
          </w:tcPr>
          <w:p w14:paraId="2A83E91F" w14:textId="77777777" w:rsidR="008D6F13" w:rsidRPr="000E2E6A" w:rsidRDefault="008D6F13" w:rsidP="0031078F">
            <w:pPr>
              <w:cnfStyle w:val="100000000000" w:firstRow="1" w:lastRow="0" w:firstColumn="0" w:lastColumn="0" w:oddVBand="0" w:evenVBand="0" w:oddHBand="0" w:evenHBand="0" w:firstRowFirstColumn="0" w:firstRowLastColumn="0" w:lastRowFirstColumn="0" w:lastRowLastColumn="0"/>
              <w:rPr>
                <w:rFonts w:eastAsia="Garamond" w:cs="Calibri"/>
                <w:color w:val="FFFFFF"/>
                <w:szCs w:val="20"/>
                <w:lang w:eastAsia="en-AU"/>
              </w:rPr>
            </w:pPr>
            <w:r>
              <w:rPr>
                <w:rFonts w:eastAsia="Garamond" w:cs="Calibri"/>
                <w:color w:val="FFFFFF"/>
                <w:szCs w:val="20"/>
                <w:lang w:eastAsia="en-AU"/>
              </w:rPr>
              <w:t>2021-22</w:t>
            </w:r>
            <w:r w:rsidRPr="000E2E6A">
              <w:rPr>
                <w:rFonts w:eastAsia="Garamond" w:cs="Calibri"/>
                <w:color w:val="FFFFFF"/>
                <w:szCs w:val="20"/>
                <w:lang w:eastAsia="en-AU"/>
              </w:rPr>
              <w:br/>
              <w:t>forecast</w:t>
            </w:r>
          </w:p>
        </w:tc>
        <w:tc>
          <w:tcPr>
            <w:tcW w:w="1026" w:type="dxa"/>
          </w:tcPr>
          <w:p w14:paraId="21931A36" w14:textId="77777777" w:rsidR="008D6F13" w:rsidRPr="000E2E6A" w:rsidRDefault="008D6F13" w:rsidP="0031078F">
            <w:pPr>
              <w:cnfStyle w:val="100000000000" w:firstRow="1" w:lastRow="0" w:firstColumn="0" w:lastColumn="0" w:oddVBand="0" w:evenVBand="0" w:oddHBand="0" w:evenHBand="0" w:firstRowFirstColumn="0" w:firstRowLastColumn="0" w:lastRowFirstColumn="0" w:lastRowLastColumn="0"/>
              <w:rPr>
                <w:rFonts w:eastAsia="Garamond" w:cs="Calibri"/>
                <w:color w:val="FFFFFF"/>
                <w:szCs w:val="20"/>
                <w:lang w:eastAsia="en-AU"/>
              </w:rPr>
            </w:pPr>
            <w:r>
              <w:rPr>
                <w:rFonts w:eastAsia="Garamond" w:cs="Calibri"/>
                <w:color w:val="FFFFFF"/>
                <w:szCs w:val="20"/>
                <w:lang w:eastAsia="en-AU"/>
              </w:rPr>
              <w:t>2022-23</w:t>
            </w:r>
            <w:r w:rsidRPr="000E2E6A">
              <w:rPr>
                <w:rFonts w:eastAsia="Garamond" w:cs="Calibri"/>
                <w:color w:val="FFFFFF"/>
                <w:szCs w:val="20"/>
                <w:lang w:eastAsia="en-AU"/>
              </w:rPr>
              <w:br/>
              <w:t>forecast</w:t>
            </w:r>
          </w:p>
        </w:tc>
        <w:tc>
          <w:tcPr>
            <w:tcW w:w="1027" w:type="dxa"/>
          </w:tcPr>
          <w:p w14:paraId="23615C31" w14:textId="77777777" w:rsidR="008D6F13" w:rsidRPr="000E2E6A" w:rsidRDefault="008D6F13" w:rsidP="0031078F">
            <w:pPr>
              <w:cnfStyle w:val="100000000000" w:firstRow="1" w:lastRow="0" w:firstColumn="0" w:lastColumn="0" w:oddVBand="0" w:evenVBand="0" w:oddHBand="0" w:evenHBand="0" w:firstRowFirstColumn="0" w:firstRowLastColumn="0" w:lastRowFirstColumn="0" w:lastRowLastColumn="0"/>
              <w:rPr>
                <w:rFonts w:eastAsia="Garamond" w:cs="Calibri"/>
                <w:color w:val="FFFFFF"/>
                <w:szCs w:val="20"/>
                <w:lang w:eastAsia="en-AU"/>
              </w:rPr>
            </w:pPr>
            <w:r>
              <w:rPr>
                <w:rFonts w:eastAsia="Garamond" w:cs="Calibri"/>
                <w:color w:val="FFFFFF"/>
                <w:szCs w:val="20"/>
                <w:lang w:eastAsia="en-AU"/>
              </w:rPr>
              <w:t>2023-24</w:t>
            </w:r>
            <w:r w:rsidRPr="000E2E6A">
              <w:rPr>
                <w:rFonts w:eastAsia="Garamond" w:cs="Calibri"/>
                <w:color w:val="FFFFFF"/>
                <w:szCs w:val="20"/>
                <w:lang w:eastAsia="en-AU"/>
              </w:rPr>
              <w:br/>
              <w:t>projection</w:t>
            </w:r>
          </w:p>
        </w:tc>
        <w:tc>
          <w:tcPr>
            <w:tcW w:w="1026" w:type="dxa"/>
          </w:tcPr>
          <w:p w14:paraId="691A7DB8" w14:textId="77777777" w:rsidR="008D6F13" w:rsidRPr="000E2E6A" w:rsidRDefault="008D6F13" w:rsidP="0031078F">
            <w:pPr>
              <w:cnfStyle w:val="100000000000" w:firstRow="1" w:lastRow="0" w:firstColumn="0" w:lastColumn="0" w:oddVBand="0" w:evenVBand="0" w:oddHBand="0" w:evenHBand="0" w:firstRowFirstColumn="0" w:firstRowLastColumn="0" w:lastRowFirstColumn="0" w:lastRowLastColumn="0"/>
              <w:rPr>
                <w:rFonts w:eastAsia="Garamond" w:cs="Calibri"/>
                <w:color w:val="FFFFFF"/>
                <w:szCs w:val="20"/>
                <w:lang w:eastAsia="en-AU"/>
              </w:rPr>
            </w:pPr>
            <w:r>
              <w:rPr>
                <w:rFonts w:eastAsia="Garamond" w:cs="Calibri"/>
                <w:color w:val="FFFFFF"/>
                <w:szCs w:val="20"/>
                <w:lang w:eastAsia="en-AU"/>
              </w:rPr>
              <w:t>2024-25</w:t>
            </w:r>
            <w:r w:rsidRPr="000E2E6A">
              <w:rPr>
                <w:rFonts w:eastAsia="Garamond" w:cs="Calibri"/>
                <w:color w:val="FFFFFF"/>
                <w:szCs w:val="20"/>
                <w:lang w:eastAsia="en-AU"/>
              </w:rPr>
              <w:br/>
              <w:t>projection</w:t>
            </w:r>
          </w:p>
        </w:tc>
      </w:tr>
      <w:tr w:rsidR="008D6F13" w:rsidRPr="000E2E6A" w14:paraId="1C37E2B1" w14:textId="77777777" w:rsidTr="0031078F">
        <w:trPr>
          <w:cantSplit w:val="0"/>
        </w:trPr>
        <w:tc>
          <w:tcPr>
            <w:cnfStyle w:val="001000000000" w:firstRow="0" w:lastRow="0" w:firstColumn="1" w:lastColumn="0" w:oddVBand="0" w:evenVBand="0" w:oddHBand="0" w:evenHBand="0" w:firstRowFirstColumn="0" w:firstRowLastColumn="0" w:lastRowFirstColumn="0" w:lastRowLastColumn="0"/>
            <w:tcW w:w="2552" w:type="dxa"/>
          </w:tcPr>
          <w:p w14:paraId="524C3137" w14:textId="77777777" w:rsidR="008D6F13" w:rsidRPr="000E2E6A" w:rsidRDefault="008D6F13" w:rsidP="0031078F">
            <w:pPr>
              <w:rPr>
                <w:rFonts w:eastAsia="Garamond" w:cs="Calibri"/>
                <w:szCs w:val="20"/>
                <w:lang w:eastAsia="en-AU"/>
              </w:rPr>
            </w:pPr>
            <w:r w:rsidRPr="000E2E6A">
              <w:rPr>
                <w:rFonts w:eastAsia="Garamond" w:cs="Calibri"/>
                <w:szCs w:val="20"/>
                <w:lang w:eastAsia="en-AU"/>
              </w:rPr>
              <w:t>Real gross state product</w:t>
            </w:r>
          </w:p>
        </w:tc>
        <w:tc>
          <w:tcPr>
            <w:tcW w:w="1026" w:type="dxa"/>
          </w:tcPr>
          <w:p w14:paraId="5008F96D" w14:textId="77777777" w:rsidR="008D6F13" w:rsidRPr="00356A1C"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356A1C">
              <w:rPr>
                <w:rFonts w:eastAsiaTheme="minorEastAsia" w:cstheme="majorHAnsi"/>
                <w:szCs w:val="17"/>
                <w:lang w:eastAsia="en-AU"/>
              </w:rPr>
              <w:t>(0.4)</w:t>
            </w:r>
          </w:p>
        </w:tc>
        <w:tc>
          <w:tcPr>
            <w:tcW w:w="1027" w:type="dxa"/>
            <w:gridSpan w:val="2"/>
          </w:tcPr>
          <w:p w14:paraId="03559A66" w14:textId="77777777" w:rsidR="008D6F13" w:rsidRPr="0096730B"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96730B">
              <w:rPr>
                <w:rFonts w:eastAsiaTheme="minorEastAsia" w:cstheme="majorHAnsi"/>
                <w:szCs w:val="17"/>
                <w:lang w:eastAsia="en-AU"/>
              </w:rPr>
              <w:t>2.25</w:t>
            </w:r>
          </w:p>
        </w:tc>
        <w:tc>
          <w:tcPr>
            <w:tcW w:w="1026" w:type="dxa"/>
          </w:tcPr>
          <w:p w14:paraId="0610FFB1" w14:textId="77777777" w:rsidR="008D6F13" w:rsidRPr="0096730B" w:rsidRDefault="008D6F13" w:rsidP="0031078F">
            <w:pPr>
              <w:cnfStyle w:val="000000000000" w:firstRow="0" w:lastRow="0" w:firstColumn="0" w:lastColumn="0" w:oddVBand="0" w:evenVBand="0" w:oddHBand="0" w:evenHBand="0" w:firstRowFirstColumn="0" w:firstRowLastColumn="0" w:lastRowFirstColumn="0" w:lastRowLastColumn="0"/>
              <w:rPr>
                <w:rFonts w:eastAsia="Garamond" w:cs="Calibri"/>
                <w:szCs w:val="20"/>
                <w:lang w:eastAsia="en-AU"/>
              </w:rPr>
            </w:pPr>
            <w:r w:rsidRPr="0096730B">
              <w:rPr>
                <w:rFonts w:eastAsia="Garamond" w:cs="Calibri"/>
                <w:szCs w:val="20"/>
                <w:lang w:eastAsia="en-AU"/>
              </w:rPr>
              <w:t>4.50</w:t>
            </w:r>
          </w:p>
        </w:tc>
        <w:tc>
          <w:tcPr>
            <w:tcW w:w="1027" w:type="dxa"/>
          </w:tcPr>
          <w:p w14:paraId="552DEB76" w14:textId="77777777" w:rsidR="008D6F13" w:rsidRPr="0096730B" w:rsidRDefault="008D6F13" w:rsidP="0031078F">
            <w:pPr>
              <w:cnfStyle w:val="000000000000" w:firstRow="0" w:lastRow="0" w:firstColumn="0" w:lastColumn="0" w:oddVBand="0" w:evenVBand="0" w:oddHBand="0" w:evenHBand="0" w:firstRowFirstColumn="0" w:firstRowLastColumn="0" w:lastRowFirstColumn="0" w:lastRowLastColumn="0"/>
              <w:rPr>
                <w:rFonts w:eastAsia="Garamond" w:cs="Calibri"/>
                <w:szCs w:val="20"/>
                <w:lang w:eastAsia="en-AU"/>
              </w:rPr>
            </w:pPr>
            <w:r w:rsidRPr="0096730B">
              <w:rPr>
                <w:rFonts w:eastAsia="Garamond" w:cs="Calibri"/>
                <w:szCs w:val="20"/>
                <w:lang w:eastAsia="en-AU"/>
              </w:rPr>
              <w:t>2.75</w:t>
            </w:r>
          </w:p>
        </w:tc>
        <w:tc>
          <w:tcPr>
            <w:tcW w:w="1026" w:type="dxa"/>
          </w:tcPr>
          <w:p w14:paraId="5DAEF69E" w14:textId="77777777" w:rsidR="008D6F13" w:rsidRPr="0096730B" w:rsidRDefault="008D6F13" w:rsidP="0031078F">
            <w:pPr>
              <w:cnfStyle w:val="000000000000" w:firstRow="0" w:lastRow="0" w:firstColumn="0" w:lastColumn="0" w:oddVBand="0" w:evenVBand="0" w:oddHBand="0" w:evenHBand="0" w:firstRowFirstColumn="0" w:firstRowLastColumn="0" w:lastRowFirstColumn="0" w:lastRowLastColumn="0"/>
              <w:rPr>
                <w:rFonts w:eastAsia="Garamond" w:cs="Calibri"/>
                <w:szCs w:val="20"/>
                <w:lang w:eastAsia="en-AU"/>
              </w:rPr>
            </w:pPr>
            <w:r w:rsidRPr="0096730B">
              <w:rPr>
                <w:rFonts w:eastAsia="Garamond" w:cs="Calibri"/>
                <w:szCs w:val="20"/>
                <w:lang w:eastAsia="en-AU"/>
              </w:rPr>
              <w:t>2.75</w:t>
            </w:r>
          </w:p>
        </w:tc>
      </w:tr>
      <w:tr w:rsidR="008D6F13" w:rsidRPr="000E2E6A" w14:paraId="43F540EA" w14:textId="77777777" w:rsidTr="0031078F">
        <w:trPr>
          <w:cantSplit w:val="0"/>
        </w:trPr>
        <w:tc>
          <w:tcPr>
            <w:cnfStyle w:val="001000000000" w:firstRow="0" w:lastRow="0" w:firstColumn="1" w:lastColumn="0" w:oddVBand="0" w:evenVBand="0" w:oddHBand="0" w:evenHBand="0" w:firstRowFirstColumn="0" w:firstRowLastColumn="0" w:lastRowFirstColumn="0" w:lastRowLastColumn="0"/>
            <w:tcW w:w="2552" w:type="dxa"/>
          </w:tcPr>
          <w:p w14:paraId="27006B3B" w14:textId="77777777" w:rsidR="008D6F13" w:rsidRPr="000E2E6A" w:rsidRDefault="008D6F13" w:rsidP="0031078F">
            <w:pPr>
              <w:rPr>
                <w:rFonts w:eastAsia="Garamond" w:cs="Calibri"/>
                <w:i/>
                <w:szCs w:val="20"/>
                <w:lang w:eastAsia="en-AU"/>
              </w:rPr>
            </w:pPr>
          </w:p>
        </w:tc>
        <w:tc>
          <w:tcPr>
            <w:tcW w:w="1026" w:type="dxa"/>
          </w:tcPr>
          <w:p w14:paraId="561E827C"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i/>
                <w:iCs/>
                <w:szCs w:val="17"/>
                <w:lang w:eastAsia="en-AU"/>
              </w:rPr>
            </w:pPr>
          </w:p>
        </w:tc>
        <w:tc>
          <w:tcPr>
            <w:tcW w:w="1027" w:type="dxa"/>
            <w:gridSpan w:val="2"/>
          </w:tcPr>
          <w:p w14:paraId="6B80B6E5"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i/>
                <w:iCs/>
                <w:szCs w:val="17"/>
                <w:lang w:eastAsia="en-AU"/>
              </w:rPr>
            </w:pPr>
            <w:r w:rsidRPr="00CD0CE4">
              <w:rPr>
                <w:rFonts w:eastAsiaTheme="minorEastAsia" w:cstheme="majorHAnsi"/>
                <w:i/>
                <w:iCs/>
                <w:szCs w:val="17"/>
                <w:lang w:eastAsia="en-AU"/>
              </w:rPr>
              <w:t>6.50</w:t>
            </w:r>
          </w:p>
        </w:tc>
        <w:tc>
          <w:tcPr>
            <w:tcW w:w="1026" w:type="dxa"/>
          </w:tcPr>
          <w:p w14:paraId="43F565F4"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i/>
                <w:iCs/>
                <w:szCs w:val="17"/>
                <w:lang w:eastAsia="en-AU"/>
              </w:rPr>
            </w:pPr>
            <w:r w:rsidRPr="00CD0CE4">
              <w:rPr>
                <w:rFonts w:eastAsiaTheme="minorEastAsia" w:cstheme="majorHAnsi"/>
                <w:i/>
                <w:iCs/>
                <w:szCs w:val="17"/>
                <w:lang w:eastAsia="en-AU"/>
              </w:rPr>
              <w:t>3.25</w:t>
            </w:r>
          </w:p>
        </w:tc>
        <w:tc>
          <w:tcPr>
            <w:tcW w:w="1027" w:type="dxa"/>
          </w:tcPr>
          <w:p w14:paraId="385517BC"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p>
        </w:tc>
        <w:tc>
          <w:tcPr>
            <w:tcW w:w="1026" w:type="dxa"/>
          </w:tcPr>
          <w:p w14:paraId="337C55D3"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p>
        </w:tc>
      </w:tr>
      <w:tr w:rsidR="008D6F13" w:rsidRPr="000E2E6A" w14:paraId="6498D7F6" w14:textId="77777777" w:rsidTr="0031078F">
        <w:trPr>
          <w:cantSplit w:val="0"/>
        </w:trPr>
        <w:tc>
          <w:tcPr>
            <w:cnfStyle w:val="001000000000" w:firstRow="0" w:lastRow="0" w:firstColumn="1" w:lastColumn="0" w:oddVBand="0" w:evenVBand="0" w:oddHBand="0" w:evenHBand="0" w:firstRowFirstColumn="0" w:firstRowLastColumn="0" w:lastRowFirstColumn="0" w:lastRowLastColumn="0"/>
            <w:tcW w:w="2552" w:type="dxa"/>
          </w:tcPr>
          <w:p w14:paraId="32C832DE" w14:textId="77777777" w:rsidR="008D6F13" w:rsidRPr="000E2E6A" w:rsidRDefault="008D6F13" w:rsidP="0031078F">
            <w:pPr>
              <w:rPr>
                <w:rFonts w:eastAsia="Garamond" w:cs="Calibri"/>
                <w:szCs w:val="20"/>
                <w:lang w:eastAsia="en-AU"/>
              </w:rPr>
            </w:pPr>
            <w:r w:rsidRPr="000E2E6A">
              <w:rPr>
                <w:rFonts w:eastAsia="Garamond" w:cs="Calibri"/>
                <w:szCs w:val="20"/>
                <w:lang w:eastAsia="en-AU"/>
              </w:rPr>
              <w:t>Employment</w:t>
            </w:r>
          </w:p>
        </w:tc>
        <w:tc>
          <w:tcPr>
            <w:tcW w:w="1026" w:type="dxa"/>
          </w:tcPr>
          <w:p w14:paraId="45542AAA"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CD0CE4">
              <w:rPr>
                <w:rFonts w:eastAsiaTheme="minorEastAsia" w:cstheme="majorHAnsi"/>
                <w:szCs w:val="17"/>
                <w:lang w:eastAsia="en-AU"/>
              </w:rPr>
              <w:t>(1.1)</w:t>
            </w:r>
          </w:p>
        </w:tc>
        <w:tc>
          <w:tcPr>
            <w:tcW w:w="1027" w:type="dxa"/>
            <w:gridSpan w:val="2"/>
          </w:tcPr>
          <w:p w14:paraId="48F5A88E"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CD0CE4">
              <w:rPr>
                <w:rFonts w:eastAsiaTheme="minorEastAsia" w:cstheme="majorHAnsi"/>
                <w:szCs w:val="17"/>
                <w:lang w:eastAsia="en-AU"/>
              </w:rPr>
              <w:t>2.50</w:t>
            </w:r>
          </w:p>
        </w:tc>
        <w:tc>
          <w:tcPr>
            <w:tcW w:w="1026" w:type="dxa"/>
          </w:tcPr>
          <w:p w14:paraId="13501F8A"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CD0CE4">
              <w:rPr>
                <w:rFonts w:eastAsiaTheme="minorEastAsia" w:cstheme="majorHAnsi"/>
                <w:szCs w:val="17"/>
                <w:lang w:eastAsia="en-AU"/>
              </w:rPr>
              <w:t>1.50</w:t>
            </w:r>
          </w:p>
        </w:tc>
        <w:tc>
          <w:tcPr>
            <w:tcW w:w="1027" w:type="dxa"/>
          </w:tcPr>
          <w:p w14:paraId="03D69D58"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CD0CE4">
              <w:rPr>
                <w:rFonts w:eastAsiaTheme="minorEastAsia" w:cstheme="majorHAnsi"/>
                <w:szCs w:val="17"/>
                <w:lang w:eastAsia="en-AU"/>
              </w:rPr>
              <w:t>1.50</w:t>
            </w:r>
          </w:p>
        </w:tc>
        <w:tc>
          <w:tcPr>
            <w:tcW w:w="1026" w:type="dxa"/>
          </w:tcPr>
          <w:p w14:paraId="5B5EF2E3"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CD0CE4">
              <w:rPr>
                <w:rFonts w:eastAsiaTheme="minorEastAsia" w:cstheme="majorHAnsi"/>
                <w:szCs w:val="17"/>
                <w:lang w:eastAsia="en-AU"/>
              </w:rPr>
              <w:t>1.75</w:t>
            </w:r>
          </w:p>
        </w:tc>
      </w:tr>
      <w:tr w:rsidR="008D6F13" w:rsidRPr="000E2E6A" w14:paraId="2D14DABC" w14:textId="77777777" w:rsidTr="0031078F">
        <w:trPr>
          <w:cantSplit w:val="0"/>
        </w:trPr>
        <w:tc>
          <w:tcPr>
            <w:cnfStyle w:val="001000000000" w:firstRow="0" w:lastRow="0" w:firstColumn="1" w:lastColumn="0" w:oddVBand="0" w:evenVBand="0" w:oddHBand="0" w:evenHBand="0" w:firstRowFirstColumn="0" w:firstRowLastColumn="0" w:lastRowFirstColumn="0" w:lastRowLastColumn="0"/>
            <w:tcW w:w="2552" w:type="dxa"/>
          </w:tcPr>
          <w:p w14:paraId="56A1EEFA" w14:textId="77777777" w:rsidR="008D6F13" w:rsidRPr="000E2E6A" w:rsidRDefault="008D6F13" w:rsidP="0031078F">
            <w:pPr>
              <w:rPr>
                <w:rFonts w:eastAsia="Garamond" w:cs="Calibri"/>
                <w:szCs w:val="20"/>
                <w:lang w:eastAsia="en-AU"/>
              </w:rPr>
            </w:pPr>
          </w:p>
        </w:tc>
        <w:tc>
          <w:tcPr>
            <w:tcW w:w="1026" w:type="dxa"/>
          </w:tcPr>
          <w:p w14:paraId="1D59DB44"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p>
        </w:tc>
        <w:tc>
          <w:tcPr>
            <w:tcW w:w="1027" w:type="dxa"/>
            <w:gridSpan w:val="2"/>
          </w:tcPr>
          <w:p w14:paraId="1B3D8F81"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p>
        </w:tc>
        <w:tc>
          <w:tcPr>
            <w:tcW w:w="1026" w:type="dxa"/>
          </w:tcPr>
          <w:p w14:paraId="23B70C80"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i/>
                <w:iCs/>
                <w:szCs w:val="17"/>
                <w:lang w:eastAsia="en-AU"/>
              </w:rPr>
            </w:pPr>
            <w:r w:rsidRPr="00CD0CE4">
              <w:rPr>
                <w:rFonts w:eastAsiaTheme="minorEastAsia" w:cstheme="majorHAnsi"/>
                <w:i/>
                <w:iCs/>
                <w:szCs w:val="17"/>
                <w:lang w:eastAsia="en-AU"/>
              </w:rPr>
              <w:t>1.25</w:t>
            </w:r>
          </w:p>
        </w:tc>
        <w:tc>
          <w:tcPr>
            <w:tcW w:w="1027" w:type="dxa"/>
          </w:tcPr>
          <w:p w14:paraId="40674CA9"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i/>
                <w:iCs/>
                <w:szCs w:val="17"/>
                <w:lang w:eastAsia="en-AU"/>
              </w:rPr>
            </w:pPr>
            <w:r w:rsidRPr="00CD0CE4">
              <w:rPr>
                <w:rFonts w:eastAsiaTheme="minorEastAsia" w:cstheme="majorHAnsi"/>
                <w:i/>
                <w:iCs/>
                <w:szCs w:val="17"/>
                <w:lang w:eastAsia="en-AU"/>
              </w:rPr>
              <w:t>1.75</w:t>
            </w:r>
          </w:p>
        </w:tc>
        <w:tc>
          <w:tcPr>
            <w:tcW w:w="1026" w:type="dxa"/>
          </w:tcPr>
          <w:p w14:paraId="55F4D825"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p>
        </w:tc>
      </w:tr>
      <w:tr w:rsidR="008D6F13" w:rsidRPr="000E2E6A" w14:paraId="3778F526" w14:textId="77777777" w:rsidTr="0031078F">
        <w:trPr>
          <w:cantSplit w:val="0"/>
        </w:trPr>
        <w:tc>
          <w:tcPr>
            <w:cnfStyle w:val="001000000000" w:firstRow="0" w:lastRow="0" w:firstColumn="1" w:lastColumn="0" w:oddVBand="0" w:evenVBand="0" w:oddHBand="0" w:evenHBand="0" w:firstRowFirstColumn="0" w:firstRowLastColumn="0" w:lastRowFirstColumn="0" w:lastRowLastColumn="0"/>
            <w:tcW w:w="2552" w:type="dxa"/>
          </w:tcPr>
          <w:p w14:paraId="1418293A" w14:textId="77777777" w:rsidR="008D6F13" w:rsidRPr="000E2E6A" w:rsidRDefault="008D6F13" w:rsidP="0031078F">
            <w:pPr>
              <w:rPr>
                <w:rFonts w:eastAsia="Garamond" w:cs="Calibri"/>
                <w:szCs w:val="20"/>
                <w:lang w:eastAsia="en-AU"/>
              </w:rPr>
            </w:pPr>
            <w:r w:rsidRPr="000E2E6A">
              <w:rPr>
                <w:rFonts w:eastAsia="Garamond" w:cs="Calibri"/>
                <w:szCs w:val="20"/>
                <w:lang w:eastAsia="en-AU"/>
              </w:rPr>
              <w:t xml:space="preserve">Unemployment rate </w:t>
            </w:r>
            <w:r w:rsidRPr="000E2E6A">
              <w:rPr>
                <w:rFonts w:eastAsia="Garamond" w:cs="Calibri"/>
                <w:szCs w:val="20"/>
                <w:vertAlign w:val="superscript"/>
                <w:lang w:eastAsia="en-AU"/>
              </w:rPr>
              <w:t>(b)</w:t>
            </w:r>
          </w:p>
        </w:tc>
        <w:tc>
          <w:tcPr>
            <w:tcW w:w="1026" w:type="dxa"/>
          </w:tcPr>
          <w:p w14:paraId="7DF2621E"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CD0CE4">
              <w:rPr>
                <w:rFonts w:eastAsiaTheme="minorEastAsia" w:cstheme="majorHAnsi"/>
                <w:szCs w:val="17"/>
                <w:lang w:eastAsia="en-AU"/>
              </w:rPr>
              <w:t>6.2</w:t>
            </w:r>
          </w:p>
        </w:tc>
        <w:tc>
          <w:tcPr>
            <w:tcW w:w="1027" w:type="dxa"/>
            <w:gridSpan w:val="2"/>
          </w:tcPr>
          <w:p w14:paraId="56AB271C"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CD0CE4">
              <w:rPr>
                <w:rFonts w:eastAsiaTheme="minorEastAsia" w:cstheme="majorHAnsi"/>
                <w:szCs w:val="17"/>
                <w:lang w:eastAsia="en-AU"/>
              </w:rPr>
              <w:t>4.50</w:t>
            </w:r>
          </w:p>
        </w:tc>
        <w:tc>
          <w:tcPr>
            <w:tcW w:w="1026" w:type="dxa"/>
          </w:tcPr>
          <w:p w14:paraId="7F085414"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CD0CE4">
              <w:rPr>
                <w:rFonts w:eastAsiaTheme="minorEastAsia" w:cstheme="majorHAnsi"/>
                <w:szCs w:val="17"/>
                <w:lang w:eastAsia="en-AU"/>
              </w:rPr>
              <w:t>4.50</w:t>
            </w:r>
          </w:p>
        </w:tc>
        <w:tc>
          <w:tcPr>
            <w:tcW w:w="1027" w:type="dxa"/>
          </w:tcPr>
          <w:p w14:paraId="7D8E8D94"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CD0CE4">
              <w:rPr>
                <w:rFonts w:eastAsiaTheme="minorEastAsia" w:cstheme="majorHAnsi"/>
                <w:szCs w:val="17"/>
                <w:lang w:eastAsia="en-AU"/>
              </w:rPr>
              <w:t>5.00</w:t>
            </w:r>
          </w:p>
        </w:tc>
        <w:tc>
          <w:tcPr>
            <w:tcW w:w="1026" w:type="dxa"/>
          </w:tcPr>
          <w:p w14:paraId="60DA72F4"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CD0CE4">
              <w:rPr>
                <w:rFonts w:eastAsiaTheme="minorEastAsia" w:cstheme="majorHAnsi"/>
                <w:szCs w:val="17"/>
                <w:lang w:eastAsia="en-AU"/>
              </w:rPr>
              <w:t>5.00</w:t>
            </w:r>
          </w:p>
        </w:tc>
      </w:tr>
      <w:tr w:rsidR="008D6F13" w:rsidRPr="000E2E6A" w14:paraId="779E12F7" w14:textId="77777777" w:rsidTr="0031078F">
        <w:trPr>
          <w:cantSplit w:val="0"/>
        </w:trPr>
        <w:tc>
          <w:tcPr>
            <w:cnfStyle w:val="001000000000" w:firstRow="0" w:lastRow="0" w:firstColumn="1" w:lastColumn="0" w:oddVBand="0" w:evenVBand="0" w:oddHBand="0" w:evenHBand="0" w:firstRowFirstColumn="0" w:firstRowLastColumn="0" w:lastRowFirstColumn="0" w:lastRowLastColumn="0"/>
            <w:tcW w:w="2552" w:type="dxa"/>
          </w:tcPr>
          <w:p w14:paraId="36618BF8" w14:textId="77777777" w:rsidR="008D6F13" w:rsidRPr="000E2E6A" w:rsidRDefault="008D6F13" w:rsidP="0031078F">
            <w:pPr>
              <w:rPr>
                <w:rFonts w:eastAsia="Garamond" w:cs="Calibri"/>
                <w:szCs w:val="20"/>
                <w:lang w:eastAsia="en-AU"/>
              </w:rPr>
            </w:pPr>
          </w:p>
        </w:tc>
        <w:tc>
          <w:tcPr>
            <w:tcW w:w="1026" w:type="dxa"/>
          </w:tcPr>
          <w:p w14:paraId="574388C7"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i/>
                <w:iCs/>
                <w:szCs w:val="17"/>
                <w:lang w:eastAsia="en-AU"/>
              </w:rPr>
            </w:pPr>
          </w:p>
        </w:tc>
        <w:tc>
          <w:tcPr>
            <w:tcW w:w="1027" w:type="dxa"/>
            <w:gridSpan w:val="2"/>
          </w:tcPr>
          <w:p w14:paraId="54E31268"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i/>
                <w:iCs/>
                <w:szCs w:val="17"/>
                <w:lang w:eastAsia="en-AU"/>
              </w:rPr>
            </w:pPr>
            <w:r w:rsidRPr="00CD0CE4">
              <w:rPr>
                <w:rFonts w:eastAsiaTheme="minorEastAsia" w:cstheme="majorHAnsi"/>
                <w:i/>
                <w:iCs/>
                <w:szCs w:val="17"/>
                <w:lang w:eastAsia="en-AU"/>
              </w:rPr>
              <w:t>5.75</w:t>
            </w:r>
          </w:p>
        </w:tc>
        <w:tc>
          <w:tcPr>
            <w:tcW w:w="1026" w:type="dxa"/>
          </w:tcPr>
          <w:p w14:paraId="26461100"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i/>
                <w:iCs/>
                <w:szCs w:val="17"/>
                <w:lang w:eastAsia="en-AU"/>
              </w:rPr>
            </w:pPr>
            <w:r w:rsidRPr="00CD0CE4">
              <w:rPr>
                <w:rFonts w:eastAsiaTheme="minorEastAsia" w:cstheme="majorHAnsi"/>
                <w:i/>
                <w:iCs/>
                <w:szCs w:val="17"/>
                <w:lang w:eastAsia="en-AU"/>
              </w:rPr>
              <w:t>5.50</w:t>
            </w:r>
          </w:p>
        </w:tc>
        <w:tc>
          <w:tcPr>
            <w:tcW w:w="1027" w:type="dxa"/>
          </w:tcPr>
          <w:p w14:paraId="6906F215"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i/>
                <w:iCs/>
                <w:szCs w:val="17"/>
                <w:lang w:eastAsia="en-AU"/>
              </w:rPr>
            </w:pPr>
            <w:r w:rsidRPr="00CD0CE4">
              <w:rPr>
                <w:rFonts w:eastAsiaTheme="minorEastAsia" w:cstheme="majorHAnsi"/>
                <w:i/>
                <w:iCs/>
                <w:szCs w:val="17"/>
                <w:lang w:eastAsia="en-AU"/>
              </w:rPr>
              <w:t>5.25</w:t>
            </w:r>
          </w:p>
        </w:tc>
        <w:tc>
          <w:tcPr>
            <w:tcW w:w="1026" w:type="dxa"/>
          </w:tcPr>
          <w:p w14:paraId="4A81FB9A"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i/>
                <w:iCs/>
                <w:szCs w:val="17"/>
                <w:lang w:eastAsia="en-AU"/>
              </w:rPr>
            </w:pPr>
            <w:r w:rsidRPr="00CD0CE4">
              <w:rPr>
                <w:rFonts w:eastAsiaTheme="minorEastAsia" w:cstheme="majorHAnsi"/>
                <w:i/>
                <w:iCs/>
                <w:szCs w:val="17"/>
                <w:lang w:eastAsia="en-AU"/>
              </w:rPr>
              <w:t>5.25</w:t>
            </w:r>
          </w:p>
        </w:tc>
      </w:tr>
      <w:tr w:rsidR="008D6F13" w:rsidRPr="000E2E6A" w14:paraId="7043F747" w14:textId="77777777" w:rsidTr="0031078F">
        <w:trPr>
          <w:cantSplit w:val="0"/>
        </w:trPr>
        <w:tc>
          <w:tcPr>
            <w:cnfStyle w:val="001000000000" w:firstRow="0" w:lastRow="0" w:firstColumn="1" w:lastColumn="0" w:oddVBand="0" w:evenVBand="0" w:oddHBand="0" w:evenHBand="0" w:firstRowFirstColumn="0" w:firstRowLastColumn="0" w:lastRowFirstColumn="0" w:lastRowLastColumn="0"/>
            <w:tcW w:w="2552" w:type="dxa"/>
          </w:tcPr>
          <w:p w14:paraId="064A8DA3" w14:textId="77777777" w:rsidR="008D6F13" w:rsidRPr="000E2E6A" w:rsidRDefault="008D6F13" w:rsidP="0031078F">
            <w:pPr>
              <w:rPr>
                <w:rFonts w:eastAsia="Garamond" w:cs="Calibri"/>
                <w:szCs w:val="20"/>
                <w:lang w:eastAsia="en-AU"/>
              </w:rPr>
            </w:pPr>
            <w:r w:rsidRPr="000E2E6A">
              <w:rPr>
                <w:rFonts w:eastAsia="Garamond" w:cs="Calibri"/>
                <w:szCs w:val="20"/>
                <w:lang w:eastAsia="en-AU"/>
              </w:rPr>
              <w:t xml:space="preserve">Consumer price index </w:t>
            </w:r>
            <w:r w:rsidRPr="000E2E6A">
              <w:rPr>
                <w:rFonts w:eastAsia="Garamond" w:cs="Calibri"/>
                <w:szCs w:val="20"/>
                <w:vertAlign w:val="superscript"/>
                <w:lang w:eastAsia="en-AU"/>
              </w:rPr>
              <w:t>(c)</w:t>
            </w:r>
          </w:p>
        </w:tc>
        <w:tc>
          <w:tcPr>
            <w:tcW w:w="1026" w:type="dxa"/>
          </w:tcPr>
          <w:p w14:paraId="75285C16"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CD0CE4">
              <w:rPr>
                <w:rFonts w:eastAsiaTheme="minorEastAsia" w:cstheme="majorHAnsi"/>
                <w:szCs w:val="17"/>
                <w:lang w:eastAsia="en-AU"/>
              </w:rPr>
              <w:t>1.4</w:t>
            </w:r>
          </w:p>
        </w:tc>
        <w:tc>
          <w:tcPr>
            <w:tcW w:w="1027" w:type="dxa"/>
            <w:gridSpan w:val="2"/>
          </w:tcPr>
          <w:p w14:paraId="2861A8D6"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CD0CE4">
              <w:rPr>
                <w:rFonts w:eastAsiaTheme="minorEastAsia" w:cstheme="majorHAnsi"/>
                <w:szCs w:val="17"/>
                <w:lang w:eastAsia="en-AU"/>
              </w:rPr>
              <w:t>2.00</w:t>
            </w:r>
          </w:p>
        </w:tc>
        <w:tc>
          <w:tcPr>
            <w:tcW w:w="1026" w:type="dxa"/>
          </w:tcPr>
          <w:p w14:paraId="4596E27F"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CD0CE4">
              <w:rPr>
                <w:rFonts w:eastAsiaTheme="minorEastAsia" w:cstheme="majorHAnsi"/>
                <w:szCs w:val="17"/>
                <w:lang w:eastAsia="en-AU"/>
              </w:rPr>
              <w:t>1.75</w:t>
            </w:r>
          </w:p>
        </w:tc>
        <w:tc>
          <w:tcPr>
            <w:tcW w:w="1027" w:type="dxa"/>
          </w:tcPr>
          <w:p w14:paraId="487C0A49"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CD0CE4">
              <w:rPr>
                <w:rFonts w:eastAsiaTheme="minorEastAsia" w:cstheme="majorHAnsi"/>
                <w:szCs w:val="17"/>
                <w:lang w:eastAsia="en-AU"/>
              </w:rPr>
              <w:t>2.25</w:t>
            </w:r>
          </w:p>
        </w:tc>
        <w:tc>
          <w:tcPr>
            <w:tcW w:w="1026" w:type="dxa"/>
          </w:tcPr>
          <w:p w14:paraId="59A37ECA"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CD0CE4">
              <w:rPr>
                <w:rFonts w:eastAsiaTheme="minorEastAsia" w:cstheme="majorHAnsi"/>
                <w:szCs w:val="17"/>
                <w:lang w:eastAsia="en-AU"/>
              </w:rPr>
              <w:t>2.50</w:t>
            </w:r>
          </w:p>
        </w:tc>
      </w:tr>
      <w:tr w:rsidR="008D6F13" w:rsidRPr="000E2E6A" w14:paraId="398776D3" w14:textId="77777777" w:rsidTr="0031078F">
        <w:trPr>
          <w:cantSplit w:val="0"/>
        </w:trPr>
        <w:tc>
          <w:tcPr>
            <w:cnfStyle w:val="001000000000" w:firstRow="0" w:lastRow="0" w:firstColumn="1" w:lastColumn="0" w:oddVBand="0" w:evenVBand="0" w:oddHBand="0" w:evenHBand="0" w:firstRowFirstColumn="0" w:firstRowLastColumn="0" w:lastRowFirstColumn="0" w:lastRowLastColumn="0"/>
            <w:tcW w:w="2552" w:type="dxa"/>
          </w:tcPr>
          <w:p w14:paraId="7A724E35" w14:textId="77777777" w:rsidR="008D6F13" w:rsidRPr="000E2E6A" w:rsidRDefault="008D6F13" w:rsidP="0031078F">
            <w:pPr>
              <w:rPr>
                <w:rFonts w:eastAsia="Garamond" w:cs="Calibri"/>
                <w:i/>
                <w:szCs w:val="20"/>
                <w:lang w:eastAsia="en-AU"/>
              </w:rPr>
            </w:pPr>
          </w:p>
        </w:tc>
        <w:tc>
          <w:tcPr>
            <w:tcW w:w="1026" w:type="dxa"/>
          </w:tcPr>
          <w:p w14:paraId="0E2F4B5B"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i/>
                <w:iCs/>
                <w:szCs w:val="17"/>
                <w:lang w:eastAsia="en-AU"/>
              </w:rPr>
            </w:pPr>
          </w:p>
        </w:tc>
        <w:tc>
          <w:tcPr>
            <w:tcW w:w="1027" w:type="dxa"/>
            <w:gridSpan w:val="2"/>
          </w:tcPr>
          <w:p w14:paraId="476A9E87"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i/>
                <w:iCs/>
                <w:szCs w:val="17"/>
                <w:lang w:eastAsia="en-AU"/>
              </w:rPr>
            </w:pPr>
            <w:r w:rsidRPr="00CD0CE4">
              <w:rPr>
                <w:rFonts w:eastAsiaTheme="minorEastAsia" w:cstheme="majorHAnsi"/>
                <w:i/>
                <w:iCs/>
                <w:szCs w:val="17"/>
                <w:lang w:eastAsia="en-AU"/>
              </w:rPr>
              <w:t>1.50</w:t>
            </w:r>
          </w:p>
        </w:tc>
        <w:tc>
          <w:tcPr>
            <w:tcW w:w="1026" w:type="dxa"/>
          </w:tcPr>
          <w:p w14:paraId="60506AEC"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i/>
                <w:iCs/>
                <w:szCs w:val="17"/>
                <w:lang w:eastAsia="en-AU"/>
              </w:rPr>
            </w:pPr>
          </w:p>
        </w:tc>
        <w:tc>
          <w:tcPr>
            <w:tcW w:w="1027" w:type="dxa"/>
          </w:tcPr>
          <w:p w14:paraId="0822BD53"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i/>
                <w:iCs/>
                <w:szCs w:val="17"/>
                <w:lang w:eastAsia="en-AU"/>
              </w:rPr>
            </w:pPr>
            <w:r w:rsidRPr="00CD0CE4">
              <w:rPr>
                <w:rFonts w:eastAsiaTheme="minorEastAsia" w:cstheme="majorHAnsi"/>
                <w:i/>
                <w:iCs/>
                <w:szCs w:val="17"/>
                <w:lang w:eastAsia="en-AU"/>
              </w:rPr>
              <w:t>2.00</w:t>
            </w:r>
          </w:p>
        </w:tc>
        <w:tc>
          <w:tcPr>
            <w:tcW w:w="1026" w:type="dxa"/>
          </w:tcPr>
          <w:p w14:paraId="37C5C79C"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i/>
                <w:iCs/>
                <w:szCs w:val="17"/>
                <w:lang w:eastAsia="en-AU"/>
              </w:rPr>
            </w:pPr>
            <w:r w:rsidRPr="00CD0CE4">
              <w:rPr>
                <w:rFonts w:eastAsiaTheme="minorEastAsia" w:cstheme="majorHAnsi"/>
                <w:i/>
                <w:iCs/>
                <w:szCs w:val="17"/>
                <w:lang w:eastAsia="en-AU"/>
              </w:rPr>
              <w:t>2.25</w:t>
            </w:r>
          </w:p>
        </w:tc>
      </w:tr>
      <w:tr w:rsidR="008D6F13" w:rsidRPr="000E2E6A" w14:paraId="1707931E" w14:textId="77777777" w:rsidTr="0031078F">
        <w:trPr>
          <w:cantSplit w:val="0"/>
        </w:trPr>
        <w:tc>
          <w:tcPr>
            <w:cnfStyle w:val="001000000000" w:firstRow="0" w:lastRow="0" w:firstColumn="1" w:lastColumn="0" w:oddVBand="0" w:evenVBand="0" w:oddHBand="0" w:evenHBand="0" w:firstRowFirstColumn="0" w:firstRowLastColumn="0" w:lastRowFirstColumn="0" w:lastRowLastColumn="0"/>
            <w:tcW w:w="2552" w:type="dxa"/>
          </w:tcPr>
          <w:p w14:paraId="1CE65D9D" w14:textId="77777777" w:rsidR="008D6F13" w:rsidRPr="000E2E6A" w:rsidRDefault="008D6F13" w:rsidP="0031078F">
            <w:pPr>
              <w:rPr>
                <w:rFonts w:eastAsia="Garamond" w:cs="Calibri"/>
                <w:szCs w:val="20"/>
                <w:lang w:eastAsia="en-AU"/>
              </w:rPr>
            </w:pPr>
            <w:r w:rsidRPr="000E2E6A">
              <w:rPr>
                <w:rFonts w:eastAsia="Garamond" w:cs="Calibri"/>
                <w:szCs w:val="20"/>
                <w:lang w:eastAsia="en-AU"/>
              </w:rPr>
              <w:t xml:space="preserve">Wage price index </w:t>
            </w:r>
            <w:r w:rsidRPr="000E2E6A">
              <w:rPr>
                <w:rFonts w:eastAsia="Garamond" w:cs="Calibri"/>
                <w:szCs w:val="20"/>
                <w:vertAlign w:val="superscript"/>
                <w:lang w:eastAsia="en-AU"/>
              </w:rPr>
              <w:t>(d)</w:t>
            </w:r>
          </w:p>
        </w:tc>
        <w:tc>
          <w:tcPr>
            <w:tcW w:w="1026" w:type="dxa"/>
          </w:tcPr>
          <w:p w14:paraId="4CA20529" w14:textId="77777777" w:rsidR="008D6F13" w:rsidRPr="00835F98"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highlight w:val="yellow"/>
                <w:lang w:eastAsia="en-AU"/>
              </w:rPr>
            </w:pPr>
            <w:r w:rsidRPr="00A06158">
              <w:rPr>
                <w:rFonts w:eastAsiaTheme="minorEastAsia" w:cstheme="majorHAnsi"/>
                <w:szCs w:val="17"/>
                <w:lang w:eastAsia="en-AU"/>
              </w:rPr>
              <w:t>1.4</w:t>
            </w:r>
          </w:p>
        </w:tc>
        <w:tc>
          <w:tcPr>
            <w:tcW w:w="1027" w:type="dxa"/>
            <w:gridSpan w:val="2"/>
          </w:tcPr>
          <w:p w14:paraId="7EACC76A" w14:textId="77777777" w:rsidR="008D6F13" w:rsidRPr="00ED40E7"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ED40E7">
              <w:rPr>
                <w:rFonts w:eastAsiaTheme="minorEastAsia" w:cstheme="majorHAnsi"/>
                <w:szCs w:val="17"/>
                <w:lang w:eastAsia="en-AU"/>
              </w:rPr>
              <w:t>2.25</w:t>
            </w:r>
          </w:p>
        </w:tc>
        <w:tc>
          <w:tcPr>
            <w:tcW w:w="1026" w:type="dxa"/>
          </w:tcPr>
          <w:p w14:paraId="456B1F53" w14:textId="77777777" w:rsidR="008D6F13" w:rsidRPr="00ED40E7"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ED40E7">
              <w:rPr>
                <w:rFonts w:eastAsiaTheme="minorEastAsia" w:cstheme="majorHAnsi"/>
                <w:szCs w:val="17"/>
                <w:lang w:eastAsia="en-AU"/>
              </w:rPr>
              <w:t>2.50</w:t>
            </w:r>
          </w:p>
        </w:tc>
        <w:tc>
          <w:tcPr>
            <w:tcW w:w="1027" w:type="dxa"/>
          </w:tcPr>
          <w:p w14:paraId="399D89B2" w14:textId="77777777" w:rsidR="008D6F13" w:rsidRPr="00ED40E7"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ED40E7">
              <w:rPr>
                <w:rFonts w:eastAsiaTheme="minorEastAsia" w:cstheme="majorHAnsi"/>
                <w:szCs w:val="17"/>
                <w:lang w:eastAsia="en-AU"/>
              </w:rPr>
              <w:t>2.75</w:t>
            </w:r>
          </w:p>
        </w:tc>
        <w:tc>
          <w:tcPr>
            <w:tcW w:w="1026" w:type="dxa"/>
          </w:tcPr>
          <w:p w14:paraId="6BB843A2" w14:textId="77777777" w:rsidR="008D6F13" w:rsidRPr="00ED40E7"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ED40E7">
              <w:rPr>
                <w:rFonts w:eastAsiaTheme="minorEastAsia" w:cstheme="majorHAnsi"/>
                <w:szCs w:val="17"/>
                <w:lang w:eastAsia="en-AU"/>
              </w:rPr>
              <w:t>3.00</w:t>
            </w:r>
          </w:p>
        </w:tc>
      </w:tr>
      <w:tr w:rsidR="008D6F13" w:rsidRPr="000E2E6A" w14:paraId="087A97F0" w14:textId="77777777" w:rsidTr="0031078F">
        <w:trPr>
          <w:cantSplit w:val="0"/>
        </w:trPr>
        <w:tc>
          <w:tcPr>
            <w:cnfStyle w:val="001000000000" w:firstRow="0" w:lastRow="0" w:firstColumn="1" w:lastColumn="0" w:oddVBand="0" w:evenVBand="0" w:oddHBand="0" w:evenHBand="0" w:firstRowFirstColumn="0" w:firstRowLastColumn="0" w:lastRowFirstColumn="0" w:lastRowLastColumn="0"/>
            <w:tcW w:w="2552" w:type="dxa"/>
          </w:tcPr>
          <w:p w14:paraId="18A3A3B8" w14:textId="77777777" w:rsidR="008D6F13" w:rsidRPr="000E2E6A" w:rsidRDefault="008D6F13" w:rsidP="0031078F">
            <w:pPr>
              <w:rPr>
                <w:rFonts w:eastAsia="Garamond" w:cs="Calibri"/>
                <w:szCs w:val="20"/>
                <w:lang w:eastAsia="en-AU"/>
              </w:rPr>
            </w:pPr>
          </w:p>
        </w:tc>
        <w:tc>
          <w:tcPr>
            <w:tcW w:w="1026" w:type="dxa"/>
          </w:tcPr>
          <w:p w14:paraId="58CC77B3"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p>
        </w:tc>
        <w:tc>
          <w:tcPr>
            <w:tcW w:w="1027" w:type="dxa"/>
            <w:gridSpan w:val="2"/>
          </w:tcPr>
          <w:p w14:paraId="3718EE29"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i/>
                <w:iCs/>
                <w:szCs w:val="17"/>
                <w:lang w:eastAsia="en-AU"/>
              </w:rPr>
            </w:pPr>
            <w:r w:rsidRPr="00CD0CE4">
              <w:rPr>
                <w:rFonts w:eastAsiaTheme="minorEastAsia" w:cstheme="majorHAnsi"/>
                <w:i/>
                <w:iCs/>
                <w:szCs w:val="17"/>
                <w:lang w:eastAsia="en-AU"/>
              </w:rPr>
              <w:t>1.75</w:t>
            </w:r>
          </w:p>
        </w:tc>
        <w:tc>
          <w:tcPr>
            <w:tcW w:w="1026" w:type="dxa"/>
          </w:tcPr>
          <w:p w14:paraId="52757675"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i/>
                <w:iCs/>
                <w:szCs w:val="17"/>
                <w:lang w:eastAsia="en-AU"/>
              </w:rPr>
            </w:pPr>
            <w:r w:rsidRPr="00CD0CE4">
              <w:rPr>
                <w:rFonts w:eastAsiaTheme="minorEastAsia" w:cstheme="majorHAnsi"/>
                <w:i/>
                <w:iCs/>
                <w:szCs w:val="17"/>
                <w:lang w:eastAsia="en-AU"/>
              </w:rPr>
              <w:t>2.00</w:t>
            </w:r>
          </w:p>
        </w:tc>
        <w:tc>
          <w:tcPr>
            <w:tcW w:w="1027" w:type="dxa"/>
          </w:tcPr>
          <w:p w14:paraId="7F4E3EFE"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i/>
                <w:iCs/>
                <w:szCs w:val="17"/>
                <w:lang w:eastAsia="en-AU"/>
              </w:rPr>
            </w:pPr>
            <w:r w:rsidRPr="00CD0CE4">
              <w:rPr>
                <w:rFonts w:eastAsiaTheme="minorEastAsia" w:cstheme="majorHAnsi"/>
                <w:i/>
                <w:iCs/>
                <w:szCs w:val="17"/>
                <w:lang w:eastAsia="en-AU"/>
              </w:rPr>
              <w:t>2.25</w:t>
            </w:r>
          </w:p>
        </w:tc>
        <w:tc>
          <w:tcPr>
            <w:tcW w:w="1026" w:type="dxa"/>
          </w:tcPr>
          <w:p w14:paraId="77D383F7"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i/>
                <w:iCs/>
                <w:szCs w:val="17"/>
                <w:lang w:eastAsia="en-AU"/>
              </w:rPr>
            </w:pPr>
            <w:r w:rsidRPr="00CD0CE4">
              <w:rPr>
                <w:rFonts w:eastAsiaTheme="minorEastAsia" w:cstheme="majorHAnsi"/>
                <w:i/>
                <w:iCs/>
                <w:szCs w:val="17"/>
                <w:lang w:eastAsia="en-AU"/>
              </w:rPr>
              <w:t>2.50</w:t>
            </w:r>
          </w:p>
        </w:tc>
      </w:tr>
      <w:tr w:rsidR="008D6F13" w:rsidRPr="000E2E6A" w14:paraId="60F05F64" w14:textId="77777777" w:rsidTr="00CB5E47">
        <w:trPr>
          <w:cantSplit w:val="0"/>
        </w:trPr>
        <w:tc>
          <w:tcPr>
            <w:cnfStyle w:val="001000000000" w:firstRow="0" w:lastRow="0" w:firstColumn="1" w:lastColumn="0" w:oddVBand="0" w:evenVBand="0" w:oddHBand="0" w:evenHBand="0" w:firstRowFirstColumn="0" w:firstRowLastColumn="0" w:lastRowFirstColumn="0" w:lastRowLastColumn="0"/>
            <w:tcW w:w="2552" w:type="dxa"/>
          </w:tcPr>
          <w:p w14:paraId="622399BE" w14:textId="77777777" w:rsidR="008D6F13" w:rsidRPr="000E2E6A" w:rsidRDefault="008D6F13" w:rsidP="0031078F">
            <w:pPr>
              <w:rPr>
                <w:rFonts w:eastAsia="Garamond" w:cs="Calibri"/>
                <w:szCs w:val="20"/>
                <w:lang w:eastAsia="en-AU"/>
              </w:rPr>
            </w:pPr>
            <w:r w:rsidRPr="000E2E6A">
              <w:rPr>
                <w:rFonts w:eastAsia="Garamond" w:cs="Calibri"/>
                <w:szCs w:val="20"/>
                <w:lang w:eastAsia="en-AU"/>
              </w:rPr>
              <w:t xml:space="preserve">Population </w:t>
            </w:r>
            <w:r w:rsidRPr="000E2E6A">
              <w:rPr>
                <w:rFonts w:eastAsia="Garamond" w:cs="Calibri"/>
                <w:szCs w:val="20"/>
                <w:vertAlign w:val="superscript"/>
                <w:lang w:eastAsia="en-AU"/>
              </w:rPr>
              <w:t>(e)</w:t>
            </w:r>
          </w:p>
        </w:tc>
        <w:tc>
          <w:tcPr>
            <w:tcW w:w="1200" w:type="dxa"/>
            <w:gridSpan w:val="2"/>
          </w:tcPr>
          <w:p w14:paraId="0ACDF9C6"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CD0CE4">
              <w:rPr>
                <w:rFonts w:eastAsiaTheme="minorEastAsia" w:cstheme="majorHAnsi"/>
                <w:szCs w:val="17"/>
                <w:lang w:eastAsia="en-AU"/>
              </w:rPr>
              <w:t xml:space="preserve">(0.7) </w:t>
            </w:r>
            <w:r w:rsidRPr="00CD0CE4">
              <w:rPr>
                <w:rFonts w:eastAsiaTheme="minorEastAsia" w:cstheme="majorHAnsi"/>
                <w:szCs w:val="17"/>
                <w:vertAlign w:val="superscript"/>
                <w:lang w:eastAsia="en-AU"/>
              </w:rPr>
              <w:t>(f)</w:t>
            </w:r>
          </w:p>
        </w:tc>
        <w:tc>
          <w:tcPr>
            <w:tcW w:w="853" w:type="dxa"/>
          </w:tcPr>
          <w:p w14:paraId="1AF3DC0D"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CD0CE4">
              <w:rPr>
                <w:rFonts w:eastAsiaTheme="minorEastAsia" w:cstheme="majorHAnsi"/>
                <w:szCs w:val="17"/>
                <w:lang w:eastAsia="en-AU"/>
              </w:rPr>
              <w:t>0.20</w:t>
            </w:r>
          </w:p>
        </w:tc>
        <w:tc>
          <w:tcPr>
            <w:tcW w:w="1026" w:type="dxa"/>
          </w:tcPr>
          <w:p w14:paraId="184D9E44"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CD0CE4">
              <w:rPr>
                <w:rFonts w:eastAsiaTheme="minorEastAsia" w:cstheme="majorHAnsi"/>
                <w:szCs w:val="17"/>
                <w:lang w:eastAsia="en-AU"/>
              </w:rPr>
              <w:t>1.20</w:t>
            </w:r>
          </w:p>
        </w:tc>
        <w:tc>
          <w:tcPr>
            <w:tcW w:w="1027" w:type="dxa"/>
          </w:tcPr>
          <w:p w14:paraId="74BD4B60"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CD0CE4">
              <w:rPr>
                <w:rFonts w:eastAsiaTheme="minorEastAsia" w:cstheme="majorHAnsi"/>
                <w:szCs w:val="17"/>
                <w:lang w:eastAsia="en-AU"/>
              </w:rPr>
              <w:t>1.70</w:t>
            </w:r>
          </w:p>
        </w:tc>
        <w:tc>
          <w:tcPr>
            <w:tcW w:w="1026" w:type="dxa"/>
          </w:tcPr>
          <w:p w14:paraId="1D019651"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CD0CE4">
              <w:rPr>
                <w:rFonts w:eastAsiaTheme="minorEastAsia" w:cstheme="majorHAnsi"/>
                <w:szCs w:val="17"/>
                <w:lang w:eastAsia="en-AU"/>
              </w:rPr>
              <w:t>1.70</w:t>
            </w:r>
          </w:p>
        </w:tc>
      </w:tr>
      <w:tr w:rsidR="008D6F13" w:rsidRPr="000E2E6A" w14:paraId="312DA5C8" w14:textId="77777777" w:rsidTr="0031078F">
        <w:trPr>
          <w:cantSplit w:val="0"/>
        </w:trPr>
        <w:tc>
          <w:tcPr>
            <w:cnfStyle w:val="001000000000" w:firstRow="0" w:lastRow="0" w:firstColumn="1" w:lastColumn="0" w:oddVBand="0" w:evenVBand="0" w:oddHBand="0" w:evenHBand="0" w:firstRowFirstColumn="0" w:firstRowLastColumn="0" w:lastRowFirstColumn="0" w:lastRowLastColumn="0"/>
            <w:tcW w:w="2552" w:type="dxa"/>
          </w:tcPr>
          <w:p w14:paraId="0088617D" w14:textId="77777777" w:rsidR="008D6F13" w:rsidRPr="000E2E6A" w:rsidRDefault="008D6F13" w:rsidP="0031078F">
            <w:pPr>
              <w:rPr>
                <w:rFonts w:eastAsia="Garamond" w:cs="Calibri"/>
                <w:szCs w:val="20"/>
                <w:lang w:eastAsia="en-AU"/>
              </w:rPr>
            </w:pPr>
          </w:p>
        </w:tc>
        <w:tc>
          <w:tcPr>
            <w:tcW w:w="1026" w:type="dxa"/>
          </w:tcPr>
          <w:p w14:paraId="0B10A9F1"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i/>
                <w:iCs/>
                <w:szCs w:val="17"/>
                <w:lang w:eastAsia="en-AU"/>
              </w:rPr>
            </w:pPr>
            <w:r w:rsidRPr="00CD0CE4">
              <w:rPr>
                <w:rFonts w:eastAsiaTheme="minorEastAsia" w:cstheme="majorHAnsi"/>
                <w:i/>
                <w:iCs/>
                <w:szCs w:val="17"/>
                <w:lang w:eastAsia="en-AU"/>
              </w:rPr>
              <w:t>0.0</w:t>
            </w:r>
          </w:p>
        </w:tc>
        <w:tc>
          <w:tcPr>
            <w:tcW w:w="1027" w:type="dxa"/>
            <w:gridSpan w:val="2"/>
          </w:tcPr>
          <w:p w14:paraId="19543881"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i/>
                <w:iCs/>
                <w:szCs w:val="17"/>
                <w:lang w:eastAsia="en-AU"/>
              </w:rPr>
            </w:pPr>
            <w:r w:rsidRPr="00CD0CE4">
              <w:rPr>
                <w:rFonts w:eastAsiaTheme="minorEastAsia" w:cstheme="majorHAnsi"/>
                <w:i/>
                <w:iCs/>
                <w:szCs w:val="17"/>
                <w:lang w:eastAsia="en-AU"/>
              </w:rPr>
              <w:t>0.30</w:t>
            </w:r>
          </w:p>
        </w:tc>
        <w:tc>
          <w:tcPr>
            <w:tcW w:w="1026" w:type="dxa"/>
          </w:tcPr>
          <w:p w14:paraId="4F086373"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p>
        </w:tc>
        <w:tc>
          <w:tcPr>
            <w:tcW w:w="1027" w:type="dxa"/>
          </w:tcPr>
          <w:p w14:paraId="0FDC05EA"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p>
        </w:tc>
        <w:tc>
          <w:tcPr>
            <w:tcW w:w="1026" w:type="dxa"/>
          </w:tcPr>
          <w:p w14:paraId="06DB969C" w14:textId="77777777" w:rsidR="008D6F13" w:rsidRPr="00CD0CE4" w:rsidRDefault="008D6F13" w:rsidP="0031078F">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p>
        </w:tc>
      </w:tr>
    </w:tbl>
    <w:p w14:paraId="3F3DAB98" w14:textId="77777777" w:rsidR="008D6F13" w:rsidRPr="000E2E6A" w:rsidRDefault="008D6F13" w:rsidP="008D6F13">
      <w:pPr>
        <w:pStyle w:val="Source"/>
      </w:pPr>
      <w:r w:rsidRPr="000E2E6A">
        <w:t>Sources: Department of Treasury and Finance; Australian Bureau of Statistics</w:t>
      </w:r>
    </w:p>
    <w:p w14:paraId="3BECBA10" w14:textId="77777777" w:rsidR="008D6F13" w:rsidRPr="000E2E6A" w:rsidRDefault="008D6F13" w:rsidP="008D6F13">
      <w:pPr>
        <w:pStyle w:val="Note"/>
      </w:pPr>
      <w:r w:rsidRPr="000E2E6A">
        <w:t xml:space="preserve">Notes: </w:t>
      </w:r>
    </w:p>
    <w:p w14:paraId="03AADB79" w14:textId="77777777" w:rsidR="008D6F13" w:rsidRPr="000E2E6A" w:rsidRDefault="008D6F13" w:rsidP="008D6F13">
      <w:pPr>
        <w:pStyle w:val="Note"/>
      </w:pPr>
      <w:r w:rsidRPr="000E2E6A">
        <w:t>(a)</w:t>
      </w:r>
      <w:r w:rsidRPr="000E2E6A">
        <w:tab/>
        <w:t>Percentage change in year average terms compared with previous year, except for the unemployment rate (see note (b)) and population (see note (e)). Forecasts are rounded to the nearest 0.25 percentage points, except for population (see note (e)).</w:t>
      </w:r>
    </w:p>
    <w:p w14:paraId="4CB25466" w14:textId="77777777" w:rsidR="008D6F13" w:rsidRPr="000E2E6A" w:rsidRDefault="008D6F13" w:rsidP="008D6F13">
      <w:pPr>
        <w:pStyle w:val="Note"/>
      </w:pPr>
      <w:r w:rsidRPr="000E2E6A">
        <w:tab/>
        <w:t xml:space="preserve">The key assumptions underlying the economic forecasts </w:t>
      </w:r>
      <w:proofErr w:type="gramStart"/>
      <w:r w:rsidRPr="000E2E6A">
        <w:t>include</w:t>
      </w:r>
      <w:r>
        <w:t>:</w:t>
      </w:r>
      <w:proofErr w:type="gramEnd"/>
      <w:r w:rsidRPr="000E2E6A">
        <w:t xml:space="preserve"> </w:t>
      </w:r>
      <w:r w:rsidRPr="002304A0">
        <w:t>interest rates that broadly follow market economists’ expectations</w:t>
      </w:r>
      <w:r>
        <w:t xml:space="preserve">; </w:t>
      </w:r>
      <w:r w:rsidRPr="007D297B">
        <w:t xml:space="preserve">an Australian dollar trade-weighted index of </w:t>
      </w:r>
      <w:r w:rsidRPr="00E431E4">
        <w:t>61.2</w:t>
      </w:r>
      <w:r w:rsidRPr="000E2E6A">
        <w:t xml:space="preserve">; and oil prices that follow the path suggested by </w:t>
      </w:r>
      <w:r>
        <w:t xml:space="preserve">oil </w:t>
      </w:r>
      <w:r w:rsidRPr="000E2E6A">
        <w:t xml:space="preserve">futures. </w:t>
      </w:r>
    </w:p>
    <w:p w14:paraId="705CA3AB" w14:textId="77777777" w:rsidR="008D6F13" w:rsidRPr="000E2E6A" w:rsidRDefault="008D6F13" w:rsidP="008D6F13">
      <w:pPr>
        <w:pStyle w:val="Note"/>
      </w:pPr>
      <w:r w:rsidRPr="000E2E6A">
        <w:t>(b)</w:t>
      </w:r>
      <w:r w:rsidRPr="000E2E6A">
        <w:tab/>
        <w:t>Year average</w:t>
      </w:r>
      <w:r>
        <w:t>.</w:t>
      </w:r>
    </w:p>
    <w:p w14:paraId="2CFFD66D" w14:textId="77777777" w:rsidR="008D6F13" w:rsidRPr="000E2E6A" w:rsidRDefault="008D6F13" w:rsidP="008D6F13">
      <w:pPr>
        <w:pStyle w:val="Note"/>
      </w:pPr>
      <w:r w:rsidRPr="000E2E6A">
        <w:t>(c)</w:t>
      </w:r>
      <w:r w:rsidRPr="000E2E6A">
        <w:tab/>
        <w:t>Melbourne consumer price index.</w:t>
      </w:r>
    </w:p>
    <w:p w14:paraId="6DD1DE73" w14:textId="77777777" w:rsidR="008D6F13" w:rsidRPr="000E2E6A" w:rsidRDefault="008D6F13" w:rsidP="008D6F13">
      <w:pPr>
        <w:pStyle w:val="Note"/>
      </w:pPr>
      <w:r w:rsidRPr="000E2E6A">
        <w:t>(d)</w:t>
      </w:r>
      <w:r w:rsidRPr="000E2E6A">
        <w:tab/>
        <w:t>Wage price index, Victoria (based on total hourly rates of pay, excluding bonuses).</w:t>
      </w:r>
    </w:p>
    <w:p w14:paraId="274FCD3A" w14:textId="77777777" w:rsidR="008D6F13" w:rsidRPr="000E2E6A" w:rsidRDefault="008D6F13" w:rsidP="008D6F13">
      <w:pPr>
        <w:pStyle w:val="Note"/>
      </w:pPr>
      <w:r w:rsidRPr="000E2E6A">
        <w:t>(e)</w:t>
      </w:r>
      <w:r w:rsidRPr="000E2E6A">
        <w:tab/>
        <w:t>Percentage change over the year to 30 June. Forecasts are rounded to the nearest 0.1 percentage point.</w:t>
      </w:r>
    </w:p>
    <w:p w14:paraId="3B80EFD4" w14:textId="77777777" w:rsidR="008D6F13" w:rsidRPr="000E2E6A" w:rsidRDefault="008D6F13" w:rsidP="008D6F13">
      <w:pPr>
        <w:pStyle w:val="Note"/>
      </w:pPr>
      <w:r w:rsidRPr="000E2E6A">
        <w:t>(f)</w:t>
      </w:r>
      <w:r w:rsidRPr="000E2E6A">
        <w:tab/>
        <w:t>Estimate, actual not yet available.</w:t>
      </w:r>
    </w:p>
    <w:p w14:paraId="5C7D75F9" w14:textId="77777777" w:rsidR="008D6F13" w:rsidRDefault="008D6F13" w:rsidP="008D6F13"/>
    <w:p w14:paraId="5423C91E" w14:textId="0E68F2E3" w:rsidR="008D6F13" w:rsidRPr="00FE0E34" w:rsidRDefault="008D6F13" w:rsidP="008D6F13">
      <w:pPr>
        <w:pStyle w:val="HighlightBoxHeading"/>
      </w:pPr>
      <w:r w:rsidRPr="0033178F">
        <w:t>Box 2.1</w:t>
      </w:r>
      <w:r w:rsidRPr="001D2C22">
        <w:t>:</w:t>
      </w:r>
      <w:r w:rsidR="00216BE3">
        <w:tab/>
      </w:r>
      <w:r>
        <w:t>Key forecast assumptions</w:t>
      </w:r>
    </w:p>
    <w:p w14:paraId="7BE760CE" w14:textId="77777777" w:rsidR="008D6F13" w:rsidRDefault="008D6F13" w:rsidP="00216BE3">
      <w:pPr>
        <w:pStyle w:val="HighlightBoxText"/>
      </w:pPr>
      <w:r>
        <w:t xml:space="preserve">The economic forecasts presented in this chapter depend on underlying assumptions about public health measures and the resumption of international people movements, among other factors. The key assumptions are outlined below. Other factors that may affect the forecasts are discussed in the risks section in this chapter. </w:t>
      </w:r>
    </w:p>
    <w:p w14:paraId="7679C807" w14:textId="60D36FE5" w:rsidR="008D6F13" w:rsidRPr="00216BE3" w:rsidRDefault="008D6F13" w:rsidP="00216BE3">
      <w:pPr>
        <w:pStyle w:val="HighlightBoxBullet"/>
      </w:pPr>
      <w:r w:rsidRPr="00216BE3">
        <w:t xml:space="preserve">No further state-wide and citywide lockdowns are assumed, in line with the </w:t>
      </w:r>
      <w:r w:rsidRPr="00216BE3">
        <w:rPr>
          <w:i/>
          <w:iCs/>
        </w:rPr>
        <w:t>National Plan to Transition Australia’s National COVID-19 Response</w:t>
      </w:r>
      <w:r w:rsidRPr="00216BE3">
        <w:t xml:space="preserve"> and Victoria’s </w:t>
      </w:r>
      <w:r w:rsidRPr="00216BE3">
        <w:rPr>
          <w:i/>
          <w:iCs/>
        </w:rPr>
        <w:t>Roadmap to Deliver the National Plan</w:t>
      </w:r>
      <w:r w:rsidRPr="00216BE3">
        <w:t>.</w:t>
      </w:r>
    </w:p>
    <w:p w14:paraId="38FBA4DC" w14:textId="77777777" w:rsidR="008D6F13" w:rsidRPr="00216BE3" w:rsidRDefault="008D6F13" w:rsidP="00216BE3">
      <w:pPr>
        <w:pStyle w:val="HighlightBoxBullet"/>
      </w:pPr>
      <w:r w:rsidRPr="00216BE3">
        <w:t>Migrant flows remain low until mid-2022 before gradually picking up, with international students slowly returning from late 2021 and tourist numbers picking up throughout 2022 as more countries are added to the quarantine-free travel agreement.</w:t>
      </w:r>
    </w:p>
    <w:p w14:paraId="28F0708D" w14:textId="77777777" w:rsidR="008D6F13" w:rsidRDefault="008D6F13" w:rsidP="008D6F13">
      <w:pPr>
        <w:keepLines w:val="0"/>
      </w:pPr>
      <w:r>
        <w:br w:type="page"/>
      </w:r>
    </w:p>
    <w:p w14:paraId="2B1AA8E4" w14:textId="136DF96D" w:rsidR="008D6F13" w:rsidRPr="00FE0E34" w:rsidRDefault="008D6F13" w:rsidP="008D6F13">
      <w:pPr>
        <w:pStyle w:val="HighlightBoxHeading"/>
      </w:pPr>
      <w:r w:rsidRPr="001D2C22">
        <w:lastRenderedPageBreak/>
        <w:t xml:space="preserve">Box </w:t>
      </w:r>
      <w:r w:rsidRPr="0033178F">
        <w:t>2.2</w:t>
      </w:r>
      <w:r w:rsidRPr="001D2C22">
        <w:t>:</w:t>
      </w:r>
      <w:r w:rsidR="00216BE3">
        <w:tab/>
      </w:r>
      <w:r>
        <w:t xml:space="preserve">Victoria’s economic performance </w:t>
      </w:r>
      <w:r w:rsidRPr="009F2BC7">
        <w:t>during recent restrictions</w:t>
      </w:r>
    </w:p>
    <w:p w14:paraId="38CDFA3C" w14:textId="77777777" w:rsidR="008D6F13" w:rsidRDefault="008D6F13" w:rsidP="008D6F13">
      <w:pPr>
        <w:pStyle w:val="HighlightBoxText"/>
      </w:pPr>
      <w:r>
        <w:t>The Victorian economy was recovering strongly from the effects of COVID-19 and related restrictions in 2020 prior to the most recent restrictions, which were necessary to protect the community from the Delta variant.</w:t>
      </w:r>
    </w:p>
    <w:p w14:paraId="5105AD9B" w14:textId="77777777" w:rsidR="008D6F13" w:rsidRPr="00E76B62" w:rsidRDefault="008D6F13" w:rsidP="008D6F13">
      <w:pPr>
        <w:pStyle w:val="HighlightBoxText"/>
      </w:pPr>
      <w:r>
        <w:t xml:space="preserve">The restrictions that were in place from early August to the end of October limited activity across many industries, with hospitality, arts and recreation, non-essential </w:t>
      </w:r>
      <w:proofErr w:type="gramStart"/>
      <w:r>
        <w:t>retail</w:t>
      </w:r>
      <w:proofErr w:type="gramEnd"/>
      <w:r>
        <w:t xml:space="preserve"> and construction particularly affected. </w:t>
      </w:r>
    </w:p>
    <w:p w14:paraId="61E1FD08" w14:textId="77777777" w:rsidR="008D6F13" w:rsidRDefault="008D6F13" w:rsidP="008D6F13">
      <w:pPr>
        <w:pStyle w:val="HighlightBoxText"/>
      </w:pPr>
      <w:r>
        <w:t xml:space="preserve">While the latest restrictions led to a decline in activity and employment, the economy proved more resilient than in the June and September quarters </w:t>
      </w:r>
      <w:r w:rsidRPr="000D3040">
        <w:t>2020</w:t>
      </w:r>
      <w:r>
        <w:t xml:space="preserve"> when restrictions were in place to contain the initial waves of COVID-19 in Victoria</w:t>
      </w:r>
      <w:r w:rsidRPr="000D3040">
        <w:t xml:space="preserve"> (see </w:t>
      </w:r>
      <w:r>
        <w:t>C</w:t>
      </w:r>
      <w:r w:rsidRPr="000D3040">
        <w:t>hart </w:t>
      </w:r>
      <w:r w:rsidRPr="0033178F">
        <w:t>2.1 and Chart 2.2).</w:t>
      </w:r>
    </w:p>
    <w:p w14:paraId="35B5010F" w14:textId="77777777" w:rsidR="008D6F13" w:rsidRDefault="008D6F13" w:rsidP="008D6F13">
      <w:pPr>
        <w:pStyle w:val="HighlightBoxText"/>
      </w:pPr>
      <w:bookmarkStart w:id="16" w:name="_Hlk88677655"/>
      <w:r>
        <w:t xml:space="preserve">For example, while employment has fallen below pre-pandemic levels, it </w:t>
      </w:r>
      <w:r w:rsidRPr="00DC241C">
        <w:t>remains 1</w:t>
      </w:r>
      <w:r>
        <w:t>12 400 persons</w:t>
      </w:r>
      <w:r w:rsidRPr="00DC241C">
        <w:t xml:space="preserve"> a</w:t>
      </w:r>
      <w:r>
        <w:t>bove its trough in September 2020. Total hours worked – a measure more closely aligned with economic activity – fell from August to October but remains 4.6 per cent above the low reached in September 2020. Similarly, business and consumer sentiment have largely remained in positive territory through this year, in contrast to the record lows seen during the tight restrictions in 2020. Retail sales remained well above the levels recorded in 2020, and surveyed business conditions also remained positive, in contrast to the negative levels reported last year.</w:t>
      </w:r>
    </w:p>
    <w:bookmarkEnd w:id="16"/>
    <w:p w14:paraId="7BF67E87" w14:textId="77777777" w:rsidR="008D6F13" w:rsidRPr="00C77B53" w:rsidRDefault="008D6F13" w:rsidP="008D6F13">
      <w:pPr>
        <w:pStyle w:val="HighlightBoxHeading"/>
        <w:tabs>
          <w:tab w:val="left" w:pos="993"/>
        </w:tabs>
        <w:rPr>
          <w:sz w:val="20"/>
          <w:szCs w:val="20"/>
          <w:vertAlign w:val="superscript"/>
        </w:rPr>
      </w:pPr>
      <w:r w:rsidRPr="0033178F">
        <w:rPr>
          <w:sz w:val="20"/>
          <w:szCs w:val="20"/>
        </w:rPr>
        <w:t>Chart 2.1:</w:t>
      </w:r>
      <w:r w:rsidRPr="00DC583F">
        <w:rPr>
          <w:sz w:val="20"/>
          <w:szCs w:val="20"/>
        </w:rPr>
        <w:t xml:space="preserve"> </w:t>
      </w:r>
      <w:r>
        <w:rPr>
          <w:sz w:val="20"/>
          <w:szCs w:val="20"/>
        </w:rPr>
        <w:tab/>
      </w:r>
      <w:r w:rsidRPr="00DC583F">
        <w:rPr>
          <w:sz w:val="20"/>
          <w:szCs w:val="20"/>
        </w:rPr>
        <w:t xml:space="preserve">Victorian labour market indicators and NAB business survey </w:t>
      </w:r>
      <w:r>
        <w:rPr>
          <w:sz w:val="20"/>
          <w:szCs w:val="20"/>
          <w:vertAlign w:val="superscript"/>
        </w:rPr>
        <w:t>(a)</w:t>
      </w:r>
    </w:p>
    <w:p w14:paraId="3A60F854" w14:textId="77777777" w:rsidR="008D6F13" w:rsidRDefault="008D6F13" w:rsidP="008D6F13">
      <w:pPr>
        <w:pStyle w:val="HighlightBoxText"/>
        <w:rPr>
          <w:noProof/>
        </w:rPr>
      </w:pPr>
      <w:r w:rsidRPr="00754C67">
        <w:rPr>
          <w:noProof/>
        </w:rPr>
        <w:t xml:space="preserve"> </w:t>
      </w:r>
      <w:r w:rsidRPr="002304DD">
        <w:rPr>
          <w:noProof/>
        </w:rPr>
        <w:t xml:space="preserve"> </w:t>
      </w:r>
      <w:r>
        <w:rPr>
          <w:noProof/>
        </w:rPr>
        <w:drawing>
          <wp:inline distT="0" distB="0" distL="0" distR="0" wp14:anchorId="4299D0CB" wp14:editId="3CAB4A7E">
            <wp:extent cx="2332990" cy="2583107"/>
            <wp:effectExtent l="0" t="0" r="0" b="0"/>
            <wp:docPr id="7" name="Chart 7">
              <a:extLst xmlns:a="http://schemas.openxmlformats.org/drawingml/2006/main">
                <a:ext uri="{FF2B5EF4-FFF2-40B4-BE49-F238E27FC236}">
                  <a16:creationId xmlns:a16="http://schemas.microsoft.com/office/drawing/2014/main" id="{815C24B5-0DDF-4E0D-945E-0B4D42B525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3C5EE5">
        <w:rPr>
          <w:noProof/>
        </w:rPr>
        <w:t xml:space="preserve"> </w:t>
      </w:r>
      <w:r>
        <w:rPr>
          <w:noProof/>
        </w:rPr>
        <w:drawing>
          <wp:inline distT="0" distB="0" distL="0" distR="0" wp14:anchorId="6DAD4156" wp14:editId="12559C44">
            <wp:extent cx="2272030" cy="2566035"/>
            <wp:effectExtent l="0" t="0" r="0" b="0"/>
            <wp:docPr id="8" name="Chart 8">
              <a:extLst xmlns:a="http://schemas.openxmlformats.org/drawingml/2006/main">
                <a:ext uri="{FF2B5EF4-FFF2-40B4-BE49-F238E27FC236}">
                  <a16:creationId xmlns:a16="http://schemas.microsoft.com/office/drawing/2014/main" id="{A2805805-8534-47FE-9A9A-D9E7E3D6E8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5238EF3" w14:textId="77777777" w:rsidR="008D6F13" w:rsidRPr="00216BE3" w:rsidRDefault="008D6F13" w:rsidP="00216BE3">
      <w:pPr>
        <w:pStyle w:val="HighlightBoxSource"/>
      </w:pPr>
      <w:r w:rsidRPr="00216BE3">
        <w:t>Sources: Department of Treasury and Finance, Australian Bureau of Statistics, National Australia Bank</w:t>
      </w:r>
    </w:p>
    <w:p w14:paraId="302FD15A" w14:textId="77777777" w:rsidR="008D6F13" w:rsidRPr="00CB5E47" w:rsidRDefault="008D6F13" w:rsidP="00CB5E47">
      <w:pPr>
        <w:pStyle w:val="HighlightBoxNote"/>
        <w:rPr>
          <w:rStyle w:val="NoteChar"/>
          <w:rFonts w:ascii="Calibri" w:hAnsi="Calibri"/>
          <w:i/>
        </w:rPr>
      </w:pPr>
      <w:r w:rsidRPr="00CB5E47">
        <w:rPr>
          <w:rStyle w:val="NoteChar"/>
          <w:rFonts w:ascii="Calibri" w:hAnsi="Calibri"/>
          <w:i/>
        </w:rPr>
        <w:t xml:space="preserve">Note: </w:t>
      </w:r>
    </w:p>
    <w:p w14:paraId="357F31B4" w14:textId="77777777" w:rsidR="008D6F13" w:rsidRPr="00003832" w:rsidRDefault="008D6F13" w:rsidP="00CB5E47">
      <w:pPr>
        <w:pStyle w:val="HighlightBoxNote"/>
      </w:pPr>
      <w:r w:rsidRPr="00CB5E47">
        <w:t>(</w:t>
      </w:r>
      <w:r w:rsidRPr="00CB5E47">
        <w:rPr>
          <w:rStyle w:val="NoteChar"/>
          <w:rFonts w:ascii="Calibri" w:hAnsi="Calibri"/>
          <w:i/>
        </w:rPr>
        <w:t>a)</w:t>
      </w:r>
      <w:r w:rsidRPr="00CB5E47">
        <w:rPr>
          <w:rStyle w:val="NoteChar"/>
          <w:rFonts w:ascii="Calibri" w:hAnsi="Calibri"/>
          <w:i/>
        </w:rPr>
        <w:tab/>
      </w:r>
      <w:r w:rsidRPr="00003832">
        <w:t>Extended periods of public health restrictions are shaded</w:t>
      </w:r>
      <w:r>
        <w:t>.</w:t>
      </w:r>
    </w:p>
    <w:p w14:paraId="6BA28F38" w14:textId="77777777" w:rsidR="008D6F13" w:rsidRDefault="008D6F13" w:rsidP="008D6F13"/>
    <w:p w14:paraId="565D4676" w14:textId="77777777" w:rsidR="008D6F13" w:rsidRPr="00C77B53" w:rsidRDefault="008D6F13" w:rsidP="008D6F13">
      <w:pPr>
        <w:pStyle w:val="HighlightBoxHeading"/>
        <w:rPr>
          <w:sz w:val="20"/>
          <w:szCs w:val="20"/>
          <w:vertAlign w:val="superscript"/>
        </w:rPr>
      </w:pPr>
      <w:r w:rsidRPr="00DC583F">
        <w:rPr>
          <w:sz w:val="20"/>
          <w:szCs w:val="20"/>
        </w:rPr>
        <w:lastRenderedPageBreak/>
        <w:t xml:space="preserve">Chart </w:t>
      </w:r>
      <w:r w:rsidRPr="0033178F">
        <w:rPr>
          <w:sz w:val="20"/>
          <w:szCs w:val="20"/>
        </w:rPr>
        <w:t>2.2:</w:t>
      </w:r>
      <w:r>
        <w:rPr>
          <w:sz w:val="20"/>
          <w:szCs w:val="20"/>
        </w:rPr>
        <w:tab/>
      </w:r>
      <w:r w:rsidRPr="00DC583F">
        <w:rPr>
          <w:sz w:val="20"/>
          <w:szCs w:val="20"/>
        </w:rPr>
        <w:t>Victorian retail sales and consumer sentiment</w:t>
      </w:r>
      <w:r>
        <w:rPr>
          <w:sz w:val="20"/>
          <w:szCs w:val="20"/>
        </w:rPr>
        <w:t xml:space="preserve"> </w:t>
      </w:r>
      <w:r>
        <w:rPr>
          <w:sz w:val="20"/>
          <w:szCs w:val="20"/>
          <w:vertAlign w:val="superscript"/>
        </w:rPr>
        <w:t>(a)</w:t>
      </w:r>
    </w:p>
    <w:p w14:paraId="53650517" w14:textId="77777777" w:rsidR="008D6F13" w:rsidRDefault="008D6F13" w:rsidP="008D6F13">
      <w:pPr>
        <w:pStyle w:val="HighlightBoxText"/>
      </w:pPr>
      <w:r w:rsidRPr="002304DD">
        <w:rPr>
          <w:noProof/>
        </w:rPr>
        <w:t xml:space="preserve"> </w:t>
      </w:r>
      <w:r>
        <w:rPr>
          <w:noProof/>
        </w:rPr>
        <w:drawing>
          <wp:inline distT="0" distB="0" distL="0" distR="0" wp14:anchorId="4EC6B7F9" wp14:editId="7958A408">
            <wp:extent cx="2379980" cy="2427069"/>
            <wp:effectExtent l="0" t="0" r="0" b="0"/>
            <wp:docPr id="5" name="Chart 5">
              <a:extLst xmlns:a="http://schemas.openxmlformats.org/drawingml/2006/main">
                <a:ext uri="{FF2B5EF4-FFF2-40B4-BE49-F238E27FC236}">
                  <a16:creationId xmlns:a16="http://schemas.microsoft.com/office/drawing/2014/main" id="{560C0805-ADF1-42C9-B34B-C974FD577B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rPr>
        <w:drawing>
          <wp:inline distT="0" distB="0" distL="0" distR="0" wp14:anchorId="07747D5D" wp14:editId="5899C41C">
            <wp:extent cx="2481580" cy="2433868"/>
            <wp:effectExtent l="0" t="0" r="0" b="0"/>
            <wp:docPr id="6" name="Chart 6">
              <a:extLst xmlns:a="http://schemas.openxmlformats.org/drawingml/2006/main">
                <a:ext uri="{FF2B5EF4-FFF2-40B4-BE49-F238E27FC236}">
                  <a16:creationId xmlns:a16="http://schemas.microsoft.com/office/drawing/2014/main" id="{B9765562-F249-4F72-B173-C5D5921C6C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5813698" w14:textId="77777777" w:rsidR="008D6F13" w:rsidRDefault="008D6F13" w:rsidP="008D6F13">
      <w:pPr>
        <w:pStyle w:val="HighlightBoxSource"/>
      </w:pPr>
      <w:r>
        <w:t xml:space="preserve">Sources: Department of Treasury and Finance, </w:t>
      </w:r>
      <w:r w:rsidRPr="000E2E6A">
        <w:t>Australian Bureau of Statistics</w:t>
      </w:r>
      <w:r>
        <w:t>, Westpac-Melbourne Institute</w:t>
      </w:r>
    </w:p>
    <w:p w14:paraId="29184CFF" w14:textId="77777777" w:rsidR="008D6F13" w:rsidRPr="00CB5E47" w:rsidRDefault="008D6F13" w:rsidP="00CB5E47">
      <w:pPr>
        <w:pStyle w:val="HighlightBoxNote"/>
        <w:rPr>
          <w:rStyle w:val="NoteChar"/>
          <w:rFonts w:ascii="Calibri" w:hAnsi="Calibri"/>
          <w:i/>
        </w:rPr>
      </w:pPr>
      <w:r w:rsidRPr="00CB5E47">
        <w:rPr>
          <w:rStyle w:val="NoteChar"/>
          <w:rFonts w:ascii="Calibri" w:hAnsi="Calibri"/>
          <w:i/>
        </w:rPr>
        <w:t xml:space="preserve">Note: </w:t>
      </w:r>
    </w:p>
    <w:p w14:paraId="244E9C12" w14:textId="77777777" w:rsidR="008D6F13" w:rsidRPr="00CB5E47" w:rsidRDefault="008D6F13" w:rsidP="00CB5E47">
      <w:pPr>
        <w:pStyle w:val="HighlightBoxNote"/>
      </w:pPr>
      <w:r w:rsidRPr="00CB5E47">
        <w:t>(</w:t>
      </w:r>
      <w:r w:rsidRPr="00CB5E47">
        <w:rPr>
          <w:rStyle w:val="NoteChar"/>
          <w:rFonts w:ascii="Calibri" w:hAnsi="Calibri"/>
          <w:i/>
        </w:rPr>
        <w:t>a)</w:t>
      </w:r>
      <w:r w:rsidRPr="00CB5E47">
        <w:rPr>
          <w:rStyle w:val="NoteChar"/>
          <w:rFonts w:ascii="Calibri" w:hAnsi="Calibri"/>
          <w:i/>
        </w:rPr>
        <w:tab/>
      </w:r>
      <w:r w:rsidRPr="00CB5E47">
        <w:t>Extended periods of public health restrictions are shaded.</w:t>
      </w:r>
    </w:p>
    <w:p w14:paraId="76C61250" w14:textId="77777777" w:rsidR="008D6F13" w:rsidRDefault="008D6F13" w:rsidP="008D6F13">
      <w:pPr>
        <w:pStyle w:val="HighlightBoxText"/>
      </w:pPr>
      <w:r>
        <w:t xml:space="preserve">This relative economic strength during recent restrictions likely reflects </w:t>
      </w:r>
      <w:proofErr w:type="gramStart"/>
      <w:r>
        <w:t>a number of</w:t>
      </w:r>
      <w:proofErr w:type="gramEnd"/>
      <w:r>
        <w:t xml:space="preserve"> factors, including high levels of government economic support, ongoing low interest rates, elevated levels of household savings, and the economy’s strong momentum heading into the latest period of tight restrictions. </w:t>
      </w:r>
    </w:p>
    <w:p w14:paraId="27B9749C" w14:textId="77777777" w:rsidR="008D6F13" w:rsidRDefault="008D6F13" w:rsidP="008D6F13">
      <w:pPr>
        <w:pStyle w:val="HighlightBoxText"/>
      </w:pPr>
      <w:bookmarkStart w:id="17" w:name="_Hlk86499968"/>
      <w:r>
        <w:t xml:space="preserve">It also highlights the resilience and flexibility of the Victorian economy. Notwithstanding very difficult conditions in some sectors, it suggests that Victorian businesses and consumers have adapted to new ways of operating and spending, including through greater use of online retailing, while </w:t>
      </w:r>
      <w:bookmarkEnd w:id="17"/>
      <w:r>
        <w:t xml:space="preserve">workers moved across industries in response to changed labour market circumstances. </w:t>
      </w:r>
    </w:p>
    <w:p w14:paraId="10BB4DBB" w14:textId="77777777" w:rsidR="008D6F13" w:rsidRDefault="008D6F13" w:rsidP="008D6F13">
      <w:pPr>
        <w:pStyle w:val="HighlightBoxText"/>
      </w:pPr>
      <w:r>
        <w:t xml:space="preserve">With restrictions </w:t>
      </w:r>
      <w:r w:rsidRPr="007B12EF">
        <w:t xml:space="preserve">now </w:t>
      </w:r>
      <w:r>
        <w:t xml:space="preserve">eased in line with the </w:t>
      </w:r>
      <w:r>
        <w:rPr>
          <w:i/>
          <w:iCs/>
        </w:rPr>
        <w:t>Roadmap to Deliver the National Plan</w:t>
      </w:r>
      <w:r>
        <w:t xml:space="preserve">, economic activity is expected to rebound quickly, as outlined elsewhere in this chapter. </w:t>
      </w:r>
    </w:p>
    <w:p w14:paraId="7CA1B63A" w14:textId="77777777" w:rsidR="008D6F13" w:rsidRPr="00D73938" w:rsidRDefault="008D6F13" w:rsidP="008D6F13">
      <w:pPr>
        <w:pStyle w:val="Heading20"/>
      </w:pPr>
      <w:r w:rsidRPr="00D73938">
        <w:t>Gross state product</w:t>
      </w:r>
    </w:p>
    <w:p w14:paraId="62D8D138" w14:textId="58D81C9B" w:rsidR="008D6F13" w:rsidRDefault="008D6F13" w:rsidP="008D6F13">
      <w:bookmarkStart w:id="18" w:name="_Hlk67051871"/>
      <w:bookmarkStart w:id="19" w:name="_Hlk56066914"/>
      <w:r>
        <w:t xml:space="preserve">Victoria’s </w:t>
      </w:r>
      <w:r w:rsidRPr="00733E6C">
        <w:t>economy contracted by 0.4</w:t>
      </w:r>
      <w:r w:rsidRPr="00733E6C">
        <w:rPr>
          <w:color w:val="FF0000"/>
        </w:rPr>
        <w:t> </w:t>
      </w:r>
      <w:r w:rsidRPr="00733E6C">
        <w:t>per cent in 2020</w:t>
      </w:r>
      <w:r w:rsidRPr="00733E6C">
        <w:noBreakHyphen/>
        <w:t xml:space="preserve">21, </w:t>
      </w:r>
      <w:r>
        <w:t>reflecting the impact of Victoria’s second wave of COVID</w:t>
      </w:r>
      <w:r>
        <w:noBreakHyphen/>
        <w:t xml:space="preserve">19 infections, and the associated restrictions in the September quarter 2020 that were necessary to save lives, with the economy gradually recovering over the remainder of 2020-21 (see </w:t>
      </w:r>
      <w:r w:rsidRPr="0033178F">
        <w:t>Chart 2.</w:t>
      </w:r>
      <w:r w:rsidR="007139BD">
        <w:t>2</w:t>
      </w:r>
      <w:r w:rsidRPr="0033178F">
        <w:t>).</w:t>
      </w:r>
    </w:p>
    <w:p w14:paraId="32DF3ED1" w14:textId="77777777" w:rsidR="008D6F13" w:rsidRDefault="008D6F13" w:rsidP="008D6F13">
      <w:r w:rsidRPr="004148E4">
        <w:t>Consumer spending</w:t>
      </w:r>
      <w:r>
        <w:t xml:space="preserve"> </w:t>
      </w:r>
      <w:r w:rsidRPr="004148E4">
        <w:t xml:space="preserve">led </w:t>
      </w:r>
      <w:r>
        <w:t>the decline in 2020</w:t>
      </w:r>
      <w:r>
        <w:noBreakHyphen/>
        <w:t>21, although all major components of private activity detracted from growth</w:t>
      </w:r>
      <w:r w:rsidRPr="004148E4">
        <w:t>.</w:t>
      </w:r>
      <w:r>
        <w:t xml:space="preserve"> The</w:t>
      </w:r>
      <w:r w:rsidRPr="004148E4">
        <w:t xml:space="preserve"> weakness in private </w:t>
      </w:r>
      <w:r>
        <w:t>activity</w:t>
      </w:r>
      <w:r w:rsidRPr="004148E4">
        <w:t xml:space="preserve"> was partially offset by an increase in </w:t>
      </w:r>
      <w:r>
        <w:t>public demand</w:t>
      </w:r>
      <w:r w:rsidRPr="004148E4">
        <w:t>, driven by the Government’s COVID-19 response</w:t>
      </w:r>
      <w:r>
        <w:t xml:space="preserve"> and strong public sector infrastructure investment. Net exports detracted from growth, with a large fall in total goods and </w:t>
      </w:r>
      <w:r w:rsidRPr="00511070">
        <w:t xml:space="preserve">services exports offsetting a </w:t>
      </w:r>
      <w:r>
        <w:t>decline in services imports, while goods imports rose strongly</w:t>
      </w:r>
      <w:r w:rsidRPr="00511070">
        <w:t>.</w:t>
      </w:r>
    </w:p>
    <w:p w14:paraId="397999DD" w14:textId="579F9B0D" w:rsidR="008D6F13" w:rsidRDefault="008D6F13" w:rsidP="008D6F13">
      <w:pPr>
        <w:ind w:right="-369"/>
      </w:pPr>
      <w:r>
        <w:lastRenderedPageBreak/>
        <w:t xml:space="preserve">The </w:t>
      </w:r>
      <w:r w:rsidRPr="004D2980">
        <w:rPr>
          <w:i/>
          <w:iCs/>
        </w:rPr>
        <w:t>2021</w:t>
      </w:r>
      <w:r>
        <w:rPr>
          <w:i/>
          <w:iCs/>
        </w:rPr>
        <w:noBreakHyphen/>
      </w:r>
      <w:r w:rsidRPr="004D2980">
        <w:rPr>
          <w:i/>
          <w:iCs/>
        </w:rPr>
        <w:t>22</w:t>
      </w:r>
      <w:r>
        <w:rPr>
          <w:i/>
          <w:iCs/>
        </w:rPr>
        <w:t> </w:t>
      </w:r>
      <w:r w:rsidRPr="004D2980">
        <w:rPr>
          <w:i/>
          <w:iCs/>
        </w:rPr>
        <w:t>Budget</w:t>
      </w:r>
      <w:r>
        <w:t xml:space="preserve"> forecast a strong rebound in economic growth in 2021</w:t>
      </w:r>
      <w:r>
        <w:noBreakHyphen/>
        <w:t>22, with the recovery that commenced in late 2020 having been expected to continue. However, the need to strengthen restrictions in the September quarter 2021 and part of the December quarter to contain the spread of the Delta variant of COVID</w:t>
      </w:r>
      <w:r>
        <w:noBreakHyphen/>
        <w:t xml:space="preserve">19 means that much of the rebound is now expected to extend into 2022-23. Consequently, the forecast for 2021-22 real GSP growth has been revised down </w:t>
      </w:r>
      <w:r w:rsidRPr="0096730B">
        <w:t xml:space="preserve">to 2.25 per cent, and the forecast for 2022-23 has been revised up to 4.5 per cent. </w:t>
      </w:r>
      <w:bookmarkStart w:id="20" w:name="_Hlk88677477"/>
      <w:r w:rsidRPr="0096730B">
        <w:t>Victoria’s GSP is</w:t>
      </w:r>
      <w:r>
        <w:t xml:space="preserve"> expected to broadly converge with the </w:t>
      </w:r>
      <w:r w:rsidRPr="00C77B53">
        <w:rPr>
          <w:i/>
          <w:iCs/>
        </w:rPr>
        <w:t>2021-22 Budget</w:t>
      </w:r>
      <w:r>
        <w:t xml:space="preserve"> forecasts by mid-2022, notwithstanding a small downgrade to the level of GSP resulting from a smaller forecast population </w:t>
      </w:r>
      <w:bookmarkEnd w:id="20"/>
      <w:r>
        <w:t xml:space="preserve">(see </w:t>
      </w:r>
      <w:r w:rsidRPr="004430CF">
        <w:t>Chart 2.</w:t>
      </w:r>
      <w:r w:rsidR="007139BD">
        <w:t>4</w:t>
      </w:r>
      <w:r w:rsidRPr="004430CF">
        <w:t>).</w:t>
      </w:r>
      <w:r>
        <w:t xml:space="preserve"> </w:t>
      </w:r>
    </w:p>
    <w:p w14:paraId="09108722" w14:textId="374B1A4C" w:rsidR="008D6F13" w:rsidRDefault="008D6F13" w:rsidP="008D6F13">
      <w:pPr>
        <w:pStyle w:val="TableHeading"/>
        <w:rPr>
          <w:vertAlign w:val="superscript"/>
        </w:rPr>
      </w:pPr>
      <w:r>
        <w:t xml:space="preserve">Chart </w:t>
      </w:r>
      <w:r w:rsidRPr="004430CF">
        <w:t>2.3</w:t>
      </w:r>
      <w:r>
        <w:t>:</w:t>
      </w:r>
      <w:r>
        <w:tab/>
        <w:t xml:space="preserve">Quarterly real Victorian GSP, estimated actuals and forecast </w:t>
      </w:r>
      <w:r>
        <w:rPr>
          <w:vertAlign w:val="superscript"/>
        </w:rPr>
        <w:t xml:space="preserve">(a)(b) </w:t>
      </w:r>
    </w:p>
    <w:p w14:paraId="5A1CE0A4" w14:textId="77777777" w:rsidR="008D6F13" w:rsidRDefault="008D6F13" w:rsidP="008D6F13">
      <w:r>
        <w:rPr>
          <w:noProof/>
        </w:rPr>
        <w:drawing>
          <wp:inline distT="0" distB="0" distL="0" distR="0" wp14:anchorId="03457414" wp14:editId="4D77E21A">
            <wp:extent cx="4896485" cy="2851150"/>
            <wp:effectExtent l="0" t="0" r="0" b="0"/>
            <wp:docPr id="4" name="Chart 4">
              <a:extLst xmlns:a="http://schemas.openxmlformats.org/drawingml/2006/main">
                <a:ext uri="{FF2B5EF4-FFF2-40B4-BE49-F238E27FC236}">
                  <a16:creationId xmlns:a16="http://schemas.microsoft.com/office/drawing/2014/main" id="{A6B80B7E-C430-4276-A605-9E93E71B22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E2E3BF" w14:textId="77777777" w:rsidR="008D6F13" w:rsidRDefault="008D6F13" w:rsidP="008D6F13">
      <w:pPr>
        <w:pStyle w:val="Source"/>
      </w:pPr>
      <w:r>
        <w:t>Sources: Australian Bureau of Statistics, Department of Treasury and Finance</w:t>
      </w:r>
    </w:p>
    <w:p w14:paraId="3B47ED01" w14:textId="77777777" w:rsidR="008D6F13" w:rsidRPr="00CB5E47" w:rsidRDefault="008D6F13" w:rsidP="00CB5E47">
      <w:pPr>
        <w:pStyle w:val="Note"/>
      </w:pPr>
      <w:r w:rsidRPr="00CB5E47">
        <w:t xml:space="preserve">Notes: </w:t>
      </w:r>
    </w:p>
    <w:p w14:paraId="515C184D" w14:textId="77777777" w:rsidR="008D6F13" w:rsidRPr="00CB5E47" w:rsidRDefault="008D6F13" w:rsidP="00CB5E47">
      <w:pPr>
        <w:pStyle w:val="Note"/>
      </w:pPr>
      <w:r w:rsidRPr="00CB5E47">
        <w:t>(a)</w:t>
      </w:r>
      <w:r w:rsidRPr="00CB5E47">
        <w:tab/>
        <w:t xml:space="preserve">Quarterly GSP is estimated by the Department of Treasury and Finance: the Australian Bureau of Statistics publishes annual GSP estimates only. </w:t>
      </w:r>
    </w:p>
    <w:p w14:paraId="551D331D" w14:textId="77777777" w:rsidR="008D6F13" w:rsidRPr="00003832" w:rsidRDefault="008D6F13" w:rsidP="008D6F13">
      <w:pPr>
        <w:pStyle w:val="Note"/>
      </w:pPr>
      <w:r>
        <w:t>(b)</w:t>
      </w:r>
      <w:r>
        <w:tab/>
      </w:r>
      <w:r w:rsidRPr="009E3F6C">
        <w:t>The upward revision to GSP in the June quarter 2020 reflects revised ABS data for GSP growth in 2019-20, which was revised from a fall of 0.5 per cent to a rise of 0.1 per cent. This revision also raised historical estimates for the level of GSP in the first two quarters of 2020</w:t>
      </w:r>
      <w:r w:rsidRPr="009E3F6C">
        <w:noBreakHyphen/>
        <w:t xml:space="preserve">21 relative to the </w:t>
      </w:r>
      <w:r w:rsidRPr="009E3F6C">
        <w:rPr>
          <w:i w:val="0"/>
          <w:iCs/>
        </w:rPr>
        <w:t>2021-22 Budget</w:t>
      </w:r>
      <w:r w:rsidRPr="009E3F6C">
        <w:t>.</w:t>
      </w:r>
    </w:p>
    <w:p w14:paraId="5C3EC403" w14:textId="77777777" w:rsidR="008D6F13" w:rsidRDefault="008D6F13" w:rsidP="008D6F13">
      <w:pPr>
        <w:ind w:right="-86"/>
      </w:pPr>
      <w:r>
        <w:t>Consumer spending fell by 3.7 per cent in 2020</w:t>
      </w:r>
      <w:r>
        <w:noBreakHyphen/>
        <w:t>21. Public health restrictions subdued spending in the September quarter 2020, and despite a strong rebound as domestic restrictions were eased, by the June quarter 2021 household consumption was still below pre-COVID-19 levels. Retail spending had risen to record levels by the June quarter 2021, while spending on services such as</w:t>
      </w:r>
      <w:r w:rsidRPr="009E5EF2">
        <w:t xml:space="preserve"> </w:t>
      </w:r>
      <w:r>
        <w:t xml:space="preserve">transport services and hotels, cafes and restaurants remained well below pre-COVID-19 levels. The net departure of migrants since early 2020 also weighed on total consumer spending, as did periods of short, sharp restrictions necessary to contain outbreaks in the June quarter 2021. </w:t>
      </w:r>
    </w:p>
    <w:p w14:paraId="6EF2972E" w14:textId="77777777" w:rsidR="008D6F13" w:rsidRDefault="008D6F13" w:rsidP="008D6F13">
      <w:pPr>
        <w:ind w:right="-86"/>
      </w:pPr>
      <w:r>
        <w:t>Household consumption is expected to increase in 2021</w:t>
      </w:r>
      <w:r>
        <w:noBreakHyphen/>
        <w:t xml:space="preserve">22. Spending is forecast to rebound strongly over the December and March quarters now that most restrictions have eased, although some consumers may initially be more cautious in engaging in some activities while </w:t>
      </w:r>
      <w:r w:rsidRPr="009D7EF5">
        <w:t xml:space="preserve">COVID-19 </w:t>
      </w:r>
      <w:r>
        <w:t xml:space="preserve">continues to circulate in the community. </w:t>
      </w:r>
    </w:p>
    <w:p w14:paraId="6B9EB5B8" w14:textId="77777777" w:rsidR="008D6F13" w:rsidRDefault="008D6F13" w:rsidP="008D6F13">
      <w:pPr>
        <w:ind w:right="-86"/>
      </w:pPr>
      <w:r>
        <w:lastRenderedPageBreak/>
        <w:t xml:space="preserve">Over the coming year, spending is expected to be supported by improvement in the labour market, high asset prices and elevated consumer confidence. Household incomes have also been supported by government payments, and households have further added to high levels of savings. Consumers are expected to draw down on some of these savings as opportunities for spending that were constrained by public health restrictions become available again. </w:t>
      </w:r>
    </w:p>
    <w:p w14:paraId="42AE5758" w14:textId="77777777" w:rsidR="008D6F13" w:rsidRDefault="008D6F13" w:rsidP="008D6F13">
      <w:r>
        <w:t>Dwelling investment detracted from GSP growth in 2020</w:t>
      </w:r>
      <w:r>
        <w:noBreakHyphen/>
        <w:t>21, although investment is expected to rise in 2021</w:t>
      </w:r>
      <w:r>
        <w:noBreakHyphen/>
        <w:t xml:space="preserve">22. Low interest rates, rising house prices and government incentives including </w:t>
      </w:r>
      <w:r w:rsidRPr="003A1783">
        <w:t xml:space="preserve">more generous off-the-plan land transfer duty concessions and </w:t>
      </w:r>
      <w:r>
        <w:t xml:space="preserve">the Commonwealth’s </w:t>
      </w:r>
      <w:proofErr w:type="spellStart"/>
      <w:r w:rsidRPr="00ED40E7">
        <w:t>HomeBuilder</w:t>
      </w:r>
      <w:proofErr w:type="spellEnd"/>
      <w:r>
        <w:t xml:space="preserve"> program have led to an increase in the pipeline of work, especially for detached housing.</w:t>
      </w:r>
    </w:p>
    <w:p w14:paraId="35599C6B" w14:textId="77777777" w:rsidR="008D6F13" w:rsidRDefault="008D6F13" w:rsidP="008D6F13">
      <w:r w:rsidRPr="0042484E">
        <w:t>Business investment also fell in 2020</w:t>
      </w:r>
      <w:r>
        <w:t>-</w:t>
      </w:r>
      <w:r w:rsidRPr="0042484E">
        <w:t xml:space="preserve">21, driven by a decline in both new building and new engineering construction. Investment in machinery and equipment rose slightly, with falls earlier in the year offset by a pickup in investment following the easing of restrictions in late 2020, and support from government incentives and improved business sentiment. </w:t>
      </w:r>
      <w:r>
        <w:t>P</w:t>
      </w:r>
      <w:r w:rsidRPr="0042484E">
        <w:t>ositive business confidence, strong business balance sheets and an increase in the non</w:t>
      </w:r>
      <w:r>
        <w:noBreakHyphen/>
      </w:r>
      <w:r w:rsidRPr="0042484E">
        <w:t>residential construction pipeline are supportive of an improvement in business investment in 2021</w:t>
      </w:r>
      <w:r>
        <w:t>-</w:t>
      </w:r>
      <w:r w:rsidRPr="0042484E">
        <w:t>22.</w:t>
      </w:r>
    </w:p>
    <w:p w14:paraId="49D2795B" w14:textId="77777777" w:rsidR="008D6F13" w:rsidRDefault="008D6F13" w:rsidP="008D6F13">
      <w:r w:rsidRPr="00056356">
        <w:t xml:space="preserve">Public demand </w:t>
      </w:r>
      <w:r>
        <w:t>was</w:t>
      </w:r>
      <w:r w:rsidRPr="00056356">
        <w:t xml:space="preserve"> the only positive contributor to Victoria’s GSP growth in 2020</w:t>
      </w:r>
      <w:r>
        <w:noBreakHyphen/>
      </w:r>
      <w:r w:rsidRPr="00056356">
        <w:t>21</w:t>
      </w:r>
      <w:r>
        <w:t xml:space="preserve">. </w:t>
      </w:r>
      <w:r w:rsidRPr="001D1473">
        <w:t>Public investment and government consumption both increased strongly</w:t>
      </w:r>
      <w:r>
        <w:t>, the latter partly reflecting increased spending on measures to support jobs and businesses and to deliver the public health response to COVID-19</w:t>
      </w:r>
      <w:r w:rsidRPr="00056356">
        <w:t xml:space="preserve">. </w:t>
      </w:r>
      <w:r>
        <w:t>P</w:t>
      </w:r>
      <w:r w:rsidRPr="00DC241C">
        <w:t>ublic demand is forecast to make another strong contribution to GSP growth in 2021</w:t>
      </w:r>
      <w:r>
        <w:noBreakHyphen/>
      </w:r>
      <w:r w:rsidRPr="00DC241C">
        <w:t xml:space="preserve">22, </w:t>
      </w:r>
      <w:r>
        <w:t>with</w:t>
      </w:r>
      <w:r w:rsidRPr="00DC241C">
        <w:t xml:space="preserve"> ongoing high levels of spending to support</w:t>
      </w:r>
      <w:r>
        <w:t xml:space="preserve"> the</w:t>
      </w:r>
      <w:r w:rsidRPr="00DC241C">
        <w:t xml:space="preserve"> economic recovery. The Government’s pipeline of transport and social infrastructure projects will continue to underpin high levels of public investment.</w:t>
      </w:r>
      <w:r w:rsidRPr="00056356">
        <w:t xml:space="preserve"> </w:t>
      </w:r>
    </w:p>
    <w:p w14:paraId="2A8672A6" w14:textId="77777777" w:rsidR="008D6F13" w:rsidRDefault="008D6F13" w:rsidP="008D6F13">
      <w:r>
        <w:t xml:space="preserve">As expected in the </w:t>
      </w:r>
      <w:r w:rsidRPr="0009788E">
        <w:rPr>
          <w:i/>
          <w:iCs/>
        </w:rPr>
        <w:t>2021</w:t>
      </w:r>
      <w:r w:rsidRPr="0009788E">
        <w:rPr>
          <w:i/>
          <w:iCs/>
        </w:rPr>
        <w:noBreakHyphen/>
        <w:t>22 Budget</w:t>
      </w:r>
      <w:r>
        <w:t>, net trade detracted from growth in 2020</w:t>
      </w:r>
      <w:r>
        <w:noBreakHyphen/>
        <w:t>21. Weaker</w:t>
      </w:r>
      <w:r w:rsidRPr="00056356">
        <w:t xml:space="preserve"> international economic conditions </w:t>
      </w:r>
      <w:r>
        <w:t>in 2020</w:t>
      </w:r>
      <w:r w:rsidRPr="00056356">
        <w:t xml:space="preserve"> limited demand for Victoria’s goods exports</w:t>
      </w:r>
      <w:r>
        <w:t>, although these have since improved in line with the global economic recovery</w:t>
      </w:r>
      <w:r w:rsidRPr="00056356">
        <w:t xml:space="preserve">. Meanwhile, Victorian imports of goods </w:t>
      </w:r>
      <w:r>
        <w:t>increased sharply. This was</w:t>
      </w:r>
      <w:r w:rsidRPr="00056356">
        <w:t xml:space="preserve"> driven by a pickup in business investment on machinery and equipment</w:t>
      </w:r>
      <w:r>
        <w:t>, and</w:t>
      </w:r>
      <w:r w:rsidRPr="00056356">
        <w:t xml:space="preserve"> increased spending on consumer goods </w:t>
      </w:r>
      <w:r>
        <w:t>as Victorians switched to spending more on goods while restrictions curtailed spending on discretionary services and overseas travel. International t</w:t>
      </w:r>
      <w:r w:rsidRPr="00056356">
        <w:t xml:space="preserve">rade in services has </w:t>
      </w:r>
      <w:r>
        <w:t>continued to be</w:t>
      </w:r>
      <w:r w:rsidRPr="00056356">
        <w:t xml:space="preserve"> severely disrupted, with national border</w:t>
      </w:r>
      <w:r>
        <w:t xml:space="preserve"> restrictions</w:t>
      </w:r>
      <w:r w:rsidRPr="00056356">
        <w:t xml:space="preserve"> constraining international student </w:t>
      </w:r>
      <w:r>
        <w:t>arrivals</w:t>
      </w:r>
      <w:r w:rsidRPr="00056356">
        <w:t xml:space="preserve"> and curbing international tourism. </w:t>
      </w:r>
    </w:p>
    <w:p w14:paraId="02E914F0" w14:textId="77777777" w:rsidR="008D6F13" w:rsidRDefault="008D6F13" w:rsidP="008D6F13">
      <w:r w:rsidRPr="00657568">
        <w:t xml:space="preserve">As outlined in the </w:t>
      </w:r>
      <w:r w:rsidRPr="00ED40E7">
        <w:rPr>
          <w:i/>
          <w:iCs/>
        </w:rPr>
        <w:t>2021</w:t>
      </w:r>
      <w:r>
        <w:rPr>
          <w:i/>
          <w:iCs/>
        </w:rPr>
        <w:t>-</w:t>
      </w:r>
      <w:r w:rsidRPr="00ED40E7">
        <w:rPr>
          <w:i/>
          <w:iCs/>
        </w:rPr>
        <w:t>22 Budget</w:t>
      </w:r>
      <w:r w:rsidRPr="00657568">
        <w:t>, goods exports are forecast to recover strongly in 2021</w:t>
      </w:r>
      <w:r w:rsidRPr="00657568">
        <w:noBreakHyphen/>
        <w:t>22, in line with the improvement in global growth. By contrast, growth in goods imports is forecast to be relatively modest after last year’s strong increase</w:t>
      </w:r>
      <w:r>
        <w:t>.</w:t>
      </w:r>
      <w:r w:rsidRPr="00657568">
        <w:t xml:space="preserve"> </w:t>
      </w:r>
      <w:r>
        <w:t>A</w:t>
      </w:r>
      <w:r w:rsidRPr="00657568">
        <w:t xml:space="preserve">s restrictions are eased, </w:t>
      </w:r>
      <w:r>
        <w:t xml:space="preserve">household </w:t>
      </w:r>
      <w:r w:rsidRPr="00657568">
        <w:t xml:space="preserve">spending on services is </w:t>
      </w:r>
      <w:r>
        <w:t>expected</w:t>
      </w:r>
      <w:r w:rsidRPr="00657568">
        <w:t xml:space="preserve"> to grow more strongly than spending on goods. </w:t>
      </w:r>
    </w:p>
    <w:p w14:paraId="42D4EB5E" w14:textId="77777777" w:rsidR="008D6F13" w:rsidRPr="00657568" w:rsidRDefault="008D6F13" w:rsidP="008D6F13">
      <w:r w:rsidRPr="00644543">
        <w:t>Services exports and imports are both forecast to rise in 2021</w:t>
      </w:r>
      <w:r w:rsidRPr="00644543">
        <w:noBreakHyphen/>
        <w:t>22 as restrictions on</w:t>
      </w:r>
      <w:r>
        <w:t xml:space="preserve"> </w:t>
      </w:r>
      <w:r w:rsidRPr="00657568">
        <w:t xml:space="preserve">international borders </w:t>
      </w:r>
      <w:r>
        <w:t>ease</w:t>
      </w:r>
      <w:r w:rsidRPr="00657568">
        <w:t xml:space="preserve">. </w:t>
      </w:r>
      <w:r>
        <w:t>D</w:t>
      </w:r>
      <w:r w:rsidRPr="00657568">
        <w:t>emand for overseas tourism by Victorians will likely lead to services travel imports</w:t>
      </w:r>
      <w:r>
        <w:t xml:space="preserve"> rising somewhat</w:t>
      </w:r>
      <w:r w:rsidRPr="00657568">
        <w:t xml:space="preserve"> over the coming year</w:t>
      </w:r>
      <w:r>
        <w:t>. S</w:t>
      </w:r>
      <w:r w:rsidRPr="00657568">
        <w:t>ervices exports are also forecast to increase, with an increase in international student arrivals and inbound tourists to Victoria. However, the level of services trade is expected to take some time to recover</w:t>
      </w:r>
      <w:r>
        <w:t xml:space="preserve"> to pre-COVID-19 levels</w:t>
      </w:r>
      <w:r w:rsidRPr="00657568">
        <w:t xml:space="preserve">. </w:t>
      </w:r>
    </w:p>
    <w:p w14:paraId="7D56471E" w14:textId="77777777" w:rsidR="008D6F13" w:rsidRDefault="008D6F13" w:rsidP="008D6F13">
      <w:r>
        <w:lastRenderedPageBreak/>
        <w:t xml:space="preserve">Despite some uncertainties, the Victorian economy is well placed to recover strongly now that most restrictions have been eased, in line with </w:t>
      </w:r>
      <w:r w:rsidRPr="00703206">
        <w:t xml:space="preserve">the </w:t>
      </w:r>
      <w:r w:rsidRPr="00703206">
        <w:rPr>
          <w:i/>
          <w:iCs/>
        </w:rPr>
        <w:t>Roadmap to Deliver the National Plan</w:t>
      </w:r>
      <w:r>
        <w:rPr>
          <w:i/>
          <w:iCs/>
        </w:rPr>
        <w:t>.</w:t>
      </w:r>
      <w:r w:rsidRPr="007D37D4">
        <w:t xml:space="preserve"> </w:t>
      </w:r>
      <w:r>
        <w:t>Although the recent restrictions mean that GSP growth in 2021</w:t>
      </w:r>
      <w:r>
        <w:noBreakHyphen/>
        <w:t xml:space="preserve">22 is expected to be lower than forecast in the </w:t>
      </w:r>
      <w:r w:rsidRPr="00657568">
        <w:rPr>
          <w:i/>
          <w:iCs/>
        </w:rPr>
        <w:t>2021</w:t>
      </w:r>
      <w:r w:rsidRPr="00657568">
        <w:rPr>
          <w:i/>
          <w:iCs/>
        </w:rPr>
        <w:noBreakHyphen/>
        <w:t>22 Budget</w:t>
      </w:r>
      <w:r>
        <w:t xml:space="preserve">, the path for GSP is expected to broadly return to that forecast in the </w:t>
      </w:r>
      <w:r w:rsidRPr="00884C28">
        <w:t>Budget</w:t>
      </w:r>
      <w:r>
        <w:t xml:space="preserve"> by mid-2022. Reflecting this, the GSP growth forecast for 2022</w:t>
      </w:r>
      <w:r>
        <w:noBreakHyphen/>
        <w:t xml:space="preserve">23 has been </w:t>
      </w:r>
      <w:r w:rsidRPr="0096730B">
        <w:t>upgraded to 4.5 per cent, an increase of 1.25 percentage points relative</w:t>
      </w:r>
      <w:r>
        <w:t xml:space="preserve"> to the Budget estimate. </w:t>
      </w:r>
    </w:p>
    <w:bookmarkEnd w:id="18"/>
    <w:bookmarkEnd w:id="19"/>
    <w:p w14:paraId="71F35629" w14:textId="77777777" w:rsidR="008D6F13" w:rsidRPr="00E85A75" w:rsidRDefault="008D6F13" w:rsidP="008D6F13">
      <w:pPr>
        <w:pStyle w:val="Heading20"/>
      </w:pPr>
      <w:r w:rsidRPr="00FC5EAA">
        <w:t xml:space="preserve">The labour </w:t>
      </w:r>
      <w:proofErr w:type="gramStart"/>
      <w:r w:rsidRPr="00FC5EAA">
        <w:t>market</w:t>
      </w:r>
      <w:bookmarkStart w:id="21" w:name="_Hlk5626031"/>
      <w:proofErr w:type="gramEnd"/>
    </w:p>
    <w:p w14:paraId="1F3D644C" w14:textId="77777777" w:rsidR="008D6F13" w:rsidRDefault="008D6F13" w:rsidP="008D6F13">
      <w:pPr>
        <w:keepLines w:val="0"/>
      </w:pPr>
      <w:bookmarkStart w:id="22" w:name="_Hlk88677962"/>
      <w:r>
        <w:t xml:space="preserve">Employment rose very strongly from late 2020, following the large falls between March and September 2020, as earlier public health restrictions were </w:t>
      </w:r>
      <w:proofErr w:type="gramStart"/>
      <w:r>
        <w:t>eased</w:t>
      </w:r>
      <w:proofErr w:type="gramEnd"/>
      <w:r>
        <w:t xml:space="preserve"> and the economic recovery began. </w:t>
      </w:r>
    </w:p>
    <w:p w14:paraId="113D85C3" w14:textId="77777777" w:rsidR="008D6F13" w:rsidRPr="003A4764" w:rsidRDefault="008D6F13" w:rsidP="008D6F13">
      <w:pPr>
        <w:keepLines w:val="0"/>
      </w:pPr>
      <w:r>
        <w:t xml:space="preserve">Employment had returned to pre-COVID-19 levels by May 2021. By August 2021, Victoria’s labour market had strengthened further. Employment had risen by 288 000 since September 2020, the proportion of the working age population in employment and labour force participation were at record highs, and the unemployment rate was at a record low of 4.1 per cent. </w:t>
      </w:r>
    </w:p>
    <w:p w14:paraId="00414EA1" w14:textId="77777777" w:rsidR="008D6F13" w:rsidRDefault="008D6F13" w:rsidP="008D6F13">
      <w:pPr>
        <w:ind w:right="340"/>
      </w:pPr>
      <w:r>
        <w:t xml:space="preserve">This employment recovery was broad-based. Employment for women and young people had been disproportionately affected in 2020, with the most affected industries – including hospitality, </w:t>
      </w:r>
      <w:proofErr w:type="gramStart"/>
      <w:r>
        <w:t>arts</w:t>
      </w:r>
      <w:proofErr w:type="gramEnd"/>
      <w:r>
        <w:t xml:space="preserve"> and recreation – employing high proportions of these workers. By mid</w:t>
      </w:r>
      <w:r>
        <w:noBreakHyphen/>
        <w:t xml:space="preserve">2021, the proportion of women and young people in employment had returned to pre-COVID-19 levels, supported by large increases in employment among the most affected industries. </w:t>
      </w:r>
    </w:p>
    <w:p w14:paraId="64722039" w14:textId="77777777" w:rsidR="008D6F13" w:rsidRDefault="008D6F13" w:rsidP="008D6F13">
      <w:pPr>
        <w:keepLines w:val="0"/>
      </w:pPr>
      <w:bookmarkStart w:id="23" w:name="_Hlk88213122"/>
      <w:r>
        <w:t xml:space="preserve">The labour market in Victoria’s regions, which have in general been less affected by necessary public health restrictions than metropolitan Melbourne, has been considerably stronger than that of Melbourne. The regional Victorian unemployment rate was a low 3.3 per cent in October 2021, which was just above the record low reached in September, despite increasing labour supply supported by record high net migration from Melbourne to the regions. </w:t>
      </w:r>
    </w:p>
    <w:bookmarkEnd w:id="23"/>
    <w:p w14:paraId="094B0B38" w14:textId="77777777" w:rsidR="008D6F13" w:rsidRDefault="008D6F13" w:rsidP="008D6F13">
      <w:pPr>
        <w:keepLines w:val="0"/>
      </w:pPr>
      <w:r>
        <w:t xml:space="preserve">The outbreak of the Delta variant of COVID-19 and the necessary response of public health restrictions from </w:t>
      </w:r>
      <w:r w:rsidRPr="00277B5A">
        <w:t>early August</w:t>
      </w:r>
      <w:r>
        <w:t> 2021 meant that employment fell</w:t>
      </w:r>
      <w:r w:rsidRPr="004D6F06">
        <w:t xml:space="preserve"> </w:t>
      </w:r>
      <w:r>
        <w:t xml:space="preserve">considerably in September 2021. Women and young people were again disproportionately affected. Yet, as discussed in Box </w:t>
      </w:r>
      <w:r w:rsidRPr="004430CF">
        <w:t>2.2,</w:t>
      </w:r>
      <w:r>
        <w:t xml:space="preserve"> the labour market has proven more resilient compared with 2020. </w:t>
      </w:r>
    </w:p>
    <w:p w14:paraId="1EFA2369" w14:textId="77777777" w:rsidR="008D6F13" w:rsidRDefault="008D6F13" w:rsidP="00CC2B5C">
      <w:pPr>
        <w:spacing w:before="0"/>
        <w:ind w:right="198"/>
      </w:pPr>
      <w:r>
        <w:t xml:space="preserve">Employment is </w:t>
      </w:r>
      <w:r w:rsidRPr="00803EEF">
        <w:t xml:space="preserve">forecast to recover </w:t>
      </w:r>
      <w:r>
        <w:t xml:space="preserve">strongly </w:t>
      </w:r>
      <w:r w:rsidRPr="00803EEF">
        <w:t>as restrictions ease, amid high labour demand</w:t>
      </w:r>
      <w:r>
        <w:t xml:space="preserve"> – including in industries most affected by recent public health restrictions such as hospitality and arts and recreation – </w:t>
      </w:r>
      <w:r w:rsidRPr="00803EEF">
        <w:t xml:space="preserve">and supported by </w:t>
      </w:r>
      <w:r>
        <w:t xml:space="preserve">the </w:t>
      </w:r>
      <w:r w:rsidRPr="00803EEF">
        <w:t>recovery in economic activity</w:t>
      </w:r>
      <w:r>
        <w:t xml:space="preserve">. After rising from a record low of 4.1 per cent in August 2021 to 5.6 per cent in October 2021, the unemployment rate is expected to fall in coming months to around its recent lows. </w:t>
      </w:r>
    </w:p>
    <w:p w14:paraId="7D2D323B" w14:textId="77777777" w:rsidR="008D6F13" w:rsidRDefault="008D6F13" w:rsidP="008D6F13">
      <w:pPr>
        <w:ind w:right="198"/>
      </w:pPr>
      <w:r>
        <w:lastRenderedPageBreak/>
        <w:t>Over the medium term, employment growth is forecast to continue in 2022-23, albeit less rapidly as spare capacity in the labour market is reduced, picking up a little by the end of the forward estimates as population growth returns to more normal levels. The unemployment rate is forecast to average a low 4.5 per cent in 2021-22 and 2022-23</w:t>
      </w:r>
      <w:r w:rsidRPr="00F42BFC">
        <w:t xml:space="preserve">, </w:t>
      </w:r>
      <w:r>
        <w:t xml:space="preserve">and </w:t>
      </w:r>
      <w:r w:rsidRPr="00BF2F6C">
        <w:t xml:space="preserve">thereafter </w:t>
      </w:r>
      <w:r w:rsidRPr="00F42BFC">
        <w:t>it is assumed to return to the rate estimated to be consistent with stable inflation.</w:t>
      </w:r>
    </w:p>
    <w:bookmarkEnd w:id="21"/>
    <w:bookmarkEnd w:id="22"/>
    <w:p w14:paraId="49ECFF63" w14:textId="77777777" w:rsidR="008D6F13" w:rsidRPr="00D73938" w:rsidRDefault="008D6F13" w:rsidP="008D6F13">
      <w:pPr>
        <w:pStyle w:val="Heading20"/>
      </w:pPr>
      <w:r>
        <w:t>Prices and w</w:t>
      </w:r>
      <w:r w:rsidRPr="00D73938">
        <w:t>ages</w:t>
      </w:r>
    </w:p>
    <w:p w14:paraId="240E5FD8" w14:textId="77777777" w:rsidR="008D6F13" w:rsidRDefault="008D6F13" w:rsidP="008D6F13">
      <w:bookmarkStart w:id="24" w:name="_Hlk88678339"/>
      <w:r w:rsidRPr="004152B9">
        <w:t xml:space="preserve">The Melbourne consumer price index (CPI) rose by </w:t>
      </w:r>
      <w:r>
        <w:t>1.4</w:t>
      </w:r>
      <w:r w:rsidRPr="004152B9">
        <w:t> per cent in 2020</w:t>
      </w:r>
      <w:r>
        <w:noBreakHyphen/>
      </w:r>
      <w:r w:rsidRPr="004152B9">
        <w:t>21</w:t>
      </w:r>
      <w:r>
        <w:t xml:space="preserve"> </w:t>
      </w:r>
      <w:r>
        <w:rPr>
          <w:rFonts w:ascii="Times New Roman" w:hAnsi="Times New Roman" w:cs="Times New Roman"/>
        </w:rPr>
        <w:t>–</w:t>
      </w:r>
      <w:r w:rsidRPr="004152B9">
        <w:t xml:space="preserve"> </w:t>
      </w:r>
      <w:r>
        <w:t xml:space="preserve">in line with the </w:t>
      </w:r>
      <w:r w:rsidRPr="004152B9">
        <w:rPr>
          <w:i/>
          <w:iCs/>
        </w:rPr>
        <w:t>2021</w:t>
      </w:r>
      <w:r>
        <w:rPr>
          <w:i/>
          <w:iCs/>
        </w:rPr>
        <w:noBreakHyphen/>
      </w:r>
      <w:r w:rsidRPr="004152B9">
        <w:rPr>
          <w:i/>
          <w:iCs/>
        </w:rPr>
        <w:t>22</w:t>
      </w:r>
      <w:r>
        <w:rPr>
          <w:i/>
          <w:iCs/>
        </w:rPr>
        <w:t> </w:t>
      </w:r>
      <w:r w:rsidRPr="004152B9">
        <w:rPr>
          <w:i/>
          <w:iCs/>
        </w:rPr>
        <w:t>Budget</w:t>
      </w:r>
      <w:r>
        <w:t xml:space="preserve"> estimate and below the previous year’s 1.7 per cent rise. </w:t>
      </w:r>
    </w:p>
    <w:p w14:paraId="567FA401" w14:textId="77777777" w:rsidR="008D6F13" w:rsidRDefault="008D6F13" w:rsidP="008D6F13">
      <w:pPr>
        <w:tabs>
          <w:tab w:val="num" w:pos="720"/>
        </w:tabs>
      </w:pPr>
      <w:r>
        <w:t>More recent data indicate there has been an increase in inflationary pressures, although this is expected to be temporary. The Melbourne CPI rose by 2.9 per cent over the year to the September quarter, with higher fuel prices and higher prices for childcare driving much of this increase – driven by higher global oil prices and the unwinding of free childcare introduced as part of the pandemic response</w:t>
      </w:r>
      <w:r w:rsidRPr="007A0E79">
        <w:t xml:space="preserve">. </w:t>
      </w:r>
      <w:r>
        <w:t xml:space="preserve">National underlying inflation has also </w:t>
      </w:r>
      <w:proofErr w:type="gramStart"/>
      <w:r>
        <w:t>risen, but</w:t>
      </w:r>
      <w:proofErr w:type="gramEnd"/>
      <w:r>
        <w:t xml:space="preserve"> remains relatively low at 2.1 per cent. </w:t>
      </w:r>
    </w:p>
    <w:p w14:paraId="79C39F97" w14:textId="77777777" w:rsidR="008D6F13" w:rsidRDefault="008D6F13" w:rsidP="008D6F13">
      <w:pPr>
        <w:tabs>
          <w:tab w:val="num" w:pos="720"/>
        </w:tabs>
      </w:pPr>
      <w:r>
        <w:t>Overall, inflation is now forecast to increase to 2.0 per cent in 2021</w:t>
      </w:r>
      <w:r>
        <w:noBreakHyphen/>
        <w:t xml:space="preserve">22 in annual-average terms, an upward revision of 0.5 percentage points from the </w:t>
      </w:r>
      <w:r w:rsidRPr="00F60EA8">
        <w:rPr>
          <w:i/>
          <w:iCs/>
        </w:rPr>
        <w:t>2021</w:t>
      </w:r>
      <w:r>
        <w:rPr>
          <w:i/>
          <w:iCs/>
        </w:rPr>
        <w:noBreakHyphen/>
      </w:r>
      <w:r w:rsidRPr="00F60EA8">
        <w:rPr>
          <w:i/>
          <w:iCs/>
        </w:rPr>
        <w:t>22</w:t>
      </w:r>
      <w:r>
        <w:rPr>
          <w:i/>
          <w:iCs/>
        </w:rPr>
        <w:t> </w:t>
      </w:r>
      <w:r w:rsidRPr="00F60EA8">
        <w:rPr>
          <w:i/>
          <w:iCs/>
        </w:rPr>
        <w:t>Budget</w:t>
      </w:r>
      <w:r>
        <w:t xml:space="preserve"> estimate. The forecast for 2022</w:t>
      </w:r>
      <w:r>
        <w:noBreakHyphen/>
        <w:t>23 is unchanged at 1.75 per cent, reflecting expectations that the factors driving much of the recent increase are transient. Beyond that, the CPI projections for 2023</w:t>
      </w:r>
      <w:r>
        <w:noBreakHyphen/>
        <w:t>24 and 2024</w:t>
      </w:r>
      <w:r>
        <w:noBreakHyphen/>
        <w:t xml:space="preserve">25 have been revised slightly higher, by 0.25 percentage points, due to higher projected wages growth. </w:t>
      </w:r>
    </w:p>
    <w:p w14:paraId="60CE4CE7" w14:textId="77777777" w:rsidR="008D6F13" w:rsidRDefault="008D6F13" w:rsidP="008D6F13">
      <w:bookmarkStart w:id="25" w:name="_Hlk88678250"/>
      <w:bookmarkEnd w:id="24"/>
      <w:r>
        <w:t>Wage growth has been subdued in recent years and has slowed further since the onset of the pandemic. Victorian wages grew by 1.4 per cent in 2020</w:t>
      </w:r>
      <w:r>
        <w:noBreakHyphen/>
        <w:t xml:space="preserve">21, a little above the </w:t>
      </w:r>
      <w:r w:rsidRPr="003176AF">
        <w:rPr>
          <w:i/>
          <w:iCs/>
        </w:rPr>
        <w:t>2021</w:t>
      </w:r>
      <w:r w:rsidRPr="003176AF">
        <w:rPr>
          <w:i/>
          <w:iCs/>
        </w:rPr>
        <w:noBreakHyphen/>
        <w:t>22 Budget</w:t>
      </w:r>
      <w:r>
        <w:t xml:space="preserve"> estimate of 1.25 per cent. </w:t>
      </w:r>
    </w:p>
    <w:bookmarkEnd w:id="25"/>
    <w:p w14:paraId="65692D3B" w14:textId="77777777" w:rsidR="008D6F13" w:rsidRDefault="008D6F13" w:rsidP="008D6F13">
      <w:r>
        <w:t xml:space="preserve">Since the </w:t>
      </w:r>
      <w:r w:rsidRPr="005F2B9B">
        <w:rPr>
          <w:i/>
          <w:iCs/>
        </w:rPr>
        <w:t>2021-22 Budget</w:t>
      </w:r>
      <w:r>
        <w:t xml:space="preserve">, the main development affecting the near-term outlook for wages is the Fair Work Commission’s decision to increase the national minimum wage, and all award wages, by 2.5 per cent. The increase was staged over the second half of 2021, but mostly took effect from 1 July. Beyond that, there have been reports of skills shortages in some sectors and occupations. To date, however, there is limited evidence that this has flowed through to broader wage pressures. </w:t>
      </w:r>
    </w:p>
    <w:p w14:paraId="0EF91F2E" w14:textId="77777777" w:rsidR="008D6F13" w:rsidRDefault="008D6F13" w:rsidP="008D6F13">
      <w:bookmarkStart w:id="26" w:name="_Hlk88678279"/>
      <w:r>
        <w:t>Nevertheless, the stronger outlook for the labour market more generally, discussed earlier in the chapter, is also expected to put some upward pressure on wage growth. Wages are now forecast to grow by 2.25 per cent in 2021</w:t>
      </w:r>
      <w:r>
        <w:noBreakHyphen/>
        <w:t xml:space="preserve">22, an increase of 0.5 percentage points on the </w:t>
      </w:r>
      <w:r w:rsidRPr="0005717A">
        <w:rPr>
          <w:i/>
          <w:iCs/>
        </w:rPr>
        <w:t>2021</w:t>
      </w:r>
      <w:r w:rsidRPr="0005717A">
        <w:rPr>
          <w:i/>
          <w:iCs/>
        </w:rPr>
        <w:noBreakHyphen/>
        <w:t>22 Budget</w:t>
      </w:r>
      <w:r>
        <w:t xml:space="preserve"> forecast. Further out, wage growth is also expected to be stronger than forecast in the Budget, consistent with lower forecast unemployment and a tighter labour market. </w:t>
      </w:r>
    </w:p>
    <w:bookmarkEnd w:id="26"/>
    <w:p w14:paraId="062DED06" w14:textId="77777777" w:rsidR="008D6F13" w:rsidRPr="00D73938" w:rsidRDefault="008D6F13" w:rsidP="00F81017">
      <w:pPr>
        <w:pStyle w:val="Heading20"/>
        <w:pageBreakBefore/>
      </w:pPr>
      <w:r w:rsidRPr="00D73938">
        <w:lastRenderedPageBreak/>
        <w:t>Population</w:t>
      </w:r>
    </w:p>
    <w:p w14:paraId="2AEAB355" w14:textId="77777777" w:rsidR="008D6F13" w:rsidRDefault="008D6F13" w:rsidP="008D6F13">
      <w:bookmarkStart w:id="27" w:name="_Hlk88678134"/>
      <w:bookmarkStart w:id="28" w:name="_Toc481246472"/>
      <w:bookmarkStart w:id="29" w:name="_Toc481160564"/>
      <w:r>
        <w:t xml:space="preserve">The COVID-19 pandemic is continuing to negatively affect Victoria’s population growth. Population has fallen in the first three quarters of 2020-21, with the population declining by 0.6 per cent, or nearly 43 000 persons, over the year to the March quarter 2021. </w:t>
      </w:r>
    </w:p>
    <w:p w14:paraId="08EE878B" w14:textId="77777777" w:rsidR="008D6F13" w:rsidRDefault="008D6F13" w:rsidP="008D6F13">
      <w:r>
        <w:t xml:space="preserve">The decline has been led by net overseas migration amid Australia’s border restrictions. Over the past year, more students and other </w:t>
      </w:r>
      <w:r w:rsidRPr="00E536F1">
        <w:t xml:space="preserve">immigrants </w:t>
      </w:r>
      <w:r>
        <w:t xml:space="preserve">living in Victoria returned home than expatriate Australians and migrants from overseas moved to Victoria. In the year to March 2021, there was a net outflow of over 53 000 migrants, which contrasts sharply with an annual net inflow of around 85 000 to 90 000 in the preceding few years </w:t>
      </w:r>
      <w:bookmarkEnd w:id="27"/>
      <w:r>
        <w:t>(see </w:t>
      </w:r>
      <w:r w:rsidRPr="0033178F">
        <w:t>Chart 2.4).</w:t>
      </w:r>
      <w:r>
        <w:t xml:space="preserve"> </w:t>
      </w:r>
    </w:p>
    <w:p w14:paraId="41D293CC" w14:textId="77777777" w:rsidR="008D6F13" w:rsidRDefault="008D6F13" w:rsidP="008D6F13">
      <w:pPr>
        <w:pStyle w:val="TableHeading"/>
      </w:pPr>
      <w:r w:rsidRPr="0033178F">
        <w:t>Chart 2.4</w:t>
      </w:r>
      <w:r>
        <w:t>:</w:t>
      </w:r>
      <w:r>
        <w:tab/>
        <w:t>Components of population growth and population forecasts</w:t>
      </w:r>
    </w:p>
    <w:p w14:paraId="467CCAB5" w14:textId="77777777" w:rsidR="008D6F13" w:rsidRDefault="008D6F13" w:rsidP="008D6F13">
      <w:pPr>
        <w:tabs>
          <w:tab w:val="left" w:pos="3969"/>
        </w:tabs>
        <w:rPr>
          <w:noProof/>
        </w:rPr>
      </w:pPr>
      <w:r w:rsidRPr="00A1030A">
        <w:rPr>
          <w:noProof/>
        </w:rPr>
        <w:t xml:space="preserve"> </w:t>
      </w:r>
      <w:r w:rsidRPr="001C1D76">
        <w:rPr>
          <w:noProof/>
        </w:rPr>
        <w:t xml:space="preserve"> </w:t>
      </w:r>
      <w:r w:rsidRPr="00003832">
        <w:rPr>
          <w:noProof/>
          <w:sz w:val="18"/>
          <w:szCs w:val="18"/>
        </w:rPr>
        <w:drawing>
          <wp:inline distT="0" distB="0" distL="0" distR="0" wp14:anchorId="2A2CD4EA" wp14:editId="1598720B">
            <wp:extent cx="2115641" cy="2790907"/>
            <wp:effectExtent l="0" t="0" r="0" b="0"/>
            <wp:docPr id="17" name="Chart 17">
              <a:extLst xmlns:a="http://schemas.openxmlformats.org/drawingml/2006/main">
                <a:ext uri="{FF2B5EF4-FFF2-40B4-BE49-F238E27FC236}">
                  <a16:creationId xmlns:a16="http://schemas.microsoft.com/office/drawing/2014/main" id="{32A78FEA-D995-4D75-9FFB-7A8A2EA92F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noProof/>
        </w:rPr>
        <w:tab/>
      </w:r>
      <w:r>
        <w:rPr>
          <w:noProof/>
        </w:rPr>
        <w:drawing>
          <wp:inline distT="0" distB="0" distL="0" distR="0" wp14:anchorId="752844A1" wp14:editId="145BBC22">
            <wp:extent cx="2194560" cy="2861697"/>
            <wp:effectExtent l="0" t="0" r="0" b="0"/>
            <wp:docPr id="18" name="Chart 18">
              <a:extLst xmlns:a="http://schemas.openxmlformats.org/drawingml/2006/main">
                <a:ext uri="{FF2B5EF4-FFF2-40B4-BE49-F238E27FC236}">
                  <a16:creationId xmlns:a16="http://schemas.microsoft.com/office/drawing/2014/main" id="{C47607C8-8F3C-4FBD-9E8D-A80DB676E5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C79542D" w14:textId="77777777" w:rsidR="008D6F13" w:rsidRPr="00FE7D5F" w:rsidRDefault="008D6F13" w:rsidP="008D6F13">
      <w:pPr>
        <w:pStyle w:val="Source"/>
      </w:pPr>
      <w:r w:rsidRPr="00FE7D5F">
        <w:t>Source</w:t>
      </w:r>
      <w:r>
        <w:t>s</w:t>
      </w:r>
      <w:r w:rsidRPr="00FE7D5F">
        <w:t>: Australian Bureau of Statistics, Department of Treasury and Finance</w:t>
      </w:r>
    </w:p>
    <w:p w14:paraId="159F14B2" w14:textId="77777777" w:rsidR="008D6F13" w:rsidRPr="00406935" w:rsidRDefault="008D6F13" w:rsidP="00406935">
      <w:pPr>
        <w:pStyle w:val="Note"/>
      </w:pPr>
      <w:r w:rsidRPr="00406935">
        <w:t xml:space="preserve">Note: </w:t>
      </w:r>
    </w:p>
    <w:p w14:paraId="12E9BC0C" w14:textId="77777777" w:rsidR="008D6F13" w:rsidRPr="00406935" w:rsidRDefault="008D6F13" w:rsidP="00406935">
      <w:pPr>
        <w:pStyle w:val="Note"/>
      </w:pPr>
      <w:r w:rsidRPr="00406935">
        <w:t>(a)</w:t>
      </w:r>
      <w:r w:rsidRPr="00406935">
        <w:tab/>
        <w:t>2020-21 is change in the year to March 2021.</w:t>
      </w:r>
    </w:p>
    <w:p w14:paraId="2BDFC17F" w14:textId="77777777" w:rsidR="008D6F13" w:rsidRDefault="008D6F13" w:rsidP="008D6F13">
      <w:r>
        <w:t xml:space="preserve">Net interstate migration to Victoria has also detracted from population growth over the past year, mainly due to a decline in the number of interstate arrivals, while the rate of natural population increase has also slowed. For 2020-21, Victoria’s population is now forecast to fall by 0.7 per cent, compared to the </w:t>
      </w:r>
      <w:r w:rsidRPr="0025372F">
        <w:rPr>
          <w:i/>
          <w:iCs/>
        </w:rPr>
        <w:t>202</w:t>
      </w:r>
      <w:r>
        <w:rPr>
          <w:i/>
          <w:iCs/>
        </w:rPr>
        <w:t>1</w:t>
      </w:r>
      <w:r w:rsidRPr="0025372F">
        <w:rPr>
          <w:i/>
          <w:iCs/>
        </w:rPr>
        <w:t>-2</w:t>
      </w:r>
      <w:r>
        <w:rPr>
          <w:i/>
          <w:iCs/>
        </w:rPr>
        <w:t>2</w:t>
      </w:r>
      <w:r w:rsidRPr="0025372F">
        <w:rPr>
          <w:i/>
          <w:iCs/>
        </w:rPr>
        <w:t xml:space="preserve"> Budget</w:t>
      </w:r>
      <w:r>
        <w:t xml:space="preserve"> forecast of an unchanged population.</w:t>
      </w:r>
    </w:p>
    <w:p w14:paraId="420EF443" w14:textId="77777777" w:rsidR="008D6F13" w:rsidRDefault="008D6F13" w:rsidP="008D6F13">
      <w:pPr>
        <w:ind w:right="-86"/>
      </w:pPr>
      <w:bookmarkStart w:id="30" w:name="_Hlk88678179"/>
      <w:r>
        <w:t xml:space="preserve">Population growth is likely to remain weak in the near term. Victoria’s population is forecast to grow by </w:t>
      </w:r>
      <w:r w:rsidRPr="00D730C8">
        <w:t>0.2 </w:t>
      </w:r>
      <w:r>
        <w:t>per cent in 2021</w:t>
      </w:r>
      <w:r>
        <w:noBreakHyphen/>
        <w:t xml:space="preserve">22, slightly lower than the </w:t>
      </w:r>
      <w:r w:rsidRPr="00261961">
        <w:rPr>
          <w:i/>
          <w:iCs/>
        </w:rPr>
        <w:t>2021</w:t>
      </w:r>
      <w:r>
        <w:rPr>
          <w:i/>
          <w:iCs/>
        </w:rPr>
        <w:noBreakHyphen/>
      </w:r>
      <w:r w:rsidRPr="00261961">
        <w:rPr>
          <w:i/>
          <w:iCs/>
        </w:rPr>
        <w:t>22</w:t>
      </w:r>
      <w:r>
        <w:rPr>
          <w:i/>
          <w:iCs/>
        </w:rPr>
        <w:t> </w:t>
      </w:r>
      <w:r w:rsidRPr="00261961">
        <w:rPr>
          <w:i/>
          <w:iCs/>
        </w:rPr>
        <w:t>Budget</w:t>
      </w:r>
      <w:r>
        <w:t xml:space="preserve"> forecast of 0.3 per cent. A</w:t>
      </w:r>
      <w:r w:rsidRPr="00EE48FC">
        <w:t xml:space="preserve">s </w:t>
      </w:r>
      <w:r>
        <w:t xml:space="preserve">migrant flows gradually increase with the relaxing of border restrictions, including the return of international students, </w:t>
      </w:r>
      <w:r w:rsidRPr="00EE48FC">
        <w:t xml:space="preserve">population growth is expected </w:t>
      </w:r>
      <w:r>
        <w:t xml:space="preserve">to reach </w:t>
      </w:r>
      <w:r w:rsidRPr="00EE48FC">
        <w:t>1.7 per</w:t>
      </w:r>
      <w:r>
        <w:t xml:space="preserve"> </w:t>
      </w:r>
      <w:r w:rsidRPr="00EE48FC">
        <w:t xml:space="preserve">cent by </w:t>
      </w:r>
      <w:r>
        <w:t>2023</w:t>
      </w:r>
      <w:r>
        <w:noBreakHyphen/>
        <w:t xml:space="preserve">24. </w:t>
      </w:r>
    </w:p>
    <w:p w14:paraId="52BD80FC" w14:textId="77777777" w:rsidR="008D6F13" w:rsidRPr="00D73938" w:rsidRDefault="008D6F13" w:rsidP="008D6F13">
      <w:pPr>
        <w:pStyle w:val="Heading10"/>
      </w:pPr>
      <w:bookmarkStart w:id="31" w:name="_Toc56718738"/>
      <w:bookmarkStart w:id="32" w:name="_Toc89423577"/>
      <w:bookmarkStart w:id="33" w:name="_Hlk51093671"/>
      <w:bookmarkEnd w:id="30"/>
      <w:r w:rsidRPr="00D73938">
        <w:lastRenderedPageBreak/>
        <w:t>Australian economic conditions and outlook</w:t>
      </w:r>
      <w:bookmarkEnd w:id="31"/>
      <w:bookmarkEnd w:id="32"/>
    </w:p>
    <w:p w14:paraId="4B0A2ACC" w14:textId="77777777" w:rsidR="008D6F13" w:rsidRDefault="008D6F13" w:rsidP="008D6F13">
      <w:pPr>
        <w:rPr>
          <w:bCs/>
        </w:rPr>
      </w:pPr>
      <w:bookmarkStart w:id="34" w:name="_Hlk86091594"/>
      <w:bookmarkStart w:id="35" w:name="_Toc56718739"/>
      <w:bookmarkEnd w:id="33"/>
      <w:r>
        <w:rPr>
          <w:bCs/>
        </w:rPr>
        <w:t>Prior to the spread of the Delta variant of COVID</w:t>
      </w:r>
      <w:r>
        <w:rPr>
          <w:bCs/>
        </w:rPr>
        <w:noBreakHyphen/>
        <w:t xml:space="preserve">19, the Australian economy had been performing strongly. After contracting sharply in the June quarter 2020, the economy rebounded strongly in the September and December quarters, and the recovery continued over the first half of 2021. Gross domestic product (GDP) surpassed its pre-COVID-19 level in the March quarter 2021. </w:t>
      </w:r>
      <w:r w:rsidRPr="00931F9B">
        <w:rPr>
          <w:bCs/>
        </w:rPr>
        <w:t xml:space="preserve">By the June quarter 2021 it was </w:t>
      </w:r>
      <w:r>
        <w:rPr>
          <w:bCs/>
        </w:rPr>
        <w:t>9.6 </w:t>
      </w:r>
      <w:r w:rsidRPr="00931F9B">
        <w:rPr>
          <w:bCs/>
        </w:rPr>
        <w:t>per</w:t>
      </w:r>
      <w:r>
        <w:rPr>
          <w:bCs/>
        </w:rPr>
        <w:t> </w:t>
      </w:r>
      <w:r w:rsidRPr="00931F9B">
        <w:rPr>
          <w:bCs/>
        </w:rPr>
        <w:t>cent higher than its trough in the June quarter 2020.</w:t>
      </w:r>
    </w:p>
    <w:p w14:paraId="6018B97C" w14:textId="77777777" w:rsidR="008D6F13" w:rsidRDefault="008D6F13" w:rsidP="008D6F13">
      <w:pPr>
        <w:rPr>
          <w:bCs/>
        </w:rPr>
      </w:pPr>
      <w:r>
        <w:rPr>
          <w:bCs/>
        </w:rPr>
        <w:t xml:space="preserve">Growth in GDP was broad-based, with increases in consumer spending, dwelling investment and continued high levels of public demand more than offsetting a decline in business investment and a fall in exports. </w:t>
      </w:r>
      <w:r w:rsidRPr="005A136F">
        <w:rPr>
          <w:bCs/>
        </w:rPr>
        <w:t xml:space="preserve">The labour market also </w:t>
      </w:r>
      <w:r>
        <w:rPr>
          <w:bCs/>
        </w:rPr>
        <w:t>performed strongly over this period</w:t>
      </w:r>
      <w:r w:rsidRPr="005A136F">
        <w:rPr>
          <w:bCs/>
        </w:rPr>
        <w:t xml:space="preserve">, with </w:t>
      </w:r>
      <w:r>
        <w:rPr>
          <w:bCs/>
        </w:rPr>
        <w:t>solid</w:t>
      </w:r>
      <w:r w:rsidRPr="005A136F">
        <w:rPr>
          <w:bCs/>
        </w:rPr>
        <w:t xml:space="preserve"> </w:t>
      </w:r>
      <w:r>
        <w:rPr>
          <w:bCs/>
        </w:rPr>
        <w:t>growth</w:t>
      </w:r>
      <w:r w:rsidRPr="005A136F">
        <w:rPr>
          <w:bCs/>
        </w:rPr>
        <w:t xml:space="preserve"> in employment driving a fall in the unemployment rate to below 5 per cent by mid</w:t>
      </w:r>
      <w:r>
        <w:rPr>
          <w:bCs/>
        </w:rPr>
        <w:noBreakHyphen/>
        <w:t>2021</w:t>
      </w:r>
      <w:r w:rsidRPr="005A136F">
        <w:rPr>
          <w:bCs/>
        </w:rPr>
        <w:t>.</w:t>
      </w:r>
      <w:r>
        <w:rPr>
          <w:bCs/>
        </w:rPr>
        <w:t xml:space="preserve"> </w:t>
      </w:r>
    </w:p>
    <w:p w14:paraId="2F90C109" w14:textId="77777777" w:rsidR="008D6F13" w:rsidRDefault="008D6F13" w:rsidP="008D6F13">
      <w:bookmarkStart w:id="36" w:name="_Hlk86143245"/>
      <w:r>
        <w:t xml:space="preserve">However, GDP fell in the September quarter 2021, due to public health restrictions in place in both New South Wales and Victoria. In its November 2021 </w:t>
      </w:r>
      <w:r w:rsidRPr="0060168C">
        <w:rPr>
          <w:i/>
          <w:iCs/>
        </w:rPr>
        <w:t>Statement on Monetary Policy</w:t>
      </w:r>
      <w:r>
        <w:t>, the RBA lowered its forecast for 2021</w:t>
      </w:r>
      <w:r>
        <w:noBreakHyphen/>
        <w:t>22 GDP growth to 3.25 per cent, a do</w:t>
      </w:r>
      <w:r w:rsidRPr="00B623F6">
        <w:t xml:space="preserve">wngrade of </w:t>
      </w:r>
      <w:r w:rsidRPr="00D912DC">
        <w:t>1.75 </w:t>
      </w:r>
      <w:r w:rsidRPr="00B623F6">
        <w:t xml:space="preserve">percentage points from its </w:t>
      </w:r>
      <w:r>
        <w:t xml:space="preserve">forecast in </w:t>
      </w:r>
      <w:r w:rsidRPr="00B623F6">
        <w:t>May 2021.</w:t>
      </w:r>
      <w:r>
        <w:t xml:space="preserve"> </w:t>
      </w:r>
    </w:p>
    <w:bookmarkEnd w:id="36"/>
    <w:p w14:paraId="5F4A3AD4" w14:textId="77777777" w:rsidR="008D6F13" w:rsidRDefault="008D6F13" w:rsidP="008D6F13">
      <w:r>
        <w:t xml:space="preserve">Nevertheless, the RBA expects the Australian economy to rebound strongly as restrictions ease in New South Wales and Victoria, as it has following previous periods of tight restrictions. It notes that the Australian economy entered the recent period </w:t>
      </w:r>
      <w:r w:rsidRPr="00931F9B">
        <w:t>of restrictions in the two most populous states</w:t>
      </w:r>
      <w:r>
        <w:t xml:space="preserve"> in a strong position, and that State and Commonwealth fiscal support helped households and businesses in affected areas.</w:t>
      </w:r>
      <w:r w:rsidRPr="00B623F6">
        <w:t xml:space="preserve"> Reflecting this, the RBA</w:t>
      </w:r>
      <w:r>
        <w:t xml:space="preserve"> </w:t>
      </w:r>
      <w:r w:rsidRPr="00B623F6">
        <w:t xml:space="preserve">upgraded its </w:t>
      </w:r>
      <w:r w:rsidRPr="00107BA7">
        <w:t>2022</w:t>
      </w:r>
      <w:r w:rsidRPr="00107BA7">
        <w:noBreakHyphen/>
        <w:t xml:space="preserve">23 GDP forecast </w:t>
      </w:r>
      <w:r w:rsidRPr="00201E14">
        <w:t>to 5.0 per cent</w:t>
      </w:r>
      <w:r>
        <w:t xml:space="preserve">, an increase of </w:t>
      </w:r>
      <w:r w:rsidRPr="001E316D">
        <w:t>1.75 </w:t>
      </w:r>
      <w:r w:rsidRPr="00107BA7">
        <w:t>percentage points</w:t>
      </w:r>
      <w:r>
        <w:t xml:space="preserve"> compared to its May 2021 forecast. By mid</w:t>
      </w:r>
      <w:r>
        <w:noBreakHyphen/>
        <w:t xml:space="preserve">2022, it expects the economy to be back on the path it expected prior to the most recent restrictions. </w:t>
      </w:r>
    </w:p>
    <w:p w14:paraId="3DBFB893" w14:textId="77777777" w:rsidR="008D6F13" w:rsidRDefault="008D6F13" w:rsidP="008D6F13">
      <w:pPr>
        <w:ind w:right="56"/>
      </w:pPr>
      <w:r w:rsidRPr="00B623F6">
        <w:t xml:space="preserve">The RBA similarly </w:t>
      </w:r>
      <w:r>
        <w:t>anticipates</w:t>
      </w:r>
      <w:r w:rsidRPr="00B623F6">
        <w:t xml:space="preserve"> </w:t>
      </w:r>
      <w:r>
        <w:t xml:space="preserve">a rapid recovery in the </w:t>
      </w:r>
      <w:r w:rsidRPr="00B623F6">
        <w:t>labour market</w:t>
      </w:r>
      <w:r>
        <w:t xml:space="preserve">, with employment and participation expected to have fully recovered recent losses by the end of 2021. </w:t>
      </w:r>
      <w:r w:rsidRPr="00B623F6">
        <w:t>It</w:t>
      </w:r>
      <w:r>
        <w:t> </w:t>
      </w:r>
      <w:r w:rsidRPr="00B623F6">
        <w:t xml:space="preserve">forecasts the </w:t>
      </w:r>
      <w:r w:rsidRPr="00107BA7">
        <w:t xml:space="preserve">unemployment rate to resume its decline, to be around </w:t>
      </w:r>
      <w:r w:rsidRPr="001E316D">
        <w:t>4.5 </w:t>
      </w:r>
      <w:r w:rsidRPr="00107BA7">
        <w:t xml:space="preserve">per cent by </w:t>
      </w:r>
      <w:r w:rsidRPr="00C75358">
        <w:t>mid</w:t>
      </w:r>
      <w:r>
        <w:noBreakHyphen/>
      </w:r>
      <w:r w:rsidRPr="00107BA7">
        <w:t xml:space="preserve">2022 and </w:t>
      </w:r>
      <w:r w:rsidRPr="00931F9B">
        <w:t>4 </w:t>
      </w:r>
      <w:r w:rsidRPr="001900BF">
        <w:t>per cent</w:t>
      </w:r>
      <w:r w:rsidRPr="00B623F6">
        <w:t xml:space="preserve"> by the end of 2023, which would be the lowest </w:t>
      </w:r>
      <w:r>
        <w:t>rate</w:t>
      </w:r>
      <w:r w:rsidRPr="00B623F6">
        <w:t xml:space="preserve"> since </w:t>
      </w:r>
      <w:r w:rsidRPr="001E316D">
        <w:t>2008</w:t>
      </w:r>
      <w:r w:rsidRPr="00107BA7">
        <w:t xml:space="preserve">. </w:t>
      </w:r>
    </w:p>
    <w:p w14:paraId="3A185DCF" w14:textId="77777777" w:rsidR="00CB5E47" w:rsidRDefault="00CB5E47">
      <w:pPr>
        <w:keepLines w:val="0"/>
        <w:rPr>
          <w:rFonts w:asciiTheme="majorHAnsi" w:eastAsiaTheme="majorEastAsia" w:hAnsiTheme="majorHAnsi" w:cstheme="majorBidi"/>
          <w:b/>
          <w:caps/>
          <w:sz w:val="26"/>
          <w:szCs w:val="32"/>
        </w:rPr>
      </w:pPr>
      <w:bookmarkStart w:id="37" w:name="_Toc89423578"/>
      <w:bookmarkEnd w:id="34"/>
      <w:r>
        <w:br w:type="page"/>
      </w:r>
    </w:p>
    <w:p w14:paraId="7F18A5E8" w14:textId="62DFADB8" w:rsidR="008D6F13" w:rsidRPr="00D73938" w:rsidRDefault="008D6F13" w:rsidP="008D6F13">
      <w:pPr>
        <w:pStyle w:val="Heading10"/>
      </w:pPr>
      <w:r w:rsidRPr="0001497A">
        <w:lastRenderedPageBreak/>
        <w:t>International economic conditions and outlook</w:t>
      </w:r>
      <w:bookmarkEnd w:id="28"/>
      <w:bookmarkEnd w:id="29"/>
      <w:bookmarkEnd w:id="35"/>
      <w:bookmarkEnd w:id="37"/>
    </w:p>
    <w:p w14:paraId="6FA1B28F" w14:textId="77777777" w:rsidR="008D6F13" w:rsidRDefault="008D6F13" w:rsidP="008D6F13">
      <w:pPr>
        <w:rPr>
          <w:rFonts w:ascii="Garamond" w:eastAsia="Garamond" w:hAnsi="Garamond" w:cs="Times New Roman"/>
        </w:rPr>
      </w:pPr>
      <w:r>
        <w:rPr>
          <w:rFonts w:ascii="Garamond" w:eastAsia="Garamond" w:hAnsi="Garamond" w:cs="Times New Roman"/>
        </w:rPr>
        <w:t xml:space="preserve">At the time of the </w:t>
      </w:r>
      <w:r w:rsidRPr="006F15B1">
        <w:rPr>
          <w:rFonts w:ascii="Garamond" w:eastAsia="Garamond" w:hAnsi="Garamond" w:cs="Times New Roman"/>
          <w:i/>
          <w:iCs/>
        </w:rPr>
        <w:t>2021</w:t>
      </w:r>
      <w:r w:rsidRPr="006F15B1">
        <w:rPr>
          <w:rFonts w:ascii="Garamond" w:eastAsia="Garamond" w:hAnsi="Garamond" w:cs="Times New Roman"/>
          <w:i/>
          <w:iCs/>
        </w:rPr>
        <w:noBreakHyphen/>
        <w:t>22 Budget</w:t>
      </w:r>
      <w:r>
        <w:rPr>
          <w:rFonts w:ascii="Garamond" w:eastAsia="Garamond" w:hAnsi="Garamond" w:cs="Times New Roman"/>
        </w:rPr>
        <w:t xml:space="preserve">, the global economic recovery was well underway. Economies in most regions had recovered more quickly than expected in the second half of 2020, after tight restrictions were eased and economies adapted to new ways of working. </w:t>
      </w:r>
    </w:p>
    <w:p w14:paraId="294C0CC4" w14:textId="77777777" w:rsidR="008D6F13" w:rsidRDefault="008D6F13" w:rsidP="008D6F13">
      <w:pPr>
        <w:rPr>
          <w:rFonts w:ascii="Garamond" w:eastAsia="Garamond" w:hAnsi="Garamond" w:cs="Times New Roman"/>
        </w:rPr>
      </w:pPr>
      <w:r>
        <w:rPr>
          <w:rFonts w:ascii="Garamond" w:eastAsia="Garamond" w:hAnsi="Garamond" w:cs="Times New Roman"/>
        </w:rPr>
        <w:t xml:space="preserve">In its October 2021 </w:t>
      </w:r>
      <w:r w:rsidRPr="00EA53E7">
        <w:rPr>
          <w:rFonts w:ascii="Garamond" w:eastAsia="Garamond" w:hAnsi="Garamond" w:cs="Times New Roman"/>
          <w:i/>
          <w:iCs/>
        </w:rPr>
        <w:t>World Economic Outlook</w:t>
      </w:r>
      <w:r>
        <w:rPr>
          <w:rFonts w:ascii="Garamond" w:eastAsia="Garamond" w:hAnsi="Garamond" w:cs="Times New Roman"/>
        </w:rPr>
        <w:t xml:space="preserve">, the International Monetary Fund (IMF) noted that the global recovery was continuing, but that momentum had weakened somewhat since mid-year, due to increasing COVID-19 infections and supply disruptions, and that risks to the outlook remained elevated. </w:t>
      </w:r>
    </w:p>
    <w:p w14:paraId="65927592" w14:textId="77777777" w:rsidR="008D6F13" w:rsidRDefault="008D6F13" w:rsidP="008D6F13">
      <w:pPr>
        <w:rPr>
          <w:rFonts w:ascii="Garamond" w:eastAsia="Garamond" w:hAnsi="Garamond" w:cs="Times New Roman"/>
        </w:rPr>
      </w:pPr>
      <w:r>
        <w:rPr>
          <w:rFonts w:ascii="Garamond" w:eastAsia="Garamond" w:hAnsi="Garamond" w:cs="Times New Roman"/>
        </w:rPr>
        <w:t xml:space="preserve">Compared to estimates at the time of the </w:t>
      </w:r>
      <w:r w:rsidRPr="005F2B9B">
        <w:rPr>
          <w:rFonts w:ascii="Garamond" w:eastAsia="Garamond" w:hAnsi="Garamond" w:cs="Times New Roman"/>
          <w:i/>
          <w:iCs/>
        </w:rPr>
        <w:t>2021-22 Budget</w:t>
      </w:r>
      <w:r>
        <w:rPr>
          <w:rFonts w:ascii="Garamond" w:eastAsia="Garamond" w:hAnsi="Garamond" w:cs="Times New Roman"/>
        </w:rPr>
        <w:t xml:space="preserve">, the IMF has marginally lowered its global growth forecast for 2021, from 6.0 per cent to 5.9 per cent. This is due to expectations of weaker growth in the group of emerging market and developing economies, with downgrades to forecast growth for both China and India. By contrast, forecast growth for advanced economies was revised marginally higher, with an upgraded outlook for the United Kingdom and euro area largely offset by a downgrade to expected growth in the United States and Japan. </w:t>
      </w:r>
    </w:p>
    <w:p w14:paraId="3EB54EFC" w14:textId="77777777" w:rsidR="008D6F13" w:rsidRDefault="008D6F13" w:rsidP="008D6F13">
      <w:pPr>
        <w:rPr>
          <w:rFonts w:ascii="Garamond" w:eastAsia="Garamond" w:hAnsi="Garamond" w:cs="Times New Roman"/>
        </w:rPr>
      </w:pPr>
      <w:r>
        <w:rPr>
          <w:rFonts w:ascii="Garamond" w:eastAsia="Garamond" w:hAnsi="Garamond" w:cs="Times New Roman"/>
        </w:rPr>
        <w:t xml:space="preserve">Looking ahead, the IMF has upgraded its outlook for 2022 since the </w:t>
      </w:r>
      <w:r w:rsidRPr="005F2B9B">
        <w:rPr>
          <w:rFonts w:ascii="Garamond" w:eastAsia="Garamond" w:hAnsi="Garamond" w:cs="Times New Roman"/>
          <w:i/>
          <w:iCs/>
        </w:rPr>
        <w:t>2021-22 Budget</w:t>
      </w:r>
      <w:r>
        <w:rPr>
          <w:rFonts w:ascii="Garamond" w:eastAsia="Garamond" w:hAnsi="Garamond" w:cs="Times New Roman"/>
        </w:rPr>
        <w:t xml:space="preserve"> from 4.4 per cent to 4.9 per cent. The stronger outlook for 2022, which is being driven by advanced economies, and notably the United States, reflects expectations that the continued rollout of vaccines will boost activity, especially in the first half of the year. </w:t>
      </w:r>
    </w:p>
    <w:p w14:paraId="495827A7" w14:textId="77777777" w:rsidR="008D6F13" w:rsidRPr="00120193" w:rsidRDefault="008D6F13" w:rsidP="008D6F13">
      <w:pPr>
        <w:pStyle w:val="Heading10"/>
      </w:pPr>
      <w:bookmarkStart w:id="38" w:name="_Toc56718740"/>
      <w:bookmarkStart w:id="39" w:name="_Toc89423579"/>
      <w:r w:rsidRPr="00D73938">
        <w:t>Risks to the Victorian outlook</w:t>
      </w:r>
      <w:bookmarkEnd w:id="38"/>
      <w:bookmarkEnd w:id="39"/>
    </w:p>
    <w:p w14:paraId="55F612B3" w14:textId="77777777" w:rsidR="008D6F13" w:rsidRDefault="008D6F13" w:rsidP="008D6F13">
      <w:pPr>
        <w:ind w:right="-86"/>
        <w:rPr>
          <w:rFonts w:ascii="Garamond" w:hAnsi="Garamond"/>
        </w:rPr>
      </w:pPr>
      <w:bookmarkStart w:id="40" w:name="_Hlk52178011"/>
      <w:r w:rsidRPr="004C4C1C">
        <w:rPr>
          <w:rFonts w:ascii="Garamond" w:hAnsi="Garamond"/>
        </w:rPr>
        <w:t>Risks to Victoria</w:t>
      </w:r>
      <w:r>
        <w:rPr>
          <w:rFonts w:ascii="Garamond" w:hAnsi="Garamond"/>
        </w:rPr>
        <w:t>’</w:t>
      </w:r>
      <w:r w:rsidRPr="004C4C1C">
        <w:rPr>
          <w:rFonts w:ascii="Garamond" w:hAnsi="Garamond"/>
        </w:rPr>
        <w:t xml:space="preserve">s economic outlook remain greater than normal and the forecasts are subject to a high degree of uncertainty. </w:t>
      </w:r>
      <w:r>
        <w:rPr>
          <w:rFonts w:ascii="Garamond" w:hAnsi="Garamond"/>
        </w:rPr>
        <w:t xml:space="preserve">These risks continue to be dominated by the COVID-19 </w:t>
      </w:r>
      <w:r w:rsidRPr="00C60215">
        <w:rPr>
          <w:rFonts w:ascii="Garamond" w:hAnsi="Garamond"/>
        </w:rPr>
        <w:t xml:space="preserve">pandemic, </w:t>
      </w:r>
      <w:r w:rsidRPr="00EA78C3">
        <w:rPr>
          <w:rFonts w:ascii="Garamond" w:hAnsi="Garamond"/>
        </w:rPr>
        <w:t xml:space="preserve">including risks around the efficacy of vaccines on emerging strains of COVID-19, </w:t>
      </w:r>
      <w:r w:rsidRPr="00DA7454">
        <w:rPr>
          <w:rFonts w:ascii="Garamond" w:hAnsi="Garamond"/>
        </w:rPr>
        <w:t xml:space="preserve">and potential changes to </w:t>
      </w:r>
      <w:r w:rsidRPr="00EA78C3">
        <w:rPr>
          <w:rFonts w:ascii="Garamond" w:hAnsi="Garamond"/>
        </w:rPr>
        <w:t xml:space="preserve">policy responses </w:t>
      </w:r>
      <w:r>
        <w:rPr>
          <w:rFonts w:ascii="Garamond" w:hAnsi="Garamond"/>
        </w:rPr>
        <w:t xml:space="preserve">as the </w:t>
      </w:r>
      <w:r w:rsidRPr="00EA78C3">
        <w:rPr>
          <w:rFonts w:ascii="Garamond" w:hAnsi="Garamond"/>
        </w:rPr>
        <w:t>domestic and global economies</w:t>
      </w:r>
      <w:r>
        <w:rPr>
          <w:rFonts w:ascii="Garamond" w:hAnsi="Garamond"/>
        </w:rPr>
        <w:t xml:space="preserve"> recover</w:t>
      </w:r>
      <w:r w:rsidRPr="00EA78C3">
        <w:rPr>
          <w:rFonts w:ascii="Garamond" w:hAnsi="Garamond"/>
        </w:rPr>
        <w:t>.</w:t>
      </w:r>
    </w:p>
    <w:p w14:paraId="5C383F7B" w14:textId="77777777" w:rsidR="008D6F13" w:rsidRDefault="008D6F13" w:rsidP="008D6F13">
      <w:pPr>
        <w:ind w:right="-86"/>
        <w:rPr>
          <w:rFonts w:ascii="Garamond" w:hAnsi="Garamond"/>
        </w:rPr>
      </w:pPr>
      <w:bookmarkStart w:id="41" w:name="_Hlk88678512"/>
      <w:bookmarkEnd w:id="40"/>
      <w:r>
        <w:rPr>
          <w:rFonts w:ascii="Garamond" w:hAnsi="Garamond"/>
        </w:rPr>
        <w:t xml:space="preserve">On the upside, the expected recovery in consumer spending could be stronger than anticipated. Incomes have continued to grow, supported by government payments, and households have added to their already high level of savings. Forward indicators of labour demand are elevated and point to a strong rebound in employment. Household wealth has also risen, with house prices at new highs and equity markets posting further gains. Combined, these factors could lead to consumer spending rising more strongly than expected over the coming year. </w:t>
      </w:r>
    </w:p>
    <w:p w14:paraId="74E84572" w14:textId="77777777" w:rsidR="008D6F13" w:rsidRPr="00650A38" w:rsidRDefault="008D6F13" w:rsidP="008D6F13">
      <w:pPr>
        <w:rPr>
          <w:rFonts w:ascii="Garamond" w:hAnsi="Garamond"/>
        </w:rPr>
      </w:pPr>
      <w:r>
        <w:rPr>
          <w:rFonts w:ascii="Garamond" w:hAnsi="Garamond"/>
        </w:rPr>
        <w:t xml:space="preserve">On the downside, in the </w:t>
      </w:r>
      <w:proofErr w:type="gramStart"/>
      <w:r>
        <w:rPr>
          <w:rFonts w:ascii="Garamond" w:hAnsi="Garamond"/>
        </w:rPr>
        <w:t>near term</w:t>
      </w:r>
      <w:proofErr w:type="gramEnd"/>
      <w:r>
        <w:rPr>
          <w:rFonts w:ascii="Garamond" w:hAnsi="Garamond"/>
        </w:rPr>
        <w:t xml:space="preserve"> consumer confidence and spending could be affected more heavily than expected by a likely increase in COVID-19 infections, with the economy reopening while COVID-19 continues to circulate in the community. </w:t>
      </w:r>
    </w:p>
    <w:p w14:paraId="0DBD189C" w14:textId="77777777" w:rsidR="008D6F13" w:rsidRDefault="008D6F13" w:rsidP="008D6F13">
      <w:pPr>
        <w:rPr>
          <w:rFonts w:ascii="Garamond" w:hAnsi="Garamond"/>
        </w:rPr>
      </w:pPr>
      <w:r>
        <w:rPr>
          <w:rFonts w:ascii="Garamond" w:hAnsi="Garamond"/>
        </w:rPr>
        <w:t xml:space="preserve">More generally, risks around COVID-19 remain, including the possibility of a large increase in case numbers and the need to impose localised public health measures, and diminishing vaccine effectiveness. </w:t>
      </w:r>
    </w:p>
    <w:p w14:paraId="2A65C541" w14:textId="77777777" w:rsidR="008D6F13" w:rsidRDefault="008D6F13" w:rsidP="008D6F13">
      <w:pPr>
        <w:ind w:right="-86"/>
        <w:rPr>
          <w:rFonts w:ascii="Garamond" w:hAnsi="Garamond"/>
        </w:rPr>
      </w:pPr>
      <w:r>
        <w:rPr>
          <w:rFonts w:ascii="Garamond" w:hAnsi="Garamond" w:cs="Garamond"/>
        </w:rPr>
        <w:lastRenderedPageBreak/>
        <w:t xml:space="preserve">The </w:t>
      </w:r>
      <w:r w:rsidRPr="004547DE">
        <w:rPr>
          <w:rFonts w:ascii="Garamond" w:hAnsi="Garamond" w:cs="Garamond"/>
        </w:rPr>
        <w:t>speed and efficacy of the roll</w:t>
      </w:r>
      <w:r>
        <w:rPr>
          <w:rFonts w:ascii="Garamond" w:hAnsi="Garamond" w:cs="Garamond"/>
        </w:rPr>
        <w:noBreakHyphen/>
      </w:r>
      <w:r w:rsidRPr="004547DE">
        <w:rPr>
          <w:rFonts w:ascii="Garamond" w:hAnsi="Garamond" w:cs="Garamond"/>
        </w:rPr>
        <w:t>out of vaccines</w:t>
      </w:r>
      <w:r>
        <w:rPr>
          <w:rFonts w:ascii="Garamond" w:hAnsi="Garamond" w:cs="Garamond"/>
        </w:rPr>
        <w:t xml:space="preserve"> – including the efficacy of vaccines against any future COVID</w:t>
      </w:r>
      <w:r>
        <w:rPr>
          <w:rFonts w:ascii="Garamond" w:hAnsi="Garamond" w:cs="Garamond"/>
        </w:rPr>
        <w:noBreakHyphen/>
        <w:t xml:space="preserve">19 variants – are also key risks to the global economic outlook. </w:t>
      </w:r>
      <w:r w:rsidRPr="000C2E86">
        <w:rPr>
          <w:rFonts w:ascii="Garamond" w:hAnsi="Garamond"/>
        </w:rPr>
        <w:t>Appendix </w:t>
      </w:r>
      <w:r>
        <w:rPr>
          <w:rFonts w:ascii="Garamond" w:hAnsi="Garamond"/>
        </w:rPr>
        <w:t>D</w:t>
      </w:r>
      <w:r w:rsidRPr="000C2E86">
        <w:rPr>
          <w:rFonts w:ascii="Garamond" w:hAnsi="Garamond"/>
        </w:rPr>
        <w:t xml:space="preserve"> </w:t>
      </w:r>
      <w:r w:rsidRPr="000C2E86">
        <w:rPr>
          <w:rFonts w:ascii="Garamond" w:hAnsi="Garamond"/>
          <w:i/>
        </w:rPr>
        <w:t>Sensitivity</w:t>
      </w:r>
      <w:r>
        <w:rPr>
          <w:rFonts w:ascii="Garamond" w:hAnsi="Garamond"/>
          <w:i/>
        </w:rPr>
        <w:t> </w:t>
      </w:r>
      <w:r w:rsidRPr="000C2E86">
        <w:rPr>
          <w:rFonts w:ascii="Garamond" w:hAnsi="Garamond"/>
          <w:i/>
        </w:rPr>
        <w:t>Analysis</w:t>
      </w:r>
      <w:r w:rsidRPr="000C2E86">
        <w:rPr>
          <w:rFonts w:ascii="Garamond" w:hAnsi="Garamond"/>
        </w:rPr>
        <w:t xml:space="preserve"> </w:t>
      </w:r>
      <w:r>
        <w:rPr>
          <w:rFonts w:ascii="Garamond" w:hAnsi="Garamond"/>
        </w:rPr>
        <w:t xml:space="preserve">considers the scenario of </w:t>
      </w:r>
      <w:r w:rsidRPr="00650A38">
        <w:rPr>
          <w:rFonts w:ascii="Garamond" w:hAnsi="Garamond"/>
        </w:rPr>
        <w:t xml:space="preserve">a setback in the global recovery due to the emergence of a </w:t>
      </w:r>
      <w:proofErr w:type="gramStart"/>
      <w:r w:rsidRPr="00650A38">
        <w:rPr>
          <w:rFonts w:ascii="Garamond" w:hAnsi="Garamond"/>
        </w:rPr>
        <w:t>vaccine-resistant</w:t>
      </w:r>
      <w:proofErr w:type="gramEnd"/>
      <w:r w:rsidRPr="00650A38">
        <w:rPr>
          <w:rFonts w:ascii="Garamond" w:hAnsi="Garamond"/>
        </w:rPr>
        <w:t xml:space="preserve"> COVID</w:t>
      </w:r>
      <w:r>
        <w:rPr>
          <w:rFonts w:ascii="Garamond" w:hAnsi="Garamond"/>
        </w:rPr>
        <w:noBreakHyphen/>
      </w:r>
      <w:r w:rsidRPr="00650A38">
        <w:rPr>
          <w:rFonts w:ascii="Garamond" w:hAnsi="Garamond"/>
        </w:rPr>
        <w:t>19 strain or</w:t>
      </w:r>
      <w:r>
        <w:rPr>
          <w:rFonts w:ascii="Garamond" w:hAnsi="Garamond"/>
        </w:rPr>
        <w:t xml:space="preserve"> an</w:t>
      </w:r>
      <w:r w:rsidRPr="00650A38">
        <w:rPr>
          <w:rFonts w:ascii="Garamond" w:hAnsi="Garamond"/>
        </w:rPr>
        <w:t xml:space="preserve"> unanticipated delay in global vaccination efforts. In </w:t>
      </w:r>
      <w:r>
        <w:rPr>
          <w:rFonts w:ascii="Garamond" w:hAnsi="Garamond"/>
        </w:rPr>
        <w:t>this</w:t>
      </w:r>
      <w:r w:rsidRPr="00650A38">
        <w:rPr>
          <w:rFonts w:ascii="Garamond" w:hAnsi="Garamond"/>
        </w:rPr>
        <w:t xml:space="preserve"> scenario, further COVID</w:t>
      </w:r>
      <w:r>
        <w:rPr>
          <w:rFonts w:ascii="Garamond" w:hAnsi="Garamond"/>
        </w:rPr>
        <w:noBreakHyphen/>
      </w:r>
      <w:r w:rsidRPr="00650A38">
        <w:rPr>
          <w:rFonts w:ascii="Garamond" w:hAnsi="Garamond"/>
        </w:rPr>
        <w:t xml:space="preserve">19 outbreaks lead to renewed public health </w:t>
      </w:r>
      <w:r>
        <w:rPr>
          <w:rFonts w:ascii="Garamond" w:hAnsi="Garamond"/>
        </w:rPr>
        <w:t>measures</w:t>
      </w:r>
      <w:r w:rsidRPr="00650A38">
        <w:rPr>
          <w:rFonts w:ascii="Garamond" w:hAnsi="Garamond"/>
        </w:rPr>
        <w:t xml:space="preserve"> in major economies outside Australia, slowing the global economic recovery</w:t>
      </w:r>
      <w:r>
        <w:rPr>
          <w:rFonts w:ascii="Garamond" w:hAnsi="Garamond"/>
        </w:rPr>
        <w:t>.</w:t>
      </w:r>
    </w:p>
    <w:p w14:paraId="1D4D2B60" w14:textId="77777777" w:rsidR="008D6F13" w:rsidRPr="00FE1F8D" w:rsidRDefault="008D6F13" w:rsidP="008D6F13">
      <w:pPr>
        <w:ind w:right="-86"/>
        <w:rPr>
          <w:rFonts w:ascii="Garamond" w:hAnsi="Garamond" w:cs="Garamond"/>
        </w:rPr>
      </w:pPr>
      <w:r w:rsidRPr="00FE1F8D">
        <w:rPr>
          <w:rFonts w:ascii="Garamond" w:hAnsi="Garamond" w:cs="Garamond"/>
        </w:rPr>
        <w:t>Other</w:t>
      </w:r>
      <w:r>
        <w:rPr>
          <w:rFonts w:ascii="Garamond" w:hAnsi="Garamond" w:cs="Garamond"/>
        </w:rPr>
        <w:t xml:space="preserve"> </w:t>
      </w:r>
      <w:r w:rsidRPr="00FE1F8D">
        <w:rPr>
          <w:rFonts w:ascii="Garamond" w:hAnsi="Garamond" w:cs="Garamond"/>
        </w:rPr>
        <w:t>risks to the global</w:t>
      </w:r>
      <w:r>
        <w:rPr>
          <w:rFonts w:ascii="Garamond" w:hAnsi="Garamond" w:cs="Garamond"/>
        </w:rPr>
        <w:t xml:space="preserve"> outlook </w:t>
      </w:r>
      <w:r w:rsidRPr="00FE1F8D">
        <w:rPr>
          <w:rFonts w:ascii="Garamond" w:hAnsi="Garamond" w:cs="Garamond"/>
        </w:rPr>
        <w:t xml:space="preserve">include </w:t>
      </w:r>
      <w:r>
        <w:rPr>
          <w:rFonts w:ascii="Garamond" w:hAnsi="Garamond" w:cs="Garamond"/>
        </w:rPr>
        <w:t xml:space="preserve">a larger than expected slowdown in Chinese economic growth, as the Chinese Government seeks to slow activity in some sectors of the economy, particularly the property market, to reduce financial stability risks. Elsewhere, interest rates in some key advanced economies could rise sooner than expected, as central banks respond to a rise in inflation and inflation expectations, slowing global growth. </w:t>
      </w:r>
    </w:p>
    <w:p w14:paraId="3485D6C5" w14:textId="77777777" w:rsidR="008D6F13" w:rsidRDefault="008D6F13" w:rsidP="008D6F13">
      <w:pPr>
        <w:rPr>
          <w:rFonts w:ascii="Garamond" w:hAnsi="Garamond"/>
        </w:rPr>
      </w:pPr>
      <w:r>
        <w:rPr>
          <w:rFonts w:ascii="Garamond" w:hAnsi="Garamond"/>
        </w:rPr>
        <w:t xml:space="preserve">Regarding the interest rate outlook in Australia, financial markets are pricing in rate rises that are well ahead of the forward guidance provided by the RBA. This partly follows an increase in inflation in the September quarter, which was </w:t>
      </w:r>
      <w:r w:rsidRPr="004875B0">
        <w:rPr>
          <w:rFonts w:ascii="Garamond" w:hAnsi="Garamond"/>
        </w:rPr>
        <w:t xml:space="preserve">driven by </w:t>
      </w:r>
      <w:proofErr w:type="gramStart"/>
      <w:r w:rsidRPr="004875B0">
        <w:rPr>
          <w:rFonts w:ascii="Garamond" w:hAnsi="Garamond"/>
        </w:rPr>
        <w:t>a number of</w:t>
      </w:r>
      <w:proofErr w:type="gramEnd"/>
      <w:r w:rsidRPr="004875B0">
        <w:rPr>
          <w:rFonts w:ascii="Garamond" w:hAnsi="Garamond"/>
        </w:rPr>
        <w:t xml:space="preserve"> factors, including global supply chain disruptions, materials shortages and </w:t>
      </w:r>
      <w:r>
        <w:rPr>
          <w:rFonts w:ascii="Garamond" w:hAnsi="Garamond"/>
        </w:rPr>
        <w:t xml:space="preserve">high fuel prices. A key uncertainty about the outlook for inflation is how persistent supply chain disruptions will be. If there is a larger and more sustained increase in inflation, there is a risk that the RBA raises interest rates ahead of the assumed profile underlying these forecasts. </w:t>
      </w:r>
    </w:p>
    <w:p w14:paraId="0D8D15B1" w14:textId="77777777" w:rsidR="008D6F13" w:rsidRDefault="008D6F13" w:rsidP="008D6F13">
      <w:pPr>
        <w:ind w:right="-86"/>
        <w:rPr>
          <w:rFonts w:ascii="Garamond" w:hAnsi="Garamond"/>
        </w:rPr>
      </w:pPr>
      <w:bookmarkStart w:id="42" w:name="_Hlk67480705"/>
      <w:r>
        <w:rPr>
          <w:rFonts w:ascii="Garamond" w:hAnsi="Garamond"/>
        </w:rPr>
        <w:t>Another key uncertainty relates to f</w:t>
      </w:r>
      <w:r w:rsidRPr="00951E41">
        <w:rPr>
          <w:rFonts w:ascii="Garamond" w:hAnsi="Garamond"/>
        </w:rPr>
        <w:t>uture levels of net overseas migration</w:t>
      </w:r>
      <w:r>
        <w:rPr>
          <w:rFonts w:ascii="Garamond" w:hAnsi="Garamond"/>
        </w:rPr>
        <w:t>,</w:t>
      </w:r>
      <w:r w:rsidRPr="00951E41">
        <w:rPr>
          <w:rFonts w:ascii="Garamond" w:hAnsi="Garamond"/>
        </w:rPr>
        <w:t xml:space="preserve"> and </w:t>
      </w:r>
      <w:r>
        <w:rPr>
          <w:rFonts w:ascii="Garamond" w:hAnsi="Garamond"/>
        </w:rPr>
        <w:t xml:space="preserve">this </w:t>
      </w:r>
      <w:r w:rsidRPr="00951E41">
        <w:rPr>
          <w:rFonts w:ascii="Garamond" w:hAnsi="Garamond"/>
        </w:rPr>
        <w:t>pose</w:t>
      </w:r>
      <w:r>
        <w:rPr>
          <w:rFonts w:ascii="Garamond" w:hAnsi="Garamond"/>
        </w:rPr>
        <w:t>s</w:t>
      </w:r>
      <w:r w:rsidRPr="00951E41">
        <w:rPr>
          <w:rFonts w:ascii="Garamond" w:hAnsi="Garamond"/>
        </w:rPr>
        <w:t xml:space="preserve"> a long</w:t>
      </w:r>
      <w:r w:rsidRPr="00951E41">
        <w:rPr>
          <w:rFonts w:ascii="Garamond" w:hAnsi="Garamond"/>
        </w:rPr>
        <w:noBreakHyphen/>
        <w:t>term risk to the economic outlook. It is assumed that migration levels, including temporary international student migrat</w:t>
      </w:r>
      <w:r>
        <w:rPr>
          <w:rFonts w:ascii="Garamond" w:hAnsi="Garamond"/>
        </w:rPr>
        <w:t>ion</w:t>
      </w:r>
      <w:r w:rsidRPr="00951E41">
        <w:rPr>
          <w:rFonts w:ascii="Garamond" w:hAnsi="Garamond"/>
        </w:rPr>
        <w:t>, will start approaching pre</w:t>
      </w:r>
      <w:r w:rsidRPr="00951E41">
        <w:rPr>
          <w:rFonts w:ascii="Garamond" w:hAnsi="Garamond"/>
        </w:rPr>
        <w:noBreakHyphen/>
      </w:r>
      <w:r>
        <w:rPr>
          <w:rFonts w:ascii="Garamond" w:hAnsi="Garamond"/>
        </w:rPr>
        <w:t>COVID-19</w:t>
      </w:r>
      <w:r w:rsidRPr="00951E41">
        <w:rPr>
          <w:rFonts w:ascii="Garamond" w:hAnsi="Garamond"/>
        </w:rPr>
        <w:t xml:space="preserve"> levels towards the end of the forecast period. </w:t>
      </w:r>
      <w:r>
        <w:rPr>
          <w:rFonts w:ascii="Garamond" w:hAnsi="Garamond"/>
        </w:rPr>
        <w:t xml:space="preserve">The recovery in net overseas migration could occur more quickly than expected, adding to both supply and demand. A slower-than-expected </w:t>
      </w:r>
      <w:r w:rsidRPr="00951E41">
        <w:rPr>
          <w:rFonts w:ascii="Garamond" w:hAnsi="Garamond"/>
        </w:rPr>
        <w:t xml:space="preserve">recovery would weigh on the longer-term economic outlook for the State. </w:t>
      </w:r>
    </w:p>
    <w:bookmarkEnd w:id="42"/>
    <w:p w14:paraId="7885DDC5" w14:textId="5149FD01" w:rsidR="008D6F13" w:rsidRDefault="008D6F13" w:rsidP="008D6F13">
      <w:pPr>
        <w:ind w:right="-86"/>
        <w:rPr>
          <w:rFonts w:ascii="Garamond" w:hAnsi="Garamond"/>
        </w:rPr>
      </w:pPr>
      <w:r>
        <w:rPr>
          <w:rFonts w:ascii="Garamond" w:hAnsi="Garamond"/>
        </w:rPr>
        <w:t>The medium-term outlook for the unemployment rate is also uncertain. While measures of labour demand are currently high, labour supply may recover further than expected, putting upward pressure on the unemployment rate. This could occur due to a faster than expected pickup in net migration as border restrictions ease, while workforce participation, which reached a new record high in August 2021, could also settle at a higher-than-expected level. Over the longer term, and working in the other direction, it is possible that the level of unemployment consistent with stable inflation in Victoria is somewhat lower than currently estimated.</w:t>
      </w:r>
    </w:p>
    <w:p w14:paraId="1E7BE8AC" w14:textId="04581CAD" w:rsidR="00CB5E47" w:rsidRDefault="00CB5E47">
      <w:pPr>
        <w:keepLines w:val="0"/>
        <w:rPr>
          <w:rFonts w:ascii="Garamond" w:hAnsi="Garamond"/>
        </w:rPr>
      </w:pPr>
      <w:r>
        <w:rPr>
          <w:rFonts w:ascii="Garamond" w:hAnsi="Garamond"/>
        </w:rPr>
        <w:br w:type="page"/>
      </w:r>
    </w:p>
    <w:p w14:paraId="4350DC35" w14:textId="77777777" w:rsidR="00CB5E47" w:rsidRDefault="00CB5E47" w:rsidP="008D6F13">
      <w:pPr>
        <w:ind w:right="-86"/>
        <w:rPr>
          <w:rFonts w:ascii="Garamond" w:hAnsi="Garamond"/>
        </w:rPr>
      </w:pPr>
    </w:p>
    <w:bookmarkEnd w:id="41"/>
    <w:p w14:paraId="673A0503" w14:textId="77777777" w:rsidR="008D6F13" w:rsidRDefault="008D6F13" w:rsidP="003610AD"/>
    <w:p w14:paraId="03079033" w14:textId="6DE0E18E" w:rsidR="00406935" w:rsidRDefault="00406935" w:rsidP="003610AD">
      <w:pPr>
        <w:sectPr w:rsidR="00406935" w:rsidSect="00DD54EA">
          <w:footerReference w:type="even" r:id="rId34"/>
          <w:footerReference w:type="default" r:id="rId35"/>
          <w:footerReference w:type="first" r:id="rId36"/>
          <w:pgSz w:w="9979" w:h="14175" w:code="9"/>
          <w:pgMar w:top="1134" w:right="1134" w:bottom="1134" w:left="1134" w:header="624" w:footer="567" w:gutter="0"/>
          <w:cols w:space="708"/>
          <w:docGrid w:linePitch="360"/>
        </w:sectPr>
      </w:pPr>
    </w:p>
    <w:p w14:paraId="50892163" w14:textId="77777777" w:rsidR="008D6F13" w:rsidRDefault="008D6F13" w:rsidP="008D6F13">
      <w:pPr>
        <w:pStyle w:val="ChapterHeading"/>
      </w:pPr>
      <w:bookmarkStart w:id="43" w:name="_Toc89423580"/>
      <w:r>
        <w:lastRenderedPageBreak/>
        <w:t>Chapter 3 – Budget position and outlook</w:t>
      </w:r>
      <w:bookmarkEnd w:id="43"/>
    </w:p>
    <w:p w14:paraId="37D2A83C" w14:textId="77777777" w:rsidR="008D6F13" w:rsidRPr="00861B54" w:rsidRDefault="008D6F13" w:rsidP="008D6F13">
      <w:pPr>
        <w:pStyle w:val="HighlightBoxBullet"/>
      </w:pPr>
      <w:r w:rsidRPr="00B425D8">
        <w:rPr>
          <w:color w:val="000000" w:themeColor="text1"/>
        </w:rPr>
        <w:t>The</w:t>
      </w:r>
      <w:r>
        <w:rPr>
          <w:color w:val="000000" w:themeColor="text1"/>
        </w:rPr>
        <w:t xml:space="preserve"> </w:t>
      </w:r>
      <w:r w:rsidRPr="00B425D8">
        <w:rPr>
          <w:i/>
          <w:iCs/>
          <w:color w:val="000000" w:themeColor="text1"/>
        </w:rPr>
        <w:t>2021-22 Budget</w:t>
      </w:r>
      <w:r>
        <w:rPr>
          <w:color w:val="000000" w:themeColor="text1"/>
        </w:rPr>
        <w:t xml:space="preserve"> outlined the improvement in the Government’s fiscal position as the Victorian economy recovered from the COVID-19 pandemic.</w:t>
      </w:r>
      <w:r w:rsidRPr="00861B54">
        <w:t xml:space="preserve"> </w:t>
      </w:r>
      <w:r w:rsidRPr="00827DA2">
        <w:t>In early 2021, economic indicators showed the Government’s stimulus strategy was working, with the economy rebounding strongly.</w:t>
      </w:r>
    </w:p>
    <w:p w14:paraId="278CD466" w14:textId="77777777" w:rsidR="008D6F13" w:rsidRDefault="008D6F13" w:rsidP="008D6F13">
      <w:pPr>
        <w:pStyle w:val="HighlightBoxBullet"/>
      </w:pPr>
      <w:r>
        <w:t xml:space="preserve">The outbreak of the Delta variant of </w:t>
      </w:r>
      <w:r>
        <w:rPr>
          <w:color w:val="000000" w:themeColor="text1"/>
        </w:rPr>
        <w:t>COVID-19</w:t>
      </w:r>
      <w:r>
        <w:t xml:space="preserve"> required significant government financial support to further strengthen the health response and assist businesses and households</w:t>
      </w:r>
      <w:r w:rsidRPr="00B24C43">
        <w:t xml:space="preserve"> </w:t>
      </w:r>
      <w:r>
        <w:t>during the necessary renewal of public health restrictions. The short-term and targeted nature of additional economic stimulus supported the economy consistent with the Government’s fiscal strategy for the medium term.</w:t>
      </w:r>
    </w:p>
    <w:p w14:paraId="60BD1549" w14:textId="77777777" w:rsidR="008D6F13" w:rsidRPr="00B938EF" w:rsidRDefault="008D6F13" w:rsidP="008D6F13">
      <w:pPr>
        <w:pStyle w:val="HighlightBoxBullet"/>
      </w:pPr>
      <w:r w:rsidRPr="004C15E2">
        <w:t>The Government remains committed to the four</w:t>
      </w:r>
      <w:r>
        <w:t>-</w:t>
      </w:r>
      <w:r w:rsidRPr="004C15E2">
        <w:t xml:space="preserve">step </w:t>
      </w:r>
      <w:r>
        <w:t xml:space="preserve">fiscal </w:t>
      </w:r>
      <w:r w:rsidRPr="004C15E2">
        <w:t>strategy to restore the State</w:t>
      </w:r>
      <w:r>
        <w:t>’s</w:t>
      </w:r>
      <w:r w:rsidRPr="004C15E2">
        <w:t xml:space="preserve"> finances from the </w:t>
      </w:r>
      <w:r>
        <w:t xml:space="preserve">COVID-19 </w:t>
      </w:r>
      <w:r w:rsidRPr="004C15E2">
        <w:t>pandemic.</w:t>
      </w:r>
      <w:r>
        <w:t xml:space="preserve"> While this increase in short-term expenditure has resulted in </w:t>
      </w:r>
      <w:r w:rsidRPr="00395126">
        <w:t xml:space="preserve">a forecast </w:t>
      </w:r>
      <w:r>
        <w:t xml:space="preserve">operating </w:t>
      </w:r>
      <w:r w:rsidRPr="00395126">
        <w:t xml:space="preserve">deficit </w:t>
      </w:r>
      <w:r w:rsidRPr="00937FA6">
        <w:rPr>
          <w:color w:val="000000" w:themeColor="text1"/>
        </w:rPr>
        <w:t xml:space="preserve">for the general government sector </w:t>
      </w:r>
      <w:r w:rsidRPr="00395126">
        <w:t>of $</w:t>
      </w:r>
      <w:r>
        <w:t>19.5 billion</w:t>
      </w:r>
      <w:r w:rsidRPr="00395126">
        <w:t xml:space="preserve"> in 202</w:t>
      </w:r>
      <w:r>
        <w:t>1</w:t>
      </w:r>
      <w:r>
        <w:noBreakHyphen/>
      </w:r>
      <w:r w:rsidRPr="00AD7FCC">
        <w:t>2</w:t>
      </w:r>
      <w:r>
        <w:t>2</w:t>
      </w:r>
      <w:r w:rsidRPr="00AD7FCC">
        <w:t>,</w:t>
      </w:r>
      <w:r>
        <w:t xml:space="preserve"> a $7.9 billion increase since the </w:t>
      </w:r>
      <w:r w:rsidRPr="00B425D8">
        <w:rPr>
          <w:i/>
          <w:iCs/>
          <w:color w:val="000000" w:themeColor="text1"/>
        </w:rPr>
        <w:t>2021</w:t>
      </w:r>
      <w:r>
        <w:rPr>
          <w:i/>
          <w:iCs/>
          <w:color w:val="000000" w:themeColor="text1"/>
        </w:rPr>
        <w:noBreakHyphen/>
      </w:r>
      <w:r w:rsidRPr="00B425D8">
        <w:rPr>
          <w:i/>
          <w:iCs/>
          <w:color w:val="000000" w:themeColor="text1"/>
        </w:rPr>
        <w:t>22</w:t>
      </w:r>
      <w:r>
        <w:rPr>
          <w:i/>
          <w:iCs/>
          <w:color w:val="000000" w:themeColor="text1"/>
        </w:rPr>
        <w:t> </w:t>
      </w:r>
      <w:r w:rsidRPr="00B425D8">
        <w:rPr>
          <w:i/>
          <w:iCs/>
          <w:color w:val="000000" w:themeColor="text1"/>
        </w:rPr>
        <w:t>Budget</w:t>
      </w:r>
      <w:r>
        <w:rPr>
          <w:i/>
          <w:iCs/>
          <w:color w:val="000000" w:themeColor="text1"/>
        </w:rPr>
        <w:t>,</w:t>
      </w:r>
      <w:r w:rsidRPr="0031600F">
        <w:rPr>
          <w:color w:val="000000" w:themeColor="text1"/>
        </w:rPr>
        <w:t xml:space="preserve"> the</w:t>
      </w:r>
      <w:r>
        <w:rPr>
          <w:color w:val="000000" w:themeColor="text1"/>
        </w:rPr>
        <w:t xml:space="preserve"> operating position is forecast to improve with operating deficits estimated to decrease over the forward estimates.</w:t>
      </w:r>
    </w:p>
    <w:p w14:paraId="50E66F41" w14:textId="77777777" w:rsidR="008D6F13" w:rsidRDefault="008D6F13" w:rsidP="008D6F13">
      <w:pPr>
        <w:pStyle w:val="HighlightBoxBullet"/>
      </w:pPr>
      <w:r>
        <w:rPr>
          <w:color w:val="000000" w:themeColor="text1"/>
        </w:rPr>
        <w:t>N</w:t>
      </w:r>
      <w:r w:rsidRPr="00937FA6">
        <w:rPr>
          <w:color w:val="000000" w:themeColor="text1"/>
        </w:rPr>
        <w:t xml:space="preserve">et cash flows from operating activities </w:t>
      </w:r>
      <w:r>
        <w:rPr>
          <w:color w:val="000000" w:themeColor="text1"/>
        </w:rPr>
        <w:t>are</w:t>
      </w:r>
      <w:r w:rsidRPr="00937FA6">
        <w:rPr>
          <w:color w:val="000000" w:themeColor="text1"/>
        </w:rPr>
        <w:t xml:space="preserve"> forecast to be in surplus </w:t>
      </w:r>
      <w:r>
        <w:rPr>
          <w:color w:val="000000" w:themeColor="text1"/>
        </w:rPr>
        <w:t xml:space="preserve">from </w:t>
      </w:r>
      <w:r w:rsidRPr="00937FA6">
        <w:rPr>
          <w:color w:val="000000" w:themeColor="text1"/>
        </w:rPr>
        <w:t>2022</w:t>
      </w:r>
      <w:r w:rsidRPr="00937FA6">
        <w:rPr>
          <w:color w:val="000000" w:themeColor="text1"/>
        </w:rPr>
        <w:noBreakHyphen/>
        <w:t>23</w:t>
      </w:r>
      <w:r>
        <w:t xml:space="preserve">, consistent with the </w:t>
      </w:r>
      <w:r w:rsidRPr="008677E7">
        <w:rPr>
          <w:i/>
          <w:iCs/>
        </w:rPr>
        <w:t>2021-22 Budget</w:t>
      </w:r>
      <w:r>
        <w:rPr>
          <w:i/>
          <w:iCs/>
        </w:rPr>
        <w:t xml:space="preserve"> </w:t>
      </w:r>
      <w:r w:rsidRPr="00B24C43">
        <w:t>and the fiscal strategy</w:t>
      </w:r>
      <w:r>
        <w:rPr>
          <w:color w:val="000000" w:themeColor="text1"/>
        </w:rPr>
        <w:t>.</w:t>
      </w:r>
    </w:p>
    <w:p w14:paraId="3346F35F" w14:textId="77777777" w:rsidR="008D6F13" w:rsidRDefault="008D6F13" w:rsidP="008D6F13">
      <w:pPr>
        <w:pStyle w:val="HighlightBoxBullet"/>
      </w:pPr>
      <w:r w:rsidRPr="00B425D8">
        <w:rPr>
          <w:color w:val="000000" w:themeColor="text1"/>
        </w:rPr>
        <w:t xml:space="preserve">Government infrastructure investment (GII) is expected to </w:t>
      </w:r>
      <w:r w:rsidRPr="00D2686C">
        <w:rPr>
          <w:color w:val="000000" w:themeColor="text1"/>
        </w:rPr>
        <w:t>average $2</w:t>
      </w:r>
      <w:r>
        <w:rPr>
          <w:color w:val="000000" w:themeColor="text1"/>
        </w:rPr>
        <w:t>2.2</w:t>
      </w:r>
      <w:r w:rsidRPr="00D2686C">
        <w:rPr>
          <w:color w:val="000000" w:themeColor="text1"/>
        </w:rPr>
        <w:t> billion a</w:t>
      </w:r>
      <w:r w:rsidRPr="00B425D8">
        <w:rPr>
          <w:color w:val="000000" w:themeColor="text1"/>
        </w:rPr>
        <w:t xml:space="preserve"> year</w:t>
      </w:r>
      <w:r>
        <w:rPr>
          <w:color w:val="000000" w:themeColor="text1"/>
        </w:rPr>
        <w:t> </w:t>
      </w:r>
      <w:r w:rsidRPr="00B425D8">
        <w:rPr>
          <w:color w:val="000000" w:themeColor="text1"/>
        </w:rPr>
        <w:t>over the budget and forward estimates</w:t>
      </w:r>
      <w:r>
        <w:rPr>
          <w:color w:val="000000" w:themeColor="text1"/>
        </w:rPr>
        <w:t>,</w:t>
      </w:r>
      <w:r w:rsidRPr="00B425D8">
        <w:rPr>
          <w:color w:val="000000" w:themeColor="text1"/>
        </w:rPr>
        <w:t xml:space="preserve"> </w:t>
      </w:r>
      <w:r>
        <w:rPr>
          <w:color w:val="000000" w:themeColor="text1"/>
        </w:rPr>
        <w:t>reflecting the continuation of Victoria’s Big Build.</w:t>
      </w:r>
      <w:r>
        <w:t xml:space="preserve"> </w:t>
      </w:r>
    </w:p>
    <w:p w14:paraId="43F3466C" w14:textId="77777777" w:rsidR="008D6F13" w:rsidRDefault="008D6F13" w:rsidP="008D6F13">
      <w:pPr>
        <w:pStyle w:val="HighlightBoxBullet"/>
      </w:pPr>
      <w:r w:rsidRPr="00850957">
        <w:rPr>
          <w:color w:val="000000" w:themeColor="text1"/>
        </w:rPr>
        <w:t xml:space="preserve">Net debt is projected to be </w:t>
      </w:r>
      <w:r w:rsidRPr="00BE77D8">
        <w:rPr>
          <w:color w:val="000000" w:themeColor="text1"/>
        </w:rPr>
        <w:t>$1</w:t>
      </w:r>
      <w:r>
        <w:rPr>
          <w:color w:val="000000" w:themeColor="text1"/>
        </w:rPr>
        <w:t>62.7</w:t>
      </w:r>
      <w:r w:rsidRPr="00BE77D8">
        <w:rPr>
          <w:color w:val="000000" w:themeColor="text1"/>
        </w:rPr>
        <w:t> billion</w:t>
      </w:r>
      <w:r w:rsidRPr="00850957">
        <w:rPr>
          <w:color w:val="000000" w:themeColor="text1"/>
        </w:rPr>
        <w:t xml:space="preserve"> by June 202</w:t>
      </w:r>
      <w:r>
        <w:rPr>
          <w:color w:val="000000" w:themeColor="text1"/>
        </w:rPr>
        <w:t xml:space="preserve">5, higher than was forecast in the </w:t>
      </w:r>
      <w:r w:rsidRPr="009816B3">
        <w:rPr>
          <w:i/>
          <w:iCs/>
          <w:color w:val="000000" w:themeColor="text1"/>
        </w:rPr>
        <w:t>202</w:t>
      </w:r>
      <w:r>
        <w:rPr>
          <w:i/>
          <w:iCs/>
          <w:color w:val="000000" w:themeColor="text1"/>
        </w:rPr>
        <w:t>1</w:t>
      </w:r>
      <w:r w:rsidRPr="009816B3">
        <w:rPr>
          <w:i/>
          <w:iCs/>
          <w:color w:val="000000" w:themeColor="text1"/>
        </w:rPr>
        <w:t>-2</w:t>
      </w:r>
      <w:r>
        <w:rPr>
          <w:i/>
          <w:iCs/>
          <w:color w:val="000000" w:themeColor="text1"/>
        </w:rPr>
        <w:t>2</w:t>
      </w:r>
      <w:r w:rsidRPr="009816B3">
        <w:rPr>
          <w:i/>
          <w:iCs/>
          <w:color w:val="000000" w:themeColor="text1"/>
        </w:rPr>
        <w:t xml:space="preserve"> Budget</w:t>
      </w:r>
      <w:r>
        <w:rPr>
          <w:color w:val="000000" w:themeColor="text1"/>
        </w:rPr>
        <w:t>,</w:t>
      </w:r>
      <w:r w:rsidRPr="0084084C">
        <w:rPr>
          <w:color w:val="000000" w:themeColor="text1"/>
        </w:rPr>
        <w:t xml:space="preserve"> principally due to </w:t>
      </w:r>
      <w:r>
        <w:rPr>
          <w:color w:val="000000" w:themeColor="text1"/>
        </w:rPr>
        <w:t xml:space="preserve">additional government support in 2021-22 in response to the Delta </w:t>
      </w:r>
      <w:r>
        <w:t xml:space="preserve">variant of </w:t>
      </w:r>
      <w:r>
        <w:rPr>
          <w:color w:val="000000" w:themeColor="text1"/>
        </w:rPr>
        <w:t>COVID-19.</w:t>
      </w:r>
    </w:p>
    <w:p w14:paraId="66E17EF0" w14:textId="77777777" w:rsidR="008D6F13" w:rsidRDefault="008D6F13" w:rsidP="008D6F13">
      <w:r>
        <w:t>This chapter presents the revised budget position of the Victorian public sector, incorporating the general government sector, the public non-financial corporations (PNFC) sector and the public financial corporations (PFC) sector for the budget year and forward estimates.</w:t>
      </w:r>
    </w:p>
    <w:p w14:paraId="73CFB7FE" w14:textId="77777777" w:rsidR="008D6F13" w:rsidRDefault="008D6F13" w:rsidP="008D6F13">
      <w:r>
        <w:t xml:space="preserve">It takes into account the financial impacts as </w:t>
      </w:r>
      <w:proofErr w:type="gramStart"/>
      <w:r>
        <w:t>at</w:t>
      </w:r>
      <w:proofErr w:type="gramEnd"/>
      <w:r>
        <w:t xml:space="preserve"> 26 November 2021 of all decisions that affect the financial statements, unless otherwise stated. This chapter also reconciles and explains any movements since the </w:t>
      </w:r>
      <w:r w:rsidRPr="00594BDA">
        <w:rPr>
          <w:i/>
          <w:iCs/>
        </w:rPr>
        <w:t>20</w:t>
      </w:r>
      <w:r>
        <w:rPr>
          <w:i/>
          <w:iCs/>
        </w:rPr>
        <w:t>21</w:t>
      </w:r>
      <w:r w:rsidRPr="00594BDA">
        <w:rPr>
          <w:i/>
          <w:iCs/>
        </w:rPr>
        <w:t>-2</w:t>
      </w:r>
      <w:r>
        <w:rPr>
          <w:i/>
          <w:iCs/>
        </w:rPr>
        <w:t>2</w:t>
      </w:r>
      <w:r w:rsidRPr="00594BDA">
        <w:rPr>
          <w:i/>
          <w:iCs/>
        </w:rPr>
        <w:t xml:space="preserve"> Budget</w:t>
      </w:r>
      <w:r>
        <w:t xml:space="preserve"> that affect the estimated net result from transactions.</w:t>
      </w:r>
    </w:p>
    <w:p w14:paraId="02D28051" w14:textId="77777777" w:rsidR="008D6F13" w:rsidRDefault="008D6F13" w:rsidP="008D6F13">
      <w:pPr>
        <w:pStyle w:val="Heading10"/>
      </w:pPr>
      <w:bookmarkStart w:id="44" w:name="_Toc89423581"/>
      <w:r>
        <w:lastRenderedPageBreak/>
        <w:t>General government sector</w:t>
      </w:r>
      <w:bookmarkEnd w:id="44"/>
    </w:p>
    <w:p w14:paraId="60914C69" w14:textId="77777777" w:rsidR="008D6F13" w:rsidRDefault="008D6F13" w:rsidP="008D6F13">
      <w:pPr>
        <w:pStyle w:val="Heading20"/>
      </w:pPr>
      <w:r>
        <w:t>Overview</w:t>
      </w:r>
    </w:p>
    <w:p w14:paraId="412D3FB3" w14:textId="77777777" w:rsidR="008D6F13" w:rsidRDefault="008D6F13" w:rsidP="008D6F13">
      <w:pPr>
        <w:keepNext/>
      </w:pPr>
      <w:r>
        <w:t>I</w:t>
      </w:r>
      <w:r w:rsidRPr="00827DA2">
        <w:t xml:space="preserve">n 2020, the </w:t>
      </w:r>
      <w:r>
        <w:t xml:space="preserve">COVID-19 </w:t>
      </w:r>
      <w:r w:rsidRPr="00827DA2">
        <w:t>pandemic severely impacted the State’s financial position and outlook.</w:t>
      </w:r>
      <w:r>
        <w:t xml:space="preserve"> </w:t>
      </w:r>
      <w:r w:rsidRPr="00827DA2">
        <w:t xml:space="preserve">In the </w:t>
      </w:r>
      <w:r w:rsidRPr="00BA2825">
        <w:rPr>
          <w:i/>
          <w:iCs/>
        </w:rPr>
        <w:t>2020-21 Budget</w:t>
      </w:r>
      <w:r w:rsidRPr="00827DA2">
        <w:t xml:space="preserve">, the Government prioritised the use of its balance sheet to support the Victorian community. This approach was consistent with stimulus approaches </w:t>
      </w:r>
      <w:r>
        <w:t xml:space="preserve">elsewhere </w:t>
      </w:r>
      <w:r w:rsidRPr="00827DA2">
        <w:t>in Australia and around the world.</w:t>
      </w:r>
    </w:p>
    <w:p w14:paraId="7FF1818D" w14:textId="77777777" w:rsidR="008D6F13" w:rsidRDefault="008D6F13" w:rsidP="008D6F13">
      <w:pPr>
        <w:keepNext/>
      </w:pPr>
      <w:r w:rsidRPr="00827DA2">
        <w:t xml:space="preserve">In early 2021, economic indicators showed that the Government’s stimulus strategy was working, with the economy rebounding strongly. The </w:t>
      </w:r>
      <w:r w:rsidRPr="00BA2825">
        <w:rPr>
          <w:i/>
          <w:iCs/>
        </w:rPr>
        <w:t>2021-22 Budget</w:t>
      </w:r>
      <w:r w:rsidRPr="00827DA2">
        <w:t xml:space="preserve"> forecast significant improvement in the State’s key fiscal aggregates.</w:t>
      </w:r>
    </w:p>
    <w:p w14:paraId="6F040205" w14:textId="77777777" w:rsidR="008D6F13" w:rsidRDefault="008D6F13" w:rsidP="008D6F13">
      <w:pPr>
        <w:keepNext/>
      </w:pPr>
      <w:r>
        <w:t>However, the outbreak of the Delta variant</w:t>
      </w:r>
      <w:r w:rsidRPr="00B1752D">
        <w:t xml:space="preserve"> </w:t>
      </w:r>
      <w:r>
        <w:t>of COVID-19</w:t>
      </w:r>
      <w:r w:rsidRPr="00B24C43">
        <w:t xml:space="preserve"> </w:t>
      </w:r>
      <w:r>
        <w:t>and the associated necessary public health restrictions, required additional short-term government financial assistance to strengthen the public health response, including additional testing capacity and support of the vaccine rollout.</w:t>
      </w:r>
    </w:p>
    <w:p w14:paraId="07CE6724" w14:textId="77777777" w:rsidR="008D6F13" w:rsidRDefault="008D6F13" w:rsidP="008D6F13">
      <w:pPr>
        <w:keepNext/>
      </w:pPr>
      <w:r>
        <w:t>The Government also provided significant assistance to businesses and households to ensure the economy was in a robust position to rebound quickly as restrictions eased. The short-term and targeted nature of this additional economic stimulus has supported the economy while maintaining the fiscal strategy for the medium</w:t>
      </w:r>
      <w:r>
        <w:noBreakHyphen/>
        <w:t>term.</w:t>
      </w:r>
    </w:p>
    <w:p w14:paraId="14578428" w14:textId="77777777" w:rsidR="008D6F13" w:rsidRDefault="008D6F13" w:rsidP="008D6F13">
      <w:pPr>
        <w:keepNext/>
      </w:pPr>
      <w:r>
        <w:t>New output investments funded in this budget update total $11.1 billion in 2021-22 and $11.7 billion over the four years to 2024</w:t>
      </w:r>
      <w:r w:rsidRPr="00131BEB">
        <w:rPr>
          <w:rFonts w:ascii="Times New Roman" w:hAnsi="Times New Roman" w:cs="Times New Roman"/>
        </w:rPr>
        <w:t>‑</w:t>
      </w:r>
      <w:r w:rsidRPr="00131BEB">
        <w:t>2</w:t>
      </w:r>
      <w:r>
        <w:t>5.</w:t>
      </w:r>
    </w:p>
    <w:p w14:paraId="7C75AF38" w14:textId="77777777" w:rsidR="008D6F13" w:rsidRDefault="008D6F13" w:rsidP="008D6F13">
      <w:pPr>
        <w:keepNext/>
      </w:pPr>
      <w:r>
        <w:t xml:space="preserve">As a result of this support, the net result from transactions compared with the </w:t>
      </w:r>
      <w:r w:rsidRPr="001D4A62">
        <w:rPr>
          <w:i/>
          <w:iCs/>
        </w:rPr>
        <w:t>2021</w:t>
      </w:r>
      <w:r w:rsidRPr="001D4A62">
        <w:rPr>
          <w:i/>
          <w:iCs/>
        </w:rPr>
        <w:noBreakHyphen/>
        <w:t>22</w:t>
      </w:r>
      <w:r>
        <w:rPr>
          <w:i/>
          <w:iCs/>
        </w:rPr>
        <w:t> </w:t>
      </w:r>
      <w:r w:rsidRPr="001D4A62">
        <w:rPr>
          <w:i/>
          <w:iCs/>
        </w:rPr>
        <w:t>Budget</w:t>
      </w:r>
      <w:r>
        <w:t xml:space="preserve"> has been revised down by $7.9 billion in 2021</w:t>
      </w:r>
      <w:r>
        <w:noBreakHyphen/>
        <w:t>22, and by an average of $0.9 billion a year across the forward estimates.</w:t>
      </w:r>
    </w:p>
    <w:p w14:paraId="49CFFC7E" w14:textId="77777777" w:rsidR="008D6F13" w:rsidRDefault="008D6F13" w:rsidP="008D6F13">
      <w:pPr>
        <w:keepNext/>
      </w:pPr>
      <w:r>
        <w:t>Returning to an operating surplus (net result from transactions) remains a key priority for the Government as part of its four-step fiscal strategy.</w:t>
      </w:r>
    </w:p>
    <w:p w14:paraId="4B163F12" w14:textId="77777777" w:rsidR="008D6F13" w:rsidRDefault="008D6F13" w:rsidP="008D6F13">
      <w:pPr>
        <w:pStyle w:val="TableHeading"/>
      </w:pPr>
      <w:r>
        <w:t xml:space="preserve">Table 3.1: </w:t>
      </w:r>
      <w:r>
        <w:tab/>
        <w:t>General government fiscal aggregates</w:t>
      </w:r>
    </w:p>
    <w:tbl>
      <w:tblPr>
        <w:tblStyle w:val="DTFTableNumeric"/>
        <w:tblW w:w="7710" w:type="dxa"/>
        <w:tblLayout w:type="fixed"/>
        <w:tblLook w:val="06A0" w:firstRow="1" w:lastRow="0" w:firstColumn="1" w:lastColumn="0" w:noHBand="1" w:noVBand="1"/>
      </w:tblPr>
      <w:tblGrid>
        <w:gridCol w:w="3600"/>
        <w:gridCol w:w="934"/>
        <w:gridCol w:w="794"/>
        <w:gridCol w:w="794"/>
        <w:gridCol w:w="794"/>
        <w:gridCol w:w="794"/>
      </w:tblGrid>
      <w:tr w:rsidR="008D6F13" w14:paraId="69627F0C"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00" w:type="dxa"/>
          </w:tcPr>
          <w:p w14:paraId="2F7E7274" w14:textId="2426EE40" w:rsidR="008D6F13" w:rsidRDefault="008D6F13" w:rsidP="0031078F"/>
        </w:tc>
        <w:tc>
          <w:tcPr>
            <w:tcW w:w="934" w:type="dxa"/>
          </w:tcPr>
          <w:p w14:paraId="20F9889C" w14:textId="77777777" w:rsidR="008D6F13" w:rsidRDefault="008D6F13" w:rsidP="0031078F">
            <w:pPr>
              <w:jc w:val="center"/>
              <w:cnfStyle w:val="100000000000" w:firstRow="1" w:lastRow="0" w:firstColumn="0" w:lastColumn="0" w:oddVBand="0" w:evenVBand="0" w:oddHBand="0" w:evenHBand="0" w:firstRowFirstColumn="0" w:firstRowLastColumn="0" w:lastRowFirstColumn="0" w:lastRowLastColumn="0"/>
            </w:pPr>
            <w:r>
              <w:t>Unit of</w:t>
            </w:r>
            <w:r>
              <w:rPr>
                <w:i w:val="0"/>
              </w:rPr>
              <w:br/>
            </w:r>
            <w:r>
              <w:t>measure</w:t>
            </w:r>
          </w:p>
        </w:tc>
        <w:tc>
          <w:tcPr>
            <w:tcW w:w="794" w:type="dxa"/>
          </w:tcPr>
          <w:p w14:paraId="1FFA928E"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rPr>
                <w:i w:val="0"/>
              </w:rPr>
              <w:br/>
            </w:r>
            <w:r>
              <w:t>revised</w:t>
            </w:r>
          </w:p>
        </w:tc>
        <w:tc>
          <w:tcPr>
            <w:tcW w:w="794" w:type="dxa"/>
          </w:tcPr>
          <w:p w14:paraId="6AD508CE"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rPr>
                <w:i w:val="0"/>
              </w:rPr>
              <w:br/>
            </w:r>
            <w:r>
              <w:t>estimate</w:t>
            </w:r>
          </w:p>
        </w:tc>
        <w:tc>
          <w:tcPr>
            <w:tcW w:w="794" w:type="dxa"/>
          </w:tcPr>
          <w:p w14:paraId="09BFC206"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rPr>
                <w:i w:val="0"/>
              </w:rPr>
              <w:br/>
            </w:r>
            <w:r>
              <w:t>estimate</w:t>
            </w:r>
          </w:p>
        </w:tc>
        <w:tc>
          <w:tcPr>
            <w:tcW w:w="794" w:type="dxa"/>
          </w:tcPr>
          <w:p w14:paraId="1C8304F9"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rPr>
                <w:i w:val="0"/>
              </w:rPr>
              <w:br/>
            </w:r>
            <w:r>
              <w:t>estimate</w:t>
            </w:r>
          </w:p>
        </w:tc>
      </w:tr>
      <w:tr w:rsidR="008D6F13" w14:paraId="6FDC1EF4" w14:textId="77777777" w:rsidTr="0031078F">
        <w:tc>
          <w:tcPr>
            <w:cnfStyle w:val="001000000000" w:firstRow="0" w:lastRow="0" w:firstColumn="1" w:lastColumn="0" w:oddVBand="0" w:evenVBand="0" w:oddHBand="0" w:evenHBand="0" w:firstRowFirstColumn="0" w:firstRowLastColumn="0" w:lastRowFirstColumn="0" w:lastRowLastColumn="0"/>
            <w:tcW w:w="3600" w:type="dxa"/>
          </w:tcPr>
          <w:p w14:paraId="02B0F137" w14:textId="77777777" w:rsidR="008D6F13" w:rsidRDefault="008D6F13" w:rsidP="0031078F">
            <w:r>
              <w:t>Net result from transactions</w:t>
            </w:r>
          </w:p>
        </w:tc>
        <w:tc>
          <w:tcPr>
            <w:tcW w:w="934" w:type="dxa"/>
          </w:tcPr>
          <w:p w14:paraId="59227623"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r>
              <w:t>$ billion</w:t>
            </w:r>
          </w:p>
        </w:tc>
        <w:tc>
          <w:tcPr>
            <w:tcW w:w="794" w:type="dxa"/>
          </w:tcPr>
          <w:p w14:paraId="1A1B0E8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(19.5)</w:t>
            </w:r>
          </w:p>
        </w:tc>
        <w:tc>
          <w:tcPr>
            <w:tcW w:w="794" w:type="dxa"/>
          </w:tcPr>
          <w:p w14:paraId="1B0964E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(5.3)</w:t>
            </w:r>
          </w:p>
        </w:tc>
        <w:tc>
          <w:tcPr>
            <w:tcW w:w="794" w:type="dxa"/>
          </w:tcPr>
          <w:p w14:paraId="526FCDA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(3.4)</w:t>
            </w:r>
          </w:p>
        </w:tc>
        <w:tc>
          <w:tcPr>
            <w:tcW w:w="794" w:type="dxa"/>
          </w:tcPr>
          <w:p w14:paraId="263239B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w:t>
            </w:r>
          </w:p>
        </w:tc>
      </w:tr>
      <w:tr w:rsidR="008D6F13" w14:paraId="78EFC530" w14:textId="77777777" w:rsidTr="0031078F">
        <w:tc>
          <w:tcPr>
            <w:cnfStyle w:val="001000000000" w:firstRow="0" w:lastRow="0" w:firstColumn="1" w:lastColumn="0" w:oddVBand="0" w:evenVBand="0" w:oddHBand="0" w:evenHBand="0" w:firstRowFirstColumn="0" w:firstRowLastColumn="0" w:lastRowFirstColumn="0" w:lastRowLastColumn="0"/>
            <w:tcW w:w="3600" w:type="dxa"/>
          </w:tcPr>
          <w:p w14:paraId="6A9C66CE" w14:textId="77777777" w:rsidR="008D6F13" w:rsidRDefault="008D6F13" w:rsidP="0031078F">
            <w:r>
              <w:t>Net cash flows from operating activities</w:t>
            </w:r>
          </w:p>
        </w:tc>
        <w:tc>
          <w:tcPr>
            <w:tcW w:w="934" w:type="dxa"/>
          </w:tcPr>
          <w:p w14:paraId="0D20E9E5"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r>
              <w:t>$ billion</w:t>
            </w:r>
          </w:p>
        </w:tc>
        <w:tc>
          <w:tcPr>
            <w:tcW w:w="794" w:type="dxa"/>
          </w:tcPr>
          <w:p w14:paraId="42B9AFB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(14.7)</w:t>
            </w:r>
          </w:p>
        </w:tc>
        <w:tc>
          <w:tcPr>
            <w:tcW w:w="794" w:type="dxa"/>
          </w:tcPr>
          <w:p w14:paraId="6897AC5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w:t>
            </w:r>
          </w:p>
        </w:tc>
        <w:tc>
          <w:tcPr>
            <w:tcW w:w="794" w:type="dxa"/>
          </w:tcPr>
          <w:p w14:paraId="1DBA844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0.8</w:t>
            </w:r>
          </w:p>
        </w:tc>
        <w:tc>
          <w:tcPr>
            <w:tcW w:w="794" w:type="dxa"/>
          </w:tcPr>
          <w:p w14:paraId="1771845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w:t>
            </w:r>
          </w:p>
        </w:tc>
      </w:tr>
      <w:tr w:rsidR="008D6F13" w14:paraId="16B497C0" w14:textId="77777777" w:rsidTr="0031078F">
        <w:tc>
          <w:tcPr>
            <w:cnfStyle w:val="001000000000" w:firstRow="0" w:lastRow="0" w:firstColumn="1" w:lastColumn="0" w:oddVBand="0" w:evenVBand="0" w:oddHBand="0" w:evenHBand="0" w:firstRowFirstColumn="0" w:firstRowLastColumn="0" w:lastRowFirstColumn="0" w:lastRowLastColumn="0"/>
            <w:tcW w:w="3600" w:type="dxa"/>
          </w:tcPr>
          <w:p w14:paraId="216CC7BD" w14:textId="77777777" w:rsidR="008D6F13" w:rsidRDefault="008D6F13" w:rsidP="0031078F">
            <w:r>
              <w:t xml:space="preserve">Government infrastructure investment </w:t>
            </w:r>
            <w:r>
              <w:rPr>
                <w:vertAlign w:val="superscript"/>
              </w:rPr>
              <w:t>(a)(b)</w:t>
            </w:r>
          </w:p>
        </w:tc>
        <w:tc>
          <w:tcPr>
            <w:tcW w:w="934" w:type="dxa"/>
          </w:tcPr>
          <w:p w14:paraId="65375687"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r>
              <w:t>$ billion</w:t>
            </w:r>
          </w:p>
        </w:tc>
        <w:tc>
          <w:tcPr>
            <w:tcW w:w="794" w:type="dxa"/>
          </w:tcPr>
          <w:p w14:paraId="16FF741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18.8</w:t>
            </w:r>
          </w:p>
        </w:tc>
        <w:tc>
          <w:tcPr>
            <w:tcW w:w="794" w:type="dxa"/>
          </w:tcPr>
          <w:p w14:paraId="6114E07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21.7</w:t>
            </w:r>
          </w:p>
        </w:tc>
        <w:tc>
          <w:tcPr>
            <w:tcW w:w="794" w:type="dxa"/>
          </w:tcPr>
          <w:p w14:paraId="78F4B7E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24.3</w:t>
            </w:r>
          </w:p>
        </w:tc>
        <w:tc>
          <w:tcPr>
            <w:tcW w:w="794" w:type="dxa"/>
          </w:tcPr>
          <w:p w14:paraId="5F3F33D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24.0</w:t>
            </w:r>
          </w:p>
        </w:tc>
      </w:tr>
      <w:tr w:rsidR="008D6F13" w14:paraId="7BF8987C" w14:textId="77777777" w:rsidTr="0031078F">
        <w:tc>
          <w:tcPr>
            <w:cnfStyle w:val="001000000000" w:firstRow="0" w:lastRow="0" w:firstColumn="1" w:lastColumn="0" w:oddVBand="0" w:evenVBand="0" w:oddHBand="0" w:evenHBand="0" w:firstRowFirstColumn="0" w:firstRowLastColumn="0" w:lastRowFirstColumn="0" w:lastRowLastColumn="0"/>
            <w:tcW w:w="3600" w:type="dxa"/>
          </w:tcPr>
          <w:p w14:paraId="292E4FA8" w14:textId="77777777" w:rsidR="008D6F13" w:rsidRDefault="008D6F13" w:rsidP="0031078F">
            <w:r>
              <w:t>Net debt</w:t>
            </w:r>
          </w:p>
        </w:tc>
        <w:tc>
          <w:tcPr>
            <w:tcW w:w="934" w:type="dxa"/>
          </w:tcPr>
          <w:p w14:paraId="70B2AEA1"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r>
              <w:t>$ billion</w:t>
            </w:r>
          </w:p>
        </w:tc>
        <w:tc>
          <w:tcPr>
            <w:tcW w:w="794" w:type="dxa"/>
          </w:tcPr>
          <w:p w14:paraId="11E2451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104.5</w:t>
            </w:r>
          </w:p>
        </w:tc>
        <w:tc>
          <w:tcPr>
            <w:tcW w:w="794" w:type="dxa"/>
          </w:tcPr>
          <w:p w14:paraId="3081145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121.1</w:t>
            </w:r>
          </w:p>
        </w:tc>
        <w:tc>
          <w:tcPr>
            <w:tcW w:w="794" w:type="dxa"/>
          </w:tcPr>
          <w:p w14:paraId="62F7168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141.6</w:t>
            </w:r>
          </w:p>
        </w:tc>
        <w:tc>
          <w:tcPr>
            <w:tcW w:w="794" w:type="dxa"/>
          </w:tcPr>
          <w:p w14:paraId="3C28956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162.7</w:t>
            </w:r>
          </w:p>
        </w:tc>
      </w:tr>
      <w:tr w:rsidR="008D6F13" w14:paraId="07285595" w14:textId="77777777" w:rsidTr="0031078F">
        <w:tc>
          <w:tcPr>
            <w:cnfStyle w:val="001000000000" w:firstRow="0" w:lastRow="0" w:firstColumn="1" w:lastColumn="0" w:oddVBand="0" w:evenVBand="0" w:oddHBand="0" w:evenHBand="0" w:firstRowFirstColumn="0" w:firstRowLastColumn="0" w:lastRowFirstColumn="0" w:lastRowLastColumn="0"/>
            <w:tcW w:w="3600" w:type="dxa"/>
          </w:tcPr>
          <w:p w14:paraId="0AFEC7DC" w14:textId="77777777" w:rsidR="008D6F13" w:rsidRDefault="008D6F13" w:rsidP="0031078F">
            <w:r>
              <w:t xml:space="preserve">Net debt to GSP </w:t>
            </w:r>
            <w:r>
              <w:rPr>
                <w:vertAlign w:val="superscript"/>
              </w:rPr>
              <w:t>(c)</w:t>
            </w:r>
          </w:p>
        </w:tc>
        <w:tc>
          <w:tcPr>
            <w:tcW w:w="934" w:type="dxa"/>
          </w:tcPr>
          <w:p w14:paraId="6B45EB4E"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r>
              <w:t>per cent</w:t>
            </w:r>
          </w:p>
        </w:tc>
        <w:tc>
          <w:tcPr>
            <w:tcW w:w="794" w:type="dxa"/>
          </w:tcPr>
          <w:p w14:paraId="74610BD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21.1</w:t>
            </w:r>
          </w:p>
        </w:tc>
        <w:tc>
          <w:tcPr>
            <w:tcW w:w="794" w:type="dxa"/>
          </w:tcPr>
          <w:p w14:paraId="4A11194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23.0</w:t>
            </w:r>
          </w:p>
        </w:tc>
        <w:tc>
          <w:tcPr>
            <w:tcW w:w="794" w:type="dxa"/>
          </w:tcPr>
          <w:p w14:paraId="0D041D6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25.6</w:t>
            </w:r>
          </w:p>
        </w:tc>
        <w:tc>
          <w:tcPr>
            <w:tcW w:w="794" w:type="dxa"/>
          </w:tcPr>
          <w:p w14:paraId="71E8B302" w14:textId="2550B470" w:rsidR="008D6F13" w:rsidRDefault="008D6F13" w:rsidP="0031078F">
            <w:pPr>
              <w:cnfStyle w:val="000000000000" w:firstRow="0" w:lastRow="0" w:firstColumn="0" w:lastColumn="0" w:oddVBand="0" w:evenVBand="0" w:oddHBand="0" w:evenHBand="0" w:firstRowFirstColumn="0" w:firstRowLastColumn="0" w:lastRowFirstColumn="0" w:lastRowLastColumn="0"/>
            </w:pPr>
            <w:r>
              <w:t>27.9</w:t>
            </w:r>
          </w:p>
        </w:tc>
      </w:tr>
    </w:tbl>
    <w:p w14:paraId="3167E05D" w14:textId="77777777" w:rsidR="008D6F13" w:rsidRPr="00ED09E9" w:rsidRDefault="008D6F13" w:rsidP="008D6F13">
      <w:pPr>
        <w:pStyle w:val="Source"/>
      </w:pPr>
      <w:r w:rsidRPr="00ED09E9">
        <w:t>Source: Department of Treasury and Finance</w:t>
      </w:r>
    </w:p>
    <w:p w14:paraId="79172234" w14:textId="77777777" w:rsidR="008D6F13" w:rsidRPr="00AB3600" w:rsidRDefault="008D6F13" w:rsidP="008D6F13">
      <w:pPr>
        <w:pStyle w:val="Note"/>
      </w:pPr>
      <w:r w:rsidRPr="00ED09E9">
        <w:t>Notes:</w:t>
      </w:r>
    </w:p>
    <w:p w14:paraId="07881D9B" w14:textId="77777777" w:rsidR="008D6F13" w:rsidRDefault="008D6F13" w:rsidP="008D6F13">
      <w:pPr>
        <w:pStyle w:val="Note"/>
      </w:pPr>
      <w:r w:rsidRPr="00C203E5">
        <w:t>(</w:t>
      </w:r>
      <w:r>
        <w:t>a</w:t>
      </w:r>
      <w:r w:rsidRPr="00C203E5">
        <w:t>)</w:t>
      </w:r>
      <w:r w:rsidRPr="00C203E5">
        <w:tab/>
      </w:r>
      <w:r w:rsidRPr="00E678D0">
        <w:t xml:space="preserve">Includes general government net infrastructure investment and estimated construction costs </w:t>
      </w:r>
      <w:r>
        <w:t>of</w:t>
      </w:r>
      <w:r w:rsidRPr="00E678D0">
        <w:t xml:space="preserve"> public private partnership projects.</w:t>
      </w:r>
    </w:p>
    <w:p w14:paraId="0BE46867" w14:textId="77777777" w:rsidR="008D6F13" w:rsidRPr="00E678D0" w:rsidRDefault="008D6F13" w:rsidP="008D6F13">
      <w:pPr>
        <w:pStyle w:val="Note"/>
      </w:pPr>
      <w:r>
        <w:t>(b)</w:t>
      </w:r>
      <w:r>
        <w:tab/>
      </w:r>
      <w:r w:rsidRPr="00961C37">
        <w:t xml:space="preserve">Includes the </w:t>
      </w:r>
      <w:r w:rsidRPr="00856778">
        <w:t>estimated private sector construction</w:t>
      </w:r>
      <w:r>
        <w:t>-</w:t>
      </w:r>
      <w:r w:rsidRPr="00856778">
        <w:t xml:space="preserve">related expenditure </w:t>
      </w:r>
      <w:r w:rsidRPr="00961C37">
        <w:t xml:space="preserve">associated with the North East Link held in the </w:t>
      </w:r>
      <w:r>
        <w:t>public non</w:t>
      </w:r>
      <w:r>
        <w:noBreakHyphen/>
        <w:t>financial corporations (</w:t>
      </w:r>
      <w:r w:rsidRPr="00961C37">
        <w:t>PNFC</w:t>
      </w:r>
      <w:r>
        <w:t>)</w:t>
      </w:r>
      <w:r w:rsidRPr="00961C37">
        <w:t xml:space="preserve"> sector</w:t>
      </w:r>
      <w:r>
        <w:t>.</w:t>
      </w:r>
    </w:p>
    <w:p w14:paraId="5485E785" w14:textId="77777777" w:rsidR="008D6F13" w:rsidRPr="00686F17" w:rsidRDefault="008D6F13" w:rsidP="008D6F13">
      <w:pPr>
        <w:pStyle w:val="Note"/>
      </w:pPr>
      <w:r w:rsidRPr="00E678D0">
        <w:t>(</w:t>
      </w:r>
      <w:r>
        <w:t>c</w:t>
      </w:r>
      <w:r w:rsidRPr="00E678D0">
        <w:t>)</w:t>
      </w:r>
      <w:r>
        <w:tab/>
      </w:r>
      <w:r w:rsidRPr="00E678D0">
        <w:t xml:space="preserve">The ratios to </w:t>
      </w:r>
      <w:r>
        <w:t>gross state product (</w:t>
      </w:r>
      <w:r w:rsidRPr="00E678D0">
        <w:t>GSP</w:t>
      </w:r>
      <w:r>
        <w:t>)</w:t>
      </w:r>
      <w:r w:rsidRPr="00E678D0">
        <w:t xml:space="preserve"> may vary from publications year to year due to revisions to the Australian Bureau of Statistics GSP data.</w:t>
      </w:r>
    </w:p>
    <w:p w14:paraId="300FCAAF" w14:textId="77777777" w:rsidR="008D6F13" w:rsidRDefault="008D6F13" w:rsidP="008D6F13">
      <w:pPr>
        <w:keepLines w:val="0"/>
      </w:pPr>
      <w:r>
        <w:br w:type="page"/>
      </w:r>
    </w:p>
    <w:p w14:paraId="68DF6E98" w14:textId="77777777" w:rsidR="008D6F13" w:rsidRPr="00AC64CC" w:rsidRDefault="008D6F13" w:rsidP="008D6F13">
      <w:r w:rsidRPr="00BE7C11">
        <w:lastRenderedPageBreak/>
        <w:t xml:space="preserve">Total </w:t>
      </w:r>
      <w:r w:rsidRPr="00BE7C11">
        <w:rPr>
          <w:color w:val="000000" w:themeColor="text1"/>
        </w:rPr>
        <w:t>revenue for the general government sector is expected to be $</w:t>
      </w:r>
      <w:r>
        <w:rPr>
          <w:color w:val="000000" w:themeColor="text1"/>
        </w:rPr>
        <w:t>77.9</w:t>
      </w:r>
      <w:r w:rsidRPr="00BE7C11">
        <w:rPr>
          <w:color w:val="000000" w:themeColor="text1"/>
        </w:rPr>
        <w:t> billion in 2021</w:t>
      </w:r>
      <w:r w:rsidRPr="00BE7C11">
        <w:rPr>
          <w:rFonts w:ascii="Times New Roman" w:hAnsi="Times New Roman" w:cs="Times New Roman"/>
          <w:color w:val="000000" w:themeColor="text1"/>
        </w:rPr>
        <w:t>‑</w:t>
      </w:r>
      <w:r w:rsidRPr="00BE7C11">
        <w:rPr>
          <w:color w:val="000000" w:themeColor="text1"/>
        </w:rPr>
        <w:t xml:space="preserve">22, an </w:t>
      </w:r>
      <w:r>
        <w:rPr>
          <w:color w:val="000000" w:themeColor="text1"/>
        </w:rPr>
        <w:t xml:space="preserve">increase </w:t>
      </w:r>
      <w:r w:rsidRPr="00BE7C11">
        <w:rPr>
          <w:color w:val="000000" w:themeColor="text1"/>
        </w:rPr>
        <w:t>of $</w:t>
      </w:r>
      <w:r>
        <w:rPr>
          <w:color w:val="000000" w:themeColor="text1"/>
        </w:rPr>
        <w:t>3.4</w:t>
      </w:r>
      <w:r w:rsidRPr="00BE7C11">
        <w:rPr>
          <w:color w:val="000000" w:themeColor="text1"/>
        </w:rPr>
        <w:t xml:space="preserve"> billion compared with the </w:t>
      </w:r>
      <w:r w:rsidRPr="00BE7C11">
        <w:rPr>
          <w:i/>
          <w:iCs/>
          <w:color w:val="000000" w:themeColor="text1"/>
        </w:rPr>
        <w:t>202</w:t>
      </w:r>
      <w:r>
        <w:rPr>
          <w:i/>
          <w:iCs/>
          <w:color w:val="000000" w:themeColor="text1"/>
        </w:rPr>
        <w:t>1</w:t>
      </w:r>
      <w:r w:rsidRPr="00BE7C11">
        <w:rPr>
          <w:i/>
          <w:iCs/>
          <w:color w:val="000000" w:themeColor="text1"/>
        </w:rPr>
        <w:t>-2</w:t>
      </w:r>
      <w:r>
        <w:rPr>
          <w:i/>
          <w:iCs/>
          <w:color w:val="000000" w:themeColor="text1"/>
        </w:rPr>
        <w:t>2</w:t>
      </w:r>
      <w:r w:rsidRPr="00BE7C11">
        <w:rPr>
          <w:i/>
          <w:iCs/>
          <w:color w:val="000000" w:themeColor="text1"/>
        </w:rPr>
        <w:t xml:space="preserve"> Budget</w:t>
      </w:r>
      <w:r>
        <w:rPr>
          <w:i/>
          <w:iCs/>
          <w:color w:val="000000" w:themeColor="text1"/>
        </w:rPr>
        <w:t xml:space="preserve">. </w:t>
      </w:r>
      <w:r w:rsidRPr="00755AF9">
        <w:rPr>
          <w:color w:val="000000" w:themeColor="text1"/>
        </w:rPr>
        <w:t>This is largely</w:t>
      </w:r>
      <w:r>
        <w:rPr>
          <w:color w:val="000000" w:themeColor="text1"/>
        </w:rPr>
        <w:t xml:space="preserve"> due to the </w:t>
      </w:r>
      <w:r w:rsidRPr="00AC64CC">
        <w:t>Commonwealth component of the jointly funded business support packages.</w:t>
      </w:r>
    </w:p>
    <w:p w14:paraId="5EA2A0F2" w14:textId="77777777" w:rsidR="008D6F13" w:rsidRDefault="008D6F13" w:rsidP="008D6F13">
      <w:pPr>
        <w:rPr>
          <w:color w:val="000000" w:themeColor="text1"/>
        </w:rPr>
      </w:pPr>
      <w:r>
        <w:rPr>
          <w:color w:val="000000" w:themeColor="text1"/>
        </w:rPr>
        <w:t>G</w:t>
      </w:r>
      <w:r w:rsidRPr="00BE7C11">
        <w:rPr>
          <w:color w:val="000000" w:themeColor="text1"/>
        </w:rPr>
        <w:t xml:space="preserve">eneral government sector </w:t>
      </w:r>
      <w:r>
        <w:rPr>
          <w:color w:val="000000" w:themeColor="text1"/>
        </w:rPr>
        <w:t xml:space="preserve">expenditure in 2021-22 </w:t>
      </w:r>
      <w:r w:rsidRPr="00EC3646">
        <w:rPr>
          <w:color w:val="000000" w:themeColor="text1"/>
        </w:rPr>
        <w:t xml:space="preserve">is expected to be </w:t>
      </w:r>
      <w:r w:rsidRPr="00BE7C11">
        <w:rPr>
          <w:color w:val="000000" w:themeColor="text1"/>
        </w:rPr>
        <w:t>$</w:t>
      </w:r>
      <w:r>
        <w:rPr>
          <w:color w:val="000000" w:themeColor="text1"/>
        </w:rPr>
        <w:t>97.5</w:t>
      </w:r>
      <w:r w:rsidRPr="00BE7C11">
        <w:rPr>
          <w:color w:val="000000" w:themeColor="text1"/>
        </w:rPr>
        <w:t> billion</w:t>
      </w:r>
      <w:r>
        <w:rPr>
          <w:color w:val="000000" w:themeColor="text1"/>
        </w:rPr>
        <w:t xml:space="preserve">, an increase of $11.3 billion </w:t>
      </w:r>
      <w:r w:rsidRPr="00BE7C11">
        <w:rPr>
          <w:color w:val="000000" w:themeColor="text1"/>
        </w:rPr>
        <w:t xml:space="preserve">compared with the </w:t>
      </w:r>
      <w:r w:rsidRPr="00BE7C11">
        <w:rPr>
          <w:i/>
          <w:iCs/>
          <w:color w:val="000000" w:themeColor="text1"/>
        </w:rPr>
        <w:t>202</w:t>
      </w:r>
      <w:r>
        <w:rPr>
          <w:i/>
          <w:iCs/>
          <w:color w:val="000000" w:themeColor="text1"/>
        </w:rPr>
        <w:t>1</w:t>
      </w:r>
      <w:r w:rsidRPr="00BE7C11">
        <w:rPr>
          <w:i/>
          <w:iCs/>
          <w:color w:val="000000" w:themeColor="text1"/>
        </w:rPr>
        <w:t>-2</w:t>
      </w:r>
      <w:r>
        <w:rPr>
          <w:i/>
          <w:iCs/>
          <w:color w:val="000000" w:themeColor="text1"/>
        </w:rPr>
        <w:t>2</w:t>
      </w:r>
      <w:r w:rsidRPr="00BE7C11">
        <w:rPr>
          <w:i/>
          <w:iCs/>
          <w:color w:val="000000" w:themeColor="text1"/>
        </w:rPr>
        <w:t xml:space="preserve"> Budget</w:t>
      </w:r>
      <w:r>
        <w:rPr>
          <w:i/>
          <w:iCs/>
          <w:color w:val="000000" w:themeColor="text1"/>
        </w:rPr>
        <w:t xml:space="preserve">, </w:t>
      </w:r>
      <w:r>
        <w:rPr>
          <w:color w:val="000000" w:themeColor="text1"/>
        </w:rPr>
        <w:t>primarily reflecting the short</w:t>
      </w:r>
      <w:r>
        <w:rPr>
          <w:color w:val="000000" w:themeColor="text1"/>
        </w:rPr>
        <w:noBreakHyphen/>
        <w:t>term, targeted initiatives to support Victorians and drive the economic recovery.</w:t>
      </w:r>
    </w:p>
    <w:p w14:paraId="20055B0D" w14:textId="77777777" w:rsidR="008D6F13" w:rsidRDefault="008D6F13" w:rsidP="008D6F13">
      <w:pPr>
        <w:ind w:right="151"/>
        <w:rPr>
          <w:color w:val="000000" w:themeColor="text1"/>
        </w:rPr>
      </w:pPr>
      <w:r w:rsidRPr="0018080F">
        <w:rPr>
          <w:color w:val="000000" w:themeColor="text1"/>
        </w:rPr>
        <w:t xml:space="preserve">Interest expense as a share of total revenue remains manageable and is expected to average </w:t>
      </w:r>
      <w:r>
        <w:rPr>
          <w:color w:val="000000" w:themeColor="text1"/>
        </w:rPr>
        <w:t>5.0</w:t>
      </w:r>
      <w:r w:rsidRPr="0018080F">
        <w:rPr>
          <w:color w:val="000000" w:themeColor="text1"/>
        </w:rPr>
        <w:t xml:space="preserve"> per cent a year over the budget and forward </w:t>
      </w:r>
      <w:r>
        <w:rPr>
          <w:color w:val="000000" w:themeColor="text1"/>
        </w:rPr>
        <w:t>estimates.</w:t>
      </w:r>
    </w:p>
    <w:p w14:paraId="0882D439" w14:textId="77777777" w:rsidR="008D6F13" w:rsidRDefault="008D6F13" w:rsidP="008D6F13">
      <w:pPr>
        <w:ind w:right="151"/>
      </w:pPr>
      <w:r>
        <w:rPr>
          <w:color w:val="000000" w:themeColor="text1"/>
        </w:rPr>
        <w:t xml:space="preserve">Net </w:t>
      </w:r>
      <w:r w:rsidRPr="00581605">
        <w:rPr>
          <w:color w:val="000000" w:themeColor="text1"/>
        </w:rPr>
        <w:t xml:space="preserve">cash </w:t>
      </w:r>
      <w:r>
        <w:rPr>
          <w:color w:val="000000" w:themeColor="text1"/>
        </w:rPr>
        <w:t xml:space="preserve">flows from operating activities for the general government sector are forecast to be in </w:t>
      </w:r>
      <w:r w:rsidRPr="00581605">
        <w:rPr>
          <w:color w:val="000000" w:themeColor="text1"/>
        </w:rPr>
        <w:t xml:space="preserve">surplus </w:t>
      </w:r>
      <w:r>
        <w:rPr>
          <w:color w:val="000000" w:themeColor="text1"/>
        </w:rPr>
        <w:t>from</w:t>
      </w:r>
      <w:r w:rsidRPr="0084084C">
        <w:rPr>
          <w:color w:val="000000" w:themeColor="text1"/>
        </w:rPr>
        <w:t xml:space="preserve"> 2022</w:t>
      </w:r>
      <w:r w:rsidRPr="0084084C">
        <w:rPr>
          <w:color w:val="000000" w:themeColor="text1"/>
        </w:rPr>
        <w:noBreakHyphen/>
        <w:t xml:space="preserve">23, </w:t>
      </w:r>
      <w:r>
        <w:t xml:space="preserve">consistent with the </w:t>
      </w:r>
      <w:r w:rsidRPr="008677E7">
        <w:rPr>
          <w:i/>
          <w:iCs/>
        </w:rPr>
        <w:t>2021-22 Budget</w:t>
      </w:r>
      <w:r>
        <w:t>.</w:t>
      </w:r>
    </w:p>
    <w:p w14:paraId="1E1441A9" w14:textId="77777777" w:rsidR="008D6F13" w:rsidRPr="00B425D8" w:rsidRDefault="008D6F13" w:rsidP="008D6F13">
      <w:pPr>
        <w:rPr>
          <w:color w:val="000000" w:themeColor="text1"/>
        </w:rPr>
      </w:pPr>
      <w:r w:rsidRPr="00B425D8">
        <w:rPr>
          <w:color w:val="000000" w:themeColor="text1"/>
        </w:rPr>
        <w:t xml:space="preserve">Government infrastructure investment (GII) is expected </w:t>
      </w:r>
      <w:r w:rsidRPr="00D2686C">
        <w:rPr>
          <w:color w:val="000000" w:themeColor="text1"/>
        </w:rPr>
        <w:t>to average $2</w:t>
      </w:r>
      <w:r>
        <w:rPr>
          <w:color w:val="000000" w:themeColor="text1"/>
        </w:rPr>
        <w:t>2.2</w:t>
      </w:r>
      <w:r w:rsidRPr="00D2686C">
        <w:rPr>
          <w:color w:val="000000" w:themeColor="text1"/>
        </w:rPr>
        <w:t> billion a year</w:t>
      </w:r>
      <w:r w:rsidRPr="00B425D8">
        <w:rPr>
          <w:color w:val="000000" w:themeColor="text1"/>
        </w:rPr>
        <w:t xml:space="preserve"> over the budget and forward estimates</w:t>
      </w:r>
      <w:r>
        <w:rPr>
          <w:color w:val="000000" w:themeColor="text1"/>
        </w:rPr>
        <w:t>,</w:t>
      </w:r>
      <w:r w:rsidRPr="00B425D8">
        <w:rPr>
          <w:color w:val="000000" w:themeColor="text1"/>
        </w:rPr>
        <w:t xml:space="preserve"> </w:t>
      </w:r>
      <w:r>
        <w:rPr>
          <w:color w:val="000000" w:themeColor="text1"/>
        </w:rPr>
        <w:t>reflecting the continuation of Victoria’s Big Build.</w:t>
      </w:r>
    </w:p>
    <w:p w14:paraId="0A27B7A8" w14:textId="77777777" w:rsidR="008D6F13" w:rsidRDefault="008D6F13" w:rsidP="008D6F13">
      <w:r>
        <w:t xml:space="preserve">Net debt is expected to be $104.5 billion at June 2022 and $162.7 billion by June 2025. As a proportion of GSP, net debt is projected to be 21.1 per cent </w:t>
      </w:r>
      <w:proofErr w:type="gramStart"/>
      <w:r>
        <w:t>at</w:t>
      </w:r>
      <w:proofErr w:type="gramEnd"/>
      <w:r>
        <w:t xml:space="preserve"> June 2022 and 27.9 per cent by June 2025.</w:t>
      </w:r>
    </w:p>
    <w:p w14:paraId="30BD518B" w14:textId="77777777" w:rsidR="008D6F13" w:rsidRDefault="008D6F13" w:rsidP="008D6F13"/>
    <w:p w14:paraId="69EE0D19" w14:textId="77777777" w:rsidR="008D6F13" w:rsidRDefault="008D6F13" w:rsidP="008D6F13">
      <w:pPr>
        <w:keepLines w:val="0"/>
        <w:rPr>
          <w:rFonts w:asciiTheme="majorHAnsi" w:eastAsiaTheme="majorEastAsia" w:hAnsiTheme="majorHAnsi" w:cstheme="majorBidi"/>
          <w:b/>
          <w:caps/>
          <w:sz w:val="26"/>
          <w:szCs w:val="32"/>
        </w:rPr>
      </w:pPr>
      <w:r>
        <w:br w:type="page"/>
      </w:r>
    </w:p>
    <w:p w14:paraId="6C795C7C" w14:textId="77777777" w:rsidR="008D6F13" w:rsidRDefault="008D6F13" w:rsidP="008D6F13">
      <w:pPr>
        <w:pStyle w:val="Heading10"/>
      </w:pPr>
      <w:bookmarkStart w:id="45" w:name="_Toc89423582"/>
      <w:r>
        <w:lastRenderedPageBreak/>
        <w:t>Budget and forward estimates outlook</w:t>
      </w:r>
      <w:bookmarkEnd w:id="45"/>
    </w:p>
    <w:p w14:paraId="06DDEA2D" w14:textId="77777777" w:rsidR="008D6F13" w:rsidRDefault="008D6F13" w:rsidP="008D6F13">
      <w:r>
        <w:t xml:space="preserve">Table 3.2 summarises the operating statement for the general government sector. A comprehensive operating statement is presented in Chapter 4 </w:t>
      </w:r>
      <w:r w:rsidRPr="008E391A">
        <w:rPr>
          <w:i/>
          <w:iCs/>
        </w:rPr>
        <w:t>Estimated financial statements and notes.</w:t>
      </w:r>
    </w:p>
    <w:p w14:paraId="0A6D6DD5" w14:textId="77777777" w:rsidR="008D6F13" w:rsidRDefault="008D6F13" w:rsidP="008D6F13">
      <w:pPr>
        <w:pStyle w:val="TableHeading"/>
      </w:pPr>
      <w:r>
        <w:t>T</w:t>
      </w:r>
      <w:r w:rsidRPr="00C46ECD">
        <w:t xml:space="preserve">able 3.2: </w:t>
      </w:r>
      <w:r w:rsidRPr="00C46ECD">
        <w:tab/>
        <w:t xml:space="preserve">Summary operating statement for the general government sector </w:t>
      </w:r>
      <w:r w:rsidRPr="009F1B31">
        <w:rPr>
          <w:vertAlign w:val="superscript"/>
        </w:rPr>
        <w:t>(a)</w:t>
      </w:r>
      <w:r w:rsidRPr="00C46ECD">
        <w:tab/>
        <w:t>($ million)</w:t>
      </w:r>
    </w:p>
    <w:tbl>
      <w:tblPr>
        <w:tblStyle w:val="DTFTableNumeric"/>
        <w:tblW w:w="7710" w:type="dxa"/>
        <w:tblLayout w:type="fixed"/>
        <w:tblLook w:val="06A0" w:firstRow="1" w:lastRow="0" w:firstColumn="1" w:lastColumn="0" w:noHBand="1" w:noVBand="1"/>
      </w:tblPr>
      <w:tblGrid>
        <w:gridCol w:w="4534"/>
        <w:gridCol w:w="794"/>
        <w:gridCol w:w="794"/>
        <w:gridCol w:w="794"/>
        <w:gridCol w:w="794"/>
      </w:tblGrid>
      <w:tr w:rsidR="008D6F13" w14:paraId="78C1BB7E"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231B41AC" w14:textId="30A0605C" w:rsidR="008D6F13" w:rsidRDefault="008D6F13" w:rsidP="0031078F"/>
        </w:tc>
        <w:tc>
          <w:tcPr>
            <w:tcW w:w="794" w:type="dxa"/>
          </w:tcPr>
          <w:p w14:paraId="67B32D49"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rPr>
                <w:i w:val="0"/>
              </w:rPr>
              <w:br/>
            </w:r>
            <w:r>
              <w:t>revised</w:t>
            </w:r>
          </w:p>
        </w:tc>
        <w:tc>
          <w:tcPr>
            <w:tcW w:w="794" w:type="dxa"/>
          </w:tcPr>
          <w:p w14:paraId="5FDD4680"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rPr>
                <w:i w:val="0"/>
              </w:rPr>
              <w:br/>
            </w:r>
            <w:r>
              <w:t>estimate</w:t>
            </w:r>
          </w:p>
        </w:tc>
        <w:tc>
          <w:tcPr>
            <w:tcW w:w="794" w:type="dxa"/>
          </w:tcPr>
          <w:p w14:paraId="46E6757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rPr>
                <w:i w:val="0"/>
              </w:rPr>
              <w:br/>
            </w:r>
            <w:r>
              <w:t>estimate</w:t>
            </w:r>
          </w:p>
        </w:tc>
        <w:tc>
          <w:tcPr>
            <w:tcW w:w="794" w:type="dxa"/>
          </w:tcPr>
          <w:p w14:paraId="12343AD5"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rPr>
                <w:i w:val="0"/>
              </w:rPr>
              <w:br/>
            </w:r>
            <w:r>
              <w:t>estimate</w:t>
            </w:r>
          </w:p>
        </w:tc>
      </w:tr>
      <w:tr w:rsidR="008D6F13" w14:paraId="01B8D392"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3B42C0DE" w14:textId="77777777" w:rsidR="008D6F13" w:rsidRDefault="008D6F13" w:rsidP="0031078F">
            <w:r>
              <w:rPr>
                <w:b/>
              </w:rPr>
              <w:t>Revenue and income from transactions</w:t>
            </w:r>
          </w:p>
        </w:tc>
        <w:tc>
          <w:tcPr>
            <w:tcW w:w="794" w:type="dxa"/>
          </w:tcPr>
          <w:p w14:paraId="0AEDD44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0F644A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2B544E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F20A07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38D91885"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2A992F74" w14:textId="77777777" w:rsidR="008D6F13" w:rsidRDefault="008D6F13" w:rsidP="0031078F">
            <w:r>
              <w:t>Taxation</w:t>
            </w:r>
          </w:p>
        </w:tc>
        <w:tc>
          <w:tcPr>
            <w:tcW w:w="794" w:type="dxa"/>
          </w:tcPr>
          <w:p w14:paraId="51BE3D7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27 004</w:t>
            </w:r>
          </w:p>
        </w:tc>
        <w:tc>
          <w:tcPr>
            <w:tcW w:w="794" w:type="dxa"/>
          </w:tcPr>
          <w:p w14:paraId="0A483A2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29 474</w:t>
            </w:r>
          </w:p>
        </w:tc>
        <w:tc>
          <w:tcPr>
            <w:tcW w:w="794" w:type="dxa"/>
          </w:tcPr>
          <w:p w14:paraId="0FEA8CD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31 029</w:t>
            </w:r>
          </w:p>
        </w:tc>
        <w:tc>
          <w:tcPr>
            <w:tcW w:w="794" w:type="dxa"/>
          </w:tcPr>
          <w:p w14:paraId="34298B7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32 289</w:t>
            </w:r>
          </w:p>
        </w:tc>
      </w:tr>
      <w:tr w:rsidR="008D6F13" w14:paraId="0CF72B74"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7B8E858C" w14:textId="77777777" w:rsidR="008D6F13" w:rsidRDefault="008D6F13" w:rsidP="0031078F">
            <w:r>
              <w:t xml:space="preserve">Dividends, </w:t>
            </w:r>
            <w:proofErr w:type="gramStart"/>
            <w:r>
              <w:t>TER</w:t>
            </w:r>
            <w:proofErr w:type="gramEnd"/>
            <w:r>
              <w:t xml:space="preserve"> and interest </w:t>
            </w:r>
            <w:r>
              <w:rPr>
                <w:vertAlign w:val="superscript"/>
              </w:rPr>
              <w:t>(b)</w:t>
            </w:r>
          </w:p>
        </w:tc>
        <w:tc>
          <w:tcPr>
            <w:tcW w:w="794" w:type="dxa"/>
          </w:tcPr>
          <w:p w14:paraId="25A646E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1 198</w:t>
            </w:r>
          </w:p>
        </w:tc>
        <w:tc>
          <w:tcPr>
            <w:tcW w:w="794" w:type="dxa"/>
          </w:tcPr>
          <w:p w14:paraId="76FA7C8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1 091</w:t>
            </w:r>
          </w:p>
        </w:tc>
        <w:tc>
          <w:tcPr>
            <w:tcW w:w="794" w:type="dxa"/>
          </w:tcPr>
          <w:p w14:paraId="02894AB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1 225</w:t>
            </w:r>
          </w:p>
        </w:tc>
        <w:tc>
          <w:tcPr>
            <w:tcW w:w="794" w:type="dxa"/>
          </w:tcPr>
          <w:p w14:paraId="68046DD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1 332</w:t>
            </w:r>
          </w:p>
        </w:tc>
      </w:tr>
      <w:tr w:rsidR="008D6F13" w14:paraId="0067CD35"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014AB0CD" w14:textId="77777777" w:rsidR="008D6F13" w:rsidRDefault="008D6F13" w:rsidP="0031078F">
            <w:r>
              <w:t>Sales of goods and services</w:t>
            </w:r>
          </w:p>
        </w:tc>
        <w:tc>
          <w:tcPr>
            <w:tcW w:w="794" w:type="dxa"/>
          </w:tcPr>
          <w:p w14:paraId="296D49A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5 923</w:t>
            </w:r>
          </w:p>
        </w:tc>
        <w:tc>
          <w:tcPr>
            <w:tcW w:w="794" w:type="dxa"/>
          </w:tcPr>
          <w:p w14:paraId="60AFEA8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6 462</w:t>
            </w:r>
          </w:p>
        </w:tc>
        <w:tc>
          <w:tcPr>
            <w:tcW w:w="794" w:type="dxa"/>
          </w:tcPr>
          <w:p w14:paraId="57C443D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6 605</w:t>
            </w:r>
          </w:p>
        </w:tc>
        <w:tc>
          <w:tcPr>
            <w:tcW w:w="794" w:type="dxa"/>
          </w:tcPr>
          <w:p w14:paraId="1F6BAA0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6 699</w:t>
            </w:r>
          </w:p>
        </w:tc>
      </w:tr>
      <w:tr w:rsidR="008D6F13" w14:paraId="13949C5E"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29380FDF" w14:textId="77777777" w:rsidR="008D6F13" w:rsidRDefault="008D6F13" w:rsidP="0031078F">
            <w:r>
              <w:t>Grants</w:t>
            </w:r>
          </w:p>
        </w:tc>
        <w:tc>
          <w:tcPr>
            <w:tcW w:w="794" w:type="dxa"/>
          </w:tcPr>
          <w:p w14:paraId="66C5988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40 457</w:t>
            </w:r>
          </w:p>
        </w:tc>
        <w:tc>
          <w:tcPr>
            <w:tcW w:w="794" w:type="dxa"/>
          </w:tcPr>
          <w:p w14:paraId="45797C5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39 214</w:t>
            </w:r>
          </w:p>
        </w:tc>
        <w:tc>
          <w:tcPr>
            <w:tcW w:w="794" w:type="dxa"/>
          </w:tcPr>
          <w:p w14:paraId="60A2D9E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39 977</w:t>
            </w:r>
          </w:p>
        </w:tc>
        <w:tc>
          <w:tcPr>
            <w:tcW w:w="794" w:type="dxa"/>
          </w:tcPr>
          <w:p w14:paraId="628E991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41 351</w:t>
            </w:r>
          </w:p>
        </w:tc>
      </w:tr>
      <w:tr w:rsidR="008D6F13" w14:paraId="703E7BBE"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473F89C8" w14:textId="77777777" w:rsidR="008D6F13" w:rsidRDefault="008D6F13" w:rsidP="0031078F">
            <w:r>
              <w:t>Other revenue and income</w:t>
            </w:r>
          </w:p>
        </w:tc>
        <w:tc>
          <w:tcPr>
            <w:tcW w:w="794" w:type="dxa"/>
            <w:tcBorders>
              <w:bottom w:val="single" w:sz="6" w:space="0" w:color="auto"/>
            </w:tcBorders>
          </w:tcPr>
          <w:p w14:paraId="6B958A0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3 350</w:t>
            </w:r>
          </w:p>
        </w:tc>
        <w:tc>
          <w:tcPr>
            <w:tcW w:w="794" w:type="dxa"/>
            <w:tcBorders>
              <w:bottom w:val="single" w:sz="6" w:space="0" w:color="auto"/>
            </w:tcBorders>
          </w:tcPr>
          <w:p w14:paraId="62DC4C1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3 508</w:t>
            </w:r>
          </w:p>
        </w:tc>
        <w:tc>
          <w:tcPr>
            <w:tcW w:w="794" w:type="dxa"/>
            <w:tcBorders>
              <w:bottom w:val="single" w:sz="6" w:space="0" w:color="auto"/>
            </w:tcBorders>
          </w:tcPr>
          <w:p w14:paraId="385FCE6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3 209</w:t>
            </w:r>
          </w:p>
        </w:tc>
        <w:tc>
          <w:tcPr>
            <w:tcW w:w="794" w:type="dxa"/>
            <w:tcBorders>
              <w:bottom w:val="single" w:sz="6" w:space="0" w:color="auto"/>
            </w:tcBorders>
          </w:tcPr>
          <w:p w14:paraId="4E7EC45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3 408</w:t>
            </w:r>
          </w:p>
        </w:tc>
      </w:tr>
      <w:tr w:rsidR="008D6F13" w14:paraId="58D3316A"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281E0ED4" w14:textId="77777777" w:rsidR="008D6F13" w:rsidRDefault="008D6F13" w:rsidP="0031078F">
            <w:r>
              <w:rPr>
                <w:b/>
              </w:rPr>
              <w:t>Total revenue and income from transactions</w:t>
            </w:r>
          </w:p>
        </w:tc>
        <w:tc>
          <w:tcPr>
            <w:tcW w:w="794" w:type="dxa"/>
            <w:tcBorders>
              <w:top w:val="single" w:sz="6" w:space="0" w:color="auto"/>
            </w:tcBorders>
          </w:tcPr>
          <w:p w14:paraId="242B969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77 931</w:t>
            </w:r>
          </w:p>
        </w:tc>
        <w:tc>
          <w:tcPr>
            <w:tcW w:w="794" w:type="dxa"/>
            <w:tcBorders>
              <w:top w:val="single" w:sz="6" w:space="0" w:color="auto"/>
            </w:tcBorders>
          </w:tcPr>
          <w:p w14:paraId="373CBB7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79 749</w:t>
            </w:r>
          </w:p>
        </w:tc>
        <w:tc>
          <w:tcPr>
            <w:tcW w:w="794" w:type="dxa"/>
            <w:tcBorders>
              <w:top w:val="single" w:sz="6" w:space="0" w:color="auto"/>
            </w:tcBorders>
          </w:tcPr>
          <w:p w14:paraId="2FF11FF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82 045</w:t>
            </w:r>
          </w:p>
        </w:tc>
        <w:tc>
          <w:tcPr>
            <w:tcW w:w="794" w:type="dxa"/>
            <w:tcBorders>
              <w:top w:val="single" w:sz="6" w:space="0" w:color="auto"/>
            </w:tcBorders>
          </w:tcPr>
          <w:p w14:paraId="506549F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85 079</w:t>
            </w:r>
          </w:p>
        </w:tc>
      </w:tr>
      <w:tr w:rsidR="008D6F13" w14:paraId="413BE32E"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391BA18D" w14:textId="77777777" w:rsidR="008D6F13" w:rsidRDefault="008D6F13" w:rsidP="0031078F">
            <w:r>
              <w:rPr>
                <w:i/>
              </w:rPr>
              <w:t xml:space="preserve">% change </w:t>
            </w:r>
            <w:r>
              <w:rPr>
                <w:vertAlign w:val="superscript"/>
              </w:rPr>
              <w:t>(c)</w:t>
            </w:r>
          </w:p>
        </w:tc>
        <w:tc>
          <w:tcPr>
            <w:tcW w:w="794" w:type="dxa"/>
          </w:tcPr>
          <w:p w14:paraId="7411633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11.2</w:t>
            </w:r>
          </w:p>
        </w:tc>
        <w:tc>
          <w:tcPr>
            <w:tcW w:w="794" w:type="dxa"/>
          </w:tcPr>
          <w:p w14:paraId="5A18B37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w:t>
            </w:r>
          </w:p>
        </w:tc>
        <w:tc>
          <w:tcPr>
            <w:tcW w:w="794" w:type="dxa"/>
          </w:tcPr>
          <w:p w14:paraId="00A8A3D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2.9</w:t>
            </w:r>
          </w:p>
        </w:tc>
        <w:tc>
          <w:tcPr>
            <w:tcW w:w="794" w:type="dxa"/>
          </w:tcPr>
          <w:p w14:paraId="60A1FB8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3.7</w:t>
            </w:r>
          </w:p>
        </w:tc>
      </w:tr>
      <w:tr w:rsidR="008D6F13" w14:paraId="79A00E60"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31873F4B" w14:textId="77777777" w:rsidR="008D6F13" w:rsidRDefault="008D6F13" w:rsidP="0031078F">
            <w:r>
              <w:rPr>
                <w:b/>
              </w:rPr>
              <w:t>Expenses from transactions</w:t>
            </w:r>
          </w:p>
        </w:tc>
        <w:tc>
          <w:tcPr>
            <w:tcW w:w="794" w:type="dxa"/>
          </w:tcPr>
          <w:p w14:paraId="2C93E31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07B775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B9F29B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4101FC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56D4DA58"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0C546719" w14:textId="77777777" w:rsidR="008D6F13" w:rsidRDefault="008D6F13" w:rsidP="0031078F">
            <w:r>
              <w:t>Employee expenses</w:t>
            </w:r>
          </w:p>
        </w:tc>
        <w:tc>
          <w:tcPr>
            <w:tcW w:w="794" w:type="dxa"/>
          </w:tcPr>
          <w:p w14:paraId="1D03E50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32 779</w:t>
            </w:r>
          </w:p>
        </w:tc>
        <w:tc>
          <w:tcPr>
            <w:tcW w:w="794" w:type="dxa"/>
          </w:tcPr>
          <w:p w14:paraId="3976FBB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33 040</w:t>
            </w:r>
          </w:p>
        </w:tc>
        <w:tc>
          <w:tcPr>
            <w:tcW w:w="794" w:type="dxa"/>
          </w:tcPr>
          <w:p w14:paraId="24A2723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33 789</w:t>
            </w:r>
          </w:p>
        </w:tc>
        <w:tc>
          <w:tcPr>
            <w:tcW w:w="794" w:type="dxa"/>
          </w:tcPr>
          <w:p w14:paraId="07049BA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34 541</w:t>
            </w:r>
          </w:p>
        </w:tc>
      </w:tr>
      <w:tr w:rsidR="008D6F13" w14:paraId="04818BFA"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3EC93909" w14:textId="77777777" w:rsidR="008D6F13" w:rsidRDefault="008D6F13" w:rsidP="0031078F">
            <w:r>
              <w:t xml:space="preserve">Superannuation </w:t>
            </w:r>
            <w:r>
              <w:rPr>
                <w:vertAlign w:val="superscript"/>
              </w:rPr>
              <w:t>(d)</w:t>
            </w:r>
          </w:p>
        </w:tc>
        <w:tc>
          <w:tcPr>
            <w:tcW w:w="794" w:type="dxa"/>
          </w:tcPr>
          <w:p w14:paraId="489DEAA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4 110</w:t>
            </w:r>
          </w:p>
        </w:tc>
        <w:tc>
          <w:tcPr>
            <w:tcW w:w="794" w:type="dxa"/>
          </w:tcPr>
          <w:p w14:paraId="6D40077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4 114</w:t>
            </w:r>
          </w:p>
        </w:tc>
        <w:tc>
          <w:tcPr>
            <w:tcW w:w="794" w:type="dxa"/>
          </w:tcPr>
          <w:p w14:paraId="4C6A872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4 263</w:t>
            </w:r>
          </w:p>
        </w:tc>
        <w:tc>
          <w:tcPr>
            <w:tcW w:w="794" w:type="dxa"/>
          </w:tcPr>
          <w:p w14:paraId="2DCF4B1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4 391</w:t>
            </w:r>
          </w:p>
        </w:tc>
      </w:tr>
      <w:tr w:rsidR="008D6F13" w14:paraId="5D3B9187"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78E3B3A2" w14:textId="77777777" w:rsidR="008D6F13" w:rsidRDefault="008D6F13" w:rsidP="0031078F">
            <w:r>
              <w:t>Depreciation</w:t>
            </w:r>
          </w:p>
        </w:tc>
        <w:tc>
          <w:tcPr>
            <w:tcW w:w="794" w:type="dxa"/>
          </w:tcPr>
          <w:p w14:paraId="526F486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4 367</w:t>
            </w:r>
          </w:p>
        </w:tc>
        <w:tc>
          <w:tcPr>
            <w:tcW w:w="794" w:type="dxa"/>
          </w:tcPr>
          <w:p w14:paraId="123AAA7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4 481</w:t>
            </w:r>
          </w:p>
        </w:tc>
        <w:tc>
          <w:tcPr>
            <w:tcW w:w="794" w:type="dxa"/>
          </w:tcPr>
          <w:p w14:paraId="6FAA261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4 531</w:t>
            </w:r>
          </w:p>
        </w:tc>
        <w:tc>
          <w:tcPr>
            <w:tcW w:w="794" w:type="dxa"/>
          </w:tcPr>
          <w:p w14:paraId="6D8332A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4 923</w:t>
            </w:r>
          </w:p>
        </w:tc>
      </w:tr>
      <w:tr w:rsidR="008D6F13" w14:paraId="75218840"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514AC5ED" w14:textId="77777777" w:rsidR="008D6F13" w:rsidRDefault="008D6F13" w:rsidP="0031078F">
            <w:r>
              <w:t>Interest expense</w:t>
            </w:r>
          </w:p>
        </w:tc>
        <w:tc>
          <w:tcPr>
            <w:tcW w:w="794" w:type="dxa"/>
          </w:tcPr>
          <w:p w14:paraId="3C9805C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3 176</w:t>
            </w:r>
          </w:p>
        </w:tc>
        <w:tc>
          <w:tcPr>
            <w:tcW w:w="794" w:type="dxa"/>
          </w:tcPr>
          <w:p w14:paraId="2F22F76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3 757</w:t>
            </w:r>
          </w:p>
        </w:tc>
        <w:tc>
          <w:tcPr>
            <w:tcW w:w="794" w:type="dxa"/>
          </w:tcPr>
          <w:p w14:paraId="6B7A7FF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4 376</w:t>
            </w:r>
          </w:p>
        </w:tc>
        <w:tc>
          <w:tcPr>
            <w:tcW w:w="794" w:type="dxa"/>
          </w:tcPr>
          <w:p w14:paraId="558BF42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5 123</w:t>
            </w:r>
          </w:p>
        </w:tc>
      </w:tr>
      <w:tr w:rsidR="008D6F13" w14:paraId="6910BA15"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2274FF88" w14:textId="77777777" w:rsidR="008D6F13" w:rsidRDefault="008D6F13" w:rsidP="0031078F">
            <w:r>
              <w:t>Grant expense</w:t>
            </w:r>
          </w:p>
        </w:tc>
        <w:tc>
          <w:tcPr>
            <w:tcW w:w="794" w:type="dxa"/>
          </w:tcPr>
          <w:p w14:paraId="7D7BB6A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24 457</w:t>
            </w:r>
          </w:p>
        </w:tc>
        <w:tc>
          <w:tcPr>
            <w:tcW w:w="794" w:type="dxa"/>
          </w:tcPr>
          <w:p w14:paraId="0E1C2CD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15 744</w:t>
            </w:r>
          </w:p>
        </w:tc>
        <w:tc>
          <w:tcPr>
            <w:tcW w:w="794" w:type="dxa"/>
          </w:tcPr>
          <w:p w14:paraId="69F1293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15 202</w:t>
            </w:r>
          </w:p>
        </w:tc>
        <w:tc>
          <w:tcPr>
            <w:tcW w:w="794" w:type="dxa"/>
          </w:tcPr>
          <w:p w14:paraId="63C71F8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14 919</w:t>
            </w:r>
          </w:p>
        </w:tc>
      </w:tr>
      <w:tr w:rsidR="008D6F13" w14:paraId="1A2E4BF7"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41BF9B22" w14:textId="77777777" w:rsidR="008D6F13" w:rsidRDefault="008D6F13" w:rsidP="0031078F">
            <w:r>
              <w:t>Other operating expenses</w:t>
            </w:r>
          </w:p>
        </w:tc>
        <w:tc>
          <w:tcPr>
            <w:tcW w:w="794" w:type="dxa"/>
            <w:tcBorders>
              <w:bottom w:val="single" w:sz="6" w:space="0" w:color="auto"/>
            </w:tcBorders>
          </w:tcPr>
          <w:p w14:paraId="6EAF499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28 581</w:t>
            </w:r>
          </w:p>
        </w:tc>
        <w:tc>
          <w:tcPr>
            <w:tcW w:w="794" w:type="dxa"/>
            <w:tcBorders>
              <w:bottom w:val="single" w:sz="6" w:space="0" w:color="auto"/>
            </w:tcBorders>
          </w:tcPr>
          <w:p w14:paraId="55A6B7F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23 891</w:t>
            </w:r>
          </w:p>
        </w:tc>
        <w:tc>
          <w:tcPr>
            <w:tcW w:w="794" w:type="dxa"/>
            <w:tcBorders>
              <w:bottom w:val="single" w:sz="6" w:space="0" w:color="auto"/>
            </w:tcBorders>
          </w:tcPr>
          <w:p w14:paraId="77ED3D3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23 330</w:t>
            </w:r>
          </w:p>
        </w:tc>
        <w:tc>
          <w:tcPr>
            <w:tcW w:w="794" w:type="dxa"/>
            <w:tcBorders>
              <w:bottom w:val="single" w:sz="6" w:space="0" w:color="auto"/>
            </w:tcBorders>
          </w:tcPr>
          <w:p w14:paraId="6353A00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23 288</w:t>
            </w:r>
          </w:p>
        </w:tc>
      </w:tr>
      <w:tr w:rsidR="008D6F13" w14:paraId="2A2517BB"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7D24F108" w14:textId="77777777" w:rsidR="008D6F13" w:rsidRDefault="008D6F13" w:rsidP="0031078F">
            <w:r>
              <w:rPr>
                <w:b/>
              </w:rPr>
              <w:t>Total expenses from transactions</w:t>
            </w:r>
          </w:p>
        </w:tc>
        <w:tc>
          <w:tcPr>
            <w:tcW w:w="794" w:type="dxa"/>
            <w:tcBorders>
              <w:top w:val="single" w:sz="6" w:space="0" w:color="auto"/>
            </w:tcBorders>
          </w:tcPr>
          <w:p w14:paraId="0D3FC9D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97 470</w:t>
            </w:r>
          </w:p>
        </w:tc>
        <w:tc>
          <w:tcPr>
            <w:tcW w:w="794" w:type="dxa"/>
            <w:tcBorders>
              <w:top w:val="single" w:sz="6" w:space="0" w:color="auto"/>
            </w:tcBorders>
          </w:tcPr>
          <w:p w14:paraId="632F731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85 026</w:t>
            </w:r>
          </w:p>
        </w:tc>
        <w:tc>
          <w:tcPr>
            <w:tcW w:w="794" w:type="dxa"/>
            <w:tcBorders>
              <w:top w:val="single" w:sz="6" w:space="0" w:color="auto"/>
            </w:tcBorders>
          </w:tcPr>
          <w:p w14:paraId="2E5FB48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85 491</w:t>
            </w:r>
          </w:p>
        </w:tc>
        <w:tc>
          <w:tcPr>
            <w:tcW w:w="794" w:type="dxa"/>
            <w:tcBorders>
              <w:top w:val="single" w:sz="6" w:space="0" w:color="auto"/>
            </w:tcBorders>
          </w:tcPr>
          <w:p w14:paraId="289D006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87 185</w:t>
            </w:r>
          </w:p>
        </w:tc>
      </w:tr>
      <w:tr w:rsidR="008D6F13" w14:paraId="6FB2A998"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6C0C3021" w14:textId="77777777" w:rsidR="008D6F13" w:rsidRDefault="008D6F13" w:rsidP="0031078F">
            <w:r>
              <w:rPr>
                <w:i/>
              </w:rPr>
              <w:t xml:space="preserve">% change </w:t>
            </w:r>
            <w:r>
              <w:rPr>
                <w:vertAlign w:val="superscript"/>
              </w:rPr>
              <w:t>(c)</w:t>
            </w:r>
          </w:p>
        </w:tc>
        <w:tc>
          <w:tcPr>
            <w:tcW w:w="794" w:type="dxa"/>
            <w:tcBorders>
              <w:bottom w:val="single" w:sz="6" w:space="0" w:color="auto"/>
            </w:tcBorders>
          </w:tcPr>
          <w:p w14:paraId="2A9F61F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15.2</w:t>
            </w:r>
          </w:p>
        </w:tc>
        <w:tc>
          <w:tcPr>
            <w:tcW w:w="794" w:type="dxa"/>
            <w:tcBorders>
              <w:bottom w:val="single" w:sz="6" w:space="0" w:color="auto"/>
            </w:tcBorders>
          </w:tcPr>
          <w:p w14:paraId="3F7E23D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(12.8)</w:t>
            </w:r>
          </w:p>
        </w:tc>
        <w:tc>
          <w:tcPr>
            <w:tcW w:w="794" w:type="dxa"/>
            <w:tcBorders>
              <w:bottom w:val="single" w:sz="6" w:space="0" w:color="auto"/>
            </w:tcBorders>
          </w:tcPr>
          <w:p w14:paraId="653294A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0.5</w:t>
            </w:r>
          </w:p>
        </w:tc>
        <w:tc>
          <w:tcPr>
            <w:tcW w:w="794" w:type="dxa"/>
            <w:tcBorders>
              <w:bottom w:val="single" w:sz="6" w:space="0" w:color="auto"/>
            </w:tcBorders>
          </w:tcPr>
          <w:p w14:paraId="607E7DF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w:t>
            </w:r>
          </w:p>
        </w:tc>
      </w:tr>
      <w:tr w:rsidR="008D6F13" w14:paraId="63E2B437"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34210FA6" w14:textId="77777777" w:rsidR="008D6F13" w:rsidRDefault="008D6F13" w:rsidP="0031078F">
            <w:r>
              <w:rPr>
                <w:b/>
              </w:rPr>
              <w:t>Net result from transactions – net operating balance</w:t>
            </w:r>
          </w:p>
        </w:tc>
        <w:tc>
          <w:tcPr>
            <w:tcW w:w="794" w:type="dxa"/>
            <w:tcBorders>
              <w:top w:val="single" w:sz="6" w:space="0" w:color="auto"/>
              <w:bottom w:val="single" w:sz="6" w:space="0" w:color="auto"/>
            </w:tcBorders>
          </w:tcPr>
          <w:p w14:paraId="73622EA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(19 538)</w:t>
            </w:r>
          </w:p>
        </w:tc>
        <w:tc>
          <w:tcPr>
            <w:tcW w:w="794" w:type="dxa"/>
            <w:tcBorders>
              <w:top w:val="single" w:sz="6" w:space="0" w:color="auto"/>
              <w:bottom w:val="single" w:sz="6" w:space="0" w:color="auto"/>
            </w:tcBorders>
          </w:tcPr>
          <w:p w14:paraId="18A4338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(5 276)</w:t>
            </w:r>
          </w:p>
        </w:tc>
        <w:tc>
          <w:tcPr>
            <w:tcW w:w="794" w:type="dxa"/>
            <w:tcBorders>
              <w:top w:val="single" w:sz="6" w:space="0" w:color="auto"/>
              <w:bottom w:val="single" w:sz="6" w:space="0" w:color="auto"/>
            </w:tcBorders>
          </w:tcPr>
          <w:p w14:paraId="6E5995E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(3 447)</w:t>
            </w:r>
          </w:p>
        </w:tc>
        <w:tc>
          <w:tcPr>
            <w:tcW w:w="794" w:type="dxa"/>
            <w:tcBorders>
              <w:top w:val="single" w:sz="6" w:space="0" w:color="auto"/>
              <w:bottom w:val="single" w:sz="6" w:space="0" w:color="auto"/>
            </w:tcBorders>
          </w:tcPr>
          <w:p w14:paraId="7DD8091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(2 105)</w:t>
            </w:r>
          </w:p>
        </w:tc>
      </w:tr>
      <w:tr w:rsidR="008D6F13" w14:paraId="21067106"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0B28869D" w14:textId="77777777" w:rsidR="008D6F13" w:rsidRDefault="008D6F13" w:rsidP="0031078F">
            <w:r>
              <w:rPr>
                <w:b/>
              </w:rPr>
              <w:t xml:space="preserve">Total other economic flows included in net result </w:t>
            </w:r>
            <w:r>
              <w:rPr>
                <w:b/>
                <w:vertAlign w:val="superscript"/>
              </w:rPr>
              <w:t>(e)</w:t>
            </w:r>
          </w:p>
        </w:tc>
        <w:tc>
          <w:tcPr>
            <w:tcW w:w="794" w:type="dxa"/>
            <w:tcBorders>
              <w:top w:val="single" w:sz="6" w:space="0" w:color="auto"/>
              <w:bottom w:val="single" w:sz="6" w:space="0" w:color="auto"/>
            </w:tcBorders>
          </w:tcPr>
          <w:p w14:paraId="2CC0E65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(337)</w:t>
            </w:r>
          </w:p>
        </w:tc>
        <w:tc>
          <w:tcPr>
            <w:tcW w:w="794" w:type="dxa"/>
            <w:tcBorders>
              <w:top w:val="single" w:sz="6" w:space="0" w:color="auto"/>
              <w:bottom w:val="single" w:sz="6" w:space="0" w:color="auto"/>
            </w:tcBorders>
          </w:tcPr>
          <w:p w14:paraId="7F515F0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(442)</w:t>
            </w:r>
          </w:p>
        </w:tc>
        <w:tc>
          <w:tcPr>
            <w:tcW w:w="794" w:type="dxa"/>
            <w:tcBorders>
              <w:top w:val="single" w:sz="6" w:space="0" w:color="auto"/>
              <w:bottom w:val="single" w:sz="6" w:space="0" w:color="auto"/>
            </w:tcBorders>
          </w:tcPr>
          <w:p w14:paraId="6FB6D3E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(439)</w:t>
            </w:r>
          </w:p>
        </w:tc>
        <w:tc>
          <w:tcPr>
            <w:tcW w:w="794" w:type="dxa"/>
            <w:tcBorders>
              <w:top w:val="single" w:sz="6" w:space="0" w:color="auto"/>
              <w:bottom w:val="single" w:sz="6" w:space="0" w:color="auto"/>
            </w:tcBorders>
          </w:tcPr>
          <w:p w14:paraId="53EC084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(400)</w:t>
            </w:r>
          </w:p>
        </w:tc>
      </w:tr>
      <w:tr w:rsidR="008D6F13" w14:paraId="1182AC8C"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0F2AB5DF" w14:textId="77777777" w:rsidR="008D6F13" w:rsidRDefault="008D6F13" w:rsidP="0031078F">
            <w:r>
              <w:rPr>
                <w:b/>
              </w:rPr>
              <w:t>Net result</w:t>
            </w:r>
          </w:p>
        </w:tc>
        <w:tc>
          <w:tcPr>
            <w:tcW w:w="794" w:type="dxa"/>
          </w:tcPr>
          <w:p w14:paraId="748FD27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(19 876)</w:t>
            </w:r>
          </w:p>
        </w:tc>
        <w:tc>
          <w:tcPr>
            <w:tcW w:w="794" w:type="dxa"/>
          </w:tcPr>
          <w:p w14:paraId="4C89669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(5 718)</w:t>
            </w:r>
          </w:p>
        </w:tc>
        <w:tc>
          <w:tcPr>
            <w:tcW w:w="794" w:type="dxa"/>
          </w:tcPr>
          <w:p w14:paraId="4E31560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(3 886)</w:t>
            </w:r>
          </w:p>
        </w:tc>
        <w:tc>
          <w:tcPr>
            <w:tcW w:w="794" w:type="dxa"/>
          </w:tcPr>
          <w:p w14:paraId="55BEBDC2" w14:textId="10B9528B"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(2 506)</w:t>
            </w:r>
          </w:p>
        </w:tc>
      </w:tr>
    </w:tbl>
    <w:p w14:paraId="5D222E01" w14:textId="77777777" w:rsidR="008D6F13" w:rsidRPr="00991654" w:rsidRDefault="008D6F13" w:rsidP="008D6F13">
      <w:pPr>
        <w:pStyle w:val="Source"/>
      </w:pPr>
      <w:r w:rsidRPr="00991654">
        <w:t>Source: Department of Treasury and Finance</w:t>
      </w:r>
    </w:p>
    <w:p w14:paraId="034BD095" w14:textId="77777777" w:rsidR="008D6F13" w:rsidRPr="00C203E5" w:rsidRDefault="008D6F13" w:rsidP="008D6F13">
      <w:pPr>
        <w:pStyle w:val="Note"/>
      </w:pPr>
      <w:r w:rsidRPr="00C203E5">
        <w:t>Notes:</w:t>
      </w:r>
    </w:p>
    <w:p w14:paraId="0E8D8D0B" w14:textId="77777777" w:rsidR="008D6F13" w:rsidRDefault="008D6F13" w:rsidP="008D6F13">
      <w:pPr>
        <w:pStyle w:val="Note"/>
      </w:pPr>
      <w:r w:rsidRPr="00C203E5">
        <w:t xml:space="preserve">(a) </w:t>
      </w:r>
      <w:r w:rsidRPr="00C203E5">
        <w:tab/>
        <w:t>Figures in this table are subject to rounding to the nearest</w:t>
      </w:r>
      <w:r>
        <w:t> million</w:t>
      </w:r>
      <w:r w:rsidRPr="00C203E5">
        <w:t xml:space="preserve"> and may not add up to totals.</w:t>
      </w:r>
    </w:p>
    <w:p w14:paraId="67689937" w14:textId="77777777" w:rsidR="008D6F13" w:rsidRDefault="008D6F13" w:rsidP="008D6F13">
      <w:pPr>
        <w:pStyle w:val="Note"/>
      </w:pPr>
      <w:r>
        <w:t>(b)</w:t>
      </w:r>
      <w:r>
        <w:tab/>
      </w:r>
      <w:r w:rsidRPr="00C203E5">
        <w:t>Comprises dividends, income tax and rate equivalent revenue and interest.</w:t>
      </w:r>
    </w:p>
    <w:p w14:paraId="32CAC8FE" w14:textId="77777777" w:rsidR="008D6F13" w:rsidRDefault="008D6F13" w:rsidP="008D6F13">
      <w:pPr>
        <w:pStyle w:val="Note"/>
      </w:pPr>
      <w:r>
        <w:t>(c)</w:t>
      </w:r>
      <w:r>
        <w:tab/>
        <w:t xml:space="preserve">Growth rates for 2021-22 exclude revenue and expenditure in 2020-21 associated with the </w:t>
      </w:r>
      <w:r>
        <w:rPr>
          <w:color w:val="000000" w:themeColor="text1"/>
        </w:rPr>
        <w:t xml:space="preserve">discontinuation of the capital asset charge </w:t>
      </w:r>
      <w:r w:rsidRPr="004A4942">
        <w:rPr>
          <w:color w:val="000000" w:themeColor="text1"/>
        </w:rPr>
        <w:t xml:space="preserve">policy levied on </w:t>
      </w:r>
      <w:proofErr w:type="spellStart"/>
      <w:r w:rsidRPr="004A4942">
        <w:rPr>
          <w:color w:val="000000" w:themeColor="text1"/>
        </w:rPr>
        <w:t>VicTrack</w:t>
      </w:r>
      <w:proofErr w:type="spellEnd"/>
      <w:r w:rsidRPr="004A4942">
        <w:rPr>
          <w:color w:val="000000" w:themeColor="text1"/>
        </w:rPr>
        <w:t xml:space="preserve"> from 2021</w:t>
      </w:r>
      <w:r w:rsidRPr="004A4942">
        <w:rPr>
          <w:color w:val="000000" w:themeColor="text1"/>
        </w:rPr>
        <w:noBreakHyphen/>
        <w:t>22</w:t>
      </w:r>
      <w:r>
        <w:t>.</w:t>
      </w:r>
    </w:p>
    <w:p w14:paraId="288D9556" w14:textId="77777777" w:rsidR="008D6F13" w:rsidRPr="00C203E5" w:rsidRDefault="008D6F13" w:rsidP="008D6F13">
      <w:pPr>
        <w:pStyle w:val="Note"/>
      </w:pPr>
      <w:r>
        <w:t>(d)</w:t>
      </w:r>
      <w:r>
        <w:tab/>
      </w:r>
      <w:r w:rsidRPr="00C203E5">
        <w:t>Comprises superannuation interest expense and other superannuation expenses.</w:t>
      </w:r>
    </w:p>
    <w:p w14:paraId="5AA6CEA5" w14:textId="77777777" w:rsidR="008D6F13" w:rsidRDefault="008D6F13" w:rsidP="008D6F13">
      <w:pPr>
        <w:pStyle w:val="Note"/>
      </w:pPr>
      <w:r>
        <w:t>(e)</w:t>
      </w:r>
      <w:r>
        <w:tab/>
      </w:r>
      <w:r w:rsidRPr="00573249">
        <w:t>This typically includes gains and losses from the disposal of non</w:t>
      </w:r>
      <w:r>
        <w:noBreakHyphen/>
      </w:r>
      <w:r w:rsidRPr="00573249">
        <w:t>financial assets, adjustments for bad and doubtful debts and revaluations of financial assets and liabilities.</w:t>
      </w:r>
    </w:p>
    <w:p w14:paraId="4C5277F1" w14:textId="77777777" w:rsidR="008D6F13" w:rsidRDefault="008D6F13" w:rsidP="008D6F13">
      <w:pPr>
        <w:pStyle w:val="Note"/>
      </w:pPr>
    </w:p>
    <w:p w14:paraId="12D036E3" w14:textId="77777777" w:rsidR="008D6F13" w:rsidRDefault="008D6F13" w:rsidP="008D6F13">
      <w:pPr>
        <w:keepLines w:val="0"/>
        <w:rPr>
          <w:rFonts w:asciiTheme="majorHAnsi" w:eastAsiaTheme="majorEastAsia" w:hAnsiTheme="majorHAnsi" w:cstheme="majorBidi"/>
          <w:b/>
          <w:sz w:val="26"/>
          <w:szCs w:val="26"/>
        </w:rPr>
      </w:pPr>
      <w:r>
        <w:br w:type="page"/>
      </w:r>
    </w:p>
    <w:p w14:paraId="58D6703D" w14:textId="77777777" w:rsidR="008D6F13" w:rsidRDefault="008D6F13" w:rsidP="008D6F13">
      <w:pPr>
        <w:pStyle w:val="Heading20"/>
      </w:pPr>
      <w:r>
        <w:lastRenderedPageBreak/>
        <w:t>Revenue outlook</w:t>
      </w:r>
    </w:p>
    <w:p w14:paraId="359CC2D5" w14:textId="77777777" w:rsidR="008D6F13" w:rsidRPr="00BF1269" w:rsidRDefault="008D6F13" w:rsidP="008D6F13">
      <w:pPr>
        <w:keepNext/>
      </w:pPr>
      <w:bookmarkStart w:id="46" w:name="_Hlk70939871"/>
      <w:r w:rsidRPr="00BF1269">
        <w:t xml:space="preserve">Total revenue for the general government sector is expected to increase by </w:t>
      </w:r>
      <w:r>
        <w:t>11.2</w:t>
      </w:r>
      <w:r w:rsidRPr="00BF1269">
        <w:t> per cent to $</w:t>
      </w:r>
      <w:r>
        <w:t>77.9</w:t>
      </w:r>
      <w:r w:rsidRPr="00BF1269">
        <w:t xml:space="preserve"> billion in 2021-22, </w:t>
      </w:r>
      <w:r w:rsidRPr="0097797A">
        <w:t>following a period of reduced revenues in 2019-20 and 2020</w:t>
      </w:r>
      <w:r>
        <w:noBreakHyphen/>
      </w:r>
      <w:r w:rsidRPr="0097797A">
        <w:t xml:space="preserve">21 </w:t>
      </w:r>
      <w:r>
        <w:t>because</w:t>
      </w:r>
      <w:r w:rsidRPr="0097797A">
        <w:t xml:space="preserve"> of the pandemic and associated government decisions.</w:t>
      </w:r>
      <w:r w:rsidRPr="00BF1269">
        <w:t xml:space="preserve"> </w:t>
      </w:r>
      <w:r w:rsidRPr="0097797A">
        <w:t>Total revenue i</w:t>
      </w:r>
      <w:r>
        <w:t>s</w:t>
      </w:r>
      <w:r w:rsidRPr="0097797A">
        <w:t xml:space="preserve"> expected to grow by an average of </w:t>
      </w:r>
      <w:r>
        <w:t>3.0</w:t>
      </w:r>
      <w:r w:rsidRPr="0097797A">
        <w:t xml:space="preserve"> per cent a year over the forward estimates.</w:t>
      </w:r>
    </w:p>
    <w:p w14:paraId="59EB23B8" w14:textId="77777777" w:rsidR="008D6F13" w:rsidRPr="00BF1269" w:rsidRDefault="008D6F13" w:rsidP="008D6F13">
      <w:r w:rsidRPr="00BF1269">
        <w:t xml:space="preserve">Compared with the </w:t>
      </w:r>
      <w:r w:rsidRPr="00BF1269">
        <w:rPr>
          <w:i/>
          <w:iCs/>
        </w:rPr>
        <w:t>2021</w:t>
      </w:r>
      <w:r w:rsidRPr="00BF1269">
        <w:rPr>
          <w:i/>
          <w:iCs/>
        </w:rPr>
        <w:noBreakHyphen/>
        <w:t>22 Budget</w:t>
      </w:r>
      <w:r w:rsidRPr="00BF1269">
        <w:t>, taxation revenue ha</w:t>
      </w:r>
      <w:r>
        <w:t>s</w:t>
      </w:r>
      <w:r w:rsidRPr="00BF1269">
        <w:t xml:space="preserve"> been upgraded, notwithstanding the economic impacts of the public health restrictions introduced </w:t>
      </w:r>
      <w:r>
        <w:t>in response to the outbreak of the Delta variant of COVID-19</w:t>
      </w:r>
      <w:r w:rsidRPr="00BF1269">
        <w:t>. This principally reflects strong property market conditions and a corresponding improvement in the outlook for land transfer duty revenue. Goods and services tax (GST) grants have been upgraded in 2021-22 but downgraded over the forward estimates.</w:t>
      </w:r>
    </w:p>
    <w:bookmarkEnd w:id="46"/>
    <w:p w14:paraId="2CC6287B" w14:textId="77777777" w:rsidR="008D6F13" w:rsidRDefault="008D6F13" w:rsidP="008D6F13">
      <w:pPr>
        <w:pStyle w:val="Heading30"/>
      </w:pPr>
      <w:r>
        <w:t>Taxation</w:t>
      </w:r>
    </w:p>
    <w:p w14:paraId="490BB9F8" w14:textId="77777777" w:rsidR="008D6F13" w:rsidRPr="00BF1269" w:rsidRDefault="008D6F13" w:rsidP="008D6F13">
      <w:bookmarkStart w:id="47" w:name="_Hlk69490015"/>
      <w:bookmarkStart w:id="48" w:name="_Hlk71705871"/>
      <w:r w:rsidRPr="00BF1269">
        <w:t xml:space="preserve">State taxation revenue is forecast to increase by </w:t>
      </w:r>
      <w:r>
        <w:t>14.4</w:t>
      </w:r>
      <w:r w:rsidRPr="00BF1269">
        <w:t xml:space="preserve"> per cent in 2021-22 and to grow by an average annual rate of </w:t>
      </w:r>
      <w:r>
        <w:t>6.1</w:t>
      </w:r>
      <w:r w:rsidRPr="00BF1269">
        <w:t xml:space="preserve"> per cent a year over the forward estimates. Following </w:t>
      </w:r>
      <w:r>
        <w:t>an improved outlook for</w:t>
      </w:r>
      <w:r w:rsidRPr="00BF1269">
        <w:t xml:space="preserve"> most taxes in the </w:t>
      </w:r>
      <w:r w:rsidRPr="00BF1269">
        <w:rPr>
          <w:i/>
          <w:iCs/>
        </w:rPr>
        <w:t>2021-22 Budget</w:t>
      </w:r>
      <w:r w:rsidRPr="00BF1269">
        <w:t xml:space="preserve">, land transfer duty has been further upgraded – consistent with the continued strength in Victoria’s property market – partially offset by downgrades to gambling taxes, land tax and </w:t>
      </w:r>
      <w:r>
        <w:t>payroll tax</w:t>
      </w:r>
      <w:r w:rsidRPr="00BF1269">
        <w:t>.</w:t>
      </w:r>
    </w:p>
    <w:p w14:paraId="61EA3D47" w14:textId="77777777" w:rsidR="008D6F13" w:rsidRDefault="008D6F13" w:rsidP="008D6F13">
      <w:pPr>
        <w:pStyle w:val="ListBullet"/>
      </w:pPr>
      <w:r w:rsidRPr="00BF1269">
        <w:t xml:space="preserve">Land transfer duty </w:t>
      </w:r>
      <w:bookmarkEnd w:id="47"/>
      <w:r w:rsidRPr="00BF1269">
        <w:t xml:space="preserve">is expected to increase by </w:t>
      </w:r>
      <w:r>
        <w:t>19.2</w:t>
      </w:r>
      <w:r w:rsidRPr="00BF1269">
        <w:t xml:space="preserve"> per cent to </w:t>
      </w:r>
      <w:r>
        <w:t>$7.7</w:t>
      </w:r>
      <w:r w:rsidRPr="00BF1269">
        <w:t xml:space="preserve"> billion in 2021-22, driven by persistent strength in property market conditions over 2021 leading to strong growth in Victorian dwelling prices. This represents a significant improvement in the outlook for land transfer duty revenue since the </w:t>
      </w:r>
      <w:r w:rsidRPr="00BF1269">
        <w:rPr>
          <w:i/>
          <w:iCs/>
        </w:rPr>
        <w:t>2021-22 Budget</w:t>
      </w:r>
      <w:r w:rsidRPr="00BF1269">
        <w:t xml:space="preserve">. Growth in land transfer duty revenue is expected to moderate from 2022-23 as housing affordability constraints and rising interest rates flow through to lower price growth and transaction activity. Land transfer duty is expected to grow by an average of </w:t>
      </w:r>
      <w:r>
        <w:t>2.0</w:t>
      </w:r>
      <w:r w:rsidRPr="00BF1269">
        <w:t> per cent a year over the forward estimates.</w:t>
      </w:r>
    </w:p>
    <w:p w14:paraId="723DB2FE" w14:textId="77777777" w:rsidR="008D6F13" w:rsidRPr="00BF1269" w:rsidRDefault="008D6F13" w:rsidP="008D6F13">
      <w:pPr>
        <w:pStyle w:val="ListBullet"/>
      </w:pPr>
      <w:r w:rsidRPr="00BF1269">
        <w:t xml:space="preserve">Land tax revenue is expected to increase by </w:t>
      </w:r>
      <w:r>
        <w:t>32.6</w:t>
      </w:r>
      <w:r w:rsidRPr="00BF1269">
        <w:t xml:space="preserve"> per cent to $</w:t>
      </w:r>
      <w:r>
        <w:t>4.3</w:t>
      </w:r>
      <w:r w:rsidRPr="00BF1269">
        <w:t xml:space="preserve"> billion in 2021-22, following a modest decline in 2020-21. </w:t>
      </w:r>
      <w:r>
        <w:t xml:space="preserve">This partly reflects the tapering of land tax relief measures recognised in 2020-21, as well as the Government’s </w:t>
      </w:r>
      <w:r w:rsidRPr="003D3B37">
        <w:rPr>
          <w:i/>
          <w:iCs/>
        </w:rPr>
        <w:t xml:space="preserve">2021-22 Budget </w:t>
      </w:r>
      <w:r>
        <w:t>measure to strengthen the integrity and progressivity of the tax system by increasing land tax rates on large land holdings.</w:t>
      </w:r>
      <w:r w:rsidRPr="00BF1269">
        <w:t xml:space="preserve"> </w:t>
      </w:r>
      <w:r>
        <w:t>While there has been a modest downgrade in l</w:t>
      </w:r>
      <w:r w:rsidRPr="00BF1269">
        <w:t xml:space="preserve">and tax revenue </w:t>
      </w:r>
      <w:r>
        <w:t>relative to</w:t>
      </w:r>
      <w:r w:rsidRPr="00BF1269">
        <w:t xml:space="preserve"> the </w:t>
      </w:r>
      <w:r w:rsidRPr="007C0457">
        <w:rPr>
          <w:i/>
          <w:iCs/>
        </w:rPr>
        <w:t>2021-22 Budget</w:t>
      </w:r>
      <w:r>
        <w:rPr>
          <w:i/>
          <w:iCs/>
        </w:rPr>
        <w:t>,</w:t>
      </w:r>
      <w:r w:rsidRPr="00962993">
        <w:t xml:space="preserve"> i</w:t>
      </w:r>
      <w:r>
        <w:t xml:space="preserve">t </w:t>
      </w:r>
      <w:r w:rsidRPr="00BF1269">
        <w:t xml:space="preserve">is </w:t>
      </w:r>
      <w:r>
        <w:t xml:space="preserve">still </w:t>
      </w:r>
      <w:r w:rsidRPr="00BF1269">
        <w:t xml:space="preserve">expected to grow by an average of </w:t>
      </w:r>
      <w:r>
        <w:t>7.4 </w:t>
      </w:r>
      <w:r w:rsidRPr="00BF1269">
        <w:t>per</w:t>
      </w:r>
      <w:r>
        <w:t> </w:t>
      </w:r>
      <w:r w:rsidRPr="00BF1269">
        <w:t>cent a year over the forward estimates.</w:t>
      </w:r>
    </w:p>
    <w:p w14:paraId="4408B12F" w14:textId="77777777" w:rsidR="008D6F13" w:rsidRPr="00BF1269" w:rsidRDefault="008D6F13" w:rsidP="008D6F13">
      <w:pPr>
        <w:pStyle w:val="ListBullet"/>
      </w:pPr>
      <w:bookmarkStart w:id="49" w:name="_Hlk87453674"/>
      <w:bookmarkEnd w:id="48"/>
      <w:r w:rsidRPr="00BF1269">
        <w:t xml:space="preserve">Payroll tax revenue has been downgraded </w:t>
      </w:r>
      <w:r>
        <w:t xml:space="preserve">modestly </w:t>
      </w:r>
      <w:r w:rsidRPr="00BF1269">
        <w:t xml:space="preserve">since the </w:t>
      </w:r>
      <w:r w:rsidRPr="00BF1269">
        <w:rPr>
          <w:i/>
          <w:iCs/>
        </w:rPr>
        <w:t>2021-22 Budget</w:t>
      </w:r>
      <w:r w:rsidRPr="00BF1269">
        <w:t xml:space="preserve"> and is forecast to decline by </w:t>
      </w:r>
      <w:r>
        <w:t>0.8</w:t>
      </w:r>
      <w:r w:rsidRPr="00BF1269">
        <w:t> per cent to $</w:t>
      </w:r>
      <w:r>
        <w:t>6.1</w:t>
      </w:r>
      <w:r w:rsidRPr="00BF1269">
        <w:t> billion in 2021</w:t>
      </w:r>
      <w:r w:rsidRPr="00BF1269">
        <w:noBreakHyphen/>
        <w:t>22</w:t>
      </w:r>
      <w:r>
        <w:t>. The downgrade r</w:t>
      </w:r>
      <w:r w:rsidRPr="00BF1269">
        <w:t>eflect</w:t>
      </w:r>
      <w:r>
        <w:t>s</w:t>
      </w:r>
      <w:r w:rsidRPr="00BF1269">
        <w:t xml:space="preserve"> the introduction of payroll tax relief initiatives to eligible businesses</w:t>
      </w:r>
      <w:r>
        <w:t>,</w:t>
      </w:r>
      <w:r w:rsidRPr="00BF1269">
        <w:t xml:space="preserve"> and the economic and labour market impacts of the most recent public health restrictions </w:t>
      </w:r>
      <w:r>
        <w:t>due to the Delta variant of COVID-19</w:t>
      </w:r>
      <w:r w:rsidRPr="00BF1269">
        <w:t xml:space="preserve">. </w:t>
      </w:r>
      <w:r>
        <w:t>However, p</w:t>
      </w:r>
      <w:r w:rsidRPr="00BF1269">
        <w:t xml:space="preserve">ayroll tax revenue is expected to </w:t>
      </w:r>
      <w:r>
        <w:t xml:space="preserve">recover and </w:t>
      </w:r>
      <w:r w:rsidRPr="00BF1269">
        <w:t xml:space="preserve">grow by an average of </w:t>
      </w:r>
      <w:r>
        <w:t>7.7</w:t>
      </w:r>
      <w:r w:rsidRPr="00BF1269">
        <w:t> per cent a year over the forward estimates, consistent with revisions to the macroeconomic outlook.</w:t>
      </w:r>
    </w:p>
    <w:p w14:paraId="1C823C1B" w14:textId="77777777" w:rsidR="008D6F13" w:rsidRPr="00BF1269" w:rsidRDefault="008D6F13" w:rsidP="008D6F13">
      <w:pPr>
        <w:pStyle w:val="ListBullet"/>
      </w:pPr>
      <w:r w:rsidRPr="00BF1269">
        <w:lastRenderedPageBreak/>
        <w:t>Revenue from the new Mental Health and Wellbeing Levy, which will commence on 1 January 2022, is estimated to raise $</w:t>
      </w:r>
      <w:r>
        <w:t>319</w:t>
      </w:r>
      <w:r w:rsidRPr="00BF1269">
        <w:t> million in 2021-22 and an average of $</w:t>
      </w:r>
      <w:r>
        <w:t>827</w:t>
      </w:r>
      <w:r w:rsidRPr="00BF1269">
        <w:t> million each year over the forward estimates. This</w:t>
      </w:r>
      <w:r>
        <w:t xml:space="preserve"> i</w:t>
      </w:r>
      <w:r w:rsidRPr="00BF1269">
        <w:t xml:space="preserve">s a </w:t>
      </w:r>
      <w:r>
        <w:t>slight downgrade</w:t>
      </w:r>
      <w:r w:rsidRPr="00BF1269">
        <w:t xml:space="preserve"> since the </w:t>
      </w:r>
      <w:r w:rsidRPr="00BF1269">
        <w:rPr>
          <w:i/>
          <w:iCs/>
        </w:rPr>
        <w:t>2021</w:t>
      </w:r>
      <w:r>
        <w:rPr>
          <w:i/>
          <w:iCs/>
        </w:rPr>
        <w:noBreakHyphen/>
      </w:r>
      <w:r w:rsidRPr="00BF1269">
        <w:rPr>
          <w:i/>
          <w:iCs/>
        </w:rPr>
        <w:t>22</w:t>
      </w:r>
      <w:r>
        <w:rPr>
          <w:i/>
          <w:iCs/>
        </w:rPr>
        <w:t> </w:t>
      </w:r>
      <w:r w:rsidRPr="00BF1269">
        <w:rPr>
          <w:i/>
          <w:iCs/>
        </w:rPr>
        <w:t>Budget</w:t>
      </w:r>
      <w:r>
        <w:rPr>
          <w:i/>
          <w:iCs/>
        </w:rPr>
        <w:t xml:space="preserve">, </w:t>
      </w:r>
      <w:r>
        <w:t>in line with revisions to payroll tax forecasts</w:t>
      </w:r>
      <w:r w:rsidRPr="00BF1269">
        <w:t xml:space="preserve">. The Government has legislated that revenue raised from this levy will </w:t>
      </w:r>
      <w:r>
        <w:t>be spent on</w:t>
      </w:r>
      <w:r w:rsidRPr="00BF1269">
        <w:t xml:space="preserve"> mental health services, supporting a substantial increase in investment in Victoria’s mental health system.</w:t>
      </w:r>
    </w:p>
    <w:p w14:paraId="4B489E17" w14:textId="77777777" w:rsidR="008D6F13" w:rsidRPr="00BF1269" w:rsidRDefault="008D6F13" w:rsidP="008D6F13">
      <w:pPr>
        <w:pStyle w:val="ListBullet"/>
      </w:pPr>
      <w:bookmarkStart w:id="50" w:name="_Hlk56067253"/>
      <w:r w:rsidRPr="00BF1269">
        <w:t>Gambling tax revenue is forecast to be $</w:t>
      </w:r>
      <w:r>
        <w:t>1.8</w:t>
      </w:r>
      <w:r w:rsidRPr="00BF1269">
        <w:t xml:space="preserve"> billion in 2021-22, $</w:t>
      </w:r>
      <w:r>
        <w:t>451</w:t>
      </w:r>
      <w:r w:rsidRPr="00BF1269">
        <w:t xml:space="preserve"> million less than in the </w:t>
      </w:r>
      <w:r w:rsidRPr="00BF1269">
        <w:rPr>
          <w:i/>
          <w:iCs/>
        </w:rPr>
        <w:t>2021</w:t>
      </w:r>
      <w:r w:rsidRPr="00BF1269">
        <w:rPr>
          <w:i/>
          <w:iCs/>
        </w:rPr>
        <w:noBreakHyphen/>
        <w:t>22 Budget</w:t>
      </w:r>
      <w:r w:rsidRPr="00BF1269">
        <w:t xml:space="preserve">. The downgrade reflects the temporary venue closures arising from the most recent public health restrictions introduced from July 2021. Gambling revenue is forecast to recover in 2022-23, increasing by </w:t>
      </w:r>
      <w:r>
        <w:t xml:space="preserve">30.9 </w:t>
      </w:r>
      <w:r w:rsidRPr="00BF1269">
        <w:t>per cent to $</w:t>
      </w:r>
      <w:r>
        <w:t>2.4 </w:t>
      </w:r>
      <w:r w:rsidRPr="00BF1269">
        <w:t>billion, as</w:t>
      </w:r>
      <w:r>
        <w:t xml:space="preserve"> affected </w:t>
      </w:r>
      <w:r w:rsidRPr="00BF1269">
        <w:t xml:space="preserve">venues are expected to return to normal operating conditions. Gambling revenue is expected to grow by an average of </w:t>
      </w:r>
      <w:r>
        <w:t>3.1</w:t>
      </w:r>
      <w:r w:rsidRPr="00BF1269">
        <w:t xml:space="preserve"> per cent a year over the period 2023</w:t>
      </w:r>
      <w:r>
        <w:noBreakHyphen/>
      </w:r>
      <w:r w:rsidRPr="00BF1269">
        <w:t>24 to 2024-25.</w:t>
      </w:r>
    </w:p>
    <w:bookmarkEnd w:id="49"/>
    <w:bookmarkEnd w:id="50"/>
    <w:p w14:paraId="3BE5C0BB" w14:textId="77777777" w:rsidR="008D6F13" w:rsidRPr="00BF1269" w:rsidRDefault="008D6F13" w:rsidP="008D6F13">
      <w:pPr>
        <w:pStyle w:val="ListBullet"/>
      </w:pPr>
      <w:r w:rsidRPr="00BF1269">
        <w:t xml:space="preserve">Motor vehicle taxes are expected to increase by </w:t>
      </w:r>
      <w:r>
        <w:t>8.4</w:t>
      </w:r>
      <w:r w:rsidRPr="00BF1269">
        <w:t xml:space="preserve"> per cent to </w:t>
      </w:r>
      <w:r>
        <w:t>$2.9</w:t>
      </w:r>
      <w:r w:rsidRPr="00BF1269">
        <w:t xml:space="preserve"> billion in 2021-22 after a modest increase of </w:t>
      </w:r>
      <w:r>
        <w:t>0.6</w:t>
      </w:r>
      <w:r w:rsidRPr="00BF1269">
        <w:t xml:space="preserve"> per cent in 2020-21. Motor vehicle taxes are expected to grow by an average of </w:t>
      </w:r>
      <w:r>
        <w:t>4.5</w:t>
      </w:r>
      <w:r w:rsidRPr="00BF1269">
        <w:t xml:space="preserve"> per cent a year over the forward estimates. </w:t>
      </w:r>
    </w:p>
    <w:p w14:paraId="781FA0BE" w14:textId="77777777" w:rsidR="008D6F13" w:rsidRPr="00BF1269" w:rsidRDefault="008D6F13" w:rsidP="008D6F13">
      <w:pPr>
        <w:pStyle w:val="ListBullet"/>
      </w:pPr>
      <w:r w:rsidRPr="00BF1269">
        <w:t xml:space="preserve">Insurance taxes are expected to increase by </w:t>
      </w:r>
      <w:r>
        <w:t>7.8</w:t>
      </w:r>
      <w:r w:rsidRPr="00BF1269">
        <w:t xml:space="preserve"> per cent in 2021-22 to $</w:t>
      </w:r>
      <w:r>
        <w:t>1.7</w:t>
      </w:r>
      <w:r w:rsidRPr="00BF1269">
        <w:t xml:space="preserve"> billion </w:t>
      </w:r>
      <w:r>
        <w:t>and</w:t>
      </w:r>
      <w:r w:rsidRPr="00BF1269">
        <w:t xml:space="preserve"> are expected to grow by an average of </w:t>
      </w:r>
      <w:r>
        <w:t>6.4</w:t>
      </w:r>
      <w:r w:rsidRPr="00BF1269">
        <w:t xml:space="preserve"> per cent a year over the forward estimates.</w:t>
      </w:r>
    </w:p>
    <w:p w14:paraId="70669EEB" w14:textId="77777777" w:rsidR="008D6F13" w:rsidRDefault="008D6F13" w:rsidP="008D6F13">
      <w:pPr>
        <w:pStyle w:val="Heading30"/>
      </w:pPr>
      <w:r>
        <w:t>Dividends, income tax equivalent and interest</w:t>
      </w:r>
    </w:p>
    <w:p w14:paraId="2BEB8DFD" w14:textId="77777777" w:rsidR="008D6F13" w:rsidRPr="00B34F9C" w:rsidRDefault="008D6F13" w:rsidP="008D6F13">
      <w:bookmarkStart w:id="51" w:name="_Hlk70943015"/>
      <w:r w:rsidRPr="009D5023">
        <w:t>Dividend and income tax equivalent revenue is projected to decline by</w:t>
      </w:r>
      <w:r>
        <w:t xml:space="preserve"> 6.6</w:t>
      </w:r>
      <w:r w:rsidRPr="009D5023">
        <w:t xml:space="preserve"> per cent in 2021-22, before increasing by an average of </w:t>
      </w:r>
      <w:r>
        <w:t>3</w:t>
      </w:r>
      <w:r w:rsidRPr="009D5023">
        <w:t>.</w:t>
      </w:r>
      <w:r>
        <w:t>7</w:t>
      </w:r>
      <w:r w:rsidRPr="009D5023">
        <w:t xml:space="preserve"> per cent a year over the forward estimates. The </w:t>
      </w:r>
      <w:bookmarkStart w:id="52" w:name="_Hlk69455362"/>
      <w:r w:rsidRPr="009D5023">
        <w:t xml:space="preserve">lower revenue in 2021-22 is primarily due to lower profits of the metropolitan water corporations, reflecting the impact of </w:t>
      </w:r>
      <w:r>
        <w:t>the COVID-19 pandemic</w:t>
      </w:r>
      <w:r w:rsidRPr="009D5023">
        <w:t xml:space="preserve"> on business customers and </w:t>
      </w:r>
      <w:r>
        <w:t>the provision of hardship relief for customers impacted during the COVID-19 pandemic.</w:t>
      </w:r>
    </w:p>
    <w:bookmarkEnd w:id="51"/>
    <w:p w14:paraId="06B2FD0D" w14:textId="77777777" w:rsidR="008D6F13" w:rsidRDefault="008D6F13" w:rsidP="008D6F13">
      <w:r>
        <w:t xml:space="preserve">Interest revenue </w:t>
      </w:r>
      <w:r w:rsidRPr="00B34F9C">
        <w:t xml:space="preserve">is </w:t>
      </w:r>
      <w:r>
        <w:t>received on the cash and deposits held by the Government</w:t>
      </w:r>
      <w:r w:rsidRPr="00B34F9C">
        <w:t xml:space="preserve">. Total interest is expected to be </w:t>
      </w:r>
      <w:r w:rsidRPr="002A6168">
        <w:t xml:space="preserve">$0.6 billion in 2021-22 and is forecast to increase by an average of </w:t>
      </w:r>
      <w:r>
        <w:t>3.6</w:t>
      </w:r>
      <w:r w:rsidRPr="002A6168">
        <w:t> per cent a</w:t>
      </w:r>
      <w:r w:rsidRPr="00B34F9C">
        <w:t xml:space="preserve"> year over the forward estimates</w:t>
      </w:r>
      <w:r>
        <w:t>.</w:t>
      </w:r>
    </w:p>
    <w:bookmarkEnd w:id="52"/>
    <w:p w14:paraId="1BA2A2E8" w14:textId="77777777" w:rsidR="008D6F13" w:rsidRDefault="008D6F13" w:rsidP="008D6F13">
      <w:pPr>
        <w:pStyle w:val="Heading30"/>
      </w:pPr>
      <w:r>
        <w:t>Sales of goods and services</w:t>
      </w:r>
    </w:p>
    <w:p w14:paraId="49506730" w14:textId="77777777" w:rsidR="008D6F13" w:rsidRDefault="008D6F13" w:rsidP="008D6F13">
      <w:pPr>
        <w:rPr>
          <w:color w:val="000000" w:themeColor="text1"/>
        </w:rPr>
      </w:pPr>
      <w:r w:rsidRPr="008B4539">
        <w:rPr>
          <w:color w:val="000000" w:themeColor="text1"/>
        </w:rPr>
        <w:t xml:space="preserve">Revenue generated by the sales of goods and services </w:t>
      </w:r>
      <w:r w:rsidRPr="00B34F9C">
        <w:t xml:space="preserve">is expected to be </w:t>
      </w:r>
      <w:r w:rsidRPr="002A6168">
        <w:t>$</w:t>
      </w:r>
      <w:r>
        <w:t>5.9 </w:t>
      </w:r>
      <w:r w:rsidRPr="002A6168">
        <w:t>billion in 2021-22</w:t>
      </w:r>
      <w:r>
        <w:t>.</w:t>
      </w:r>
      <w:r w:rsidRPr="00356662">
        <w:rPr>
          <w:color w:val="000000" w:themeColor="text1"/>
        </w:rPr>
        <w:t xml:space="preserve"> </w:t>
      </w:r>
      <w:r>
        <w:rPr>
          <w:color w:val="000000" w:themeColor="text1"/>
        </w:rPr>
        <w:t xml:space="preserve">Excluding movements associated with the discontinuation of the capital asset charge </w:t>
      </w:r>
      <w:r w:rsidRPr="004A4942">
        <w:rPr>
          <w:color w:val="000000" w:themeColor="text1"/>
        </w:rPr>
        <w:t xml:space="preserve">policy levied on </w:t>
      </w:r>
      <w:proofErr w:type="spellStart"/>
      <w:r w:rsidRPr="004A4942">
        <w:rPr>
          <w:color w:val="000000" w:themeColor="text1"/>
        </w:rPr>
        <w:t>VicTrack</w:t>
      </w:r>
      <w:proofErr w:type="spellEnd"/>
      <w:r w:rsidRPr="004A4942">
        <w:rPr>
          <w:color w:val="000000" w:themeColor="text1"/>
        </w:rPr>
        <w:t xml:space="preserve"> from 2021</w:t>
      </w:r>
      <w:r w:rsidRPr="004A4942">
        <w:rPr>
          <w:color w:val="000000" w:themeColor="text1"/>
        </w:rPr>
        <w:noBreakHyphen/>
        <w:t>22</w:t>
      </w:r>
      <w:r>
        <w:rPr>
          <w:color w:val="000000" w:themeColor="text1"/>
        </w:rPr>
        <w:t>, sales of goods and services revenue is forecast to increase by 10.1 per cent in 2021</w:t>
      </w:r>
      <w:r>
        <w:rPr>
          <w:color w:val="000000" w:themeColor="text1"/>
        </w:rPr>
        <w:noBreakHyphen/>
        <w:t xml:space="preserve">22. This largely reflects the expected recovery in various service fees </w:t>
      </w:r>
      <w:r w:rsidRPr="00966287">
        <w:rPr>
          <w:color w:val="000000" w:themeColor="text1"/>
        </w:rPr>
        <w:t>after the easing of public health restrictions</w:t>
      </w:r>
      <w:r>
        <w:rPr>
          <w:color w:val="000000" w:themeColor="text1"/>
        </w:rPr>
        <w:t>.</w:t>
      </w:r>
      <w:r w:rsidRPr="00975BC1">
        <w:rPr>
          <w:color w:val="000000" w:themeColor="text1"/>
        </w:rPr>
        <w:t xml:space="preserve"> </w:t>
      </w:r>
      <w:r w:rsidRPr="00966287">
        <w:rPr>
          <w:color w:val="000000" w:themeColor="text1"/>
        </w:rPr>
        <w:t>Growth</w:t>
      </w:r>
      <w:r>
        <w:rPr>
          <w:color w:val="000000" w:themeColor="text1"/>
        </w:rPr>
        <w:t xml:space="preserve"> is expected to average</w:t>
      </w:r>
      <w:r w:rsidRPr="002A6168">
        <w:rPr>
          <w:color w:val="000000" w:themeColor="text1"/>
        </w:rPr>
        <w:t xml:space="preserve"> </w:t>
      </w:r>
      <w:r>
        <w:rPr>
          <w:color w:val="000000" w:themeColor="text1"/>
        </w:rPr>
        <w:t>4.2</w:t>
      </w:r>
      <w:r w:rsidRPr="002A6168">
        <w:rPr>
          <w:color w:val="000000" w:themeColor="text1"/>
        </w:rPr>
        <w:t xml:space="preserve"> per cent </w:t>
      </w:r>
      <w:r>
        <w:rPr>
          <w:color w:val="000000" w:themeColor="text1"/>
        </w:rPr>
        <w:t>a year</w:t>
      </w:r>
      <w:r w:rsidRPr="002A6168">
        <w:rPr>
          <w:color w:val="000000" w:themeColor="text1"/>
        </w:rPr>
        <w:t xml:space="preserve"> over the forward estimates.</w:t>
      </w:r>
    </w:p>
    <w:p w14:paraId="2C936C2A" w14:textId="77777777" w:rsidR="008D6F13" w:rsidRDefault="008D6F13" w:rsidP="008D6F13">
      <w:pPr>
        <w:pStyle w:val="Heading30"/>
      </w:pPr>
      <w:r>
        <w:lastRenderedPageBreak/>
        <w:t>Grants</w:t>
      </w:r>
    </w:p>
    <w:p w14:paraId="2EA944ED" w14:textId="77777777" w:rsidR="008D6F13" w:rsidRPr="00287FAF" w:rsidRDefault="008D6F13" w:rsidP="008D6F13">
      <w:pPr>
        <w:keepNext/>
      </w:pPr>
      <w:bookmarkStart w:id="53" w:name="_Hlk54700229"/>
      <w:r w:rsidRPr="00287FAF">
        <w:t xml:space="preserve">Total grant revenue is expected to increase by </w:t>
      </w:r>
      <w:r>
        <w:t>9.5</w:t>
      </w:r>
      <w:r w:rsidRPr="00287FAF">
        <w:t xml:space="preserve"> per cent in 2021-22 to $40.</w:t>
      </w:r>
      <w:r>
        <w:t>5</w:t>
      </w:r>
      <w:r w:rsidRPr="00287FAF">
        <w:t xml:space="preserve"> billion. Grants recognised by the State largely comprise GST and grants for specific purposes</w:t>
      </w:r>
      <w:r>
        <w:t xml:space="preserve"> from the Commonwealth</w:t>
      </w:r>
      <w:r w:rsidRPr="00287FAF">
        <w:t>.</w:t>
      </w:r>
    </w:p>
    <w:p w14:paraId="2EC5FE62" w14:textId="77777777" w:rsidR="008D6F13" w:rsidRPr="00287FAF" w:rsidRDefault="008D6F13" w:rsidP="008D6F13">
      <w:r w:rsidRPr="00287FAF">
        <w:t>Victoria’s GST revenue is expected to decline by 2.</w:t>
      </w:r>
      <w:r>
        <w:t>2</w:t>
      </w:r>
      <w:r w:rsidRPr="00287FAF">
        <w:t xml:space="preserve"> per cent in 2021-22 following a 17.4 per cent increase in 2020-21. Household consumption is forecast to fall sharply in the September quarter 2021, largely reflecting the introduction of public health restrictions in New South Wales and Victoria, which is weighing on the </w:t>
      </w:r>
      <w:r>
        <w:t>n</w:t>
      </w:r>
      <w:r w:rsidRPr="00287FAF">
        <w:t xml:space="preserve">ational GST pool for 2021-22. </w:t>
      </w:r>
      <w:r>
        <w:t>Compared to 2020-21, both Victoria’s lower assessed relativity and share of national population are also affecting the GST revenue outlook for 2021-22</w:t>
      </w:r>
      <w:r w:rsidRPr="00287FAF">
        <w:t>.</w:t>
      </w:r>
    </w:p>
    <w:p w14:paraId="7CBCB79C" w14:textId="77777777" w:rsidR="008D6F13" w:rsidRPr="00BF1269" w:rsidRDefault="008D6F13" w:rsidP="008D6F13">
      <w:pPr>
        <w:ind w:right="-86"/>
      </w:pPr>
      <w:r w:rsidRPr="00287FAF">
        <w:t xml:space="preserve">Over the forward estimates, GST revenue is expected to grow by an average of </w:t>
      </w:r>
      <w:r>
        <w:t>4.2 </w:t>
      </w:r>
      <w:r w:rsidRPr="00287FAF">
        <w:t>per</w:t>
      </w:r>
      <w:r>
        <w:t> </w:t>
      </w:r>
      <w:r w:rsidRPr="00287FAF">
        <w:t xml:space="preserve">cent a year, primarily driven by growth in </w:t>
      </w:r>
      <w:r>
        <w:t xml:space="preserve">the </w:t>
      </w:r>
      <w:r w:rsidRPr="00287FAF">
        <w:t>national GST pool</w:t>
      </w:r>
      <w:r>
        <w:t>,</w:t>
      </w:r>
      <w:r w:rsidRPr="00287FAF">
        <w:t xml:space="preserve"> which is projected to recover to its pre-</w:t>
      </w:r>
      <w:r>
        <w:t xml:space="preserve">COVID-19 </w:t>
      </w:r>
      <w:r w:rsidRPr="00287FAF">
        <w:t xml:space="preserve">Delta </w:t>
      </w:r>
      <w:r>
        <w:t xml:space="preserve">variant </w:t>
      </w:r>
      <w:r w:rsidRPr="00287FAF">
        <w:t xml:space="preserve">path by mid-2022. This is supported by an expected improvement in consumption and dwelling investment from the December 2021 quarter as economic activity increases alongside the easing of public health restrictions. </w:t>
      </w:r>
      <w:r>
        <w:t xml:space="preserve">However, </w:t>
      </w:r>
      <w:r w:rsidRPr="00287FAF">
        <w:t>Victoria’s assessed relativity is forecast to decline over the forward estimates.</w:t>
      </w:r>
    </w:p>
    <w:p w14:paraId="6EDCDCD9" w14:textId="77777777" w:rsidR="008D6F13" w:rsidRDefault="008D6F13" w:rsidP="008D6F13">
      <w:r w:rsidRPr="006F1626">
        <w:t xml:space="preserve">Commonwealth grants for specific purposes are </w:t>
      </w:r>
      <w:r w:rsidRPr="00BE7C11">
        <w:rPr>
          <w:color w:val="000000" w:themeColor="text1"/>
        </w:rPr>
        <w:t>expected to be $</w:t>
      </w:r>
      <w:r>
        <w:rPr>
          <w:color w:val="000000" w:themeColor="text1"/>
        </w:rPr>
        <w:t>22.0</w:t>
      </w:r>
      <w:r w:rsidRPr="00BE7C11">
        <w:rPr>
          <w:color w:val="000000" w:themeColor="text1"/>
        </w:rPr>
        <w:t> billion in 2021</w:t>
      </w:r>
      <w:r w:rsidRPr="00BE7C11">
        <w:rPr>
          <w:rFonts w:ascii="Times New Roman" w:hAnsi="Times New Roman" w:cs="Times New Roman"/>
          <w:color w:val="000000" w:themeColor="text1"/>
        </w:rPr>
        <w:t>‑</w:t>
      </w:r>
      <w:r w:rsidRPr="00BE7C11">
        <w:rPr>
          <w:color w:val="000000" w:themeColor="text1"/>
        </w:rPr>
        <w:t xml:space="preserve">22, an </w:t>
      </w:r>
      <w:r>
        <w:rPr>
          <w:color w:val="000000" w:themeColor="text1"/>
        </w:rPr>
        <w:t xml:space="preserve">increase </w:t>
      </w:r>
      <w:r w:rsidRPr="00BE7C11">
        <w:rPr>
          <w:color w:val="000000" w:themeColor="text1"/>
        </w:rPr>
        <w:t>of $</w:t>
      </w:r>
      <w:r>
        <w:rPr>
          <w:color w:val="000000" w:themeColor="text1"/>
        </w:rPr>
        <w:t>3.4</w:t>
      </w:r>
      <w:r w:rsidRPr="00BE7C11">
        <w:rPr>
          <w:color w:val="000000" w:themeColor="text1"/>
        </w:rPr>
        <w:t xml:space="preserve"> billion compared with the </w:t>
      </w:r>
      <w:r w:rsidRPr="00BE7C11">
        <w:rPr>
          <w:i/>
          <w:iCs/>
          <w:color w:val="000000" w:themeColor="text1"/>
        </w:rPr>
        <w:t>202</w:t>
      </w:r>
      <w:r>
        <w:rPr>
          <w:i/>
          <w:iCs/>
          <w:color w:val="000000" w:themeColor="text1"/>
        </w:rPr>
        <w:t>1</w:t>
      </w:r>
      <w:r w:rsidRPr="00BE7C11">
        <w:rPr>
          <w:i/>
          <w:iCs/>
          <w:color w:val="000000" w:themeColor="text1"/>
        </w:rPr>
        <w:t>-2</w:t>
      </w:r>
      <w:r>
        <w:rPr>
          <w:i/>
          <w:iCs/>
          <w:color w:val="000000" w:themeColor="text1"/>
        </w:rPr>
        <w:t>2</w:t>
      </w:r>
      <w:r w:rsidRPr="00BE7C11">
        <w:rPr>
          <w:i/>
          <w:iCs/>
          <w:color w:val="000000" w:themeColor="text1"/>
        </w:rPr>
        <w:t xml:space="preserve"> Budget</w:t>
      </w:r>
      <w:r>
        <w:rPr>
          <w:i/>
          <w:iCs/>
          <w:color w:val="000000" w:themeColor="text1"/>
        </w:rPr>
        <w:t xml:space="preserve">. </w:t>
      </w:r>
      <w:r w:rsidRPr="00755AF9">
        <w:rPr>
          <w:color w:val="000000" w:themeColor="text1"/>
        </w:rPr>
        <w:t>This is largely</w:t>
      </w:r>
      <w:r>
        <w:rPr>
          <w:color w:val="000000" w:themeColor="text1"/>
        </w:rPr>
        <w:t xml:space="preserve"> due to the increase in </w:t>
      </w:r>
      <w:r w:rsidRPr="00AC64CC">
        <w:t xml:space="preserve">Commonwealth </w:t>
      </w:r>
      <w:r>
        <w:t xml:space="preserve">grants as part </w:t>
      </w:r>
      <w:r w:rsidRPr="00AC64CC">
        <w:t>of the jointly funded business support packages.</w:t>
      </w:r>
    </w:p>
    <w:p w14:paraId="2A11505E" w14:textId="77777777" w:rsidR="008D6F13" w:rsidRPr="003654D0" w:rsidRDefault="008D6F13" w:rsidP="008D6F13">
      <w:r w:rsidRPr="006F1626">
        <w:t>Commonwealth grants for specific purposes are</w:t>
      </w:r>
      <w:r w:rsidRPr="00AC64CC">
        <w:t xml:space="preserve"> </w:t>
      </w:r>
      <w:r w:rsidRPr="006F1626">
        <w:t xml:space="preserve">projected to average </w:t>
      </w:r>
      <w:r w:rsidRPr="00D2395A">
        <w:t>$</w:t>
      </w:r>
      <w:r>
        <w:t>20.1</w:t>
      </w:r>
      <w:r w:rsidRPr="00D2395A">
        <w:t xml:space="preserve"> billion a year over the </w:t>
      </w:r>
      <w:r>
        <w:t>forward estimates</w:t>
      </w:r>
      <w:r w:rsidRPr="00D2395A">
        <w:t>.</w:t>
      </w:r>
      <w:r w:rsidRPr="006F1626">
        <w:t xml:space="preserve"> The Commonwealth provides these grants as contributions toward healthcare, education, disability</w:t>
      </w:r>
      <w:r>
        <w:t>,</w:t>
      </w:r>
      <w:r w:rsidRPr="006F1626">
        <w:t xml:space="preserve"> major infrastructure investment</w:t>
      </w:r>
      <w:r>
        <w:t xml:space="preserve"> and other services</w:t>
      </w:r>
      <w:r w:rsidRPr="006F1626">
        <w:t>.</w:t>
      </w:r>
    </w:p>
    <w:bookmarkEnd w:id="53"/>
    <w:p w14:paraId="7544F066" w14:textId="77777777" w:rsidR="008D6F13" w:rsidRDefault="008D6F13" w:rsidP="008D6F13">
      <w:pPr>
        <w:pStyle w:val="Heading30"/>
      </w:pPr>
      <w:r>
        <w:t>Other current revenue</w:t>
      </w:r>
    </w:p>
    <w:p w14:paraId="70C7797B" w14:textId="77777777" w:rsidR="008D6F13" w:rsidRDefault="008D6F13" w:rsidP="008D6F13">
      <w:pPr>
        <w:keepNext/>
      </w:pPr>
      <w:r w:rsidRPr="00D2395A">
        <w:t xml:space="preserve">Other revenue and income </w:t>
      </w:r>
      <w:proofErr w:type="gramStart"/>
      <w:r w:rsidRPr="00D2395A">
        <w:t>includes</w:t>
      </w:r>
      <w:proofErr w:type="gramEnd"/>
      <w:r w:rsidRPr="00D2395A">
        <w:t xml:space="preserve"> fines, royalties, donations and gifts, assets received free</w:t>
      </w:r>
      <w:r>
        <w:noBreakHyphen/>
      </w:r>
      <w:r w:rsidRPr="00D2395A">
        <w:t>of</w:t>
      </w:r>
      <w:r>
        <w:noBreakHyphen/>
      </w:r>
      <w:r w:rsidRPr="00D2395A">
        <w:t xml:space="preserve">charge and other miscellaneous revenues. </w:t>
      </w:r>
      <w:r>
        <w:t>Other revenue is expected to grow by 14.9 per cent to $3.4 billion in 2021-22</w:t>
      </w:r>
      <w:r w:rsidRPr="00D2395A">
        <w:t xml:space="preserve">, followed by average </w:t>
      </w:r>
      <w:r>
        <w:t>growth</w:t>
      </w:r>
      <w:r w:rsidRPr="00D2395A">
        <w:t xml:space="preserve"> of </w:t>
      </w:r>
      <w:r>
        <w:t>0.6</w:t>
      </w:r>
      <w:r w:rsidRPr="00D2395A">
        <w:t xml:space="preserve"> per cent </w:t>
      </w:r>
      <w:r>
        <w:t>a</w:t>
      </w:r>
      <w:r w:rsidRPr="00D2395A">
        <w:t xml:space="preserve"> year over the forward estimates. This revenue profile is </w:t>
      </w:r>
      <w:r>
        <w:t>primarily driven by the progressive recognition of the Cross Yarra Partnership Consortium’s contribution to additional costs borne by the operator as part of the Metro Tunnel settlement</w:t>
      </w:r>
      <w:r w:rsidRPr="00D2395A">
        <w:t>, which peak in 2021</w:t>
      </w:r>
      <w:r w:rsidRPr="00D2395A">
        <w:noBreakHyphen/>
        <w:t>22.</w:t>
      </w:r>
    </w:p>
    <w:p w14:paraId="2F8C4A69" w14:textId="77777777" w:rsidR="008D6F13" w:rsidRDefault="008D6F13" w:rsidP="008D6F13">
      <w:pPr>
        <w:keepLines w:val="0"/>
        <w:rPr>
          <w:rFonts w:asciiTheme="majorHAnsi" w:eastAsiaTheme="majorEastAsia" w:hAnsiTheme="majorHAnsi" w:cstheme="majorBidi"/>
          <w:b/>
          <w:sz w:val="26"/>
          <w:szCs w:val="26"/>
        </w:rPr>
      </w:pPr>
      <w:r>
        <w:br w:type="page"/>
      </w:r>
    </w:p>
    <w:p w14:paraId="340F792F" w14:textId="77777777" w:rsidR="008D6F13" w:rsidRDefault="008D6F13" w:rsidP="008D6F13">
      <w:pPr>
        <w:pStyle w:val="Heading20"/>
      </w:pPr>
      <w:proofErr w:type="gramStart"/>
      <w:r>
        <w:lastRenderedPageBreak/>
        <w:t>Expenses</w:t>
      </w:r>
      <w:proofErr w:type="gramEnd"/>
      <w:r>
        <w:t xml:space="preserve"> outlook</w:t>
      </w:r>
    </w:p>
    <w:p w14:paraId="50A8CE26" w14:textId="77777777" w:rsidR="008D6F13" w:rsidRDefault="008D6F13" w:rsidP="008D6F13">
      <w:r>
        <w:t xml:space="preserve">The Government is expected to </w:t>
      </w:r>
      <w:r w:rsidRPr="00D2395A">
        <w:t>spend $</w:t>
      </w:r>
      <w:r>
        <w:t>97.5</w:t>
      </w:r>
      <w:r w:rsidRPr="00D2395A">
        <w:t xml:space="preserve"> billion in 2021-22. </w:t>
      </w:r>
      <w:r>
        <w:t xml:space="preserve">This is $10.3 billion more </w:t>
      </w:r>
      <w:r w:rsidRPr="00D2395A">
        <w:t>than total expenditure of $8</w:t>
      </w:r>
      <w:r>
        <w:t>7.2</w:t>
      </w:r>
      <w:r w:rsidRPr="00D2395A">
        <w:t> billion in</w:t>
      </w:r>
      <w:r>
        <w:t xml:space="preserve"> 2020</w:t>
      </w:r>
      <w:r>
        <w:noBreakHyphen/>
        <w:t>21, reflecting the additional support provided to Victorians and to the economic recovery during the COVID-19 pandemic. Expenses are then expected to decline by 12.8 per cent in 2022</w:t>
      </w:r>
      <w:r>
        <w:noBreakHyphen/>
        <w:t>23, reflecting the tapering of targeted, short-term economic support, before increasing by 0.5 per cent and 2.0 per cent in 2023</w:t>
      </w:r>
      <w:r>
        <w:noBreakHyphen/>
        <w:t>24 and 2024</w:t>
      </w:r>
      <w:r>
        <w:noBreakHyphen/>
        <w:t>25 respectively. Year-on-year movements should be interpreted with care due to the impacts of the COVID-19 pandemic</w:t>
      </w:r>
      <w:r w:rsidRPr="00624DDB">
        <w:t xml:space="preserve"> </w:t>
      </w:r>
      <w:r>
        <w:t>and the Government’s response.</w:t>
      </w:r>
    </w:p>
    <w:p w14:paraId="76F96BFB" w14:textId="77777777" w:rsidR="008D6F13" w:rsidRDefault="008D6F13" w:rsidP="008D6F13">
      <w:r>
        <w:t>Moderation of expenditure growth over the forward estimates is driven in part by the Government’s fiscal strategy to achieve an operating surplus over the medium term.</w:t>
      </w:r>
    </w:p>
    <w:p w14:paraId="59B076C4" w14:textId="77777777" w:rsidR="008D6F13" w:rsidRPr="00E26E98" w:rsidRDefault="008D6F13" w:rsidP="008D6F13">
      <w:pPr>
        <w:pStyle w:val="ListBullet"/>
        <w:numPr>
          <w:ilvl w:val="0"/>
          <w:numId w:val="10"/>
        </w:numPr>
        <w:ind w:right="-86"/>
      </w:pPr>
      <w:r w:rsidRPr="00D47380">
        <w:t xml:space="preserve">Employee expenses (including superannuation) are forecast to grow by </w:t>
      </w:r>
      <w:r>
        <w:t>9.2</w:t>
      </w:r>
      <w:r w:rsidRPr="00D47380">
        <w:t> per cent in 2021-22</w:t>
      </w:r>
      <w:r>
        <w:t>, primarily driven by</w:t>
      </w:r>
      <w:r w:rsidRPr="00D47380">
        <w:t xml:space="preserve"> the Government’s response to the </w:t>
      </w:r>
      <w:r>
        <w:t xml:space="preserve">COVID-19 </w:t>
      </w:r>
      <w:r w:rsidRPr="00D47380">
        <w:t>pandemic</w:t>
      </w:r>
      <w:r w:rsidRPr="00611339">
        <w:t xml:space="preserve"> </w:t>
      </w:r>
      <w:r>
        <w:t>and</w:t>
      </w:r>
      <w:r w:rsidRPr="00D47380">
        <w:t xml:space="preserve"> an increase in the </w:t>
      </w:r>
      <w:r>
        <w:t xml:space="preserve">net </w:t>
      </w:r>
      <w:r w:rsidRPr="00D47380">
        <w:t xml:space="preserve">superannuation interest expense </w:t>
      </w:r>
      <w:r>
        <w:t xml:space="preserve">due </w:t>
      </w:r>
      <w:r w:rsidRPr="00D47380">
        <w:t xml:space="preserve">to an increase in </w:t>
      </w:r>
      <w:r>
        <w:t xml:space="preserve">the Commonwealth government </w:t>
      </w:r>
      <w:r w:rsidRPr="00D47380">
        <w:t>bond yields</w:t>
      </w:r>
      <w:r w:rsidRPr="00235BE8">
        <w:t xml:space="preserve"> that underlie the key superannuation valuation assumptions between 30 June 2020 and 30 June 2021</w:t>
      </w:r>
      <w:r>
        <w:t>. Average growth of 1.8 per cent a year over the forward estimates reflects</w:t>
      </w:r>
      <w:r w:rsidRPr="00D47380">
        <w:t xml:space="preserve"> increased service delivery, primarily in health, mental </w:t>
      </w:r>
      <w:proofErr w:type="gramStart"/>
      <w:r w:rsidRPr="00D47380">
        <w:t>health</w:t>
      </w:r>
      <w:proofErr w:type="gramEnd"/>
      <w:r w:rsidRPr="00D47380">
        <w:t xml:space="preserve"> and education</w:t>
      </w:r>
      <w:r>
        <w:t>.</w:t>
      </w:r>
    </w:p>
    <w:p w14:paraId="61C91D56" w14:textId="77777777" w:rsidR="008D6F13" w:rsidRPr="00E26D38" w:rsidRDefault="008D6F13" w:rsidP="008D6F13">
      <w:pPr>
        <w:pStyle w:val="ListBullet"/>
      </w:pPr>
      <w:r w:rsidRPr="00E26D38">
        <w:t xml:space="preserve">Depreciation expense is forecast to grow by an average of </w:t>
      </w:r>
      <w:r>
        <w:t>4.1</w:t>
      </w:r>
      <w:r w:rsidRPr="00E26D38">
        <w:t xml:space="preserve"> per cent </w:t>
      </w:r>
      <w:r>
        <w:t xml:space="preserve">a year </w:t>
      </w:r>
      <w:r w:rsidRPr="00E26D38">
        <w:t>over the forward estimates from $4.</w:t>
      </w:r>
      <w:r>
        <w:t>4</w:t>
      </w:r>
      <w:r w:rsidRPr="00E26D38">
        <w:t> billion in 202</w:t>
      </w:r>
      <w:r>
        <w:t>1</w:t>
      </w:r>
      <w:r w:rsidRPr="00E26D38">
        <w:noBreakHyphen/>
        <w:t>2</w:t>
      </w:r>
      <w:r>
        <w:t>2</w:t>
      </w:r>
      <w:r w:rsidRPr="00E26D38">
        <w:t xml:space="preserve"> to $</w:t>
      </w:r>
      <w:r>
        <w:t>4.9</w:t>
      </w:r>
      <w:r w:rsidRPr="00E26D38">
        <w:t> billion by 2024</w:t>
      </w:r>
      <w:r w:rsidRPr="00E26D38">
        <w:noBreakHyphen/>
        <w:t>25. Growth in depreciation is broadly in line with continuing high levels of investment in infrastructure.</w:t>
      </w:r>
    </w:p>
    <w:p w14:paraId="7B7747CD" w14:textId="77777777" w:rsidR="008D6F13" w:rsidRPr="00E26D38" w:rsidRDefault="008D6F13" w:rsidP="008D6F13">
      <w:pPr>
        <w:pStyle w:val="ListBullet"/>
      </w:pPr>
      <w:r w:rsidRPr="00E26D38">
        <w:t xml:space="preserve">Interest expense is forecast to grow by </w:t>
      </w:r>
      <w:r>
        <w:t>21.5</w:t>
      </w:r>
      <w:r w:rsidRPr="00E26D38">
        <w:t> per cent to $3.</w:t>
      </w:r>
      <w:r>
        <w:t>2</w:t>
      </w:r>
      <w:r w:rsidRPr="00E26D38">
        <w:t> billion in 2021</w:t>
      </w:r>
      <w:r w:rsidRPr="00E26D38">
        <w:noBreakHyphen/>
        <w:t>22, and by an average of 1</w:t>
      </w:r>
      <w:r>
        <w:t>7.3</w:t>
      </w:r>
      <w:r w:rsidRPr="00E26D38">
        <w:t xml:space="preserve"> per cent </w:t>
      </w:r>
      <w:r>
        <w:t>a</w:t>
      </w:r>
      <w:r w:rsidRPr="00E26D38">
        <w:t xml:space="preserve"> year over the forward estimates, as the Government increases borrowings to fund its response to </w:t>
      </w:r>
      <w:r>
        <w:t>the COVID-19 pandemic</w:t>
      </w:r>
      <w:r w:rsidRPr="00E26D38">
        <w:t xml:space="preserve"> and continue significant levels of infrastructure investment under Victoria</w:t>
      </w:r>
      <w:r>
        <w:t>’</w:t>
      </w:r>
      <w:r w:rsidRPr="00E26D38">
        <w:t xml:space="preserve">s </w:t>
      </w:r>
      <w:r>
        <w:t>B</w:t>
      </w:r>
      <w:r w:rsidRPr="00E26D38">
        <w:t xml:space="preserve">ig </w:t>
      </w:r>
      <w:r>
        <w:t>B</w:t>
      </w:r>
      <w:r w:rsidRPr="00E26D38">
        <w:t xml:space="preserve">uild. Interest expense as a share of total revenue is expected to remain manageable, averaging </w:t>
      </w:r>
      <w:r>
        <w:t>5.0</w:t>
      </w:r>
      <w:r w:rsidRPr="00E26D38">
        <w:t> per cent a year over the budget and forward estimates, below the historical levels seen during the</w:t>
      </w:r>
      <w:r>
        <w:t> </w:t>
      </w:r>
      <w:r w:rsidRPr="00E26D38">
        <w:t>1990s.</w:t>
      </w:r>
    </w:p>
    <w:p w14:paraId="2A0A8254" w14:textId="77777777" w:rsidR="008D6F13" w:rsidRPr="00E25EA3" w:rsidRDefault="008D6F13" w:rsidP="008D6F13">
      <w:pPr>
        <w:pStyle w:val="ListBullet"/>
      </w:pPr>
      <w:r w:rsidRPr="00E25EA3">
        <w:t>Grants expenses are forecast to grow by 1</w:t>
      </w:r>
      <w:r>
        <w:t>0.7</w:t>
      </w:r>
      <w:r w:rsidRPr="00E25EA3">
        <w:t xml:space="preserve"> per cent in 2021-22 </w:t>
      </w:r>
      <w:r>
        <w:t xml:space="preserve">due to </w:t>
      </w:r>
      <w:r w:rsidRPr="00E25EA3">
        <w:t>the additional business support grants provided to Victorian business</w:t>
      </w:r>
      <w:r>
        <w:t>es</w:t>
      </w:r>
      <w:r w:rsidRPr="00E25EA3">
        <w:t xml:space="preserve">. Grant expenses are </w:t>
      </w:r>
      <w:r>
        <w:t xml:space="preserve">then </w:t>
      </w:r>
      <w:r w:rsidRPr="00E25EA3">
        <w:t>expected to decline by 3</w:t>
      </w:r>
      <w:r>
        <w:t>5.6</w:t>
      </w:r>
      <w:r w:rsidRPr="00E25EA3">
        <w:t> per cent in 2022</w:t>
      </w:r>
      <w:r w:rsidRPr="00E25EA3">
        <w:noBreakHyphen/>
        <w:t>23</w:t>
      </w:r>
      <w:r>
        <w:t>,</w:t>
      </w:r>
      <w:r w:rsidRPr="00E25EA3">
        <w:t xml:space="preserve"> and by an average of </w:t>
      </w:r>
      <w:r>
        <w:t>2.7 </w:t>
      </w:r>
      <w:r w:rsidRPr="00E25EA3">
        <w:t>per</w:t>
      </w:r>
      <w:r>
        <w:t> </w:t>
      </w:r>
      <w:r w:rsidRPr="00E25EA3">
        <w:t>cent per</w:t>
      </w:r>
      <w:r>
        <w:t> </w:t>
      </w:r>
      <w:r w:rsidRPr="00E25EA3">
        <w:t>year in 2023-24 and 2024-25</w:t>
      </w:r>
      <w:r>
        <w:t>,</w:t>
      </w:r>
      <w:r w:rsidRPr="00E25EA3">
        <w:t xml:space="preserve"> </w:t>
      </w:r>
      <w:r>
        <w:t xml:space="preserve">largely </w:t>
      </w:r>
      <w:r w:rsidRPr="00E25EA3">
        <w:t xml:space="preserve">reflecting the tapering of </w:t>
      </w:r>
      <w:r>
        <w:t xml:space="preserve">COVID-19 </w:t>
      </w:r>
      <w:r w:rsidRPr="00E25EA3">
        <w:t>pandemic support</w:t>
      </w:r>
      <w:r>
        <w:t xml:space="preserve"> initiatives</w:t>
      </w:r>
      <w:r w:rsidRPr="00E25EA3">
        <w:t>.</w:t>
      </w:r>
    </w:p>
    <w:p w14:paraId="703697EB" w14:textId="77777777" w:rsidR="008D6F13" w:rsidRDefault="008D6F13" w:rsidP="008D6F13">
      <w:pPr>
        <w:pStyle w:val="ListBullet"/>
      </w:pPr>
      <w:r w:rsidRPr="00E26D38">
        <w:t xml:space="preserve">Other operating expenses are forecast to </w:t>
      </w:r>
      <w:r>
        <w:t xml:space="preserve">grow </w:t>
      </w:r>
      <w:r w:rsidRPr="00E26D38">
        <w:t xml:space="preserve">by </w:t>
      </w:r>
      <w:r>
        <w:t>16.3</w:t>
      </w:r>
      <w:r w:rsidRPr="00E26D38">
        <w:t> per cent in 2021</w:t>
      </w:r>
      <w:r w:rsidRPr="00E26D38">
        <w:noBreakHyphen/>
        <w:t>22</w:t>
      </w:r>
      <w:r>
        <w:t>,</w:t>
      </w:r>
      <w:r w:rsidRPr="00E26D38">
        <w:t xml:space="preserve"> </w:t>
      </w:r>
      <w:r>
        <w:t>reflecting the additional support provided for the Government’s health response to the COVID</w:t>
      </w:r>
      <w:r>
        <w:noBreakHyphen/>
        <w:t xml:space="preserve">19 pandemic. </w:t>
      </w:r>
      <w:r w:rsidRPr="00E26D38">
        <w:t>Other operating expenses are</w:t>
      </w:r>
      <w:r>
        <w:t xml:space="preserve"> then expected to decline by 16.4 per cent in 2022</w:t>
      </w:r>
      <w:r>
        <w:noBreakHyphen/>
        <w:t xml:space="preserve">23 and 2.3 per cent in 2023-24 </w:t>
      </w:r>
      <w:r w:rsidRPr="00E26D38">
        <w:t xml:space="preserve">as expenditure </w:t>
      </w:r>
      <w:r>
        <w:t xml:space="preserve">commitments </w:t>
      </w:r>
      <w:r w:rsidRPr="00E26D38">
        <w:t xml:space="preserve">attributable to the COVID-19 response </w:t>
      </w:r>
      <w:r>
        <w:t>reduce</w:t>
      </w:r>
      <w:r w:rsidRPr="00E26D38">
        <w:t>.</w:t>
      </w:r>
    </w:p>
    <w:p w14:paraId="796F168B" w14:textId="77777777" w:rsidR="008D6F13" w:rsidRDefault="008D6F13" w:rsidP="008D6F13">
      <w:pPr>
        <w:pStyle w:val="Heading20"/>
        <w:pageBreakBefore/>
      </w:pPr>
      <w:r>
        <w:lastRenderedPageBreak/>
        <w:t xml:space="preserve">Reconciliation of estimates to the </w:t>
      </w:r>
      <w:r w:rsidRPr="003E7A30">
        <w:rPr>
          <w:i/>
          <w:iCs/>
        </w:rPr>
        <w:t>20</w:t>
      </w:r>
      <w:r>
        <w:rPr>
          <w:i/>
          <w:iCs/>
        </w:rPr>
        <w:t>21</w:t>
      </w:r>
      <w:r w:rsidRPr="003E7A30">
        <w:rPr>
          <w:i/>
          <w:iCs/>
        </w:rPr>
        <w:noBreakHyphen/>
        <w:t>2</w:t>
      </w:r>
      <w:r>
        <w:rPr>
          <w:i/>
          <w:iCs/>
        </w:rPr>
        <w:t>2</w:t>
      </w:r>
      <w:r w:rsidRPr="003E7A30">
        <w:rPr>
          <w:i/>
          <w:iCs/>
        </w:rPr>
        <w:t xml:space="preserve"> Budget</w:t>
      </w:r>
    </w:p>
    <w:p w14:paraId="35C0BC39" w14:textId="77777777" w:rsidR="008D6F13" w:rsidRDefault="008D6F13" w:rsidP="008D6F13">
      <w:pPr>
        <w:keepNext/>
      </w:pPr>
      <w:r w:rsidRPr="00B43840">
        <w:t xml:space="preserve">Relative to the </w:t>
      </w:r>
      <w:r w:rsidRPr="00B43840">
        <w:rPr>
          <w:i/>
          <w:iCs/>
        </w:rPr>
        <w:t>202</w:t>
      </w:r>
      <w:r>
        <w:rPr>
          <w:i/>
          <w:iCs/>
        </w:rPr>
        <w:t>1</w:t>
      </w:r>
      <w:r w:rsidRPr="00B43840">
        <w:rPr>
          <w:i/>
          <w:iCs/>
        </w:rPr>
        <w:t>-2</w:t>
      </w:r>
      <w:r>
        <w:rPr>
          <w:i/>
          <w:iCs/>
        </w:rPr>
        <w:t>2</w:t>
      </w:r>
      <w:r w:rsidRPr="00B43840">
        <w:rPr>
          <w:i/>
          <w:iCs/>
        </w:rPr>
        <w:t xml:space="preserve"> Budget</w:t>
      </w:r>
      <w:r w:rsidRPr="00B43840">
        <w:t xml:space="preserve">, the net result from transactions has been revised </w:t>
      </w:r>
      <w:r>
        <w:t>down</w:t>
      </w:r>
      <w:r w:rsidRPr="00B43840">
        <w:t xml:space="preserve"> by $</w:t>
      </w:r>
      <w:r>
        <w:t>7.9</w:t>
      </w:r>
      <w:r w:rsidRPr="00B43840">
        <w:t> billion in 2021</w:t>
      </w:r>
      <w:r w:rsidRPr="00B43840">
        <w:noBreakHyphen/>
        <w:t>22, $</w:t>
      </w:r>
      <w:r>
        <w:t>1.4</w:t>
      </w:r>
      <w:r w:rsidRPr="00B43840">
        <w:t> billion in 2022</w:t>
      </w:r>
      <w:r w:rsidRPr="00B43840">
        <w:noBreakHyphen/>
        <w:t>23</w:t>
      </w:r>
      <w:r>
        <w:t xml:space="preserve"> and by </w:t>
      </w:r>
      <w:r w:rsidRPr="00B43840">
        <w:t>$</w:t>
      </w:r>
      <w:r>
        <w:t>1.3</w:t>
      </w:r>
      <w:r w:rsidRPr="00B43840">
        <w:t> billion in 2023</w:t>
      </w:r>
      <w:r w:rsidRPr="00B43840">
        <w:noBreakHyphen/>
        <w:t>24</w:t>
      </w:r>
      <w:r w:rsidRPr="002F7C4E">
        <w:t xml:space="preserve"> </w:t>
      </w:r>
      <w:r w:rsidRPr="00B43840">
        <w:t>(Table </w:t>
      </w:r>
      <w:r>
        <w:t>3.3</w:t>
      </w:r>
      <w:r w:rsidRPr="00B43840">
        <w:t>).</w:t>
      </w:r>
    </w:p>
    <w:p w14:paraId="3E019593" w14:textId="77777777" w:rsidR="008D6F13" w:rsidRDefault="008D6F13" w:rsidP="008D6F13">
      <w:pPr>
        <w:pStyle w:val="TableHeading"/>
      </w:pPr>
      <w:r>
        <w:t xml:space="preserve">Table 3.3: </w:t>
      </w:r>
      <w:r>
        <w:tab/>
        <w:t xml:space="preserve">Reconciliation of estimates to the </w:t>
      </w:r>
      <w:r w:rsidRPr="004C1A36">
        <w:rPr>
          <w:i/>
          <w:iCs/>
        </w:rPr>
        <w:t>2021-22 Budget</w:t>
      </w:r>
      <w:r>
        <w:t xml:space="preserve"> </w:t>
      </w:r>
      <w:r w:rsidRPr="00453B53">
        <w:rPr>
          <w:vertAlign w:val="superscript"/>
        </w:rPr>
        <w:t>(a)</w:t>
      </w:r>
      <w:r>
        <w:t xml:space="preserve"> </w:t>
      </w:r>
      <w:r>
        <w:tab/>
        <w:t>($ million)</w:t>
      </w:r>
    </w:p>
    <w:tbl>
      <w:tblPr>
        <w:tblStyle w:val="DTFTableNumeric"/>
        <w:tblW w:w="7710" w:type="dxa"/>
        <w:tblLayout w:type="fixed"/>
        <w:tblLook w:val="06A0" w:firstRow="1" w:lastRow="0" w:firstColumn="1" w:lastColumn="0" w:noHBand="1" w:noVBand="1"/>
      </w:tblPr>
      <w:tblGrid>
        <w:gridCol w:w="4534"/>
        <w:gridCol w:w="794"/>
        <w:gridCol w:w="794"/>
        <w:gridCol w:w="794"/>
        <w:gridCol w:w="794"/>
      </w:tblGrid>
      <w:tr w:rsidR="008D6F13" w14:paraId="4CFCCE50"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Borders>
              <w:top w:val="single" w:sz="0" w:space="0" w:color="auto"/>
            </w:tcBorders>
          </w:tcPr>
          <w:p w14:paraId="5DD3EB16" w14:textId="6073F0D4" w:rsidR="008D6F13" w:rsidRDefault="008D6F13" w:rsidP="0031078F"/>
        </w:tc>
        <w:tc>
          <w:tcPr>
            <w:tcW w:w="794" w:type="dxa"/>
            <w:tcBorders>
              <w:top w:val="single" w:sz="0" w:space="0" w:color="auto"/>
            </w:tcBorders>
          </w:tcPr>
          <w:p w14:paraId="25EE9E29"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 revised</w:t>
            </w:r>
          </w:p>
        </w:tc>
        <w:tc>
          <w:tcPr>
            <w:tcW w:w="794" w:type="dxa"/>
            <w:tcBorders>
              <w:top w:val="single" w:sz="0" w:space="0" w:color="auto"/>
            </w:tcBorders>
          </w:tcPr>
          <w:p w14:paraId="4E364557"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 estimate</w:t>
            </w:r>
          </w:p>
        </w:tc>
        <w:tc>
          <w:tcPr>
            <w:tcW w:w="794" w:type="dxa"/>
            <w:tcBorders>
              <w:top w:val="single" w:sz="0" w:space="0" w:color="auto"/>
            </w:tcBorders>
          </w:tcPr>
          <w:p w14:paraId="130EE829"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 estimate</w:t>
            </w:r>
          </w:p>
        </w:tc>
        <w:tc>
          <w:tcPr>
            <w:tcW w:w="794" w:type="dxa"/>
            <w:tcBorders>
              <w:top w:val="single" w:sz="0" w:space="0" w:color="auto"/>
            </w:tcBorders>
          </w:tcPr>
          <w:p w14:paraId="3DED204C"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 estimate</w:t>
            </w:r>
          </w:p>
        </w:tc>
      </w:tr>
      <w:tr w:rsidR="008D6F13" w14:paraId="135E4D0F"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1983B093" w14:textId="77777777" w:rsidR="008D6F13" w:rsidRDefault="008D6F13" w:rsidP="0031078F">
            <w:r>
              <w:rPr>
                <w:b/>
              </w:rPr>
              <w:t xml:space="preserve">Net result from transactions: </w:t>
            </w:r>
            <w:r>
              <w:rPr>
                <w:b/>
                <w:i/>
              </w:rPr>
              <w:t>2021</w:t>
            </w:r>
            <w:r>
              <w:rPr>
                <w:b/>
                <w:i/>
              </w:rPr>
              <w:noBreakHyphen/>
              <w:t>22 Budget</w:t>
            </w:r>
          </w:p>
        </w:tc>
        <w:tc>
          <w:tcPr>
            <w:tcW w:w="794" w:type="dxa"/>
          </w:tcPr>
          <w:p w14:paraId="6C19C54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(11 624)</w:t>
            </w:r>
          </w:p>
        </w:tc>
        <w:tc>
          <w:tcPr>
            <w:tcW w:w="794" w:type="dxa"/>
          </w:tcPr>
          <w:p w14:paraId="33B11DE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(3 837)</w:t>
            </w:r>
          </w:p>
        </w:tc>
        <w:tc>
          <w:tcPr>
            <w:tcW w:w="794" w:type="dxa"/>
          </w:tcPr>
          <w:p w14:paraId="2CD46E3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(2 106)</w:t>
            </w:r>
          </w:p>
        </w:tc>
        <w:tc>
          <w:tcPr>
            <w:tcW w:w="794" w:type="dxa"/>
          </w:tcPr>
          <w:p w14:paraId="6C94611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(2 085)</w:t>
            </w:r>
          </w:p>
        </w:tc>
      </w:tr>
      <w:tr w:rsidR="008D6F13" w14:paraId="2AF6CEAE"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23BF02DB" w14:textId="77777777" w:rsidR="008D6F13" w:rsidRDefault="008D6F13" w:rsidP="0031078F">
            <w:r>
              <w:rPr>
                <w:b/>
              </w:rPr>
              <w:t>Policy variations</w:t>
            </w:r>
          </w:p>
        </w:tc>
        <w:tc>
          <w:tcPr>
            <w:tcW w:w="794" w:type="dxa"/>
          </w:tcPr>
          <w:p w14:paraId="71DD4D3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1E7557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2C7DD5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88394F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78D54C7C"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5963A1DB" w14:textId="77777777" w:rsidR="008D6F13" w:rsidRDefault="008D6F13" w:rsidP="0031078F">
            <w:r>
              <w:t xml:space="preserve">   Revenue policy initiatives </w:t>
            </w:r>
          </w:p>
        </w:tc>
        <w:tc>
          <w:tcPr>
            <w:tcW w:w="794" w:type="dxa"/>
          </w:tcPr>
          <w:p w14:paraId="5E4534A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0030D8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02A690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60C16D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3D10626B"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29E42018" w14:textId="77777777" w:rsidR="008D6F13" w:rsidRDefault="008D6F13" w:rsidP="0031078F">
            <w:r>
              <w:t xml:space="preserve">   Output policy initiatives </w:t>
            </w:r>
            <w:r>
              <w:rPr>
                <w:vertAlign w:val="superscript"/>
              </w:rPr>
              <w:t>(b)</w:t>
            </w:r>
          </w:p>
        </w:tc>
        <w:tc>
          <w:tcPr>
            <w:tcW w:w="794" w:type="dxa"/>
            <w:tcBorders>
              <w:bottom w:val="single" w:sz="6" w:space="0" w:color="auto"/>
            </w:tcBorders>
          </w:tcPr>
          <w:p w14:paraId="2FAFF3B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(7 463)</w:t>
            </w:r>
          </w:p>
        </w:tc>
        <w:tc>
          <w:tcPr>
            <w:tcW w:w="794" w:type="dxa"/>
            <w:tcBorders>
              <w:bottom w:val="single" w:sz="6" w:space="0" w:color="auto"/>
            </w:tcBorders>
          </w:tcPr>
          <w:p w14:paraId="0C247EE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(342)</w:t>
            </w:r>
          </w:p>
        </w:tc>
        <w:tc>
          <w:tcPr>
            <w:tcW w:w="794" w:type="dxa"/>
            <w:tcBorders>
              <w:bottom w:val="single" w:sz="6" w:space="0" w:color="auto"/>
            </w:tcBorders>
          </w:tcPr>
          <w:p w14:paraId="6F25473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(126)</w:t>
            </w:r>
          </w:p>
        </w:tc>
        <w:tc>
          <w:tcPr>
            <w:tcW w:w="794" w:type="dxa"/>
            <w:tcBorders>
              <w:bottom w:val="single" w:sz="6" w:space="0" w:color="auto"/>
            </w:tcBorders>
          </w:tcPr>
          <w:p w14:paraId="04293CD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w:t>
            </w:r>
          </w:p>
        </w:tc>
      </w:tr>
      <w:tr w:rsidR="008D6F13" w14:paraId="34C045D5"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389C79F0" w14:textId="77777777" w:rsidR="008D6F13" w:rsidRDefault="008D6F13" w:rsidP="0031078F"/>
        </w:tc>
        <w:tc>
          <w:tcPr>
            <w:tcW w:w="794" w:type="dxa"/>
            <w:tcBorders>
              <w:top w:val="single" w:sz="6" w:space="0" w:color="auto"/>
            </w:tcBorders>
          </w:tcPr>
          <w:p w14:paraId="65FEC89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(7 463)</w:t>
            </w:r>
          </w:p>
        </w:tc>
        <w:tc>
          <w:tcPr>
            <w:tcW w:w="794" w:type="dxa"/>
            <w:tcBorders>
              <w:top w:val="single" w:sz="6" w:space="0" w:color="auto"/>
            </w:tcBorders>
          </w:tcPr>
          <w:p w14:paraId="7A6187D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(342)</w:t>
            </w:r>
          </w:p>
        </w:tc>
        <w:tc>
          <w:tcPr>
            <w:tcW w:w="794" w:type="dxa"/>
            <w:tcBorders>
              <w:top w:val="single" w:sz="6" w:space="0" w:color="auto"/>
            </w:tcBorders>
          </w:tcPr>
          <w:p w14:paraId="0AA443A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(126)</w:t>
            </w:r>
          </w:p>
        </w:tc>
        <w:tc>
          <w:tcPr>
            <w:tcW w:w="794" w:type="dxa"/>
            <w:tcBorders>
              <w:top w:val="single" w:sz="6" w:space="0" w:color="auto"/>
            </w:tcBorders>
          </w:tcPr>
          <w:p w14:paraId="5AC438B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w:t>
            </w:r>
          </w:p>
        </w:tc>
      </w:tr>
      <w:tr w:rsidR="008D6F13" w14:paraId="0B6DF19B"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4F43BA32" w14:textId="77777777" w:rsidR="008D6F13" w:rsidRDefault="008D6F13" w:rsidP="0031078F">
            <w:r>
              <w:rPr>
                <w:b/>
              </w:rPr>
              <w:t>Economic/demographic variations</w:t>
            </w:r>
          </w:p>
        </w:tc>
        <w:tc>
          <w:tcPr>
            <w:tcW w:w="794" w:type="dxa"/>
          </w:tcPr>
          <w:p w14:paraId="744AE46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82863B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086FEE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5EEF65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3A7B7740"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13DA740B" w14:textId="77777777" w:rsidR="008D6F13" w:rsidRDefault="008D6F13" w:rsidP="0031078F">
            <w:r>
              <w:t xml:space="preserve">   Taxation</w:t>
            </w:r>
          </w:p>
        </w:tc>
        <w:tc>
          <w:tcPr>
            <w:tcW w:w="794" w:type="dxa"/>
          </w:tcPr>
          <w:p w14:paraId="3EA28E5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407</w:t>
            </w:r>
          </w:p>
        </w:tc>
        <w:tc>
          <w:tcPr>
            <w:tcW w:w="794" w:type="dxa"/>
          </w:tcPr>
          <w:p w14:paraId="7D3B1F8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399</w:t>
            </w:r>
          </w:p>
        </w:tc>
        <w:tc>
          <w:tcPr>
            <w:tcW w:w="794" w:type="dxa"/>
          </w:tcPr>
          <w:p w14:paraId="6035774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(79)</w:t>
            </w:r>
          </w:p>
        </w:tc>
        <w:tc>
          <w:tcPr>
            <w:tcW w:w="794" w:type="dxa"/>
          </w:tcPr>
          <w:p w14:paraId="7E2DB4B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(148)</w:t>
            </w:r>
          </w:p>
        </w:tc>
      </w:tr>
      <w:tr w:rsidR="008D6F13" w14:paraId="6447B681"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2D9A9BE8" w14:textId="77777777" w:rsidR="008D6F13" w:rsidRDefault="008D6F13" w:rsidP="0031078F">
            <w:r>
              <w:t xml:space="preserve">   Investment income </w:t>
            </w:r>
            <w:r>
              <w:rPr>
                <w:vertAlign w:val="superscript"/>
              </w:rPr>
              <w:t>(c)</w:t>
            </w:r>
          </w:p>
        </w:tc>
        <w:tc>
          <w:tcPr>
            <w:tcW w:w="794" w:type="dxa"/>
            <w:tcBorders>
              <w:bottom w:val="single" w:sz="6" w:space="0" w:color="auto"/>
            </w:tcBorders>
          </w:tcPr>
          <w:p w14:paraId="1F5BDBF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w:t>
            </w:r>
          </w:p>
        </w:tc>
        <w:tc>
          <w:tcPr>
            <w:tcW w:w="794" w:type="dxa"/>
            <w:tcBorders>
              <w:bottom w:val="single" w:sz="6" w:space="0" w:color="auto"/>
            </w:tcBorders>
          </w:tcPr>
          <w:p w14:paraId="22124D8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(66)</w:t>
            </w:r>
          </w:p>
        </w:tc>
        <w:tc>
          <w:tcPr>
            <w:tcW w:w="794" w:type="dxa"/>
            <w:tcBorders>
              <w:bottom w:val="single" w:sz="6" w:space="0" w:color="auto"/>
            </w:tcBorders>
          </w:tcPr>
          <w:p w14:paraId="3335E44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w:t>
            </w:r>
          </w:p>
        </w:tc>
        <w:tc>
          <w:tcPr>
            <w:tcW w:w="794" w:type="dxa"/>
            <w:tcBorders>
              <w:bottom w:val="single" w:sz="6" w:space="0" w:color="auto"/>
            </w:tcBorders>
          </w:tcPr>
          <w:p w14:paraId="358256C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61</w:t>
            </w:r>
          </w:p>
        </w:tc>
      </w:tr>
      <w:tr w:rsidR="008D6F13" w14:paraId="5DE55B25"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2E316521" w14:textId="77777777" w:rsidR="008D6F13" w:rsidRDefault="008D6F13" w:rsidP="0031078F"/>
        </w:tc>
        <w:tc>
          <w:tcPr>
            <w:tcW w:w="794" w:type="dxa"/>
            <w:tcBorders>
              <w:top w:val="single" w:sz="6" w:space="0" w:color="auto"/>
            </w:tcBorders>
          </w:tcPr>
          <w:p w14:paraId="38017CE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411</w:t>
            </w:r>
          </w:p>
        </w:tc>
        <w:tc>
          <w:tcPr>
            <w:tcW w:w="794" w:type="dxa"/>
            <w:tcBorders>
              <w:top w:val="single" w:sz="6" w:space="0" w:color="auto"/>
            </w:tcBorders>
          </w:tcPr>
          <w:p w14:paraId="2C21828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333</w:t>
            </w:r>
          </w:p>
        </w:tc>
        <w:tc>
          <w:tcPr>
            <w:tcW w:w="794" w:type="dxa"/>
            <w:tcBorders>
              <w:top w:val="single" w:sz="6" w:space="0" w:color="auto"/>
            </w:tcBorders>
          </w:tcPr>
          <w:p w14:paraId="1C9A7D3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(84)</w:t>
            </w:r>
          </w:p>
        </w:tc>
        <w:tc>
          <w:tcPr>
            <w:tcW w:w="794" w:type="dxa"/>
            <w:tcBorders>
              <w:top w:val="single" w:sz="6" w:space="0" w:color="auto"/>
            </w:tcBorders>
          </w:tcPr>
          <w:p w14:paraId="6DC29BF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(87)</w:t>
            </w:r>
          </w:p>
        </w:tc>
      </w:tr>
      <w:tr w:rsidR="008D6F13" w14:paraId="0FD012CD"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42E6782D" w14:textId="77777777" w:rsidR="008D6F13" w:rsidRDefault="008D6F13" w:rsidP="0031078F">
            <w:r>
              <w:rPr>
                <w:b/>
              </w:rPr>
              <w:t>Commonwealth grant variations</w:t>
            </w:r>
          </w:p>
        </w:tc>
        <w:tc>
          <w:tcPr>
            <w:tcW w:w="794" w:type="dxa"/>
          </w:tcPr>
          <w:p w14:paraId="1E9D391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0A483B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25E0B8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CEDF4A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4537FE41"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3C6DEB4F" w14:textId="77777777" w:rsidR="008D6F13" w:rsidRDefault="008D6F13" w:rsidP="0031078F">
            <w:r>
              <w:t xml:space="preserve">   General purpose grants</w:t>
            </w:r>
          </w:p>
        </w:tc>
        <w:tc>
          <w:tcPr>
            <w:tcW w:w="794" w:type="dxa"/>
          </w:tcPr>
          <w:p w14:paraId="5FE90F5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264</w:t>
            </w:r>
          </w:p>
        </w:tc>
        <w:tc>
          <w:tcPr>
            <w:tcW w:w="794" w:type="dxa"/>
          </w:tcPr>
          <w:p w14:paraId="0AFD533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(499)</w:t>
            </w:r>
          </w:p>
        </w:tc>
        <w:tc>
          <w:tcPr>
            <w:tcW w:w="794" w:type="dxa"/>
          </w:tcPr>
          <w:p w14:paraId="336D648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(536)</w:t>
            </w:r>
          </w:p>
        </w:tc>
        <w:tc>
          <w:tcPr>
            <w:tcW w:w="794" w:type="dxa"/>
          </w:tcPr>
          <w:p w14:paraId="06B768B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(45)</w:t>
            </w:r>
          </w:p>
        </w:tc>
      </w:tr>
      <w:tr w:rsidR="008D6F13" w14:paraId="4597074F"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1021E70C" w14:textId="77777777" w:rsidR="008D6F13" w:rsidRDefault="008D6F13" w:rsidP="0031078F">
            <w:r>
              <w:t xml:space="preserve">   Specific purpose grants </w:t>
            </w:r>
            <w:r>
              <w:rPr>
                <w:vertAlign w:val="superscript"/>
              </w:rPr>
              <w:t>(d)</w:t>
            </w:r>
          </w:p>
        </w:tc>
        <w:tc>
          <w:tcPr>
            <w:tcW w:w="794" w:type="dxa"/>
            <w:tcBorders>
              <w:bottom w:val="single" w:sz="6" w:space="0" w:color="auto"/>
            </w:tcBorders>
          </w:tcPr>
          <w:p w14:paraId="7FA96C4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(217)</w:t>
            </w:r>
          </w:p>
        </w:tc>
        <w:tc>
          <w:tcPr>
            <w:tcW w:w="794" w:type="dxa"/>
            <w:tcBorders>
              <w:bottom w:val="single" w:sz="6" w:space="0" w:color="auto"/>
            </w:tcBorders>
          </w:tcPr>
          <w:p w14:paraId="21AB02F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w:t>
            </w:r>
          </w:p>
        </w:tc>
        <w:tc>
          <w:tcPr>
            <w:tcW w:w="794" w:type="dxa"/>
            <w:tcBorders>
              <w:bottom w:val="single" w:sz="6" w:space="0" w:color="auto"/>
            </w:tcBorders>
          </w:tcPr>
          <w:p w14:paraId="389D48E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38</w:t>
            </w:r>
          </w:p>
        </w:tc>
        <w:tc>
          <w:tcPr>
            <w:tcW w:w="794" w:type="dxa"/>
            <w:tcBorders>
              <w:bottom w:val="single" w:sz="6" w:space="0" w:color="auto"/>
            </w:tcBorders>
          </w:tcPr>
          <w:p w14:paraId="0502558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109</w:t>
            </w:r>
          </w:p>
        </w:tc>
      </w:tr>
      <w:tr w:rsidR="008D6F13" w14:paraId="73C5BF86"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4E004C8C" w14:textId="77777777" w:rsidR="008D6F13" w:rsidRDefault="008D6F13" w:rsidP="0031078F"/>
        </w:tc>
        <w:tc>
          <w:tcPr>
            <w:tcW w:w="794" w:type="dxa"/>
            <w:tcBorders>
              <w:top w:val="single" w:sz="6" w:space="0" w:color="auto"/>
            </w:tcBorders>
          </w:tcPr>
          <w:p w14:paraId="7C85717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47</w:t>
            </w:r>
          </w:p>
        </w:tc>
        <w:tc>
          <w:tcPr>
            <w:tcW w:w="794" w:type="dxa"/>
            <w:tcBorders>
              <w:top w:val="single" w:sz="6" w:space="0" w:color="auto"/>
            </w:tcBorders>
          </w:tcPr>
          <w:p w14:paraId="265E136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(482)</w:t>
            </w:r>
          </w:p>
        </w:tc>
        <w:tc>
          <w:tcPr>
            <w:tcW w:w="794" w:type="dxa"/>
            <w:tcBorders>
              <w:top w:val="single" w:sz="6" w:space="0" w:color="auto"/>
            </w:tcBorders>
          </w:tcPr>
          <w:p w14:paraId="021B535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(498)</w:t>
            </w:r>
          </w:p>
        </w:tc>
        <w:tc>
          <w:tcPr>
            <w:tcW w:w="794" w:type="dxa"/>
            <w:tcBorders>
              <w:top w:val="single" w:sz="6" w:space="0" w:color="auto"/>
            </w:tcBorders>
          </w:tcPr>
          <w:p w14:paraId="6D58691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64</w:t>
            </w:r>
          </w:p>
        </w:tc>
      </w:tr>
      <w:tr w:rsidR="008D6F13" w14:paraId="59E7DAD5"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045172CA" w14:textId="77777777" w:rsidR="008D6F13" w:rsidRDefault="008D6F13" w:rsidP="0031078F">
            <w:r>
              <w:rPr>
                <w:b/>
              </w:rPr>
              <w:t>Administrative variations</w:t>
            </w:r>
          </w:p>
        </w:tc>
        <w:tc>
          <w:tcPr>
            <w:tcW w:w="794" w:type="dxa"/>
          </w:tcPr>
          <w:p w14:paraId="43AD73A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03A469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6B43F1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BE6376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4235395F"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2EC2FF9C" w14:textId="77777777" w:rsidR="008D6F13" w:rsidRDefault="008D6F13" w:rsidP="0031078F">
            <w:r>
              <w:t xml:space="preserve">   Contingency offset for new policy initiatives </w:t>
            </w:r>
            <w:r>
              <w:rPr>
                <w:vertAlign w:val="superscript"/>
              </w:rPr>
              <w:t>(e)</w:t>
            </w:r>
          </w:p>
        </w:tc>
        <w:tc>
          <w:tcPr>
            <w:tcW w:w="794" w:type="dxa"/>
          </w:tcPr>
          <w:p w14:paraId="09D4E28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703539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5AAE66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855E4B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606DCA0D"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0EE6BE04" w14:textId="77777777" w:rsidR="008D6F13" w:rsidRDefault="008D6F13" w:rsidP="0031078F">
            <w:r>
              <w:t xml:space="preserve">   Other administrative variations</w:t>
            </w:r>
          </w:p>
        </w:tc>
        <w:tc>
          <w:tcPr>
            <w:tcW w:w="794" w:type="dxa"/>
            <w:tcBorders>
              <w:bottom w:val="single" w:sz="6" w:space="0" w:color="auto"/>
            </w:tcBorders>
          </w:tcPr>
          <w:p w14:paraId="4514646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(909)</w:t>
            </w:r>
          </w:p>
        </w:tc>
        <w:tc>
          <w:tcPr>
            <w:tcW w:w="794" w:type="dxa"/>
            <w:tcBorders>
              <w:bottom w:val="single" w:sz="6" w:space="0" w:color="auto"/>
            </w:tcBorders>
          </w:tcPr>
          <w:p w14:paraId="3A5C080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(948)</w:t>
            </w:r>
          </w:p>
        </w:tc>
        <w:tc>
          <w:tcPr>
            <w:tcW w:w="794" w:type="dxa"/>
            <w:tcBorders>
              <w:bottom w:val="single" w:sz="6" w:space="0" w:color="auto"/>
            </w:tcBorders>
          </w:tcPr>
          <w:p w14:paraId="77ABC04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(633)</w:t>
            </w:r>
          </w:p>
        </w:tc>
        <w:tc>
          <w:tcPr>
            <w:tcW w:w="794" w:type="dxa"/>
            <w:tcBorders>
              <w:bottom w:val="single" w:sz="6" w:space="0" w:color="auto"/>
            </w:tcBorders>
          </w:tcPr>
          <w:p w14:paraId="12FBC97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w:t>
            </w:r>
          </w:p>
        </w:tc>
      </w:tr>
      <w:tr w:rsidR="008D6F13" w14:paraId="081E4B3F"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6EED4869" w14:textId="77777777" w:rsidR="008D6F13" w:rsidRDefault="008D6F13" w:rsidP="0031078F"/>
        </w:tc>
        <w:tc>
          <w:tcPr>
            <w:tcW w:w="794" w:type="dxa"/>
            <w:tcBorders>
              <w:top w:val="single" w:sz="6" w:space="0" w:color="auto"/>
            </w:tcBorders>
          </w:tcPr>
          <w:p w14:paraId="1FFFCF5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(909)</w:t>
            </w:r>
          </w:p>
        </w:tc>
        <w:tc>
          <w:tcPr>
            <w:tcW w:w="794" w:type="dxa"/>
            <w:tcBorders>
              <w:top w:val="single" w:sz="6" w:space="0" w:color="auto"/>
            </w:tcBorders>
          </w:tcPr>
          <w:p w14:paraId="33C3204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(948)</w:t>
            </w:r>
          </w:p>
        </w:tc>
        <w:tc>
          <w:tcPr>
            <w:tcW w:w="794" w:type="dxa"/>
            <w:tcBorders>
              <w:top w:val="single" w:sz="6" w:space="0" w:color="auto"/>
            </w:tcBorders>
          </w:tcPr>
          <w:p w14:paraId="5FBA9A3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(633)</w:t>
            </w:r>
          </w:p>
        </w:tc>
        <w:tc>
          <w:tcPr>
            <w:tcW w:w="794" w:type="dxa"/>
            <w:tcBorders>
              <w:top w:val="single" w:sz="6" w:space="0" w:color="auto"/>
            </w:tcBorders>
          </w:tcPr>
          <w:p w14:paraId="14BBEA7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w:t>
            </w:r>
          </w:p>
        </w:tc>
      </w:tr>
      <w:tr w:rsidR="008D6F13" w14:paraId="48294AFD" w14:textId="77777777" w:rsidTr="0031078F">
        <w:trPr>
          <w:trHeight w:hRule="exact" w:val="113"/>
        </w:trPr>
        <w:tc>
          <w:tcPr>
            <w:cnfStyle w:val="001000000000" w:firstRow="0" w:lastRow="0" w:firstColumn="1" w:lastColumn="0" w:oddVBand="0" w:evenVBand="0" w:oddHBand="0" w:evenHBand="0" w:firstRowFirstColumn="0" w:firstRowLastColumn="0" w:lastRowFirstColumn="0" w:lastRowLastColumn="0"/>
            <w:tcW w:w="4534" w:type="dxa"/>
          </w:tcPr>
          <w:p w14:paraId="0D3960F8" w14:textId="77777777" w:rsidR="008D6F13" w:rsidRDefault="008D6F13" w:rsidP="0031078F"/>
        </w:tc>
        <w:tc>
          <w:tcPr>
            <w:tcW w:w="794" w:type="dxa"/>
          </w:tcPr>
          <w:p w14:paraId="6D49BC9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0D4FD6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609CE0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130CCB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32FE5A4D"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732E9796" w14:textId="77777777" w:rsidR="008D6F13" w:rsidRDefault="008D6F13" w:rsidP="0031078F">
            <w:r>
              <w:rPr>
                <w:b/>
              </w:rPr>
              <w:t xml:space="preserve">Total variation since </w:t>
            </w:r>
            <w:r>
              <w:rPr>
                <w:b/>
                <w:i/>
              </w:rPr>
              <w:t>2021</w:t>
            </w:r>
            <w:r>
              <w:rPr>
                <w:b/>
                <w:i/>
              </w:rPr>
              <w:noBreakHyphen/>
              <w:t>22 Budget</w:t>
            </w:r>
          </w:p>
        </w:tc>
        <w:tc>
          <w:tcPr>
            <w:tcW w:w="794" w:type="dxa"/>
            <w:tcBorders>
              <w:bottom w:val="single" w:sz="6" w:space="0" w:color="auto"/>
            </w:tcBorders>
          </w:tcPr>
          <w:p w14:paraId="5D7A4C5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(7 915)</w:t>
            </w:r>
          </w:p>
        </w:tc>
        <w:tc>
          <w:tcPr>
            <w:tcW w:w="794" w:type="dxa"/>
            <w:tcBorders>
              <w:bottom w:val="single" w:sz="6" w:space="0" w:color="auto"/>
            </w:tcBorders>
          </w:tcPr>
          <w:p w14:paraId="37CF0FA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(1 440)</w:t>
            </w:r>
          </w:p>
        </w:tc>
        <w:tc>
          <w:tcPr>
            <w:tcW w:w="794" w:type="dxa"/>
            <w:tcBorders>
              <w:bottom w:val="single" w:sz="6" w:space="0" w:color="auto"/>
            </w:tcBorders>
          </w:tcPr>
          <w:p w14:paraId="1D984B0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(1 341)</w:t>
            </w:r>
          </w:p>
        </w:tc>
        <w:tc>
          <w:tcPr>
            <w:tcW w:w="794" w:type="dxa"/>
            <w:tcBorders>
              <w:bottom w:val="single" w:sz="6" w:space="0" w:color="auto"/>
            </w:tcBorders>
          </w:tcPr>
          <w:p w14:paraId="7683A28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(21)</w:t>
            </w:r>
          </w:p>
        </w:tc>
      </w:tr>
      <w:tr w:rsidR="008D6F13" w14:paraId="167D8A1B"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62DB063A" w14:textId="77777777" w:rsidR="008D6F13" w:rsidRDefault="008D6F13" w:rsidP="0031078F">
            <w:r>
              <w:rPr>
                <w:b/>
              </w:rPr>
              <w:t xml:space="preserve">Net result from transactions: </w:t>
            </w:r>
            <w:r>
              <w:rPr>
                <w:b/>
                <w:i/>
              </w:rPr>
              <w:t>2021</w:t>
            </w:r>
            <w:r>
              <w:rPr>
                <w:b/>
                <w:i/>
              </w:rPr>
              <w:noBreakHyphen/>
              <w:t>22 Budget Update</w:t>
            </w:r>
          </w:p>
        </w:tc>
        <w:tc>
          <w:tcPr>
            <w:tcW w:w="794" w:type="dxa"/>
          </w:tcPr>
          <w:p w14:paraId="078AB92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(19 538)</w:t>
            </w:r>
          </w:p>
        </w:tc>
        <w:tc>
          <w:tcPr>
            <w:tcW w:w="794" w:type="dxa"/>
          </w:tcPr>
          <w:p w14:paraId="6FED33E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(5 276)</w:t>
            </w:r>
          </w:p>
        </w:tc>
        <w:tc>
          <w:tcPr>
            <w:tcW w:w="794" w:type="dxa"/>
          </w:tcPr>
          <w:p w14:paraId="79EDFE7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(3 447)</w:t>
            </w:r>
          </w:p>
        </w:tc>
        <w:tc>
          <w:tcPr>
            <w:tcW w:w="794" w:type="dxa"/>
          </w:tcPr>
          <w:p w14:paraId="3A48D0C3" w14:textId="3ED08465"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(2 105)</w:t>
            </w:r>
          </w:p>
        </w:tc>
      </w:tr>
    </w:tbl>
    <w:p w14:paraId="6927E94D" w14:textId="77777777" w:rsidR="008D6F13" w:rsidRPr="00991654" w:rsidRDefault="008D6F13" w:rsidP="008D6F13">
      <w:pPr>
        <w:pStyle w:val="Source"/>
      </w:pPr>
      <w:r w:rsidRPr="00991654">
        <w:t>Source: Department of Treasury and Finance</w:t>
      </w:r>
    </w:p>
    <w:p w14:paraId="3B2E115B" w14:textId="77777777" w:rsidR="008D6F13" w:rsidRPr="0099654B" w:rsidRDefault="008D6F13" w:rsidP="008D6F13">
      <w:pPr>
        <w:pStyle w:val="Note"/>
      </w:pPr>
      <w:r w:rsidRPr="0099654B">
        <w:t>Notes:</w:t>
      </w:r>
    </w:p>
    <w:p w14:paraId="715C967D" w14:textId="77777777" w:rsidR="008D6F13" w:rsidRDefault="008D6F13" w:rsidP="008D6F13">
      <w:pPr>
        <w:pStyle w:val="Note"/>
      </w:pPr>
      <w:r w:rsidRPr="0099654B">
        <w:t xml:space="preserve">(a) </w:t>
      </w:r>
      <w:r w:rsidRPr="0099654B">
        <w:tab/>
        <w:t>Figures in this table are subject to rounding to the nearest</w:t>
      </w:r>
      <w:r>
        <w:t> million</w:t>
      </w:r>
      <w:r w:rsidRPr="0099654B">
        <w:t xml:space="preserve"> and may not add up to totals.</w:t>
      </w:r>
    </w:p>
    <w:p w14:paraId="08062FBA" w14:textId="77777777" w:rsidR="008D6F13" w:rsidRPr="00AC276B" w:rsidRDefault="008D6F13" w:rsidP="008D6F13">
      <w:pPr>
        <w:pStyle w:val="Note"/>
      </w:pPr>
      <w:r>
        <w:t>(b)</w:t>
      </w:r>
      <w:r>
        <w:tab/>
      </w:r>
      <w:r w:rsidRPr="0099654B">
        <w:t xml:space="preserve">This is </w:t>
      </w:r>
      <w:r w:rsidRPr="00AC276B">
        <w:t xml:space="preserve">represented in Table </w:t>
      </w:r>
      <w:r>
        <w:t>3.4</w:t>
      </w:r>
      <w:r w:rsidRPr="00AC276B">
        <w:t xml:space="preserve"> as the </w:t>
      </w:r>
      <w:r w:rsidRPr="00AC276B">
        <w:rPr>
          <w:i w:val="0"/>
          <w:iCs/>
        </w:rPr>
        <w:t>2021</w:t>
      </w:r>
      <w:r w:rsidRPr="00AC276B">
        <w:rPr>
          <w:i w:val="0"/>
          <w:iCs/>
        </w:rPr>
        <w:noBreakHyphen/>
        <w:t>22 Budget</w:t>
      </w:r>
      <w:r>
        <w:rPr>
          <w:i w:val="0"/>
          <w:iCs/>
        </w:rPr>
        <w:t xml:space="preserve"> Update</w:t>
      </w:r>
      <w:r w:rsidRPr="00AC276B">
        <w:t xml:space="preserve"> output policy initiatives.</w:t>
      </w:r>
    </w:p>
    <w:p w14:paraId="70619EDA" w14:textId="77777777" w:rsidR="008D6F13" w:rsidRDefault="008D6F13" w:rsidP="008D6F13">
      <w:pPr>
        <w:pStyle w:val="Note"/>
        <w:rPr>
          <w:highlight w:val="yellow"/>
        </w:rPr>
      </w:pPr>
      <w:r w:rsidRPr="00AC276B">
        <w:t>(</w:t>
      </w:r>
      <w:r>
        <w:t>c</w:t>
      </w:r>
      <w:r w:rsidRPr="00AC276B">
        <w:t>)</w:t>
      </w:r>
      <w:r w:rsidRPr="00AC276B">
        <w:tab/>
        <w:t>Comprises dividends and income tax</w:t>
      </w:r>
      <w:r w:rsidRPr="0099654B">
        <w:t xml:space="preserve"> and rate equivalent revenue.</w:t>
      </w:r>
      <w:r w:rsidRPr="0099654B">
        <w:rPr>
          <w:highlight w:val="yellow"/>
        </w:rPr>
        <w:t xml:space="preserve"> </w:t>
      </w:r>
    </w:p>
    <w:p w14:paraId="6C17F872" w14:textId="77777777" w:rsidR="008D6F13" w:rsidRPr="009A223A" w:rsidRDefault="008D6F13" w:rsidP="008D6F13">
      <w:pPr>
        <w:pStyle w:val="Note"/>
      </w:pPr>
      <w:r w:rsidRPr="0099654B">
        <w:t>(</w:t>
      </w:r>
      <w:r>
        <w:t>d</w:t>
      </w:r>
      <w:r w:rsidRPr="0099654B">
        <w:t>)</w:t>
      </w:r>
      <w:r w:rsidRPr="0099654B">
        <w:tab/>
        <w:t xml:space="preserve">Reflects the change in grant revenue as per </w:t>
      </w:r>
      <w:r w:rsidRPr="009A223A">
        <w:t xml:space="preserve">Note </w:t>
      </w:r>
      <w:r>
        <w:t>4.2.4 of</w:t>
      </w:r>
      <w:r w:rsidRPr="009A223A">
        <w:t xml:space="preserve"> Chapter</w:t>
      </w:r>
      <w:r>
        <w:t xml:space="preserve"> 4</w:t>
      </w:r>
      <w:r w:rsidRPr="009A223A">
        <w:t xml:space="preserve"> </w:t>
      </w:r>
      <w:r w:rsidRPr="009A223A">
        <w:rPr>
          <w:i w:val="0"/>
        </w:rPr>
        <w:t>Estimated Financial Statements</w:t>
      </w:r>
      <w:r>
        <w:rPr>
          <w:i w:val="0"/>
        </w:rPr>
        <w:t xml:space="preserve"> and notes</w:t>
      </w:r>
      <w:r w:rsidRPr="009A223A">
        <w:rPr>
          <w:i w:val="0"/>
        </w:rPr>
        <w:t xml:space="preserve"> </w:t>
      </w:r>
      <w:r w:rsidRPr="004B62AD">
        <w:rPr>
          <w:iCs/>
        </w:rPr>
        <w:t>for the general government sector</w:t>
      </w:r>
      <w:r w:rsidRPr="009A223A">
        <w:rPr>
          <w:i w:val="0"/>
        </w:rPr>
        <w:t xml:space="preserve"> </w:t>
      </w:r>
      <w:r w:rsidRPr="009A223A">
        <w:t>less associated expense movements.</w:t>
      </w:r>
    </w:p>
    <w:p w14:paraId="6EA312F0" w14:textId="77777777" w:rsidR="008D6F13" w:rsidRPr="004D536A" w:rsidRDefault="008D6F13" w:rsidP="008D6F13">
      <w:pPr>
        <w:pStyle w:val="Note"/>
      </w:pPr>
      <w:r w:rsidRPr="009A223A">
        <w:t>(</w:t>
      </w:r>
      <w:r>
        <w:t>e</w:t>
      </w:r>
      <w:r w:rsidRPr="009A223A">
        <w:t>)</w:t>
      </w:r>
      <w:r w:rsidRPr="009A223A">
        <w:tab/>
      </w:r>
      <w:r>
        <w:t xml:space="preserve">Represents releases from the funding not allocated to specific purposes contingency included in the </w:t>
      </w:r>
      <w:r w:rsidRPr="00D67B67">
        <w:rPr>
          <w:i w:val="0"/>
          <w:iCs/>
        </w:rPr>
        <w:t>2021-22 Budget</w:t>
      </w:r>
      <w:r>
        <w:t xml:space="preserve">. Further information on total output contingencies can be found at Note 4.3.5 of Chapter 4 </w:t>
      </w:r>
      <w:r w:rsidRPr="004B62AD">
        <w:rPr>
          <w:i w:val="0"/>
          <w:iCs/>
        </w:rPr>
        <w:t>Estimated Financial Statements and notes</w:t>
      </w:r>
      <w:r>
        <w:t>.</w:t>
      </w:r>
    </w:p>
    <w:p w14:paraId="011A8630" w14:textId="77777777" w:rsidR="008D6F13" w:rsidRPr="004C1A36" w:rsidRDefault="008D6F13" w:rsidP="008D6F13">
      <w:pPr>
        <w:keepLines w:val="0"/>
      </w:pPr>
      <w:r w:rsidRPr="004C1A36">
        <w:br w:type="page"/>
      </w:r>
    </w:p>
    <w:p w14:paraId="719AA2CC" w14:textId="77777777" w:rsidR="008D6F13" w:rsidRDefault="008D6F13" w:rsidP="008D6F13">
      <w:pPr>
        <w:pStyle w:val="Heading30"/>
      </w:pPr>
      <w:r>
        <w:lastRenderedPageBreak/>
        <w:t>Policy variations</w:t>
      </w:r>
    </w:p>
    <w:p w14:paraId="54645143" w14:textId="77777777" w:rsidR="008D6F13" w:rsidRDefault="008D6F13" w:rsidP="008D6F13">
      <w:r w:rsidRPr="00131BEB">
        <w:t xml:space="preserve">Policy variations reflect specific initiatives by the Government that </w:t>
      </w:r>
      <w:r>
        <w:t xml:space="preserve">will </w:t>
      </w:r>
      <w:r w:rsidRPr="00131BEB">
        <w:t>have a</w:t>
      </w:r>
      <w:r>
        <w:t xml:space="preserve"> fiscal</w:t>
      </w:r>
      <w:r w:rsidRPr="00131BEB">
        <w:t xml:space="preserve"> impact o</w:t>
      </w:r>
      <w:r>
        <w:t>ver</w:t>
      </w:r>
      <w:r w:rsidRPr="00131BEB">
        <w:t xml:space="preserve"> the next four years and are related to a new policy or represent a change in the Government</w:t>
      </w:r>
      <w:r>
        <w:t>’</w:t>
      </w:r>
      <w:r w:rsidRPr="00131BEB">
        <w:t xml:space="preserve">s existing policy position since the </w:t>
      </w:r>
      <w:r>
        <w:rPr>
          <w:i/>
          <w:iCs/>
        </w:rPr>
        <w:t>2021-22 Budget</w:t>
      </w:r>
      <w:r w:rsidRPr="00131BEB">
        <w:t>.</w:t>
      </w:r>
    </w:p>
    <w:p w14:paraId="278E64F6" w14:textId="77777777" w:rsidR="008D6F13" w:rsidRDefault="008D6F13" w:rsidP="008D6F13">
      <w:r w:rsidRPr="0099704F">
        <w:t xml:space="preserve">The </w:t>
      </w:r>
      <w:r w:rsidRPr="0099704F">
        <w:rPr>
          <w:i/>
          <w:iCs/>
        </w:rPr>
        <w:t>2021</w:t>
      </w:r>
      <w:r w:rsidRPr="0099704F">
        <w:rPr>
          <w:i/>
          <w:iCs/>
        </w:rPr>
        <w:noBreakHyphen/>
        <w:t>22 Budget</w:t>
      </w:r>
      <w:r>
        <w:rPr>
          <w:i/>
          <w:iCs/>
        </w:rPr>
        <w:t xml:space="preserve"> Update</w:t>
      </w:r>
      <w:r w:rsidRPr="0099704F">
        <w:t xml:space="preserve"> funds $</w:t>
      </w:r>
      <w:r>
        <w:t>11.1</w:t>
      </w:r>
      <w:r w:rsidRPr="0099704F">
        <w:t> billion in new</w:t>
      </w:r>
      <w:r>
        <w:t xml:space="preserve"> output initiatives in 2021-22 and $11.7 billion over the four years to 2024</w:t>
      </w:r>
      <w:r w:rsidRPr="00131BEB">
        <w:rPr>
          <w:rFonts w:ascii="Times New Roman" w:hAnsi="Times New Roman" w:cs="Times New Roman"/>
        </w:rPr>
        <w:t>‑</w:t>
      </w:r>
      <w:r w:rsidRPr="00131BEB">
        <w:t>2</w:t>
      </w:r>
      <w:r>
        <w:t xml:space="preserve">5. Table 3.4 shows the impact of the </w:t>
      </w:r>
      <w:r w:rsidRPr="00A47783">
        <w:t>new output initiatives</w:t>
      </w:r>
      <w:r w:rsidRPr="002F7C4E">
        <w:t xml:space="preserve"> </w:t>
      </w:r>
      <w:r>
        <w:t>since the previous publication</w:t>
      </w:r>
      <w:r w:rsidRPr="00A47783">
        <w:t>.</w:t>
      </w:r>
    </w:p>
    <w:p w14:paraId="1CC4013E" w14:textId="77777777" w:rsidR="008D6F13" w:rsidRDefault="008D6F13" w:rsidP="008D6F13">
      <w:r>
        <w:t xml:space="preserve">Appendix A </w:t>
      </w:r>
      <w:r w:rsidRPr="00644EFD">
        <w:rPr>
          <w:i/>
          <w:iCs/>
        </w:rPr>
        <w:t xml:space="preserve">Specific policy initiatives affecting </w:t>
      </w:r>
      <w:r>
        <w:rPr>
          <w:i/>
          <w:iCs/>
        </w:rPr>
        <w:t xml:space="preserve">the </w:t>
      </w:r>
      <w:r w:rsidRPr="00644EFD">
        <w:rPr>
          <w:i/>
          <w:iCs/>
        </w:rPr>
        <w:t>budget position</w:t>
      </w:r>
      <w:r>
        <w:t xml:space="preserve"> details the specific new output policy initiatives.</w:t>
      </w:r>
    </w:p>
    <w:p w14:paraId="26707321" w14:textId="77777777" w:rsidR="008D6F13" w:rsidRDefault="008D6F13" w:rsidP="008D6F13">
      <w:pPr>
        <w:pStyle w:val="TableHeading"/>
      </w:pPr>
      <w:r>
        <w:t>Table 3.4:</w:t>
      </w:r>
      <w:r>
        <w:tab/>
        <w:t xml:space="preserve">Net impact of new output initiatives since the </w:t>
      </w:r>
      <w:r w:rsidRPr="003E7A30">
        <w:rPr>
          <w:i/>
          <w:iCs/>
        </w:rPr>
        <w:t>20</w:t>
      </w:r>
      <w:r>
        <w:rPr>
          <w:i/>
          <w:iCs/>
        </w:rPr>
        <w:t>21</w:t>
      </w:r>
      <w:r w:rsidRPr="003E7A30">
        <w:rPr>
          <w:i/>
          <w:iCs/>
        </w:rPr>
        <w:noBreakHyphen/>
        <w:t>2</w:t>
      </w:r>
      <w:r>
        <w:rPr>
          <w:i/>
          <w:iCs/>
        </w:rPr>
        <w:t>2</w:t>
      </w:r>
      <w:r w:rsidRPr="003E7A30">
        <w:rPr>
          <w:i/>
          <w:iCs/>
        </w:rPr>
        <w:t xml:space="preserve"> Budget</w:t>
      </w:r>
      <w:r>
        <w:t xml:space="preserve"> </w:t>
      </w:r>
      <w:r w:rsidRPr="003E7A30">
        <w:rPr>
          <w:vertAlign w:val="superscript"/>
        </w:rPr>
        <w:t>(a)</w:t>
      </w:r>
      <w:r>
        <w:t xml:space="preserve"> </w:t>
      </w:r>
      <w:r>
        <w:tab/>
        <w:t>($ million)</w:t>
      </w:r>
    </w:p>
    <w:tbl>
      <w:tblPr>
        <w:tblStyle w:val="DTFTableNumeric"/>
        <w:tblW w:w="7710" w:type="dxa"/>
        <w:tblLayout w:type="fixed"/>
        <w:tblLook w:val="06A0" w:firstRow="1" w:lastRow="0" w:firstColumn="1" w:lastColumn="0" w:noHBand="1" w:noVBand="1"/>
      </w:tblPr>
      <w:tblGrid>
        <w:gridCol w:w="4534"/>
        <w:gridCol w:w="794"/>
        <w:gridCol w:w="794"/>
        <w:gridCol w:w="794"/>
        <w:gridCol w:w="794"/>
      </w:tblGrid>
      <w:tr w:rsidR="008D6F13" w14:paraId="4DD59CFB"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42FD7707" w14:textId="3445C335" w:rsidR="008D6F13" w:rsidRDefault="008D6F13" w:rsidP="0031078F"/>
        </w:tc>
        <w:tc>
          <w:tcPr>
            <w:tcW w:w="794" w:type="dxa"/>
          </w:tcPr>
          <w:p w14:paraId="10CC30AC"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rPr>
                <w:i w:val="0"/>
              </w:rPr>
              <w:br/>
            </w:r>
            <w:r>
              <w:t>revised</w:t>
            </w:r>
          </w:p>
        </w:tc>
        <w:tc>
          <w:tcPr>
            <w:tcW w:w="794" w:type="dxa"/>
          </w:tcPr>
          <w:p w14:paraId="0473E3E5"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rPr>
                <w:i w:val="0"/>
              </w:rPr>
              <w:br/>
            </w:r>
            <w:r>
              <w:t>estimate</w:t>
            </w:r>
          </w:p>
        </w:tc>
        <w:tc>
          <w:tcPr>
            <w:tcW w:w="794" w:type="dxa"/>
          </w:tcPr>
          <w:p w14:paraId="6CFA7E83"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rPr>
                <w:i w:val="0"/>
              </w:rPr>
              <w:br/>
            </w:r>
            <w:r>
              <w:t>estimate</w:t>
            </w:r>
          </w:p>
        </w:tc>
        <w:tc>
          <w:tcPr>
            <w:tcW w:w="794" w:type="dxa"/>
          </w:tcPr>
          <w:p w14:paraId="60D45BE0"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rPr>
                <w:i w:val="0"/>
              </w:rPr>
              <w:br/>
            </w:r>
            <w:r>
              <w:t>estimate</w:t>
            </w:r>
          </w:p>
        </w:tc>
      </w:tr>
      <w:tr w:rsidR="008D6F13" w14:paraId="212ACF28"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16F425A6" w14:textId="77777777" w:rsidR="008D6F13" w:rsidRDefault="008D6F13" w:rsidP="0031078F">
            <w:r>
              <w:rPr>
                <w:b/>
              </w:rPr>
              <w:t>New output initiatives</w:t>
            </w:r>
          </w:p>
        </w:tc>
        <w:tc>
          <w:tcPr>
            <w:tcW w:w="794" w:type="dxa"/>
          </w:tcPr>
          <w:p w14:paraId="2F550A5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11 150</w:t>
            </w:r>
          </w:p>
        </w:tc>
        <w:tc>
          <w:tcPr>
            <w:tcW w:w="794" w:type="dxa"/>
          </w:tcPr>
          <w:p w14:paraId="6C79F4C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338</w:t>
            </w:r>
          </w:p>
        </w:tc>
        <w:tc>
          <w:tcPr>
            <w:tcW w:w="794" w:type="dxa"/>
          </w:tcPr>
          <w:p w14:paraId="1DAF91D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140</w:t>
            </w:r>
          </w:p>
        </w:tc>
        <w:tc>
          <w:tcPr>
            <w:tcW w:w="794" w:type="dxa"/>
          </w:tcPr>
          <w:p w14:paraId="7379C29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44</w:t>
            </w:r>
          </w:p>
        </w:tc>
      </w:tr>
      <w:tr w:rsidR="008D6F13" w14:paraId="37F3E25D"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025A0348" w14:textId="77777777" w:rsidR="008D6F13" w:rsidRDefault="008D6F13" w:rsidP="0031078F">
            <w:r>
              <w:t>Less:</w:t>
            </w:r>
          </w:p>
        </w:tc>
        <w:tc>
          <w:tcPr>
            <w:tcW w:w="794" w:type="dxa"/>
          </w:tcPr>
          <w:p w14:paraId="523C9B2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A18F14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9ECED9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1626CC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71D01EFF"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223FDBFC" w14:textId="77777777" w:rsidR="008D6F13" w:rsidRDefault="008D6F13" w:rsidP="0031078F">
            <w:r>
              <w:t xml:space="preserve">   Reprioritisations and revenue offsets</w:t>
            </w:r>
            <w:r>
              <w:rPr>
                <w:vertAlign w:val="superscript"/>
              </w:rPr>
              <w:t xml:space="preserve"> (b)</w:t>
            </w:r>
          </w:p>
        </w:tc>
        <w:tc>
          <w:tcPr>
            <w:tcW w:w="794" w:type="dxa"/>
          </w:tcPr>
          <w:p w14:paraId="06E71B7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3 885</w:t>
            </w:r>
          </w:p>
        </w:tc>
        <w:tc>
          <w:tcPr>
            <w:tcW w:w="794" w:type="dxa"/>
          </w:tcPr>
          <w:p w14:paraId="6B1500D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FCF025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398A3C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76BA697E"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584219B1" w14:textId="77777777" w:rsidR="008D6F13" w:rsidRDefault="008D6F13" w:rsidP="0031078F">
            <w:r>
              <w:t xml:space="preserve">   Adjustments</w:t>
            </w:r>
            <w:r>
              <w:rPr>
                <w:vertAlign w:val="superscript"/>
              </w:rPr>
              <w:t xml:space="preserve"> (c)</w:t>
            </w:r>
          </w:p>
        </w:tc>
        <w:tc>
          <w:tcPr>
            <w:tcW w:w="794" w:type="dxa"/>
          </w:tcPr>
          <w:p w14:paraId="7AE07B4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(198)</w:t>
            </w:r>
          </w:p>
        </w:tc>
        <w:tc>
          <w:tcPr>
            <w:tcW w:w="794" w:type="dxa"/>
          </w:tcPr>
          <w:p w14:paraId="10E66D2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72F6052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w:t>
            </w:r>
          </w:p>
        </w:tc>
        <w:tc>
          <w:tcPr>
            <w:tcW w:w="794" w:type="dxa"/>
          </w:tcPr>
          <w:p w14:paraId="633155E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53</w:t>
            </w:r>
          </w:p>
        </w:tc>
      </w:tr>
      <w:tr w:rsidR="008D6F13" w14:paraId="2D223427"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686E0566" w14:textId="77777777" w:rsidR="008D6F13" w:rsidRDefault="008D6F13" w:rsidP="0031078F">
            <w:r>
              <w:t xml:space="preserve">   Savings</w:t>
            </w:r>
          </w:p>
        </w:tc>
        <w:tc>
          <w:tcPr>
            <w:tcW w:w="794" w:type="dxa"/>
            <w:tcBorders>
              <w:bottom w:val="single" w:sz="6" w:space="0" w:color="auto"/>
            </w:tcBorders>
          </w:tcPr>
          <w:p w14:paraId="5FD2195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1A23A93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651EEE0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6E9D8C7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4FEACCD0"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1437994F" w14:textId="77777777" w:rsidR="008D6F13" w:rsidRDefault="008D6F13" w:rsidP="0031078F">
            <w:r>
              <w:rPr>
                <w:b/>
                <w:i/>
              </w:rPr>
              <w:t>2021</w:t>
            </w:r>
            <w:r>
              <w:rPr>
                <w:b/>
                <w:i/>
              </w:rPr>
              <w:noBreakHyphen/>
              <w:t>22 Budget Update output policy initiatives</w:t>
            </w:r>
          </w:p>
        </w:tc>
        <w:tc>
          <w:tcPr>
            <w:tcW w:w="794" w:type="dxa"/>
            <w:tcBorders>
              <w:top w:val="single" w:sz="6" w:space="0" w:color="auto"/>
              <w:bottom w:val="single" w:sz="6" w:space="0" w:color="auto"/>
            </w:tcBorders>
          </w:tcPr>
          <w:p w14:paraId="340116B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i/>
              </w:rPr>
              <w:t>7 463</w:t>
            </w:r>
          </w:p>
        </w:tc>
        <w:tc>
          <w:tcPr>
            <w:tcW w:w="794" w:type="dxa"/>
            <w:tcBorders>
              <w:top w:val="single" w:sz="6" w:space="0" w:color="auto"/>
              <w:bottom w:val="single" w:sz="6" w:space="0" w:color="auto"/>
            </w:tcBorders>
          </w:tcPr>
          <w:p w14:paraId="28D101A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i/>
              </w:rPr>
              <w:t>342</w:t>
            </w:r>
          </w:p>
        </w:tc>
        <w:tc>
          <w:tcPr>
            <w:tcW w:w="794" w:type="dxa"/>
            <w:tcBorders>
              <w:top w:val="single" w:sz="6" w:space="0" w:color="auto"/>
              <w:bottom w:val="single" w:sz="6" w:space="0" w:color="auto"/>
            </w:tcBorders>
          </w:tcPr>
          <w:p w14:paraId="7538828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i/>
              </w:rPr>
              <w:t>126</w:t>
            </w:r>
          </w:p>
        </w:tc>
        <w:tc>
          <w:tcPr>
            <w:tcW w:w="794" w:type="dxa"/>
            <w:tcBorders>
              <w:top w:val="single" w:sz="6" w:space="0" w:color="auto"/>
              <w:bottom w:val="single" w:sz="6" w:space="0" w:color="auto"/>
            </w:tcBorders>
          </w:tcPr>
          <w:p w14:paraId="13F5989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i/>
              </w:rPr>
              <w:t>(9)</w:t>
            </w:r>
          </w:p>
        </w:tc>
      </w:tr>
      <w:tr w:rsidR="008D6F13" w14:paraId="201F91F6"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7DC0351B" w14:textId="77777777" w:rsidR="008D6F13" w:rsidRDefault="008D6F13" w:rsidP="0031078F">
            <w:r>
              <w:t>Less: contingency offset for new policy</w:t>
            </w:r>
            <w:r>
              <w:rPr>
                <w:vertAlign w:val="superscript"/>
              </w:rPr>
              <w:t xml:space="preserve"> (d)</w:t>
            </w:r>
          </w:p>
        </w:tc>
        <w:tc>
          <w:tcPr>
            <w:tcW w:w="794" w:type="dxa"/>
            <w:tcBorders>
              <w:top w:val="single" w:sz="6" w:space="0" w:color="auto"/>
              <w:bottom w:val="single" w:sz="6" w:space="0" w:color="auto"/>
            </w:tcBorders>
          </w:tcPr>
          <w:p w14:paraId="51C23C1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top w:val="single" w:sz="6" w:space="0" w:color="auto"/>
              <w:bottom w:val="single" w:sz="6" w:space="0" w:color="auto"/>
            </w:tcBorders>
          </w:tcPr>
          <w:p w14:paraId="23879B1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top w:val="single" w:sz="6" w:space="0" w:color="auto"/>
              <w:bottom w:val="single" w:sz="6" w:space="0" w:color="auto"/>
            </w:tcBorders>
          </w:tcPr>
          <w:p w14:paraId="24549FD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top w:val="single" w:sz="6" w:space="0" w:color="auto"/>
              <w:bottom w:val="single" w:sz="6" w:space="0" w:color="auto"/>
            </w:tcBorders>
          </w:tcPr>
          <w:p w14:paraId="5D83B0B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3BBDF328"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762F3B4B" w14:textId="77777777" w:rsidR="008D6F13" w:rsidRDefault="008D6F13" w:rsidP="0031078F">
            <w:r>
              <w:rPr>
                <w:b/>
              </w:rPr>
              <w:t xml:space="preserve">Net impact </w:t>
            </w:r>
          </w:p>
        </w:tc>
        <w:tc>
          <w:tcPr>
            <w:tcW w:w="794" w:type="dxa"/>
          </w:tcPr>
          <w:p w14:paraId="0D029D8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7 463</w:t>
            </w:r>
          </w:p>
        </w:tc>
        <w:tc>
          <w:tcPr>
            <w:tcW w:w="794" w:type="dxa"/>
          </w:tcPr>
          <w:p w14:paraId="3862833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342</w:t>
            </w:r>
          </w:p>
        </w:tc>
        <w:tc>
          <w:tcPr>
            <w:tcW w:w="794" w:type="dxa"/>
          </w:tcPr>
          <w:p w14:paraId="364F89E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126</w:t>
            </w:r>
          </w:p>
        </w:tc>
        <w:tc>
          <w:tcPr>
            <w:tcW w:w="794" w:type="dxa"/>
          </w:tcPr>
          <w:p w14:paraId="246B197F" w14:textId="79A46F10"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w:t>
            </w:r>
          </w:p>
        </w:tc>
      </w:tr>
    </w:tbl>
    <w:p w14:paraId="01260D18" w14:textId="77777777" w:rsidR="008D6F13" w:rsidRDefault="008D6F13" w:rsidP="008D6F13">
      <w:pPr>
        <w:pStyle w:val="Note"/>
      </w:pPr>
      <w:r>
        <w:t>Notes:</w:t>
      </w:r>
    </w:p>
    <w:p w14:paraId="2BD0F0BE" w14:textId="77777777" w:rsidR="008D6F13" w:rsidRDefault="008D6F13" w:rsidP="008D6F13">
      <w:pPr>
        <w:pStyle w:val="Note"/>
      </w:pPr>
      <w:r>
        <w:t>(a)</w:t>
      </w:r>
      <w:r>
        <w:tab/>
        <w:t>Figures in this table are subject to rounding to the nearest million and may not add up to totals.</w:t>
      </w:r>
    </w:p>
    <w:p w14:paraId="09B06426" w14:textId="77777777" w:rsidR="008D6F13" w:rsidRDefault="008D6F13" w:rsidP="008D6F13">
      <w:pPr>
        <w:pStyle w:val="Note"/>
      </w:pPr>
      <w:r>
        <w:t>(b)</w:t>
      </w:r>
      <w:r>
        <w:tab/>
        <w:t xml:space="preserve">This includes the reprioritisation of resources previously allocated to departments and revenue offsets, </w:t>
      </w:r>
      <w:r w:rsidRPr="00994682">
        <w:t xml:space="preserve">including Commonwealth funding </w:t>
      </w:r>
      <w:r>
        <w:t>for</w:t>
      </w:r>
      <w:r w:rsidRPr="00994682">
        <w:t xml:space="preserve"> business support and health initiatives in response to the outbreak of the Delta variant of COVID-19</w:t>
      </w:r>
      <w:r>
        <w:t>.</w:t>
      </w:r>
    </w:p>
    <w:p w14:paraId="4EFEAA7B" w14:textId="77777777" w:rsidR="008D6F13" w:rsidRDefault="008D6F13" w:rsidP="008D6F13">
      <w:pPr>
        <w:pStyle w:val="Note"/>
      </w:pPr>
      <w:r>
        <w:t>(c)</w:t>
      </w:r>
      <w:r>
        <w:tab/>
      </w:r>
      <w:r w:rsidRPr="00CA318F">
        <w:t xml:space="preserve">Primarily incorporates the net impact of the </w:t>
      </w:r>
      <w:r>
        <w:t xml:space="preserve">specific </w:t>
      </w:r>
      <w:r w:rsidRPr="00CA318F">
        <w:t>creation and release of contingencies held for decisions made but not yet allocated</w:t>
      </w:r>
      <w:r>
        <w:t>.</w:t>
      </w:r>
    </w:p>
    <w:p w14:paraId="1ADF1A5F" w14:textId="77777777" w:rsidR="008D6F13" w:rsidRDefault="008D6F13" w:rsidP="008D6F13">
      <w:pPr>
        <w:pStyle w:val="Note"/>
      </w:pPr>
      <w:r>
        <w:t>(d)</w:t>
      </w:r>
      <w:r>
        <w:tab/>
        <w:t xml:space="preserve">Represents releases from the funding not allocated to specific purposes contingency associated with demand for government services. Further information on this contingency can be found at Note 4.3.5 of Chapter 4 </w:t>
      </w:r>
      <w:r w:rsidRPr="00977A91">
        <w:rPr>
          <w:i w:val="0"/>
          <w:iCs/>
        </w:rPr>
        <w:t>Estimated Financial Statements and notes</w:t>
      </w:r>
      <w:r>
        <w:t>.</w:t>
      </w:r>
    </w:p>
    <w:p w14:paraId="7C037D09" w14:textId="77777777" w:rsidR="008D6F13" w:rsidRDefault="008D6F13" w:rsidP="008D6F13">
      <w:pPr>
        <w:pStyle w:val="Heading30"/>
      </w:pPr>
      <w:r>
        <w:t>Economic and demographic variations</w:t>
      </w:r>
    </w:p>
    <w:p w14:paraId="2CE0A9E6" w14:textId="77777777" w:rsidR="008D6F13" w:rsidRDefault="008D6F13" w:rsidP="008D6F13">
      <w:r w:rsidRPr="00BF1269">
        <w:t xml:space="preserve">Since the </w:t>
      </w:r>
      <w:r w:rsidRPr="00BF1269">
        <w:rPr>
          <w:i/>
          <w:iCs/>
        </w:rPr>
        <w:t>2021-22 Budget</w:t>
      </w:r>
      <w:r w:rsidRPr="00BF1269">
        <w:t>, taxation revenue has been revised upwards by $</w:t>
      </w:r>
      <w:r>
        <w:t>407</w:t>
      </w:r>
      <w:r w:rsidRPr="00BF1269">
        <w:t xml:space="preserve"> million in 2021</w:t>
      </w:r>
      <w:r w:rsidRPr="00BF1269">
        <w:noBreakHyphen/>
        <w:t>22</w:t>
      </w:r>
      <w:r>
        <w:t xml:space="preserve"> and</w:t>
      </w:r>
      <w:r w:rsidRPr="00BF1269">
        <w:t xml:space="preserve"> $</w:t>
      </w:r>
      <w:r>
        <w:t>399</w:t>
      </w:r>
      <w:r w:rsidRPr="00BF1269">
        <w:t xml:space="preserve"> million in 2022-23</w:t>
      </w:r>
      <w:r>
        <w:t>,</w:t>
      </w:r>
      <w:r w:rsidRPr="00BF1269">
        <w:t xml:space="preserve"> and downwards by $</w:t>
      </w:r>
      <w:r>
        <w:t>79</w:t>
      </w:r>
      <w:r w:rsidRPr="00BF1269">
        <w:t xml:space="preserve"> million in 2023-24 </w:t>
      </w:r>
      <w:r>
        <w:t xml:space="preserve">and $148 million in 2024-25 </w:t>
      </w:r>
      <w:r w:rsidRPr="00BF1269">
        <w:t xml:space="preserve">due to economic and demographic variations. This includes a significant upgrade to land transfer duty over the budget and forward estimates arising from continued strength in Victoria’s residential property market. </w:t>
      </w:r>
    </w:p>
    <w:p w14:paraId="41E2981F" w14:textId="77777777" w:rsidR="008D6F13" w:rsidRPr="00BF1269" w:rsidRDefault="008D6F13" w:rsidP="008D6F13">
      <w:r w:rsidRPr="00BF1269">
        <w:t>Gambling taxes have been downgraded in 2021-22 because of the temporary venue closures arising from the most recent public health restrictions introduced from July 2021.</w:t>
      </w:r>
    </w:p>
    <w:p w14:paraId="2CF2C69D" w14:textId="77777777" w:rsidR="008D6F13" w:rsidRDefault="008D6F13" w:rsidP="008D6F13">
      <w:pPr>
        <w:keepLines w:val="0"/>
        <w:rPr>
          <w:rFonts w:asciiTheme="majorHAnsi" w:eastAsiaTheme="majorEastAsia" w:hAnsiTheme="majorHAnsi" w:cstheme="majorBidi"/>
          <w:b/>
          <w:sz w:val="23"/>
          <w:szCs w:val="24"/>
        </w:rPr>
      </w:pPr>
      <w:r>
        <w:br w:type="page"/>
      </w:r>
    </w:p>
    <w:p w14:paraId="78BA3758" w14:textId="77777777" w:rsidR="008D6F13" w:rsidRDefault="008D6F13" w:rsidP="008D6F13">
      <w:pPr>
        <w:pStyle w:val="Heading30"/>
      </w:pPr>
      <w:r>
        <w:lastRenderedPageBreak/>
        <w:t>Commonwealth grants variations</w:t>
      </w:r>
    </w:p>
    <w:p w14:paraId="1AEA21A8" w14:textId="77777777" w:rsidR="008D6F13" w:rsidRDefault="008D6F13" w:rsidP="008D6F13">
      <w:pPr>
        <w:ind w:right="56"/>
      </w:pPr>
      <w:r w:rsidRPr="00B43840">
        <w:t>Commonwealth general purpose grants (or GST grants) have been revised up by $</w:t>
      </w:r>
      <w:r>
        <w:t>264 million</w:t>
      </w:r>
      <w:r w:rsidRPr="00B43840">
        <w:t xml:space="preserve"> in 2021</w:t>
      </w:r>
      <w:r w:rsidRPr="00B43840">
        <w:noBreakHyphen/>
        <w:t>22</w:t>
      </w:r>
      <w:r w:rsidRPr="00BC6ED2">
        <w:t xml:space="preserve"> </w:t>
      </w:r>
      <w:r w:rsidRPr="00B43840">
        <w:t xml:space="preserve">compared with the </w:t>
      </w:r>
      <w:r w:rsidRPr="00B43840">
        <w:rPr>
          <w:i/>
          <w:iCs/>
        </w:rPr>
        <w:t>202</w:t>
      </w:r>
      <w:r>
        <w:rPr>
          <w:i/>
          <w:iCs/>
        </w:rPr>
        <w:t>1</w:t>
      </w:r>
      <w:r w:rsidRPr="00B43840">
        <w:rPr>
          <w:i/>
          <w:iCs/>
        </w:rPr>
        <w:noBreakHyphen/>
        <w:t>2</w:t>
      </w:r>
      <w:r>
        <w:rPr>
          <w:i/>
          <w:iCs/>
        </w:rPr>
        <w:t>2</w:t>
      </w:r>
      <w:r w:rsidRPr="00B43840">
        <w:rPr>
          <w:i/>
          <w:iCs/>
        </w:rPr>
        <w:t> Budget</w:t>
      </w:r>
      <w:r w:rsidRPr="00B43840">
        <w:t xml:space="preserve">, </w:t>
      </w:r>
      <w:r>
        <w:t xml:space="preserve">mainly reflecting a </w:t>
      </w:r>
      <w:r w:rsidRPr="00BC6ED2">
        <w:t xml:space="preserve">stronger </w:t>
      </w:r>
      <w:r>
        <w:t xml:space="preserve">than expected </w:t>
      </w:r>
      <w:r w:rsidRPr="00BC6ED2">
        <w:t xml:space="preserve">final GST entitlement pool </w:t>
      </w:r>
      <w:r>
        <w:t>outcome for 2020-21.</w:t>
      </w:r>
    </w:p>
    <w:p w14:paraId="2319F915" w14:textId="77777777" w:rsidR="008D6F13" w:rsidRDefault="008D6F13" w:rsidP="008D6F13">
      <w:pPr>
        <w:ind w:right="56"/>
      </w:pPr>
      <w:r>
        <w:t>GST has been revised down by</w:t>
      </w:r>
      <w:r w:rsidRPr="00B43840">
        <w:t xml:space="preserve"> $</w:t>
      </w:r>
      <w:r>
        <w:t>499</w:t>
      </w:r>
      <w:r w:rsidRPr="00B43840">
        <w:t> million in 2022-23</w:t>
      </w:r>
      <w:r>
        <w:t xml:space="preserve">, </w:t>
      </w:r>
      <w:r w:rsidRPr="00B43840">
        <w:t>$</w:t>
      </w:r>
      <w:r>
        <w:t xml:space="preserve">536 </w:t>
      </w:r>
      <w:r w:rsidRPr="00B43840">
        <w:t>million in 2023-24</w:t>
      </w:r>
      <w:r>
        <w:t xml:space="preserve"> and $45 million in 2024-25, largely reflecting a downgrade to the outlook for Victoria’s population share following large population outflows during the COVID-19 pandemic.</w:t>
      </w:r>
    </w:p>
    <w:p w14:paraId="3675664F" w14:textId="77777777" w:rsidR="008D6F13" w:rsidRPr="00BC2904" w:rsidRDefault="008D6F13" w:rsidP="008D6F13">
      <w:pPr>
        <w:ind w:right="-86"/>
      </w:pPr>
      <w:r w:rsidRPr="00385F18">
        <w:t>Net changes to specific purpose grants have decreased the operating result by $217</w:t>
      </w:r>
      <w:r>
        <w:t> </w:t>
      </w:r>
      <w:r w:rsidRPr="00385F18">
        <w:t xml:space="preserve">million in </w:t>
      </w:r>
      <w:proofErr w:type="gramStart"/>
      <w:r w:rsidRPr="00385F18">
        <w:t>2021-22, but</w:t>
      </w:r>
      <w:proofErr w:type="gramEnd"/>
      <w:r w:rsidRPr="00385F18">
        <w:t xml:space="preserve"> increased it by an average of $5</w:t>
      </w:r>
      <w:r>
        <w:t>4</w:t>
      </w:r>
      <w:r w:rsidRPr="00385F18">
        <w:t xml:space="preserve"> million a year from 2022</w:t>
      </w:r>
      <w:r>
        <w:noBreakHyphen/>
      </w:r>
      <w:r w:rsidRPr="00385F18">
        <w:t>23 to 2024</w:t>
      </w:r>
      <w:r>
        <w:noBreakHyphen/>
      </w:r>
      <w:r w:rsidRPr="00385F18">
        <w:t xml:space="preserve">25 compared with the </w:t>
      </w:r>
      <w:r w:rsidRPr="00385F18">
        <w:rPr>
          <w:i/>
          <w:iCs/>
        </w:rPr>
        <w:t>2021</w:t>
      </w:r>
      <w:r>
        <w:rPr>
          <w:i/>
          <w:iCs/>
        </w:rPr>
        <w:noBreakHyphen/>
      </w:r>
      <w:r w:rsidRPr="00385F18">
        <w:rPr>
          <w:i/>
          <w:iCs/>
        </w:rPr>
        <w:t>22 Budget</w:t>
      </w:r>
      <w:r w:rsidRPr="00385F18">
        <w:t xml:space="preserve">. The movements primarily reflect changes to the timing of infrastructure grants </w:t>
      </w:r>
      <w:r>
        <w:t xml:space="preserve">received </w:t>
      </w:r>
      <w:r w:rsidRPr="00385F18">
        <w:t>from the Commonwealth.</w:t>
      </w:r>
    </w:p>
    <w:p w14:paraId="50E2A9B5" w14:textId="77777777" w:rsidR="008D6F13" w:rsidRDefault="008D6F13" w:rsidP="008D6F13">
      <w:pPr>
        <w:pStyle w:val="Heading30"/>
      </w:pPr>
      <w:r>
        <w:t>Administrative variations</w:t>
      </w:r>
    </w:p>
    <w:p w14:paraId="229569C2" w14:textId="77777777" w:rsidR="008D6F13" w:rsidRDefault="008D6F13" w:rsidP="008D6F13">
      <w:pPr>
        <w:keepNext/>
      </w:pPr>
      <w:r w:rsidRPr="00385F18">
        <w:t>Other administrative variations are expected to decrease the operating result by $</w:t>
      </w:r>
      <w:r>
        <w:t>909 </w:t>
      </w:r>
      <w:r w:rsidRPr="00385F18">
        <w:t>million in 202</w:t>
      </w:r>
      <w:r>
        <w:t>1</w:t>
      </w:r>
      <w:r>
        <w:noBreakHyphen/>
      </w:r>
      <w:r w:rsidRPr="00385F18">
        <w:t>2</w:t>
      </w:r>
      <w:r>
        <w:t>2</w:t>
      </w:r>
      <w:r w:rsidRPr="00385F18">
        <w:t>, $</w:t>
      </w:r>
      <w:r>
        <w:t>948</w:t>
      </w:r>
      <w:r w:rsidRPr="00385F18">
        <w:t xml:space="preserve"> million in 2022</w:t>
      </w:r>
      <w:r>
        <w:noBreakHyphen/>
      </w:r>
      <w:r w:rsidRPr="00385F18">
        <w:t>23</w:t>
      </w:r>
      <w:r>
        <w:t xml:space="preserve"> </w:t>
      </w:r>
      <w:r w:rsidRPr="00385F18">
        <w:t>and $</w:t>
      </w:r>
      <w:r>
        <w:t>633</w:t>
      </w:r>
      <w:r w:rsidRPr="00385F18">
        <w:t xml:space="preserve"> million in 2023</w:t>
      </w:r>
      <w:r>
        <w:noBreakHyphen/>
      </w:r>
      <w:r w:rsidRPr="00385F18">
        <w:t>24.</w:t>
      </w:r>
      <w:r w:rsidRPr="005D7558">
        <w:t xml:space="preserve"> The </w:t>
      </w:r>
      <w:r>
        <w:t xml:space="preserve">major </w:t>
      </w:r>
      <w:r w:rsidRPr="005D7558">
        <w:t xml:space="preserve">variations since the </w:t>
      </w:r>
      <w:r w:rsidRPr="005D7558">
        <w:rPr>
          <w:i/>
          <w:iCs/>
        </w:rPr>
        <w:t>202</w:t>
      </w:r>
      <w:r>
        <w:rPr>
          <w:i/>
          <w:iCs/>
        </w:rPr>
        <w:t>1</w:t>
      </w:r>
      <w:r w:rsidRPr="005D7558">
        <w:rPr>
          <w:i/>
          <w:iCs/>
        </w:rPr>
        <w:t>-2</w:t>
      </w:r>
      <w:r>
        <w:rPr>
          <w:i/>
          <w:iCs/>
        </w:rPr>
        <w:t>2</w:t>
      </w:r>
      <w:r w:rsidRPr="005D7558">
        <w:rPr>
          <w:i/>
          <w:iCs/>
        </w:rPr>
        <w:t xml:space="preserve"> Budget</w:t>
      </w:r>
      <w:r w:rsidRPr="005D7558">
        <w:t xml:space="preserve"> include</w:t>
      </w:r>
      <w:r>
        <w:t>:</w:t>
      </w:r>
    </w:p>
    <w:p w14:paraId="59070B9F" w14:textId="77777777" w:rsidR="008D6F13" w:rsidRDefault="008D6F13" w:rsidP="008D6F13">
      <w:pPr>
        <w:pStyle w:val="ListBullet"/>
      </w:pPr>
      <w:r w:rsidRPr="00385F18">
        <w:t>an increase in interest expense, which reflects the impact of higher short and long</w:t>
      </w:r>
      <w:r>
        <w:noBreakHyphen/>
      </w:r>
      <w:r w:rsidRPr="00385F18">
        <w:t xml:space="preserve">term interest rates in line with financial market expectations since the </w:t>
      </w:r>
      <w:r w:rsidRPr="00385F18">
        <w:rPr>
          <w:i/>
          <w:iCs/>
        </w:rPr>
        <w:t>2021-22 Budget</w:t>
      </w:r>
      <w:r w:rsidRPr="00385F18">
        <w:t xml:space="preserve"> and the increased financing requirement over the forward estimates</w:t>
      </w:r>
    </w:p>
    <w:p w14:paraId="7E55ABEC" w14:textId="77777777" w:rsidR="008D6F13" w:rsidRPr="001E630C" w:rsidRDefault="008D6F13" w:rsidP="008D6F13">
      <w:pPr>
        <w:pStyle w:val="ListBullet"/>
      </w:pPr>
      <w:r>
        <w:t xml:space="preserve">updates to the timing of some expenditure programs across the forward estimates, including adjustments to the provisions for decisions made but not yet allocated that are outlined in Note 4.3.5 of Chapter 4 </w:t>
      </w:r>
      <w:r w:rsidRPr="006D3414">
        <w:rPr>
          <w:i/>
          <w:iCs/>
        </w:rPr>
        <w:t>Estimated financial statements and notes</w:t>
      </w:r>
      <w:r>
        <w:rPr>
          <w:i/>
          <w:iCs/>
        </w:rPr>
        <w:t>.</w:t>
      </w:r>
    </w:p>
    <w:p w14:paraId="37B182C8" w14:textId="77777777" w:rsidR="008D6F13" w:rsidRDefault="008D6F13" w:rsidP="008D6F13">
      <w:pPr>
        <w:pStyle w:val="Heading20"/>
      </w:pPr>
      <w:r>
        <w:t>Capital expenditure</w:t>
      </w:r>
    </w:p>
    <w:p w14:paraId="2FF30AD9" w14:textId="77777777" w:rsidR="008D6F13" w:rsidRDefault="008D6F13" w:rsidP="008D6F13">
      <w:r w:rsidRPr="00997EA8">
        <w:t xml:space="preserve">Government infrastructure investment, which measures investment funded by </w:t>
      </w:r>
      <w:r>
        <w:t xml:space="preserve">the </w:t>
      </w:r>
      <w:r w:rsidRPr="00997EA8">
        <w:t>Government and estimated private sector construction related expenditure on public private partnership projects, is expected to average $2</w:t>
      </w:r>
      <w:r>
        <w:t>2.2</w:t>
      </w:r>
      <w:r w:rsidRPr="00997EA8">
        <w:t xml:space="preserve"> billion a year over the budget and forward estimates. This includes </w:t>
      </w:r>
      <w:r>
        <w:t>investments</w:t>
      </w:r>
      <w:r w:rsidRPr="00997EA8">
        <w:t xml:space="preserve"> in new rolling stock, hospitals, mental health facilities, and schools</w:t>
      </w:r>
      <w:r>
        <w:t xml:space="preserve"> as well as major productivity-enhancing projects including </w:t>
      </w:r>
      <w:r w:rsidRPr="000737F2">
        <w:t>the North East Link,</w:t>
      </w:r>
      <w:r w:rsidRPr="009B087E">
        <w:t xml:space="preserve"> Metro Tunnel, West Gate Tunnel</w:t>
      </w:r>
      <w:r>
        <w:t xml:space="preserve">, Melbourne Airport </w:t>
      </w:r>
      <w:proofErr w:type="gramStart"/>
      <w:r>
        <w:t>Rail</w:t>
      </w:r>
      <w:proofErr w:type="gramEnd"/>
      <w:r>
        <w:t xml:space="preserve"> and the removal of 85 level crossings by 2025.</w:t>
      </w:r>
    </w:p>
    <w:p w14:paraId="19F3F8A8" w14:textId="77777777" w:rsidR="008D6F13" w:rsidRDefault="008D6F13" w:rsidP="008D6F13">
      <w:r>
        <w:t xml:space="preserve">Appendix A </w:t>
      </w:r>
      <w:r w:rsidRPr="00644EFD">
        <w:rPr>
          <w:i/>
          <w:iCs/>
        </w:rPr>
        <w:t xml:space="preserve">Specific policy initiatives affecting </w:t>
      </w:r>
      <w:r>
        <w:rPr>
          <w:i/>
          <w:iCs/>
        </w:rPr>
        <w:t xml:space="preserve">the </w:t>
      </w:r>
      <w:r w:rsidRPr="00644EFD">
        <w:rPr>
          <w:i/>
          <w:iCs/>
        </w:rPr>
        <w:t>budget position</w:t>
      </w:r>
      <w:r>
        <w:t xml:space="preserve"> details the specific new asset initiatives.</w:t>
      </w:r>
    </w:p>
    <w:p w14:paraId="3F9705FF" w14:textId="77777777" w:rsidR="008D6F13" w:rsidRPr="00FE0E34" w:rsidRDefault="008D6F13" w:rsidP="008D6F13">
      <w:pPr>
        <w:pStyle w:val="HighlightBoxHeading"/>
      </w:pPr>
      <w:r w:rsidRPr="001D2C22">
        <w:lastRenderedPageBreak/>
        <w:t xml:space="preserve">Box </w:t>
      </w:r>
      <w:r w:rsidRPr="00762EC0">
        <w:t>3.1:</w:t>
      </w:r>
      <w:r>
        <w:t xml:space="preserve"> </w:t>
      </w:r>
      <w:r>
        <w:tab/>
        <w:t>The Suburban Rail Loop</w:t>
      </w:r>
    </w:p>
    <w:p w14:paraId="1FCDCD9F" w14:textId="77777777" w:rsidR="008D6F13" w:rsidRDefault="008D6F13" w:rsidP="008D6F13">
      <w:pPr>
        <w:pStyle w:val="HighlightBoxText"/>
      </w:pPr>
      <w:r w:rsidRPr="0088293C">
        <w:t xml:space="preserve">The Suburban Rail Loop (SRL) will be delivered in stages over several decades, with construction on SRL East, between Cheltenham and Box Hill, to commence in 2022 and first trains expected to run in 2035. A provision of $2.2 billion for Initial and Early Works on SRL East was made as part of the </w:t>
      </w:r>
      <w:r w:rsidRPr="0088293C">
        <w:rPr>
          <w:i/>
          <w:iCs/>
        </w:rPr>
        <w:t>2020-21 Budget</w:t>
      </w:r>
      <w:r w:rsidRPr="0088293C">
        <w:t>. Additional funding of $9.3 billion has been approved to be held in central contingency for SRL East Main Works. The Victorian Government is seeking a matching contribution from the Commonwealth Government towards the project</w:t>
      </w:r>
      <w:r>
        <w:t>.</w:t>
      </w:r>
    </w:p>
    <w:p w14:paraId="35561944" w14:textId="77777777" w:rsidR="008D6F13" w:rsidRDefault="008D6F13" w:rsidP="008D6F13">
      <w:pPr>
        <w:pStyle w:val="HighlightBoxText"/>
      </w:pPr>
      <w:r w:rsidRPr="0088293C">
        <w:t>Funding for SRL East will also be achieved through a range of private sector investment and value capture sources, as outlined in the SRL Business and Investment Case, released in August 2021. The exact composition and timing of mechanisms that will be applied, and their respective rates, remains subject to detailed investigation</w:t>
      </w:r>
      <w:r>
        <w:t>.</w:t>
      </w:r>
    </w:p>
    <w:p w14:paraId="43140AA3" w14:textId="77777777" w:rsidR="008D6F13" w:rsidRDefault="008D6F13" w:rsidP="008D6F13">
      <w:pPr>
        <w:pStyle w:val="HighlightBoxText"/>
      </w:pPr>
      <w:r w:rsidRPr="0088293C">
        <w:t xml:space="preserve">The SRL Business and Investment Case covers SRL East and SRL North (Box Hill to Melbourne Airport) which are expected to deliver up to $58.7 billion in economic, </w:t>
      </w:r>
      <w:proofErr w:type="gramStart"/>
      <w:r w:rsidRPr="0088293C">
        <w:t>social</w:t>
      </w:r>
      <w:proofErr w:type="gramEnd"/>
      <w:r w:rsidRPr="0088293C">
        <w:t xml:space="preserve"> and environmental benefits to the State and has a positive benefit-cost ratio range between 1.1 and 1.7</w:t>
      </w:r>
      <w:r>
        <w:t>.</w:t>
      </w:r>
    </w:p>
    <w:p w14:paraId="72E8ED3F" w14:textId="77777777" w:rsidR="008D6F13" w:rsidRDefault="008D6F13" w:rsidP="008D6F13">
      <w:pPr>
        <w:pStyle w:val="TableHeading"/>
      </w:pPr>
      <w:r>
        <w:t>Chart 3.1:</w:t>
      </w:r>
      <w:r>
        <w:tab/>
        <w:t xml:space="preserve">Government infrastructure investment </w:t>
      </w:r>
      <w:r w:rsidRPr="003E7A30">
        <w:rPr>
          <w:vertAlign w:val="superscript"/>
        </w:rPr>
        <w:t>(a)(</w:t>
      </w:r>
      <w:r>
        <w:rPr>
          <w:vertAlign w:val="superscript"/>
        </w:rPr>
        <w:t>b</w:t>
      </w:r>
      <w:r w:rsidRPr="003E7A30">
        <w:rPr>
          <w:vertAlign w:val="superscript"/>
        </w:rPr>
        <w:t>)(</w:t>
      </w:r>
      <w:r>
        <w:rPr>
          <w:vertAlign w:val="superscript"/>
        </w:rPr>
        <w:t>c</w:t>
      </w:r>
      <w:r w:rsidRPr="003E7A30">
        <w:rPr>
          <w:vertAlign w:val="superscript"/>
        </w:rPr>
        <w:t>)</w:t>
      </w:r>
    </w:p>
    <w:p w14:paraId="6CE28883" w14:textId="77777777" w:rsidR="008D6F13" w:rsidRDefault="008D6F13" w:rsidP="008D6F13">
      <w:r w:rsidRPr="002D478E">
        <w:rPr>
          <w:noProof/>
        </w:rPr>
        <w:drawing>
          <wp:inline distT="0" distB="0" distL="0" distR="0" wp14:anchorId="3CB4BD30" wp14:editId="7CCAC0F0">
            <wp:extent cx="4961955"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62633" cy="2743575"/>
                    </a:xfrm>
                    <a:prstGeom prst="rect">
                      <a:avLst/>
                    </a:prstGeom>
                    <a:noFill/>
                    <a:ln>
                      <a:noFill/>
                    </a:ln>
                  </pic:spPr>
                </pic:pic>
              </a:graphicData>
            </a:graphic>
          </wp:inline>
        </w:drawing>
      </w:r>
    </w:p>
    <w:p w14:paraId="499C08E5" w14:textId="77777777" w:rsidR="008D6F13" w:rsidRPr="00F52950" w:rsidRDefault="008D6F13" w:rsidP="008D6F13">
      <w:pPr>
        <w:pStyle w:val="Source"/>
      </w:pPr>
      <w:r w:rsidRPr="00F52950">
        <w:t>Source: Department of Treasury and Finance</w:t>
      </w:r>
    </w:p>
    <w:p w14:paraId="020E040D" w14:textId="77777777" w:rsidR="008D6F13" w:rsidRPr="00F52950" w:rsidRDefault="008D6F13" w:rsidP="008D6F13">
      <w:pPr>
        <w:pStyle w:val="Note"/>
      </w:pPr>
      <w:r w:rsidRPr="00F52950">
        <w:t>Notes:</w:t>
      </w:r>
    </w:p>
    <w:p w14:paraId="6EBE0571" w14:textId="77777777" w:rsidR="008D6F13" w:rsidRDefault="008D6F13" w:rsidP="008D6F13">
      <w:pPr>
        <w:pStyle w:val="Note"/>
      </w:pPr>
      <w:r w:rsidRPr="00F52950">
        <w:t>(a)</w:t>
      </w:r>
      <w:r w:rsidRPr="00F52950">
        <w:tab/>
        <w:t xml:space="preserve">Includes general government net infrastructure investment and estimated cash flows for </w:t>
      </w:r>
      <w:r>
        <w:t>public private partnership</w:t>
      </w:r>
      <w:r w:rsidRPr="00F52950">
        <w:t xml:space="preserve"> projects.</w:t>
      </w:r>
    </w:p>
    <w:p w14:paraId="0AE3AC07" w14:textId="77777777" w:rsidR="008D6F13" w:rsidRPr="00F52950" w:rsidRDefault="008D6F13" w:rsidP="008D6F13">
      <w:pPr>
        <w:pStyle w:val="Note"/>
      </w:pPr>
      <w:r>
        <w:t>(b)</w:t>
      </w:r>
      <w:r>
        <w:tab/>
      </w:r>
      <w:r w:rsidRPr="00961C37">
        <w:t xml:space="preserve">Includes the </w:t>
      </w:r>
      <w:r w:rsidRPr="00856778">
        <w:t>estimated private sector construction</w:t>
      </w:r>
      <w:r>
        <w:t>-</w:t>
      </w:r>
      <w:r w:rsidRPr="00856778">
        <w:t xml:space="preserve">related expenditure </w:t>
      </w:r>
      <w:r w:rsidRPr="00961C37">
        <w:t>associated with the North East Link held in the PNFC sector</w:t>
      </w:r>
      <w:r>
        <w:t>.</w:t>
      </w:r>
    </w:p>
    <w:p w14:paraId="5B4B4934" w14:textId="60020402" w:rsidR="008D6F13" w:rsidRPr="004C1A36" w:rsidRDefault="008D6F13" w:rsidP="008D6F13">
      <w:pPr>
        <w:pStyle w:val="Note"/>
      </w:pPr>
      <w:r w:rsidRPr="00F52950">
        <w:t>(</w:t>
      </w:r>
      <w:r>
        <w:t>c</w:t>
      </w:r>
      <w:r w:rsidRPr="00F52950">
        <w:t>)</w:t>
      </w:r>
      <w:r w:rsidRPr="00F52950">
        <w:tab/>
        <w:t>Excludes the impact of the medium</w:t>
      </w:r>
      <w:r w:rsidRPr="00F52950">
        <w:noBreakHyphen/>
        <w:t>term lease over the operations of the Port of Melbourne and the divestment of Victoria</w:t>
      </w:r>
      <w:r>
        <w:t>’</w:t>
      </w:r>
      <w:r w:rsidRPr="00F52950">
        <w:t>s share</w:t>
      </w:r>
      <w:r w:rsidRPr="00C203E5">
        <w:t xml:space="preserve"> of Snowy Hydro Limited.</w:t>
      </w:r>
    </w:p>
    <w:p w14:paraId="724446B9" w14:textId="77777777" w:rsidR="008D6F13" w:rsidRDefault="008D6F13" w:rsidP="008D6F13">
      <w:pPr>
        <w:pStyle w:val="Heading20"/>
      </w:pPr>
      <w:r>
        <w:lastRenderedPageBreak/>
        <w:t>Net debt</w:t>
      </w:r>
    </w:p>
    <w:p w14:paraId="405A2A8E" w14:textId="77777777" w:rsidR="008D6F13" w:rsidRDefault="008D6F13" w:rsidP="008D6F13">
      <w:r w:rsidRPr="00164253">
        <w:t>Net debt is projected to be $10</w:t>
      </w:r>
      <w:r>
        <w:t>4.5</w:t>
      </w:r>
      <w:r w:rsidRPr="00164253">
        <w:t> billion at June 2022 and is forecast to increase to $1</w:t>
      </w:r>
      <w:r>
        <w:t>62.7</w:t>
      </w:r>
      <w:r w:rsidRPr="00164253">
        <w:t xml:space="preserve"> billion by June 2025. </w:t>
      </w:r>
      <w:r>
        <w:t xml:space="preserve">This is an increase of $2.4 billion by June 2022 and of $6.4 billion by June 2025 compared with the </w:t>
      </w:r>
      <w:r w:rsidRPr="00802ECA">
        <w:rPr>
          <w:i/>
          <w:iCs/>
        </w:rPr>
        <w:t>2021-22 Budget</w:t>
      </w:r>
      <w:r>
        <w:rPr>
          <w:i/>
          <w:iCs/>
        </w:rPr>
        <w:t xml:space="preserve"> </w:t>
      </w:r>
      <w:r>
        <w:t xml:space="preserve">and is principally </w:t>
      </w:r>
      <w:r w:rsidRPr="00BF0EC6">
        <w:t xml:space="preserve">due to additional </w:t>
      </w:r>
      <w:r>
        <w:t>g</w:t>
      </w:r>
      <w:r w:rsidRPr="00BF0EC6">
        <w:t xml:space="preserve">overnment support in response to the </w:t>
      </w:r>
      <w:r>
        <w:t>COVID-19 pandemic</w:t>
      </w:r>
      <w:r w:rsidRPr="00BF0EC6">
        <w:t>.</w:t>
      </w:r>
    </w:p>
    <w:p w14:paraId="5E1F7375" w14:textId="77777777" w:rsidR="008D6F13" w:rsidRDefault="008D6F13" w:rsidP="008D6F13">
      <w:r w:rsidRPr="00164253">
        <w:t xml:space="preserve">As a proportion of </w:t>
      </w:r>
      <w:r>
        <w:t>gross state product (</w:t>
      </w:r>
      <w:r w:rsidRPr="00164253">
        <w:t>GSP</w:t>
      </w:r>
      <w:r>
        <w:t>)</w:t>
      </w:r>
      <w:r w:rsidRPr="00164253">
        <w:t xml:space="preserve">, net debt is projected to increase </w:t>
      </w:r>
      <w:r>
        <w:t xml:space="preserve">from 21.1 per cent in June 2022 </w:t>
      </w:r>
      <w:r w:rsidRPr="00164253">
        <w:t>to 2</w:t>
      </w:r>
      <w:r>
        <w:t>7.9</w:t>
      </w:r>
      <w:r w:rsidRPr="00164253">
        <w:t> per cent by June 2025.</w:t>
      </w:r>
    </w:p>
    <w:p w14:paraId="779D4297" w14:textId="77777777" w:rsidR="008D6F13" w:rsidRDefault="008D6F13" w:rsidP="008D6F13">
      <w:r>
        <w:t xml:space="preserve">The </w:t>
      </w:r>
      <w:r w:rsidRPr="00F02343">
        <w:rPr>
          <w:i/>
          <w:iCs/>
        </w:rPr>
        <w:t>202</w:t>
      </w:r>
      <w:r>
        <w:rPr>
          <w:i/>
          <w:iCs/>
        </w:rPr>
        <w:t>1</w:t>
      </w:r>
      <w:r w:rsidRPr="00F02343">
        <w:rPr>
          <w:i/>
          <w:iCs/>
        </w:rPr>
        <w:t>-2</w:t>
      </w:r>
      <w:r>
        <w:rPr>
          <w:i/>
          <w:iCs/>
        </w:rPr>
        <w:t>2</w:t>
      </w:r>
      <w:r w:rsidRPr="00F02343">
        <w:rPr>
          <w:i/>
          <w:iCs/>
        </w:rPr>
        <w:t xml:space="preserve"> Budget</w:t>
      </w:r>
      <w:r>
        <w:t xml:space="preserve"> outlined that substantial government funding of essential services and economic support was required to respond to the COVID-19 pandemic and included a four</w:t>
      </w:r>
      <w:r>
        <w:noBreakHyphen/>
        <w:t xml:space="preserve">step fiscal strategy for the medium term, with the final step being the stabilising of debt levels. </w:t>
      </w:r>
    </w:p>
    <w:p w14:paraId="67109B0E" w14:textId="77777777" w:rsidR="008D6F13" w:rsidRDefault="008D6F13" w:rsidP="008D6F13">
      <w:r>
        <w:t xml:space="preserve">Expenditure in response to the COVID-19 pandemic over the last two years, </w:t>
      </w:r>
      <w:proofErr w:type="gramStart"/>
      <w:r>
        <w:t>and in particular, in</w:t>
      </w:r>
      <w:proofErr w:type="gramEnd"/>
      <w:r>
        <w:t xml:space="preserve"> response to the recent Delta outbreak of COVID-19, has been focused on the short term to allow required services and economic support to be provided while maintaining the fiscal strategy.</w:t>
      </w:r>
    </w:p>
    <w:p w14:paraId="03196033" w14:textId="77777777" w:rsidR="008D6F13" w:rsidRDefault="008D6F13" w:rsidP="008D6F13">
      <w:pPr>
        <w:pStyle w:val="TableHeading"/>
      </w:pPr>
      <w:r w:rsidRPr="00011803">
        <w:t xml:space="preserve">Chart </w:t>
      </w:r>
      <w:r>
        <w:t>3.2</w:t>
      </w:r>
      <w:r w:rsidRPr="00011803">
        <w:t>:</w:t>
      </w:r>
      <w:r w:rsidRPr="00011803">
        <w:tab/>
        <w:t xml:space="preserve">General government net debt to </w:t>
      </w:r>
      <w:r w:rsidRPr="00BF07B9">
        <w:t>GSP</w:t>
      </w:r>
    </w:p>
    <w:p w14:paraId="7F8C3E85" w14:textId="77777777" w:rsidR="008D6F13" w:rsidRDefault="008D6F13" w:rsidP="008D6F13">
      <w:r w:rsidRPr="008B7D4F">
        <w:rPr>
          <w:noProof/>
        </w:rPr>
        <w:drawing>
          <wp:inline distT="0" distB="0" distL="0" distR="0" wp14:anchorId="0958AF14" wp14:editId="2A41375B">
            <wp:extent cx="4896485" cy="27984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96485" cy="2798445"/>
                    </a:xfrm>
                    <a:prstGeom prst="rect">
                      <a:avLst/>
                    </a:prstGeom>
                    <a:noFill/>
                    <a:ln>
                      <a:noFill/>
                    </a:ln>
                  </pic:spPr>
                </pic:pic>
              </a:graphicData>
            </a:graphic>
          </wp:inline>
        </w:drawing>
      </w:r>
    </w:p>
    <w:p w14:paraId="424764C9" w14:textId="77777777" w:rsidR="008D6F13" w:rsidRPr="00CA318F" w:rsidRDefault="008D6F13" w:rsidP="008D6F13">
      <w:pPr>
        <w:pStyle w:val="Source"/>
      </w:pPr>
      <w:r w:rsidRPr="00CA318F">
        <w:t>Source: Department of Treasury and Finance</w:t>
      </w:r>
    </w:p>
    <w:p w14:paraId="47F25626" w14:textId="77777777" w:rsidR="008D6F13" w:rsidRDefault="008D6F13" w:rsidP="008D6F13"/>
    <w:p w14:paraId="36DFD58F" w14:textId="77777777" w:rsidR="008D6F13" w:rsidRDefault="008D6F13" w:rsidP="008D6F13">
      <w:pPr>
        <w:keepLines w:val="0"/>
      </w:pPr>
      <w:r>
        <w:br w:type="page"/>
      </w:r>
    </w:p>
    <w:p w14:paraId="44109C0D" w14:textId="77777777" w:rsidR="008D6F13" w:rsidRDefault="008D6F13" w:rsidP="008D6F13">
      <w:pPr>
        <w:ind w:right="-227"/>
      </w:pPr>
      <w:r>
        <w:lastRenderedPageBreak/>
        <w:t xml:space="preserve">The application of cash resources for the general government sector (as shown in </w:t>
      </w:r>
      <w:r w:rsidRPr="002909AD">
        <w:t>Table </w:t>
      </w:r>
      <w:r>
        <w:t>3.5</w:t>
      </w:r>
      <w:r w:rsidRPr="002909AD">
        <w:t>)</w:t>
      </w:r>
      <w:r>
        <w:t xml:space="preserve"> outlines the annual movements in net debt.</w:t>
      </w:r>
    </w:p>
    <w:p w14:paraId="4C3F750A" w14:textId="77777777" w:rsidR="008D6F13" w:rsidRDefault="008D6F13" w:rsidP="008D6F13">
      <w:pPr>
        <w:pStyle w:val="TableHeading"/>
      </w:pPr>
      <w:r>
        <w:t>Table 3.5:</w:t>
      </w:r>
      <w:r>
        <w:tab/>
        <w:t xml:space="preserve">Application of cash resources for the general government sector </w:t>
      </w:r>
      <w:r w:rsidRPr="009A137F">
        <w:rPr>
          <w:vertAlign w:val="superscript"/>
        </w:rPr>
        <w:t>(a)</w:t>
      </w:r>
      <w:r>
        <w:tab/>
        <w:t>($ million)</w:t>
      </w:r>
    </w:p>
    <w:tbl>
      <w:tblPr>
        <w:tblStyle w:val="DTFTableNumeric"/>
        <w:tblW w:w="7710" w:type="dxa"/>
        <w:tblLayout w:type="fixed"/>
        <w:tblLook w:val="06A0" w:firstRow="1" w:lastRow="0" w:firstColumn="1" w:lastColumn="0" w:noHBand="1" w:noVBand="1"/>
      </w:tblPr>
      <w:tblGrid>
        <w:gridCol w:w="4534"/>
        <w:gridCol w:w="794"/>
        <w:gridCol w:w="794"/>
        <w:gridCol w:w="794"/>
        <w:gridCol w:w="794"/>
      </w:tblGrid>
      <w:tr w:rsidR="008D6F13" w14:paraId="79FB870C"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3979E410" w14:textId="44CF1666" w:rsidR="008D6F13" w:rsidRDefault="008D6F13" w:rsidP="0031078F"/>
        </w:tc>
        <w:tc>
          <w:tcPr>
            <w:tcW w:w="794" w:type="dxa"/>
          </w:tcPr>
          <w:p w14:paraId="142F1514"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rPr>
                <w:i w:val="0"/>
              </w:rPr>
              <w:br/>
            </w:r>
            <w:r>
              <w:t>revised</w:t>
            </w:r>
          </w:p>
        </w:tc>
        <w:tc>
          <w:tcPr>
            <w:tcW w:w="794" w:type="dxa"/>
          </w:tcPr>
          <w:p w14:paraId="6D485CE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rPr>
                <w:i w:val="0"/>
              </w:rPr>
              <w:br/>
            </w:r>
            <w:r>
              <w:t>estimate</w:t>
            </w:r>
          </w:p>
        </w:tc>
        <w:tc>
          <w:tcPr>
            <w:tcW w:w="794" w:type="dxa"/>
          </w:tcPr>
          <w:p w14:paraId="0C2021EC"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rPr>
                <w:i w:val="0"/>
              </w:rPr>
              <w:br/>
            </w:r>
            <w:r>
              <w:t>estimate</w:t>
            </w:r>
          </w:p>
        </w:tc>
        <w:tc>
          <w:tcPr>
            <w:tcW w:w="794" w:type="dxa"/>
          </w:tcPr>
          <w:p w14:paraId="47C209B7"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rPr>
                <w:i w:val="0"/>
              </w:rPr>
              <w:br/>
            </w:r>
            <w:r>
              <w:t>estimate</w:t>
            </w:r>
          </w:p>
        </w:tc>
      </w:tr>
      <w:tr w:rsidR="008D6F13" w14:paraId="4F3251D1"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4178C1D5" w14:textId="77777777" w:rsidR="008D6F13" w:rsidRDefault="008D6F13" w:rsidP="0031078F">
            <w:r>
              <w:rPr>
                <w:b/>
              </w:rPr>
              <w:t>Net result from transactions</w:t>
            </w:r>
          </w:p>
        </w:tc>
        <w:tc>
          <w:tcPr>
            <w:tcW w:w="794" w:type="dxa"/>
          </w:tcPr>
          <w:p w14:paraId="50B0E69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(19 538)</w:t>
            </w:r>
          </w:p>
        </w:tc>
        <w:tc>
          <w:tcPr>
            <w:tcW w:w="794" w:type="dxa"/>
          </w:tcPr>
          <w:p w14:paraId="2D8A088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(5 276)</w:t>
            </w:r>
          </w:p>
        </w:tc>
        <w:tc>
          <w:tcPr>
            <w:tcW w:w="794" w:type="dxa"/>
          </w:tcPr>
          <w:p w14:paraId="2375808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(3 447)</w:t>
            </w:r>
          </w:p>
        </w:tc>
        <w:tc>
          <w:tcPr>
            <w:tcW w:w="794" w:type="dxa"/>
          </w:tcPr>
          <w:p w14:paraId="6DCF927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(2 105)</w:t>
            </w:r>
          </w:p>
        </w:tc>
      </w:tr>
      <w:tr w:rsidR="008D6F13" w14:paraId="5F33A911"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5879AB7F" w14:textId="77777777" w:rsidR="008D6F13" w:rsidRDefault="008D6F13" w:rsidP="0031078F">
            <w:r>
              <w:t xml:space="preserve">Add back: Operating cash flows not recognised in the net operating balance </w:t>
            </w:r>
            <w:r>
              <w:rPr>
                <w:vertAlign w:val="superscript"/>
              </w:rPr>
              <w:t>(b)</w:t>
            </w:r>
          </w:p>
        </w:tc>
        <w:tc>
          <w:tcPr>
            <w:tcW w:w="794" w:type="dxa"/>
            <w:tcBorders>
              <w:bottom w:val="single" w:sz="6" w:space="0" w:color="auto"/>
            </w:tcBorders>
          </w:tcPr>
          <w:p w14:paraId="4EB5088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4 872</w:t>
            </w:r>
          </w:p>
        </w:tc>
        <w:tc>
          <w:tcPr>
            <w:tcW w:w="794" w:type="dxa"/>
            <w:tcBorders>
              <w:bottom w:val="single" w:sz="6" w:space="0" w:color="auto"/>
            </w:tcBorders>
          </w:tcPr>
          <w:p w14:paraId="12159B6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7 726</w:t>
            </w:r>
          </w:p>
        </w:tc>
        <w:tc>
          <w:tcPr>
            <w:tcW w:w="794" w:type="dxa"/>
            <w:tcBorders>
              <w:bottom w:val="single" w:sz="6" w:space="0" w:color="auto"/>
            </w:tcBorders>
          </w:tcPr>
          <w:p w14:paraId="61F8AA1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4 222</w:t>
            </w:r>
          </w:p>
        </w:tc>
        <w:tc>
          <w:tcPr>
            <w:tcW w:w="794" w:type="dxa"/>
            <w:tcBorders>
              <w:bottom w:val="single" w:sz="6" w:space="0" w:color="auto"/>
            </w:tcBorders>
          </w:tcPr>
          <w:p w14:paraId="1BA334F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4 653</w:t>
            </w:r>
          </w:p>
        </w:tc>
      </w:tr>
      <w:tr w:rsidR="008D6F13" w14:paraId="36801CFF"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5BE9DA00" w14:textId="77777777" w:rsidR="008D6F13" w:rsidRDefault="008D6F13" w:rsidP="0031078F">
            <w:r>
              <w:rPr>
                <w:b/>
              </w:rPr>
              <w:t>Net cash flows from operating activities</w:t>
            </w:r>
          </w:p>
        </w:tc>
        <w:tc>
          <w:tcPr>
            <w:tcW w:w="794" w:type="dxa"/>
            <w:tcBorders>
              <w:top w:val="single" w:sz="6" w:space="0" w:color="auto"/>
              <w:bottom w:val="single" w:sz="6" w:space="0" w:color="auto"/>
            </w:tcBorders>
          </w:tcPr>
          <w:p w14:paraId="355D104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(14 666)</w:t>
            </w:r>
          </w:p>
        </w:tc>
        <w:tc>
          <w:tcPr>
            <w:tcW w:w="794" w:type="dxa"/>
            <w:tcBorders>
              <w:top w:val="single" w:sz="6" w:space="0" w:color="auto"/>
              <w:bottom w:val="single" w:sz="6" w:space="0" w:color="auto"/>
            </w:tcBorders>
          </w:tcPr>
          <w:p w14:paraId="4E45A12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2 450</w:t>
            </w:r>
          </w:p>
        </w:tc>
        <w:tc>
          <w:tcPr>
            <w:tcW w:w="794" w:type="dxa"/>
            <w:tcBorders>
              <w:top w:val="single" w:sz="6" w:space="0" w:color="auto"/>
              <w:bottom w:val="single" w:sz="6" w:space="0" w:color="auto"/>
            </w:tcBorders>
          </w:tcPr>
          <w:p w14:paraId="6043FB3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776</w:t>
            </w:r>
          </w:p>
        </w:tc>
        <w:tc>
          <w:tcPr>
            <w:tcW w:w="794" w:type="dxa"/>
            <w:tcBorders>
              <w:top w:val="single" w:sz="6" w:space="0" w:color="auto"/>
              <w:bottom w:val="single" w:sz="6" w:space="0" w:color="auto"/>
            </w:tcBorders>
          </w:tcPr>
          <w:p w14:paraId="2B09EAC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2 547</w:t>
            </w:r>
          </w:p>
        </w:tc>
      </w:tr>
      <w:tr w:rsidR="008D6F13" w14:paraId="5387BE62"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6BE53A86" w14:textId="77777777" w:rsidR="008D6F13" w:rsidRDefault="008D6F13" w:rsidP="0031078F">
            <w:r>
              <w:rPr>
                <w:b/>
              </w:rPr>
              <w:t xml:space="preserve">Less: Total net investment in fixed assets </w:t>
            </w:r>
            <w:r>
              <w:rPr>
                <w:b/>
                <w:vertAlign w:val="superscript"/>
              </w:rPr>
              <w:t>(c)</w:t>
            </w:r>
          </w:p>
        </w:tc>
        <w:tc>
          <w:tcPr>
            <w:tcW w:w="794" w:type="dxa"/>
            <w:tcBorders>
              <w:top w:val="single" w:sz="6" w:space="0" w:color="auto"/>
              <w:bottom w:val="single" w:sz="6" w:space="0" w:color="auto"/>
            </w:tcBorders>
          </w:tcPr>
          <w:p w14:paraId="5403295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13 559</w:t>
            </w:r>
          </w:p>
        </w:tc>
        <w:tc>
          <w:tcPr>
            <w:tcW w:w="794" w:type="dxa"/>
            <w:tcBorders>
              <w:top w:val="single" w:sz="6" w:space="0" w:color="auto"/>
              <w:bottom w:val="single" w:sz="6" w:space="0" w:color="auto"/>
            </w:tcBorders>
          </w:tcPr>
          <w:p w14:paraId="1856598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17 267</w:t>
            </w:r>
          </w:p>
        </w:tc>
        <w:tc>
          <w:tcPr>
            <w:tcW w:w="794" w:type="dxa"/>
            <w:tcBorders>
              <w:top w:val="single" w:sz="6" w:space="0" w:color="auto"/>
              <w:bottom w:val="single" w:sz="6" w:space="0" w:color="auto"/>
            </w:tcBorders>
          </w:tcPr>
          <w:p w14:paraId="43B494B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21 207</w:t>
            </w:r>
          </w:p>
        </w:tc>
        <w:tc>
          <w:tcPr>
            <w:tcW w:w="794" w:type="dxa"/>
            <w:tcBorders>
              <w:top w:val="single" w:sz="6" w:space="0" w:color="auto"/>
              <w:bottom w:val="single" w:sz="6" w:space="0" w:color="auto"/>
            </w:tcBorders>
          </w:tcPr>
          <w:p w14:paraId="01B9E4B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23 214</w:t>
            </w:r>
          </w:p>
        </w:tc>
      </w:tr>
      <w:tr w:rsidR="008D6F13" w14:paraId="74878303"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199F8C26" w14:textId="77777777" w:rsidR="008D6F13" w:rsidRDefault="008D6F13" w:rsidP="0031078F">
            <w:r>
              <w:rPr>
                <w:b/>
              </w:rPr>
              <w:t>Surplus/(deficit) of cash from operations after funding net investment in fixed assets</w:t>
            </w:r>
          </w:p>
        </w:tc>
        <w:tc>
          <w:tcPr>
            <w:tcW w:w="794" w:type="dxa"/>
            <w:tcBorders>
              <w:top w:val="single" w:sz="6" w:space="0" w:color="auto"/>
              <w:bottom w:val="single" w:sz="6" w:space="0" w:color="auto"/>
            </w:tcBorders>
          </w:tcPr>
          <w:p w14:paraId="18D0506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(28 225)</w:t>
            </w:r>
          </w:p>
        </w:tc>
        <w:tc>
          <w:tcPr>
            <w:tcW w:w="794" w:type="dxa"/>
            <w:tcBorders>
              <w:top w:val="single" w:sz="6" w:space="0" w:color="auto"/>
              <w:bottom w:val="single" w:sz="6" w:space="0" w:color="auto"/>
            </w:tcBorders>
          </w:tcPr>
          <w:p w14:paraId="0AA9DEB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(14 817)</w:t>
            </w:r>
          </w:p>
        </w:tc>
        <w:tc>
          <w:tcPr>
            <w:tcW w:w="794" w:type="dxa"/>
            <w:tcBorders>
              <w:top w:val="single" w:sz="6" w:space="0" w:color="auto"/>
              <w:bottom w:val="single" w:sz="6" w:space="0" w:color="auto"/>
            </w:tcBorders>
          </w:tcPr>
          <w:p w14:paraId="31D1845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(20 432)</w:t>
            </w:r>
          </w:p>
        </w:tc>
        <w:tc>
          <w:tcPr>
            <w:tcW w:w="794" w:type="dxa"/>
            <w:tcBorders>
              <w:top w:val="single" w:sz="6" w:space="0" w:color="auto"/>
              <w:bottom w:val="single" w:sz="6" w:space="0" w:color="auto"/>
            </w:tcBorders>
          </w:tcPr>
          <w:p w14:paraId="4DCE0AF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(20 667)</w:t>
            </w:r>
          </w:p>
        </w:tc>
      </w:tr>
      <w:tr w:rsidR="008D6F13" w14:paraId="6149A49B"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0DBA0FC4" w14:textId="77777777" w:rsidR="008D6F13" w:rsidRDefault="008D6F13" w:rsidP="0031078F">
            <w:r>
              <w:t>Less:</w:t>
            </w:r>
          </w:p>
        </w:tc>
        <w:tc>
          <w:tcPr>
            <w:tcW w:w="794" w:type="dxa"/>
            <w:tcBorders>
              <w:top w:val="single" w:sz="6" w:space="0" w:color="auto"/>
            </w:tcBorders>
          </w:tcPr>
          <w:p w14:paraId="35FB877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D8932C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36DE5D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A184CD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2ED1A181"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613CC4D8" w14:textId="77777777" w:rsidR="008D6F13" w:rsidRDefault="008D6F13" w:rsidP="0031078F">
            <w:r>
              <w:t xml:space="preserve">   Leases and service concession arrangements </w:t>
            </w:r>
            <w:r>
              <w:rPr>
                <w:vertAlign w:val="superscript"/>
              </w:rPr>
              <w:t>(d)</w:t>
            </w:r>
          </w:p>
        </w:tc>
        <w:tc>
          <w:tcPr>
            <w:tcW w:w="794" w:type="dxa"/>
          </w:tcPr>
          <w:p w14:paraId="735879F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2 156</w:t>
            </w:r>
          </w:p>
        </w:tc>
        <w:tc>
          <w:tcPr>
            <w:tcW w:w="794" w:type="dxa"/>
          </w:tcPr>
          <w:p w14:paraId="244B0CD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2 042</w:t>
            </w:r>
          </w:p>
        </w:tc>
        <w:tc>
          <w:tcPr>
            <w:tcW w:w="794" w:type="dxa"/>
          </w:tcPr>
          <w:p w14:paraId="6E38320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1 782</w:t>
            </w:r>
          </w:p>
        </w:tc>
        <w:tc>
          <w:tcPr>
            <w:tcW w:w="794" w:type="dxa"/>
          </w:tcPr>
          <w:p w14:paraId="7CE3160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622</w:t>
            </w:r>
          </w:p>
        </w:tc>
      </w:tr>
      <w:tr w:rsidR="008D6F13" w14:paraId="7FAFBE92"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3B2D8EEE" w14:textId="77777777" w:rsidR="008D6F13" w:rsidRDefault="008D6F13" w:rsidP="0031078F">
            <w:r>
              <w:t xml:space="preserve">   Other movements</w:t>
            </w:r>
          </w:p>
        </w:tc>
        <w:tc>
          <w:tcPr>
            <w:tcW w:w="794" w:type="dxa"/>
            <w:tcBorders>
              <w:bottom w:val="single" w:sz="6" w:space="0" w:color="auto"/>
            </w:tcBorders>
          </w:tcPr>
          <w:p w14:paraId="5DD11BB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1 348</w:t>
            </w:r>
          </w:p>
        </w:tc>
        <w:tc>
          <w:tcPr>
            <w:tcW w:w="794" w:type="dxa"/>
            <w:tcBorders>
              <w:bottom w:val="single" w:sz="6" w:space="0" w:color="auto"/>
            </w:tcBorders>
          </w:tcPr>
          <w:p w14:paraId="3A216B3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(205)</w:t>
            </w:r>
          </w:p>
        </w:tc>
        <w:tc>
          <w:tcPr>
            <w:tcW w:w="794" w:type="dxa"/>
            <w:tcBorders>
              <w:bottom w:val="single" w:sz="6" w:space="0" w:color="auto"/>
            </w:tcBorders>
          </w:tcPr>
          <w:p w14:paraId="2F19E84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(1 771)</w:t>
            </w:r>
          </w:p>
        </w:tc>
        <w:tc>
          <w:tcPr>
            <w:tcW w:w="794" w:type="dxa"/>
            <w:tcBorders>
              <w:bottom w:val="single" w:sz="6" w:space="0" w:color="auto"/>
            </w:tcBorders>
          </w:tcPr>
          <w:p w14:paraId="0FEFDAF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(155)</w:t>
            </w:r>
          </w:p>
        </w:tc>
      </w:tr>
      <w:tr w:rsidR="008D6F13" w14:paraId="6B869DE7"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142ED184" w14:textId="77777777" w:rsidR="008D6F13" w:rsidRDefault="008D6F13" w:rsidP="0031078F">
            <w:r>
              <w:rPr>
                <w:b/>
              </w:rPr>
              <w:t>Decrease/(increase) in net debt</w:t>
            </w:r>
          </w:p>
        </w:tc>
        <w:tc>
          <w:tcPr>
            <w:tcW w:w="794" w:type="dxa"/>
          </w:tcPr>
          <w:p w14:paraId="63286CC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(31 730)</w:t>
            </w:r>
          </w:p>
        </w:tc>
        <w:tc>
          <w:tcPr>
            <w:tcW w:w="794" w:type="dxa"/>
          </w:tcPr>
          <w:p w14:paraId="20E1CE2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(16 654)</w:t>
            </w:r>
          </w:p>
        </w:tc>
        <w:tc>
          <w:tcPr>
            <w:tcW w:w="794" w:type="dxa"/>
          </w:tcPr>
          <w:p w14:paraId="11ADBEE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(20 442)</w:t>
            </w:r>
          </w:p>
        </w:tc>
        <w:tc>
          <w:tcPr>
            <w:tcW w:w="794" w:type="dxa"/>
          </w:tcPr>
          <w:p w14:paraId="51816182" w14:textId="73CE1A2D"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(21 134)</w:t>
            </w:r>
          </w:p>
        </w:tc>
      </w:tr>
    </w:tbl>
    <w:p w14:paraId="2664936B" w14:textId="77777777" w:rsidR="008D6F13" w:rsidRPr="00CA318F" w:rsidRDefault="008D6F13" w:rsidP="008D6F13">
      <w:pPr>
        <w:pStyle w:val="Source"/>
      </w:pPr>
      <w:r w:rsidRPr="00CA318F">
        <w:t>Source: Department of Treasury and Finance</w:t>
      </w:r>
    </w:p>
    <w:p w14:paraId="7B7823F1" w14:textId="77777777" w:rsidR="008D6F13" w:rsidRPr="004173CA" w:rsidRDefault="008D6F13" w:rsidP="008D6F13">
      <w:pPr>
        <w:pStyle w:val="Note"/>
      </w:pPr>
      <w:r w:rsidRPr="004173CA">
        <w:t>Notes:</w:t>
      </w:r>
    </w:p>
    <w:p w14:paraId="4B07DDF8" w14:textId="77777777" w:rsidR="008D6F13" w:rsidRPr="004173CA" w:rsidRDefault="008D6F13" w:rsidP="008D6F13">
      <w:pPr>
        <w:pStyle w:val="Note"/>
      </w:pPr>
      <w:r w:rsidRPr="004173CA">
        <w:t xml:space="preserve">(a) </w:t>
      </w:r>
      <w:r w:rsidRPr="004173CA">
        <w:tab/>
        <w:t>Figures in this table are subject to rounding to the nearest</w:t>
      </w:r>
      <w:r>
        <w:t> million</w:t>
      </w:r>
      <w:r w:rsidRPr="004173CA">
        <w:t xml:space="preserve"> and may not add up to totals.</w:t>
      </w:r>
    </w:p>
    <w:p w14:paraId="07DB5208" w14:textId="77777777" w:rsidR="008D6F13" w:rsidRPr="004173CA" w:rsidRDefault="008D6F13" w:rsidP="008D6F13">
      <w:pPr>
        <w:pStyle w:val="Note"/>
      </w:pPr>
      <w:r>
        <w:t>(b)</w:t>
      </w:r>
      <w:r>
        <w:tab/>
      </w:r>
      <w:r w:rsidRPr="004173CA">
        <w:t xml:space="preserve">Includes depreciation, prepayments and movements in the superannuation liability and liability </w:t>
      </w:r>
      <w:r>
        <w:t>of</w:t>
      </w:r>
      <w:r w:rsidRPr="004173CA">
        <w:t xml:space="preserve"> employee benefits</w:t>
      </w:r>
      <w:r>
        <w:t xml:space="preserve"> for the year, and the progressive unwinding of the grant of a right to the operator liability.</w:t>
      </w:r>
    </w:p>
    <w:p w14:paraId="03E6B5B5" w14:textId="77777777" w:rsidR="008D6F13" w:rsidRPr="004173CA" w:rsidRDefault="008D6F13" w:rsidP="008D6F13">
      <w:pPr>
        <w:pStyle w:val="Note"/>
      </w:pPr>
      <w:r w:rsidRPr="004173CA">
        <w:t>(</w:t>
      </w:r>
      <w:r>
        <w:t>c</w:t>
      </w:r>
      <w:r w:rsidRPr="004173CA">
        <w:t xml:space="preserve">) </w:t>
      </w:r>
      <w:r w:rsidRPr="004173CA">
        <w:tab/>
        <w:t>Includes total purchases of plant, property and equipment, and net capital contributions to other sectors of government net of proceeds from asset sales</w:t>
      </w:r>
      <w:r w:rsidRPr="004173CA">
        <w:fldChar w:fldCharType="begin"/>
      </w:r>
      <w:r w:rsidRPr="004173CA">
        <w:instrText xml:space="preserve"> "Asset recycling" </w:instrText>
      </w:r>
      <w:r w:rsidRPr="004173CA">
        <w:fldChar w:fldCharType="end"/>
      </w:r>
      <w:r w:rsidRPr="004173CA">
        <w:t>.</w:t>
      </w:r>
    </w:p>
    <w:p w14:paraId="44D58817" w14:textId="77777777" w:rsidR="008D6F13" w:rsidRPr="00A44AE1" w:rsidRDefault="008D6F13" w:rsidP="008D6F13">
      <w:pPr>
        <w:pStyle w:val="Note"/>
      </w:pPr>
      <w:r w:rsidRPr="00A05F89">
        <w:t>(</w:t>
      </w:r>
      <w:r>
        <w:t>d</w:t>
      </w:r>
      <w:r w:rsidRPr="00A05F89">
        <w:t>)</w:t>
      </w:r>
      <w:r w:rsidRPr="00A05F89">
        <w:tab/>
      </w:r>
      <w:r>
        <w:t xml:space="preserve">Includes most operating leases which are now required to be recognised as lease liabilities. It also includes the financial liabilities relating to public private partnerships including the </w:t>
      </w:r>
      <w:proofErr w:type="gramStart"/>
      <w:r>
        <w:t>High Capacity</w:t>
      </w:r>
      <w:proofErr w:type="gramEnd"/>
      <w:r>
        <w:t xml:space="preserve"> Metro Trains Project, the Metro Tunnel, the new Footscray Hospital, Frankston Hospital Redevelopment and Western Roads Upgrade.</w:t>
      </w:r>
      <w:r w:rsidRPr="00A05F89">
        <w:rPr>
          <w:i w:val="0"/>
          <w:iCs/>
          <w:color w:val="C00000"/>
        </w:rPr>
        <w:t xml:space="preserve"> </w:t>
      </w:r>
    </w:p>
    <w:p w14:paraId="4ED2C20E" w14:textId="77777777" w:rsidR="008D6F13" w:rsidRDefault="008D6F13" w:rsidP="008D6F13">
      <w:pPr>
        <w:pStyle w:val="Heading20"/>
      </w:pPr>
      <w:r>
        <w:t>Unfunded superannuation liability</w:t>
      </w:r>
    </w:p>
    <w:p w14:paraId="066B7BEA" w14:textId="77777777" w:rsidR="008D6F13" w:rsidRDefault="008D6F13" w:rsidP="008D6F13">
      <w:r>
        <w:t xml:space="preserve">The Government is on track to fully fund the State’s unfunded superannuation liability by 2035. Note 4.6.3 of Chapter 4 </w:t>
      </w:r>
      <w:r w:rsidRPr="006D3414">
        <w:rPr>
          <w:i/>
          <w:iCs/>
        </w:rPr>
        <w:t>Estimated financial statements and notes</w:t>
      </w:r>
      <w:r>
        <w:t xml:space="preserve"> shows information on the reported superannuation liability.</w:t>
      </w:r>
    </w:p>
    <w:p w14:paraId="647D77E7" w14:textId="77777777" w:rsidR="008D6F13" w:rsidRDefault="008D6F13" w:rsidP="008D6F13">
      <w:pPr>
        <w:keepLines w:val="0"/>
        <w:rPr>
          <w:rFonts w:asciiTheme="majorHAnsi" w:eastAsiaTheme="majorEastAsia" w:hAnsiTheme="majorHAnsi" w:cstheme="majorBidi"/>
          <w:b/>
          <w:caps/>
          <w:sz w:val="26"/>
          <w:szCs w:val="32"/>
        </w:rPr>
      </w:pPr>
      <w:bookmarkStart w:id="54" w:name="_Toc71913897"/>
      <w:r>
        <w:br w:type="page"/>
      </w:r>
    </w:p>
    <w:p w14:paraId="3C6DC617" w14:textId="77777777" w:rsidR="008D6F13" w:rsidRDefault="008D6F13" w:rsidP="008D6F13">
      <w:pPr>
        <w:pStyle w:val="Heading10"/>
      </w:pPr>
      <w:bookmarkStart w:id="55" w:name="_Toc89423583"/>
      <w:r>
        <w:lastRenderedPageBreak/>
        <w:t>Fiscal risks</w:t>
      </w:r>
      <w:bookmarkEnd w:id="54"/>
      <w:bookmarkEnd w:id="55"/>
    </w:p>
    <w:p w14:paraId="5A552CC8" w14:textId="77777777" w:rsidR="008D6F13" w:rsidRDefault="008D6F13" w:rsidP="008D6F13">
      <w:r>
        <w:t xml:space="preserve">This section discusses </w:t>
      </w:r>
      <w:proofErr w:type="gramStart"/>
      <w:r>
        <w:t>a number of</w:t>
      </w:r>
      <w:proofErr w:type="gramEnd"/>
      <w:r>
        <w:t xml:space="preserve"> risks which, if realised, are likely to impact on the State’s financial position and budget outcomes. </w:t>
      </w:r>
    </w:p>
    <w:p w14:paraId="10A3D8FD" w14:textId="77777777" w:rsidR="008D6F13" w:rsidRDefault="008D6F13" w:rsidP="008D6F13">
      <w:r>
        <w:t>Details of specific contingent assets and liabilities, defined as possible assets or liabilities that arise from past events whose existence will be confirmed only by the occurrence or non</w:t>
      </w:r>
      <w:r>
        <w:noBreakHyphen/>
        <w:t xml:space="preserve">occurrence of one or </w:t>
      </w:r>
      <w:r w:rsidRPr="00540B60">
        <w:t xml:space="preserve">more uncertain future events not wholly within the control of the entity, are contained within Chapter 6 </w:t>
      </w:r>
      <w:r w:rsidRPr="00540B60">
        <w:rPr>
          <w:i/>
          <w:iCs/>
        </w:rPr>
        <w:t xml:space="preserve">Contingent </w:t>
      </w:r>
      <w:r>
        <w:rPr>
          <w:i/>
          <w:iCs/>
        </w:rPr>
        <w:t>a</w:t>
      </w:r>
      <w:r w:rsidRPr="00540B60">
        <w:rPr>
          <w:i/>
          <w:iCs/>
        </w:rPr>
        <w:t xml:space="preserve">ssets and </w:t>
      </w:r>
      <w:r>
        <w:rPr>
          <w:i/>
          <w:iCs/>
        </w:rPr>
        <w:t>c</w:t>
      </w:r>
      <w:r w:rsidRPr="00540B60">
        <w:rPr>
          <w:i/>
          <w:iCs/>
        </w:rPr>
        <w:t xml:space="preserve">ontingent </w:t>
      </w:r>
      <w:r>
        <w:rPr>
          <w:i/>
          <w:iCs/>
        </w:rPr>
        <w:t>l</w:t>
      </w:r>
      <w:r w:rsidRPr="00540B60">
        <w:rPr>
          <w:i/>
          <w:iCs/>
        </w:rPr>
        <w:t>iabilities</w:t>
      </w:r>
      <w:r w:rsidRPr="00540B60">
        <w:t>.</w:t>
      </w:r>
    </w:p>
    <w:p w14:paraId="78C81DB3" w14:textId="77777777" w:rsidR="008D6F13" w:rsidRDefault="008D6F13" w:rsidP="008D6F13">
      <w:pPr>
        <w:pStyle w:val="Heading20"/>
      </w:pPr>
      <w:r>
        <w:t>General fiscal risks</w:t>
      </w:r>
    </w:p>
    <w:p w14:paraId="30285A48" w14:textId="77777777" w:rsidR="008D6F13" w:rsidRDefault="008D6F13" w:rsidP="008D6F13">
      <w:pPr>
        <w:pStyle w:val="Heading30"/>
      </w:pPr>
      <w:r>
        <w:t>COVID</w:t>
      </w:r>
      <w:r>
        <w:noBreakHyphen/>
        <w:t>19</w:t>
      </w:r>
    </w:p>
    <w:p w14:paraId="171C588C" w14:textId="77777777" w:rsidR="008D6F13" w:rsidRDefault="008D6F13" w:rsidP="008D6F13">
      <w:r>
        <w:t>Risks to Victoria’s economic outlook remain greater than normal and the forecasts are subject to a higher degree of uncertainty. These risks continue to be dominated by the COVID-19 pandemic and potential changes to policy responses as the domestic and global economies recover.</w:t>
      </w:r>
    </w:p>
    <w:p w14:paraId="357DA4EA" w14:textId="77777777" w:rsidR="008D6F13" w:rsidRPr="00984825" w:rsidRDefault="008D6F13" w:rsidP="008D6F13">
      <w:r w:rsidRPr="00984825">
        <w:t>The Government</w:t>
      </w:r>
      <w:r>
        <w:t>’</w:t>
      </w:r>
      <w:r w:rsidRPr="00984825">
        <w:t xml:space="preserve">s forecast revenues, expenses and borrowings are predicated on a series of assumptions, including those related </w:t>
      </w:r>
      <w:r>
        <w:t>to the global recovery</w:t>
      </w:r>
      <w:r w:rsidRPr="00984825">
        <w:t>. If these assumptions do not eventuate, the actual financial outcomes may differ from the Government</w:t>
      </w:r>
      <w:r>
        <w:t>’</w:t>
      </w:r>
      <w:r w:rsidRPr="00984825">
        <w:t>s current budget.</w:t>
      </w:r>
      <w:r w:rsidRPr="0007089C">
        <w:t xml:space="preserve"> </w:t>
      </w:r>
    </w:p>
    <w:p w14:paraId="302C655F" w14:textId="77777777" w:rsidR="008D6F13" w:rsidRDefault="008D6F13" w:rsidP="008D6F13">
      <w:pPr>
        <w:rPr>
          <w:color w:val="000000" w:themeColor="text1"/>
        </w:rPr>
      </w:pPr>
      <w:r w:rsidRPr="0058214D">
        <w:rPr>
          <w:color w:val="000000" w:themeColor="text1"/>
        </w:rPr>
        <w:t xml:space="preserve">Appendix </w:t>
      </w:r>
      <w:r>
        <w:rPr>
          <w:color w:val="000000" w:themeColor="text1"/>
        </w:rPr>
        <w:t>D</w:t>
      </w:r>
      <w:r w:rsidRPr="0058214D">
        <w:rPr>
          <w:color w:val="000000" w:themeColor="text1"/>
        </w:rPr>
        <w:t xml:space="preserve"> </w:t>
      </w:r>
      <w:r w:rsidRPr="0058214D">
        <w:rPr>
          <w:i/>
          <w:iCs/>
          <w:color w:val="000000" w:themeColor="text1"/>
        </w:rPr>
        <w:t>Sensitivity analysis</w:t>
      </w:r>
      <w:r w:rsidRPr="0058214D">
        <w:rPr>
          <w:color w:val="000000" w:themeColor="text1"/>
        </w:rPr>
        <w:t xml:space="preserve"> contains information on the impact of variations in the macroeconomic outlook on the Government</w:t>
      </w:r>
      <w:r>
        <w:rPr>
          <w:color w:val="000000" w:themeColor="text1"/>
        </w:rPr>
        <w:t>’</w:t>
      </w:r>
      <w:r w:rsidRPr="0058214D">
        <w:rPr>
          <w:color w:val="000000" w:themeColor="text1"/>
        </w:rPr>
        <w:t xml:space="preserve">s key fiscal aggregates. This includes a scenario of a protracted global recovery resulting from </w:t>
      </w:r>
      <w:r>
        <w:rPr>
          <w:color w:val="000000" w:themeColor="text1"/>
        </w:rPr>
        <w:t>the emergence of a vaccine</w:t>
      </w:r>
      <w:r>
        <w:rPr>
          <w:color w:val="000000" w:themeColor="text1"/>
        </w:rPr>
        <w:noBreakHyphen/>
        <w:t xml:space="preserve">resistant COVID-19 strain or further setback in the global vaccination effort, </w:t>
      </w:r>
      <w:r w:rsidRPr="0058214D">
        <w:rPr>
          <w:color w:val="000000" w:themeColor="text1"/>
        </w:rPr>
        <w:t>leading to renewed outbreaks and restrictions in major economies</w:t>
      </w:r>
      <w:r>
        <w:rPr>
          <w:color w:val="000000" w:themeColor="text1"/>
        </w:rPr>
        <w:t xml:space="preserve"> outside Australia</w:t>
      </w:r>
      <w:r w:rsidRPr="0058214D">
        <w:rPr>
          <w:color w:val="000000" w:themeColor="text1"/>
        </w:rPr>
        <w:t>.</w:t>
      </w:r>
    </w:p>
    <w:p w14:paraId="3239C87A" w14:textId="77777777" w:rsidR="008D6F13" w:rsidRDefault="008D6F13" w:rsidP="008D6F13">
      <w:pPr>
        <w:pStyle w:val="Heading4"/>
      </w:pPr>
      <w:bookmarkStart w:id="56" w:name="_Hlk69472644"/>
      <w:r>
        <w:t>National Partnership on COVID-19 Response</w:t>
      </w:r>
    </w:p>
    <w:bookmarkEnd w:id="56"/>
    <w:p w14:paraId="6DCCB76D" w14:textId="77777777" w:rsidR="008D6F13" w:rsidRDefault="008D6F13" w:rsidP="008D6F13">
      <w:pPr>
        <w:rPr>
          <w:color w:val="000000" w:themeColor="text1"/>
        </w:rPr>
      </w:pPr>
      <w:r>
        <w:t>To support the national and coordinated health response to the COVID-19 pandemic, in April 2020 the Commonwealth and states agreed shared funding arrangements via a new National Partnership Agreement. T</w:t>
      </w:r>
      <w:r w:rsidRPr="006A4BE3">
        <w:t xml:space="preserve">he Agreement will operate for the </w:t>
      </w:r>
      <w:r>
        <w:t>duration</w:t>
      </w:r>
      <w:r w:rsidRPr="006A4BE3">
        <w:t xml:space="preserve"> of the Australian Health Sector Emergency Response Plan for Novel Coronavirus 2019 declared by the Australian Health Protection Principal Committee</w:t>
      </w:r>
      <w:r>
        <w:t xml:space="preserve">, with </w:t>
      </w:r>
      <w:r w:rsidRPr="006A4BE3">
        <w:t>additional time</w:t>
      </w:r>
      <w:r>
        <w:t xml:space="preserve"> for payment reconciliation.</w:t>
      </w:r>
      <w:r w:rsidRPr="006A4BE3">
        <w:t xml:space="preserve"> </w:t>
      </w:r>
      <w:r>
        <w:t>The Agreement does not have a clear sunset date for budget purposes.</w:t>
      </w:r>
      <w:r w:rsidRPr="00B60441">
        <w:rPr>
          <w:color w:val="000000" w:themeColor="text1"/>
        </w:rPr>
        <w:t xml:space="preserve"> </w:t>
      </w:r>
      <w:r>
        <w:rPr>
          <w:color w:val="000000" w:themeColor="text1"/>
        </w:rPr>
        <w:t>I</w:t>
      </w:r>
      <w:r w:rsidRPr="00B60441">
        <w:rPr>
          <w:color w:val="000000" w:themeColor="text1"/>
        </w:rPr>
        <w:t>f</w:t>
      </w:r>
      <w:r>
        <w:rPr>
          <w:color w:val="000000" w:themeColor="text1"/>
        </w:rPr>
        <w:t> </w:t>
      </w:r>
      <w:r w:rsidRPr="00B60441">
        <w:rPr>
          <w:color w:val="000000" w:themeColor="text1"/>
        </w:rPr>
        <w:t xml:space="preserve">the Agreement is terminated prior to 2022-23 before planned </w:t>
      </w:r>
      <w:r>
        <w:t xml:space="preserve">COVID-19 </w:t>
      </w:r>
      <w:r w:rsidRPr="00B60441">
        <w:rPr>
          <w:color w:val="000000" w:themeColor="text1"/>
        </w:rPr>
        <w:t>pandemic responses cease, this may reduce Commonwealth payments to the State.</w:t>
      </w:r>
    </w:p>
    <w:p w14:paraId="61A5B8E5" w14:textId="77777777" w:rsidR="008D6F13" w:rsidRPr="007736FE" w:rsidRDefault="008D6F13" w:rsidP="008D6F13">
      <w:r>
        <w:rPr>
          <w:color w:val="000000" w:themeColor="text1"/>
        </w:rPr>
        <w:t>In April 2021, the Commonwealth also committed to contributing 50 per cent of the net additional costs incurred by states and territories in setting up COVID-19 clinics after 21 April 2021 as part of a revised COVID-19 Vaccine Rollout Strategy. The associated funding arrangements, which will directly impact Victoria’s costs in its vaccination rollout, are subject to ongoing negotiations between the Commonwealth and the states.</w:t>
      </w:r>
    </w:p>
    <w:p w14:paraId="2DB32367" w14:textId="77777777" w:rsidR="008D6F13" w:rsidRPr="00C203E5" w:rsidRDefault="008D6F13" w:rsidP="008D6F13">
      <w:pPr>
        <w:pStyle w:val="Heading30"/>
      </w:pPr>
      <w:r w:rsidRPr="00C203E5">
        <w:rPr>
          <w:rFonts w:eastAsiaTheme="minorHAnsi"/>
        </w:rPr>
        <w:lastRenderedPageBreak/>
        <w:t>State taxes</w:t>
      </w:r>
    </w:p>
    <w:p w14:paraId="4C61E3B5" w14:textId="77777777" w:rsidR="008D6F13" w:rsidRPr="00BF1269" w:rsidRDefault="008D6F13" w:rsidP="008D6F13">
      <w:pPr>
        <w:keepNext/>
      </w:pPr>
      <w:r w:rsidRPr="00BF1269">
        <w:t xml:space="preserve">State tax forecasts are primarily modelled on the relationships between taxation revenue and projected economic variables. As a result, the main source of uncertainty to state taxation estimates is unforeseen changes in the economic outlook. </w:t>
      </w:r>
    </w:p>
    <w:p w14:paraId="626986EB" w14:textId="77777777" w:rsidR="008D6F13" w:rsidRDefault="008D6F13" w:rsidP="008D6F13">
      <w:r w:rsidRPr="00BF1269">
        <w:t>Revenue from property</w:t>
      </w:r>
      <w:r w:rsidRPr="00BF1269">
        <w:noBreakHyphen/>
        <w:t>based taxes, such as land tax and land transfer duty, is subject to unique risks and historically ha</w:t>
      </w:r>
      <w:r>
        <w:t>s</w:t>
      </w:r>
      <w:r w:rsidRPr="00BF1269">
        <w:t xml:space="preserve"> been volatile as property markets can exhibit large cycles typically related to changes in interest rates and/or changes in sentiment. </w:t>
      </w:r>
    </w:p>
    <w:p w14:paraId="0569E25B" w14:textId="77777777" w:rsidR="008D6F13" w:rsidRDefault="008D6F13" w:rsidP="008D6F13">
      <w:pPr>
        <w:ind w:right="198"/>
      </w:pPr>
      <w:r w:rsidRPr="00BF1269">
        <w:t xml:space="preserve">The </w:t>
      </w:r>
      <w:r w:rsidRPr="00BF1269">
        <w:rPr>
          <w:i/>
          <w:iCs/>
        </w:rPr>
        <w:t xml:space="preserve">2021-22 Budget Update </w:t>
      </w:r>
      <w:r w:rsidRPr="00BF1269">
        <w:t xml:space="preserve">anticipates a gradual slowdown in </w:t>
      </w:r>
      <w:r w:rsidRPr="008E4C80">
        <w:t xml:space="preserve">dwelling price growth </w:t>
      </w:r>
      <w:r w:rsidRPr="00BF1269">
        <w:t>into 2022, but an acceleration in property prices and transaction volumes following the easing of public health restrictions in late 2021 may lead to property tax revenue being stronger than forecast. On the downside, worsening housing affordability constraints and the implementation of macroprudential regulation limiting credit availability could lead to a correction in property prices and lower transaction volumes</w:t>
      </w:r>
      <w:r>
        <w:t>,</w:t>
      </w:r>
      <w:r w:rsidRPr="00BF1269">
        <w:t xml:space="preserve"> which would result in weaker collections from property-based taxes.</w:t>
      </w:r>
      <w:r>
        <w:t xml:space="preserve"> This risk is explored further in Appendix D </w:t>
      </w:r>
      <w:r w:rsidRPr="006210D5">
        <w:rPr>
          <w:i/>
          <w:iCs/>
        </w:rPr>
        <w:t>Sensitivity analysis</w:t>
      </w:r>
      <w:r>
        <w:t>.</w:t>
      </w:r>
    </w:p>
    <w:p w14:paraId="4A1D6FA3" w14:textId="77777777" w:rsidR="008D6F13" w:rsidRPr="00C203E5" w:rsidRDefault="008D6F13" w:rsidP="008D6F13">
      <w:pPr>
        <w:pStyle w:val="Heading30"/>
      </w:pPr>
      <w:r>
        <w:rPr>
          <w:rFonts w:eastAsiaTheme="minorHAnsi"/>
        </w:rPr>
        <w:t>Employee expenses</w:t>
      </w:r>
    </w:p>
    <w:p w14:paraId="66508AFE" w14:textId="77777777" w:rsidR="008D6F13" w:rsidRDefault="008D6F13" w:rsidP="008D6F13">
      <w:r>
        <w:t>Employee expenses are the State’s largest expense. Two important determinants of employee expenses are wages growth and the number of employees.</w:t>
      </w:r>
    </w:p>
    <w:p w14:paraId="3AF116C1" w14:textId="77777777" w:rsidR="008D6F13" w:rsidRDefault="008D6F13" w:rsidP="008D6F13">
      <w:proofErr w:type="gramStart"/>
      <w:r>
        <w:t>Wages</w:t>
      </w:r>
      <w:proofErr w:type="gramEnd"/>
      <w:r>
        <w:t xml:space="preserve"> growth is primarily driven by enterprise bargaining agreements, which are subject to compliance with the Government’s wages policy. T</w:t>
      </w:r>
      <w:r w:rsidRPr="001F6484">
        <w:t xml:space="preserve">he </w:t>
      </w:r>
      <w:r>
        <w:t xml:space="preserve">Government </w:t>
      </w:r>
      <w:r w:rsidRPr="001F6484">
        <w:t>announced changes to the Victorian Public Sector Wages Policy that will apply from 1 January 2022.</w:t>
      </w:r>
      <w:r>
        <w:t xml:space="preserve"> The new wages policy parameters </w:t>
      </w:r>
      <w:proofErr w:type="gramStart"/>
      <w:r>
        <w:t>continues</w:t>
      </w:r>
      <w:proofErr w:type="gramEnd"/>
      <w:r>
        <w:t xml:space="preserve"> to encourage public sector agencies to take a more strategic approach to enterprise bargaining. Other factors contributing to projected employee expenses include the composition and profile of the workforce as well as rostering arrangements.</w:t>
      </w:r>
    </w:p>
    <w:p w14:paraId="4E02B3D8" w14:textId="77777777" w:rsidR="008D6F13" w:rsidRDefault="008D6F13" w:rsidP="008D6F13">
      <w:pPr>
        <w:pStyle w:val="Heading30"/>
      </w:pPr>
      <w:r>
        <w:t>Demand growth</w:t>
      </w:r>
    </w:p>
    <w:p w14:paraId="58BA351E" w14:textId="77777777" w:rsidR="008D6F13" w:rsidRDefault="008D6F13" w:rsidP="008D6F13">
      <w:r>
        <w:t xml:space="preserve">Another key uncertainty is whether growth in demand for government services will exceed or be lower than current projections. This can occur, for example, </w:t>
      </w:r>
      <w:proofErr w:type="gramStart"/>
      <w:r>
        <w:t>as a result of</w:t>
      </w:r>
      <w:proofErr w:type="gramEnd"/>
      <w:r>
        <w:t xml:space="preserve"> higher than forecast population growth or expenditure in response to unforeseen events such as natural disasters, including bushfires and floods. </w:t>
      </w:r>
    </w:p>
    <w:p w14:paraId="7A949CF5" w14:textId="77777777" w:rsidR="008D6F13" w:rsidRDefault="008D6F13" w:rsidP="008D6F13">
      <w:r>
        <w:t>The estimates incorporate contingency provisions to mitigate the impact of expenditure risks that may be realised during the next four years. The contingency provisions are sized to allow for the likely growth in Victoria’s population and the derived increased demand for government services.</w:t>
      </w:r>
    </w:p>
    <w:p w14:paraId="325653C6" w14:textId="77777777" w:rsidR="008D6F13" w:rsidRDefault="008D6F13" w:rsidP="008D6F13">
      <w:r w:rsidRPr="009A223A">
        <w:t xml:space="preserve">Note </w:t>
      </w:r>
      <w:r>
        <w:t>4</w:t>
      </w:r>
      <w:r w:rsidRPr="009A223A">
        <w:t xml:space="preserve">.3.5 and Note </w:t>
      </w:r>
      <w:r>
        <w:t>4</w:t>
      </w:r>
      <w:r w:rsidRPr="009A223A">
        <w:t>.3.6 of</w:t>
      </w:r>
      <w:r>
        <w:t xml:space="preserve"> Chapter 4 </w:t>
      </w:r>
      <w:r w:rsidRPr="006D3414">
        <w:rPr>
          <w:i/>
          <w:iCs/>
        </w:rPr>
        <w:t>Estimated financial statements and notes</w:t>
      </w:r>
      <w:r>
        <w:t xml:space="preserve"> discloses general government output and asset contingencies not allocated to departments.</w:t>
      </w:r>
    </w:p>
    <w:p w14:paraId="34D894A5" w14:textId="77777777" w:rsidR="008D6F13" w:rsidRDefault="008D6F13" w:rsidP="008D6F13">
      <w:pPr>
        <w:pStyle w:val="Heading30"/>
      </w:pPr>
      <w:r>
        <w:lastRenderedPageBreak/>
        <w:t>Capital program risks</w:t>
      </w:r>
    </w:p>
    <w:p w14:paraId="73CB3CE1" w14:textId="77777777" w:rsidR="008D6F13" w:rsidRDefault="008D6F13" w:rsidP="008D6F13">
      <w:pPr>
        <w:keepNext/>
        <w:rPr>
          <w:rFonts w:ascii="Garamond" w:hAnsi="Garamond"/>
        </w:rPr>
      </w:pPr>
      <w:r w:rsidRPr="00EE768A">
        <w:rPr>
          <w:rFonts w:ascii="Garamond" w:hAnsi="Garamond"/>
        </w:rPr>
        <w:t xml:space="preserve">The Government is delivering a historically large program of capital investments aimed at </w:t>
      </w:r>
      <w:r>
        <w:rPr>
          <w:rFonts w:ascii="Garamond" w:hAnsi="Garamond"/>
        </w:rPr>
        <w:t>supporting</w:t>
      </w:r>
      <w:r w:rsidRPr="00EE768A">
        <w:rPr>
          <w:rFonts w:ascii="Garamond" w:hAnsi="Garamond"/>
        </w:rPr>
        <w:t xml:space="preserve"> jobs</w:t>
      </w:r>
      <w:r>
        <w:rPr>
          <w:rFonts w:ascii="Garamond" w:hAnsi="Garamond"/>
        </w:rPr>
        <w:t xml:space="preserve"> and improving </w:t>
      </w:r>
      <w:r w:rsidRPr="00EE768A">
        <w:rPr>
          <w:rFonts w:ascii="Garamond" w:hAnsi="Garamond"/>
        </w:rPr>
        <w:t xml:space="preserve">productivity and </w:t>
      </w:r>
      <w:r>
        <w:rPr>
          <w:rFonts w:ascii="Garamond" w:hAnsi="Garamond"/>
        </w:rPr>
        <w:t xml:space="preserve">the </w:t>
      </w:r>
      <w:r w:rsidRPr="00EE768A">
        <w:rPr>
          <w:rFonts w:ascii="Garamond" w:hAnsi="Garamond"/>
        </w:rPr>
        <w:t xml:space="preserve">quality of public service delivery. </w:t>
      </w:r>
      <w:r>
        <w:rPr>
          <w:rFonts w:ascii="Garamond" w:hAnsi="Garamond"/>
        </w:rPr>
        <w:t>The Government’s project pipeline will continue to support elevated levels of activity in the construction sector over the medium term with several committed major projects in the planning and procurement phase</w:t>
      </w:r>
      <w:r w:rsidRPr="00EE768A" w:rsidDel="00362031">
        <w:rPr>
          <w:rFonts w:ascii="Garamond" w:hAnsi="Garamond"/>
        </w:rPr>
        <w:t xml:space="preserve"> </w:t>
      </w:r>
      <w:r>
        <w:rPr>
          <w:rFonts w:ascii="Garamond" w:hAnsi="Garamond"/>
        </w:rPr>
        <w:t xml:space="preserve">complementing the large volume of existing </w:t>
      </w:r>
      <w:r w:rsidRPr="00EE768A">
        <w:rPr>
          <w:rFonts w:ascii="Garamond" w:hAnsi="Garamond"/>
        </w:rPr>
        <w:t xml:space="preserve">projects in </w:t>
      </w:r>
      <w:r>
        <w:rPr>
          <w:rFonts w:ascii="Garamond" w:hAnsi="Garamond"/>
        </w:rPr>
        <w:t>delivery.</w:t>
      </w:r>
    </w:p>
    <w:p w14:paraId="56EB73C1" w14:textId="77777777" w:rsidR="008D6F13" w:rsidRDefault="008D6F13" w:rsidP="008D6F13">
      <w:pPr>
        <w:rPr>
          <w:rFonts w:ascii="Garamond" w:hAnsi="Garamond"/>
        </w:rPr>
      </w:pPr>
      <w:r>
        <w:rPr>
          <w:rFonts w:ascii="Garamond" w:hAnsi="Garamond"/>
        </w:rPr>
        <w:t>The elevated level of infrastructure investment in Victoria coincides with similar increases in other Australian jurisdictions. Investment is anticipated to remain elevated over the medium term and may constrain some parts of the construction industry and supply chains, placing pressure on delivery timetables and costs. To mitigate the impact of these constraints, the Government has implemented a range of strategies to support growth in the construction industry, including freeing up supply chains, an extractive resources strategy and increasing investment in skills.</w:t>
      </w:r>
    </w:p>
    <w:p w14:paraId="21C4A23C" w14:textId="77777777" w:rsidR="008D6F13" w:rsidRPr="00FE59A6" w:rsidRDefault="008D6F13" w:rsidP="008D6F13">
      <w:pPr>
        <w:ind w:right="340"/>
      </w:pPr>
      <w:r>
        <w:t>Public health restrictions to slow the spread of COVID</w:t>
      </w:r>
      <w:r>
        <w:noBreakHyphen/>
        <w:t xml:space="preserve">19 have impacted the delivery of the Government’s capital program in the short to medium term. </w:t>
      </w:r>
      <w:proofErr w:type="spellStart"/>
      <w:r>
        <w:t>COVIDSafe</w:t>
      </w:r>
      <w:proofErr w:type="spellEnd"/>
      <w:r>
        <w:t xml:space="preserve"> Plans continue to apply across all construction sites. The Government has implemented a whole of government framework to assist delivery agencies to consistently manage risks associated with COVID</w:t>
      </w:r>
      <w:r>
        <w:noBreakHyphen/>
        <w:t xml:space="preserve">19 for projects at each stage of the project lifecycle. The framework facilitates </w:t>
      </w:r>
      <w:r w:rsidRPr="00AF30DD">
        <w:t>outcomes that are best for individual projects, project workforces and broader economic recovery in Victoria. This coordinated approach from the Government is expected to reduce project and financial risk</w:t>
      </w:r>
      <w:r>
        <w:t>,</w:t>
      </w:r>
      <w:r w:rsidRPr="00AF30DD">
        <w:t xml:space="preserve"> preserve the project </w:t>
      </w:r>
      <w:proofErr w:type="gramStart"/>
      <w:r w:rsidRPr="00AF30DD">
        <w:t>pipeline</w:t>
      </w:r>
      <w:proofErr w:type="gramEnd"/>
      <w:r w:rsidRPr="00AF30DD">
        <w:t xml:space="preserve"> and </w:t>
      </w:r>
      <w:r>
        <w:t xml:space="preserve">sustain </w:t>
      </w:r>
      <w:r w:rsidRPr="00AF30DD">
        <w:t>competitive local industr</w:t>
      </w:r>
      <w:r>
        <w:t>ies</w:t>
      </w:r>
      <w:r w:rsidRPr="00AF30DD">
        <w:t>.</w:t>
      </w:r>
    </w:p>
    <w:p w14:paraId="0F909996" w14:textId="77777777" w:rsidR="008D6F13" w:rsidRDefault="008D6F13" w:rsidP="008D6F13">
      <w:pPr>
        <w:pStyle w:val="Heading20"/>
        <w:rPr>
          <w:rFonts w:eastAsiaTheme="minorHAnsi"/>
        </w:rPr>
      </w:pPr>
      <w:r w:rsidRPr="00C203E5">
        <w:rPr>
          <w:rFonts w:eastAsiaTheme="minorHAnsi"/>
        </w:rPr>
        <w:t>Specific fiscal risks</w:t>
      </w:r>
    </w:p>
    <w:p w14:paraId="3960D567" w14:textId="77777777" w:rsidR="008D6F13" w:rsidRPr="000E172B" w:rsidRDefault="008D6F13" w:rsidP="008D6F13">
      <w:pPr>
        <w:pStyle w:val="Heading30"/>
        <w:spacing w:before="200"/>
      </w:pPr>
      <w:r w:rsidRPr="000E172B">
        <w:t>Commonwealth schools funding</w:t>
      </w:r>
    </w:p>
    <w:p w14:paraId="52E795F3" w14:textId="77777777" w:rsidR="008D6F13" w:rsidRDefault="008D6F13" w:rsidP="008D6F13">
      <w:r w:rsidRPr="006D13F7">
        <w:t xml:space="preserve">In June 2017, the Commonwealth Government passed amendments to the </w:t>
      </w:r>
      <w:r w:rsidRPr="00B37680">
        <w:rPr>
          <w:i/>
          <w:iCs/>
        </w:rPr>
        <w:t>Australian Education Act 2013</w:t>
      </w:r>
      <w:r w:rsidRPr="006D13F7">
        <w:t xml:space="preserve"> to implement a new national school funding model. Victoria has signed the</w:t>
      </w:r>
      <w:r w:rsidRPr="00B37680">
        <w:t xml:space="preserve"> National School Reform Agreement</w:t>
      </w:r>
      <w:r w:rsidRPr="006D13F7">
        <w:t xml:space="preserve"> and an accompanying bilateral agreement, which expire on 31 December 2023. Estimates of funding required to acquit the Schooling Resource Standard target </w:t>
      </w:r>
      <w:proofErr w:type="gramStart"/>
      <w:r w:rsidRPr="006D13F7">
        <w:t>in a given year</w:t>
      </w:r>
      <w:proofErr w:type="gramEnd"/>
      <w:r w:rsidRPr="006D13F7">
        <w:t xml:space="preserve"> will be based on student number and profile projections for that year. Expenditure targets will be finalised towards the end of or after the school year in question based on actual student data, creating a risk that the Victorian and Commonwealth targets differ from the funding allocated that year.</w:t>
      </w:r>
    </w:p>
    <w:p w14:paraId="19707AB3" w14:textId="77777777" w:rsidR="008D6F13" w:rsidRPr="000E172B" w:rsidRDefault="008D6F13" w:rsidP="008D6F13">
      <w:pPr>
        <w:pStyle w:val="Heading30"/>
        <w:spacing w:before="200"/>
      </w:pPr>
      <w:r w:rsidRPr="000E172B">
        <w:t>Universal Access to Early Childhood Education</w:t>
      </w:r>
    </w:p>
    <w:p w14:paraId="0B1FDC54" w14:textId="77777777" w:rsidR="008D6F13" w:rsidRDefault="008D6F13" w:rsidP="008D6F13">
      <w:bookmarkStart w:id="57" w:name="_Hlk71807090"/>
      <w:bookmarkStart w:id="58" w:name="_Hlk71792968"/>
      <w:r w:rsidRPr="006D13F7">
        <w:t>The Commonwealth</w:t>
      </w:r>
      <w:r>
        <w:t>’</w:t>
      </w:r>
      <w:r w:rsidRPr="006D13F7">
        <w:t xml:space="preserve">s financial contribution to assist the states and territories </w:t>
      </w:r>
      <w:r>
        <w:t>in</w:t>
      </w:r>
      <w:r w:rsidRPr="006D13F7">
        <w:t xml:space="preserve"> provid</w:t>
      </w:r>
      <w:r>
        <w:t>ing</w:t>
      </w:r>
      <w:r w:rsidRPr="006D13F7">
        <w:t xml:space="preserve"> </w:t>
      </w:r>
      <w:r>
        <w:t xml:space="preserve">access to </w:t>
      </w:r>
      <w:r w:rsidRPr="006D13F7">
        <w:t xml:space="preserve">15 hours a week of </w:t>
      </w:r>
      <w:r>
        <w:t>kindergarten,</w:t>
      </w:r>
      <w:r w:rsidRPr="006D13F7">
        <w:t xml:space="preserve"> </w:t>
      </w:r>
      <w:r>
        <w:t>in the year before school,</w:t>
      </w:r>
      <w:r w:rsidRPr="006D13F7">
        <w:t xml:space="preserve"> is supplied under the National Partnership Agreement on Universal Access to Early Childhood Education</w:t>
      </w:r>
      <w:r>
        <w:t xml:space="preserve"> (NPA UAECE)</w:t>
      </w:r>
      <w:r w:rsidRPr="006D13F7">
        <w:t>. Funding under this agreement expires on 31 December 2021</w:t>
      </w:r>
      <w:r>
        <w:t>. Future</w:t>
      </w:r>
      <w:r w:rsidRPr="006D13F7">
        <w:t xml:space="preserve"> Commonwealth funding arrangements are </w:t>
      </w:r>
      <w:r>
        <w:t>currently being negotiated under a proposed four-year Preschool Reform Agreement covering 2022 to 2025, but these negotiations have yet to be finalised. This proposed Agreement may present fiscal risks and require policy reforms impacting the State’s kindergarten sector</w:t>
      </w:r>
      <w:r w:rsidRPr="00761688">
        <w:rPr>
          <w:sz w:val="24"/>
          <w:szCs w:val="24"/>
        </w:rPr>
        <w:t>.</w:t>
      </w:r>
    </w:p>
    <w:p w14:paraId="605437F0" w14:textId="77777777" w:rsidR="008D6F13" w:rsidRPr="000E172B" w:rsidRDefault="008D6F13" w:rsidP="008D6F13">
      <w:pPr>
        <w:pStyle w:val="Heading30"/>
        <w:spacing w:before="200"/>
      </w:pPr>
      <w:r w:rsidRPr="000E172B">
        <w:lastRenderedPageBreak/>
        <w:t>National Health Reform Agreement Funding Cap</w:t>
      </w:r>
    </w:p>
    <w:bookmarkEnd w:id="57"/>
    <w:p w14:paraId="19F2DF96" w14:textId="77777777" w:rsidR="008D6F13" w:rsidRPr="00F47F60" w:rsidRDefault="008D6F13" w:rsidP="008D6F13">
      <w:pPr>
        <w:ind w:right="56"/>
      </w:pPr>
      <w:r w:rsidRPr="00F47F60">
        <w:t xml:space="preserve">Under the 2020-25 Addendum to the National Health Reform Agreement, the Commonwealth co-funds public hospitals by contributing 45 per cent of the cost of eligible activity, with </w:t>
      </w:r>
      <w:r>
        <w:t xml:space="preserve">the </w:t>
      </w:r>
      <w:r w:rsidRPr="00F47F60">
        <w:t>Commonwealth</w:t>
      </w:r>
      <w:r>
        <w:t>’s</w:t>
      </w:r>
      <w:r w:rsidRPr="00F47F60">
        <w:t xml:space="preserve"> contribution capped at a growth rate of 6.5</w:t>
      </w:r>
      <w:r>
        <w:t> </w:t>
      </w:r>
      <w:r w:rsidRPr="00F47F60">
        <w:t xml:space="preserve">per cent compared to </w:t>
      </w:r>
      <w:r>
        <w:t xml:space="preserve">the </w:t>
      </w:r>
      <w:r w:rsidRPr="00F47F60">
        <w:t>previous year's contribution.</w:t>
      </w:r>
    </w:p>
    <w:p w14:paraId="15783877" w14:textId="77777777" w:rsidR="008D6F13" w:rsidRPr="00F47F60" w:rsidRDefault="008D6F13" w:rsidP="008D6F13">
      <w:r w:rsidRPr="00F47F60">
        <w:t xml:space="preserve">This is a </w:t>
      </w:r>
      <w:r>
        <w:t>‘</w:t>
      </w:r>
      <w:r w:rsidRPr="00F47F60">
        <w:t>soft cap</w:t>
      </w:r>
      <w:r>
        <w:t>’</w:t>
      </w:r>
      <w:r w:rsidRPr="00F47F60">
        <w:t xml:space="preserve"> that applies at a national level, with states entitled to receive Commonwealth contribution</w:t>
      </w:r>
      <w:r>
        <w:t>s</w:t>
      </w:r>
      <w:r w:rsidRPr="00F47F60">
        <w:t xml:space="preserve"> beyond the cap until the growth rate of national expenditure reaches 6.5 per cent. Uncertainty around expenditure growth in other states and territories may create a fiscal risk to the State if the Commonwealth does not fund 45</w:t>
      </w:r>
      <w:r>
        <w:t> </w:t>
      </w:r>
      <w:r w:rsidRPr="00F47F60">
        <w:t>per cent of additional eligible hospital spending.</w:t>
      </w:r>
    </w:p>
    <w:bookmarkEnd w:id="58"/>
    <w:p w14:paraId="401ADED5" w14:textId="77777777" w:rsidR="008D6F13" w:rsidRPr="000E172B" w:rsidRDefault="008D6F13" w:rsidP="008D6F13">
      <w:pPr>
        <w:pStyle w:val="Heading30"/>
        <w:spacing w:before="200"/>
      </w:pPr>
      <w:r w:rsidRPr="000E172B">
        <w:t>National Skills Agreement</w:t>
      </w:r>
    </w:p>
    <w:p w14:paraId="61E374A8" w14:textId="77777777" w:rsidR="008D6F13" w:rsidRDefault="008D6F13" w:rsidP="008D6F13">
      <w:r>
        <w:t>In July 2020, the Commonwealth and the states agreed to negotiate a new National Skills Agreement (NSA) to replace the existing National Agreement for Skills and Workforce Development</w:t>
      </w:r>
      <w:r w:rsidRPr="006D13F7">
        <w:t>.</w:t>
      </w:r>
      <w:r>
        <w:t xml:space="preserve"> The quantum and conditions of funding are dependent on ongoing negotiations between the Commonwealth and states, with finalisation of the new Agreement anticipated to take place in the first half of 2022.</w:t>
      </w:r>
      <w:r w:rsidRPr="00986EB6">
        <w:t xml:space="preserve"> </w:t>
      </w:r>
      <w:r>
        <w:t>Conditions of the current proposed Agreement may increase fiscal and policy risks to the State.</w:t>
      </w:r>
    </w:p>
    <w:p w14:paraId="6DFF44B8" w14:textId="77777777" w:rsidR="008D6F13" w:rsidRPr="000E172B" w:rsidRDefault="008D6F13" w:rsidP="008D6F13">
      <w:pPr>
        <w:pStyle w:val="Heading30"/>
        <w:spacing w:before="200"/>
      </w:pPr>
      <w:r w:rsidRPr="000E172B">
        <w:t>Victoria’s GST revenue</w:t>
      </w:r>
    </w:p>
    <w:p w14:paraId="74FC3210" w14:textId="77777777" w:rsidR="008D6F13" w:rsidRPr="00BF1269" w:rsidRDefault="008D6F13" w:rsidP="008D6F13">
      <w:pPr>
        <w:keepNext/>
      </w:pPr>
      <w:r w:rsidRPr="00BF1269">
        <w:t>Victoria’s GST revenue is broadly determined by three key factors:</w:t>
      </w:r>
    </w:p>
    <w:p w14:paraId="0A198D52" w14:textId="77777777" w:rsidR="008D6F13" w:rsidRPr="00BF1269" w:rsidRDefault="008D6F13" w:rsidP="008D6F13">
      <w:pPr>
        <w:pStyle w:val="ListBullet"/>
        <w:keepNext/>
      </w:pPr>
      <w:r w:rsidRPr="00BF1269">
        <w:t>the amount of GST collected by the Commonwealth (the national GST pool)</w:t>
      </w:r>
    </w:p>
    <w:p w14:paraId="114F3FDC" w14:textId="77777777" w:rsidR="008D6F13" w:rsidRPr="00BF1269" w:rsidRDefault="008D6F13" w:rsidP="008D6F13">
      <w:pPr>
        <w:pStyle w:val="ListBullet"/>
        <w:keepNext/>
      </w:pPr>
      <w:r w:rsidRPr="00BF1269">
        <w:t>Victoria’s GST relativity</w:t>
      </w:r>
    </w:p>
    <w:p w14:paraId="28518FD3" w14:textId="77777777" w:rsidR="008D6F13" w:rsidRDefault="008D6F13" w:rsidP="008D6F13">
      <w:pPr>
        <w:pStyle w:val="ListBullet"/>
      </w:pPr>
      <w:r w:rsidRPr="00BF1269">
        <w:t>Victoria’s share of the national population.</w:t>
      </w:r>
    </w:p>
    <w:p w14:paraId="5C074E45" w14:textId="77777777" w:rsidR="008D6F13" w:rsidRPr="00700D27" w:rsidRDefault="008D6F13" w:rsidP="008D6F13">
      <w:pPr>
        <w:pStyle w:val="Heading4"/>
      </w:pPr>
      <w:r w:rsidRPr="00700D27">
        <w:t>National GST pool</w:t>
      </w:r>
    </w:p>
    <w:p w14:paraId="1F5284E2" w14:textId="77777777" w:rsidR="008D6F13" w:rsidRDefault="008D6F13" w:rsidP="008D6F13">
      <w:pPr>
        <w:pStyle w:val="ListBullet"/>
        <w:numPr>
          <w:ilvl w:val="0"/>
          <w:numId w:val="0"/>
        </w:numPr>
      </w:pPr>
      <w:r w:rsidRPr="00BF1269">
        <w:t xml:space="preserve">The national GST pool is forecast to recover to its </w:t>
      </w:r>
      <w:r>
        <w:t>pre-Delta trajectory</w:t>
      </w:r>
      <w:r w:rsidRPr="00BF1269">
        <w:t xml:space="preserve"> by mid-2022, supported by a bounce back in consumption and dwelling investment. </w:t>
      </w:r>
      <w:r w:rsidRPr="00164C1A">
        <w:t>Slower</w:t>
      </w:r>
      <w:r>
        <w:t>-</w:t>
      </w:r>
      <w:r w:rsidRPr="00164C1A">
        <w:t>than</w:t>
      </w:r>
      <w:r>
        <w:t>-</w:t>
      </w:r>
      <w:r w:rsidRPr="00164C1A">
        <w:t>expected recovery in consumption growth or dwelling investment could slow growth in the GST pool,</w:t>
      </w:r>
      <w:r>
        <w:t xml:space="preserve"> lowering </w:t>
      </w:r>
      <w:r w:rsidRPr="00BF1269">
        <w:t xml:space="preserve">GST grants revenue for Victoria. </w:t>
      </w:r>
      <w:r>
        <w:t>Key risks to the recovery profile include</w:t>
      </w:r>
      <w:r>
        <w:rPr>
          <w:rFonts w:ascii="Calibri" w:hAnsi="Calibri" w:cs="Calibri"/>
        </w:rPr>
        <w:t xml:space="preserve"> </w:t>
      </w:r>
      <w:r w:rsidRPr="00046323">
        <w:t>decreasing vaccine efficacy and the emergence of new variants of the COVID-19 virus.</w:t>
      </w:r>
      <w:r w:rsidRPr="00BF1269">
        <w:t xml:space="preserve"> </w:t>
      </w:r>
    </w:p>
    <w:p w14:paraId="3BC0A772" w14:textId="77777777" w:rsidR="008D6F13" w:rsidRPr="00325632" w:rsidRDefault="008D6F13" w:rsidP="008D6F13">
      <w:r w:rsidRPr="00BF1269">
        <w:t xml:space="preserve">Further sources of uncertainty for the outlook of the national GST pool include how households draw down their accumulated savings and the </w:t>
      </w:r>
      <w:r>
        <w:t xml:space="preserve">economic </w:t>
      </w:r>
      <w:r w:rsidRPr="00BF1269">
        <w:t>impact of international borders reopening</w:t>
      </w:r>
      <w:r w:rsidRPr="00325632">
        <w:t>.</w:t>
      </w:r>
    </w:p>
    <w:p w14:paraId="68E495FB" w14:textId="77777777" w:rsidR="008D6F13" w:rsidRPr="003B0E76" w:rsidRDefault="008D6F13" w:rsidP="008D6F13">
      <w:pPr>
        <w:pStyle w:val="Heading4"/>
      </w:pPr>
      <w:r w:rsidRPr="003B0E76">
        <w:lastRenderedPageBreak/>
        <w:t>GST relativities</w:t>
      </w:r>
    </w:p>
    <w:p w14:paraId="245AA8A9" w14:textId="77777777" w:rsidR="008D6F13" w:rsidRPr="00BF1269" w:rsidRDefault="008D6F13" w:rsidP="008D6F13">
      <w:pPr>
        <w:keepNext/>
      </w:pPr>
      <w:r w:rsidRPr="00BF1269">
        <w:t xml:space="preserve">The national GST pool is shared between states and territories based on relativities determined annually by the Commonwealth Treasurer, </w:t>
      </w:r>
      <w:r>
        <w:t xml:space="preserve">which are </w:t>
      </w:r>
      <w:r w:rsidRPr="00BF1269">
        <w:t>informed by the recommendations of the Commonwealth Grants Commission.</w:t>
      </w:r>
    </w:p>
    <w:p w14:paraId="45051324" w14:textId="77777777" w:rsidR="008D6F13" w:rsidRPr="00BF1269" w:rsidRDefault="008D6F13" w:rsidP="008B6134">
      <w:r w:rsidRPr="00BF1269">
        <w:t xml:space="preserve">These relativities are based on the relative fiscal capacity of each jurisdiction and are influenced by </w:t>
      </w:r>
      <w:r w:rsidRPr="008B6134">
        <w:t>differences</w:t>
      </w:r>
      <w:r w:rsidRPr="00BF1269">
        <w:t xml:space="preserve"> in revenue bases and costs of delivering services. Relativities are sensitive to a broad range of factors, including demographics, infrastructure needs, developments in property markets and global commodity prices (particularly for iron ore and coal).</w:t>
      </w:r>
    </w:p>
    <w:p w14:paraId="6EBC2B4F" w14:textId="77777777" w:rsidR="008D6F13" w:rsidRPr="003B0E76" w:rsidRDefault="008D6F13" w:rsidP="008D6F13">
      <w:pPr>
        <w:pStyle w:val="Heading4"/>
      </w:pPr>
      <w:r w:rsidRPr="003B0E76">
        <w:t>Population</w:t>
      </w:r>
    </w:p>
    <w:p w14:paraId="43D670BB" w14:textId="77777777" w:rsidR="008D6F13" w:rsidRDefault="008D6F13" w:rsidP="008D6F13">
      <w:r w:rsidRPr="00BF1269">
        <w:t xml:space="preserve">Since the start of the </w:t>
      </w:r>
      <w:r>
        <w:t xml:space="preserve">COVID-19 </w:t>
      </w:r>
      <w:r w:rsidRPr="00BF1269">
        <w:t xml:space="preserve">pandemic, Victoria’s national population share has decreased </w:t>
      </w:r>
      <w:r>
        <w:t>due to</w:t>
      </w:r>
      <w:r w:rsidRPr="00BF1269">
        <w:t xml:space="preserve"> a net outflow of Victorian residents to other states and restrictions on overseas migration. As international borders re-open, if Victoria’s population growth is higher than forecast compared to other states, then Victoria’s share of GST could increase. Conversely, should other states have higher population growth than expected compared with Victoria this would negatively affect Victoria’s GST revenue</w:t>
      </w:r>
      <w:r>
        <w:t>.</w:t>
      </w:r>
    </w:p>
    <w:p w14:paraId="14AF99AB" w14:textId="77777777" w:rsidR="008D6F13" w:rsidRPr="007C5402" w:rsidRDefault="008D6F13" w:rsidP="008D6F13">
      <w:pPr>
        <w:pStyle w:val="Heading4"/>
      </w:pPr>
      <w:r w:rsidRPr="007C5402">
        <w:t>Commonwealth no</w:t>
      </w:r>
      <w:r>
        <w:noBreakHyphen/>
      </w:r>
      <w:r w:rsidRPr="007C5402">
        <w:t>worse off guarantee for GST entitlement</w:t>
      </w:r>
    </w:p>
    <w:p w14:paraId="2FA6DF88" w14:textId="77777777" w:rsidR="008D6F13" w:rsidRPr="00BF1269" w:rsidRDefault="008D6F13" w:rsidP="008D6F13">
      <w:r w:rsidRPr="00BF1269">
        <w:t xml:space="preserve">In 2018, the Commonwealth </w:t>
      </w:r>
      <w:r>
        <w:t xml:space="preserve">legislated a </w:t>
      </w:r>
      <w:r w:rsidRPr="00BF1269">
        <w:t xml:space="preserve">change </w:t>
      </w:r>
      <w:r>
        <w:t xml:space="preserve">in </w:t>
      </w:r>
      <w:r w:rsidRPr="00BF1269">
        <w:t xml:space="preserve">the system of horizontal fiscal equalisation (HFE), which introduced: </w:t>
      </w:r>
    </w:p>
    <w:p w14:paraId="2FDA36E7" w14:textId="77777777" w:rsidR="008D6F13" w:rsidRPr="00BF1269" w:rsidRDefault="008D6F13" w:rsidP="008D6F13">
      <w:pPr>
        <w:pStyle w:val="ListBullet"/>
      </w:pPr>
      <w:r w:rsidRPr="00BF1269">
        <w:t>a minimum GST revenue sharing relativity (relativity floor) of 0.70 commencing in 2019-20, supported by transition payments from the Commonwealth and facilitated within the GST distribution from 2022</w:t>
      </w:r>
      <w:r w:rsidRPr="00BF1269">
        <w:noBreakHyphen/>
        <w:t>23, rising to 0.75 from 2024</w:t>
      </w:r>
      <w:r w:rsidRPr="00BF1269">
        <w:noBreakHyphen/>
        <w:t>25</w:t>
      </w:r>
    </w:p>
    <w:p w14:paraId="6179153B" w14:textId="77777777" w:rsidR="008D6F13" w:rsidRPr="00BF1269" w:rsidRDefault="008D6F13" w:rsidP="008D6F13">
      <w:pPr>
        <w:pStyle w:val="ListBullet"/>
        <w:spacing w:before="50"/>
      </w:pPr>
      <w:r w:rsidRPr="00BF1269">
        <w:t>a small boost to the GST revenue pool from 2021</w:t>
      </w:r>
      <w:r w:rsidRPr="00BF1269">
        <w:noBreakHyphen/>
        <w:t>22 with additional Commonwealth financial assistance</w:t>
      </w:r>
    </w:p>
    <w:p w14:paraId="7D30660D" w14:textId="77777777" w:rsidR="008D6F13" w:rsidRPr="00BF1269" w:rsidRDefault="008D6F13" w:rsidP="008D6F13">
      <w:pPr>
        <w:pStyle w:val="ListBullet"/>
        <w:spacing w:before="50"/>
      </w:pPr>
      <w:r w:rsidRPr="00BF1269">
        <w:t>the transition of the HFE system from full equalisation (so called equalising to the strongest state) to ‘reasonable’ equalisation, based upon the fiscal capacity of the stronger of New South Wales or Victoria.</w:t>
      </w:r>
    </w:p>
    <w:p w14:paraId="44C7F6F6" w14:textId="77777777" w:rsidR="008D6F13" w:rsidRPr="00BF1269" w:rsidRDefault="008D6F13" w:rsidP="008D6F13">
      <w:pPr>
        <w:ind w:right="198"/>
        <w:rPr>
          <w:i/>
          <w:iCs/>
        </w:rPr>
      </w:pPr>
      <w:r w:rsidRPr="00BF1269">
        <w:t>During a six</w:t>
      </w:r>
      <w:r w:rsidRPr="00BF1269">
        <w:noBreakHyphen/>
        <w:t>year transition period commencing in 2021</w:t>
      </w:r>
      <w:r w:rsidRPr="00BF1269">
        <w:noBreakHyphen/>
        <w:t>22, each state or territory is entitled to receive additional Commonwealth financial assistance to ensure it is no worse off compared to its GST entitlement had full equalisation been maintained. The no</w:t>
      </w:r>
      <w:r w:rsidRPr="00BF1269">
        <w:noBreakHyphen/>
        <w:t>worse</w:t>
      </w:r>
      <w:r w:rsidRPr="00BF1269">
        <w:noBreakHyphen/>
        <w:t xml:space="preserve">off guarantee is currently </w:t>
      </w:r>
      <w:r>
        <w:t xml:space="preserve">only </w:t>
      </w:r>
      <w:r w:rsidRPr="00BF1269">
        <w:t>legislated until the end of the transition period in 2026</w:t>
      </w:r>
      <w:r w:rsidRPr="00BF1269">
        <w:noBreakHyphen/>
        <w:t xml:space="preserve">27, which poses a fiscal risk to states and territories. </w:t>
      </w:r>
      <w:r w:rsidRPr="00892475">
        <w:t>Based on current forecasts, the Victorian Department of Treasury and Finance estimates that Victoria would be $4.5</w:t>
      </w:r>
      <w:r>
        <w:t> </w:t>
      </w:r>
      <w:r w:rsidRPr="00892475">
        <w:t>billion worse off under the new system over the budget and forward estimates period, without the no-worse-off guarantee.</w:t>
      </w:r>
    </w:p>
    <w:p w14:paraId="465A071F" w14:textId="77777777" w:rsidR="008D6F13" w:rsidRDefault="008D6F13" w:rsidP="008D6F13">
      <w:r w:rsidRPr="00BF1269">
        <w:t>Victoria will continue to work with other state governments and the Commonwealth to ensure Victoria receives its fair share of GST</w:t>
      </w:r>
      <w:r>
        <w:t>.</w:t>
      </w:r>
    </w:p>
    <w:p w14:paraId="06CFFC3E" w14:textId="77777777" w:rsidR="008D6F13" w:rsidRDefault="008D6F13" w:rsidP="0031078F">
      <w:pPr>
        <w:pStyle w:val="Heading10"/>
        <w:pageBreakBefore/>
      </w:pPr>
      <w:bookmarkStart w:id="59" w:name="_Toc89423584"/>
      <w:r>
        <w:lastRenderedPageBreak/>
        <w:t>Non-financial public sector</w:t>
      </w:r>
      <w:bookmarkEnd w:id="59"/>
    </w:p>
    <w:p w14:paraId="740C910A" w14:textId="77777777" w:rsidR="008D6F13" w:rsidRDefault="008D6F13" w:rsidP="008D6F13">
      <w:pPr>
        <w:keepLines w:val="0"/>
      </w:pPr>
      <w:r>
        <w:t xml:space="preserve">The non-financial public sector (NFPS) consolidates the public non-financial corporation (PNFC) and general government sectors. The PNFC sector is comprised of entities providing services that are primarily funded from user charges and fees. The largest PNFCs provide water, housing, and transport services. </w:t>
      </w:r>
    </w:p>
    <w:p w14:paraId="21252784" w14:textId="77777777" w:rsidR="008D6F13" w:rsidRDefault="008D6F13" w:rsidP="008D6F13">
      <w:pPr>
        <w:keepLines w:val="0"/>
      </w:pPr>
      <w:r w:rsidRPr="00F3319D">
        <w:t>Please note that the general government sector and PNFC sector results may not equal the results shown for the NFPS due to inter-sector transfers.</w:t>
      </w:r>
    </w:p>
    <w:p w14:paraId="2969C899" w14:textId="77777777" w:rsidR="008D6F13" w:rsidRDefault="008D6F13" w:rsidP="008D6F13">
      <w:pPr>
        <w:pStyle w:val="Heading20"/>
      </w:pPr>
      <w:r>
        <w:t>Summary operating statement</w:t>
      </w:r>
    </w:p>
    <w:p w14:paraId="5A4160A9" w14:textId="77777777" w:rsidR="008D6F13" w:rsidRDefault="008D6F13" w:rsidP="008D6F13">
      <w:pPr>
        <w:pStyle w:val="TableHeading"/>
      </w:pPr>
      <w:r>
        <w:t>Table 3.6:</w:t>
      </w:r>
      <w:r>
        <w:tab/>
        <w:t>Summary operating statement for the non</w:t>
      </w:r>
      <w:r>
        <w:noBreakHyphen/>
        <w:t xml:space="preserve">financial public sector </w:t>
      </w:r>
      <w:r w:rsidRPr="005E6479">
        <w:rPr>
          <w:vertAlign w:val="superscript"/>
        </w:rPr>
        <w:t>(a)</w:t>
      </w:r>
      <w:r>
        <w:tab/>
        <w:t>($ million)</w:t>
      </w:r>
    </w:p>
    <w:tbl>
      <w:tblPr>
        <w:tblStyle w:val="DTFTableNumeric"/>
        <w:tblW w:w="7710" w:type="dxa"/>
        <w:tblLayout w:type="fixed"/>
        <w:tblLook w:val="06A0" w:firstRow="1" w:lastRow="0" w:firstColumn="1" w:lastColumn="0" w:noHBand="1" w:noVBand="1"/>
      </w:tblPr>
      <w:tblGrid>
        <w:gridCol w:w="4534"/>
        <w:gridCol w:w="794"/>
        <w:gridCol w:w="794"/>
        <w:gridCol w:w="794"/>
        <w:gridCol w:w="794"/>
      </w:tblGrid>
      <w:tr w:rsidR="008D6F13" w14:paraId="62E2CB5D"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19260D63" w14:textId="3776B183" w:rsidR="008D6F13" w:rsidRDefault="008D6F13" w:rsidP="0031078F"/>
        </w:tc>
        <w:tc>
          <w:tcPr>
            <w:tcW w:w="794" w:type="dxa"/>
          </w:tcPr>
          <w:p w14:paraId="63DC4835"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rPr>
                <w:i w:val="0"/>
              </w:rPr>
              <w:br/>
            </w:r>
            <w:r>
              <w:t>revised</w:t>
            </w:r>
          </w:p>
        </w:tc>
        <w:tc>
          <w:tcPr>
            <w:tcW w:w="794" w:type="dxa"/>
          </w:tcPr>
          <w:p w14:paraId="14CB10C4"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rPr>
                <w:i w:val="0"/>
              </w:rPr>
              <w:br/>
            </w:r>
            <w:r>
              <w:t>estimate</w:t>
            </w:r>
          </w:p>
        </w:tc>
        <w:tc>
          <w:tcPr>
            <w:tcW w:w="794" w:type="dxa"/>
          </w:tcPr>
          <w:p w14:paraId="4D4EFE2D"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rPr>
                <w:i w:val="0"/>
              </w:rPr>
              <w:br/>
            </w:r>
            <w:r>
              <w:t>estimate</w:t>
            </w:r>
          </w:p>
        </w:tc>
        <w:tc>
          <w:tcPr>
            <w:tcW w:w="794" w:type="dxa"/>
          </w:tcPr>
          <w:p w14:paraId="6A79EF6B"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rPr>
                <w:i w:val="0"/>
              </w:rPr>
              <w:br/>
            </w:r>
            <w:r>
              <w:t>estimate</w:t>
            </w:r>
          </w:p>
        </w:tc>
      </w:tr>
      <w:tr w:rsidR="008D6F13" w14:paraId="57DBFD8C"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31A0936A" w14:textId="77777777" w:rsidR="008D6F13" w:rsidRDefault="008D6F13" w:rsidP="0031078F">
            <w:r>
              <w:rPr>
                <w:b/>
              </w:rPr>
              <w:t>Revenue and income from transactions</w:t>
            </w:r>
          </w:p>
        </w:tc>
        <w:tc>
          <w:tcPr>
            <w:tcW w:w="794" w:type="dxa"/>
          </w:tcPr>
          <w:p w14:paraId="7844212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8B982C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FDA040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9D83E5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2189F5D5"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2D9AC651" w14:textId="77777777" w:rsidR="008D6F13" w:rsidRDefault="008D6F13" w:rsidP="0031078F">
            <w:r>
              <w:t>Taxation</w:t>
            </w:r>
          </w:p>
        </w:tc>
        <w:tc>
          <w:tcPr>
            <w:tcW w:w="794" w:type="dxa"/>
          </w:tcPr>
          <w:p w14:paraId="25B6DED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26 546</w:t>
            </w:r>
          </w:p>
        </w:tc>
        <w:tc>
          <w:tcPr>
            <w:tcW w:w="794" w:type="dxa"/>
          </w:tcPr>
          <w:p w14:paraId="738F36D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28 998</w:t>
            </w:r>
          </w:p>
        </w:tc>
        <w:tc>
          <w:tcPr>
            <w:tcW w:w="794" w:type="dxa"/>
          </w:tcPr>
          <w:p w14:paraId="5837CF6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30 538</w:t>
            </w:r>
          </w:p>
        </w:tc>
        <w:tc>
          <w:tcPr>
            <w:tcW w:w="794" w:type="dxa"/>
          </w:tcPr>
          <w:p w14:paraId="701CF25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31 960</w:t>
            </w:r>
          </w:p>
        </w:tc>
      </w:tr>
      <w:tr w:rsidR="008D6F13" w14:paraId="32EBD172"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44A8BA87" w14:textId="77777777" w:rsidR="008D6F13" w:rsidRDefault="008D6F13" w:rsidP="0031078F">
            <w:r>
              <w:t xml:space="preserve">Dividends, income tax equivalent and interest </w:t>
            </w:r>
            <w:r>
              <w:rPr>
                <w:vertAlign w:val="superscript"/>
              </w:rPr>
              <w:t>(b)</w:t>
            </w:r>
          </w:p>
        </w:tc>
        <w:tc>
          <w:tcPr>
            <w:tcW w:w="794" w:type="dxa"/>
          </w:tcPr>
          <w:p w14:paraId="1808B83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475</w:t>
            </w:r>
          </w:p>
        </w:tc>
        <w:tc>
          <w:tcPr>
            <w:tcW w:w="794" w:type="dxa"/>
          </w:tcPr>
          <w:p w14:paraId="218EFFE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415</w:t>
            </w:r>
          </w:p>
        </w:tc>
        <w:tc>
          <w:tcPr>
            <w:tcW w:w="794" w:type="dxa"/>
          </w:tcPr>
          <w:p w14:paraId="05FBFB1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434</w:t>
            </w:r>
          </w:p>
        </w:tc>
        <w:tc>
          <w:tcPr>
            <w:tcW w:w="794" w:type="dxa"/>
          </w:tcPr>
          <w:p w14:paraId="2EDB6CD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457</w:t>
            </w:r>
          </w:p>
        </w:tc>
      </w:tr>
      <w:tr w:rsidR="008D6F13" w14:paraId="721D93F3"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1BCECB9F" w14:textId="77777777" w:rsidR="008D6F13" w:rsidRDefault="008D6F13" w:rsidP="0031078F">
            <w:r>
              <w:t>Sales of goods and services</w:t>
            </w:r>
          </w:p>
        </w:tc>
        <w:tc>
          <w:tcPr>
            <w:tcW w:w="794" w:type="dxa"/>
          </w:tcPr>
          <w:p w14:paraId="676657F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12 127</w:t>
            </w:r>
          </w:p>
        </w:tc>
        <w:tc>
          <w:tcPr>
            <w:tcW w:w="794" w:type="dxa"/>
          </w:tcPr>
          <w:p w14:paraId="5C4AA5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13 291</w:t>
            </w:r>
          </w:p>
        </w:tc>
        <w:tc>
          <w:tcPr>
            <w:tcW w:w="794" w:type="dxa"/>
          </w:tcPr>
          <w:p w14:paraId="36AFC3D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13 575</w:t>
            </w:r>
          </w:p>
        </w:tc>
        <w:tc>
          <w:tcPr>
            <w:tcW w:w="794" w:type="dxa"/>
          </w:tcPr>
          <w:p w14:paraId="0FF982D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13 798</w:t>
            </w:r>
          </w:p>
        </w:tc>
      </w:tr>
      <w:tr w:rsidR="008D6F13" w14:paraId="7DF08EE1"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73C1B84D" w14:textId="77777777" w:rsidR="008D6F13" w:rsidRDefault="008D6F13" w:rsidP="0031078F">
            <w:r>
              <w:t>Grants</w:t>
            </w:r>
          </w:p>
        </w:tc>
        <w:tc>
          <w:tcPr>
            <w:tcW w:w="794" w:type="dxa"/>
          </w:tcPr>
          <w:p w14:paraId="69C858E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40 445</w:t>
            </w:r>
          </w:p>
        </w:tc>
        <w:tc>
          <w:tcPr>
            <w:tcW w:w="794" w:type="dxa"/>
          </w:tcPr>
          <w:p w14:paraId="4606BA2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39 210</w:t>
            </w:r>
          </w:p>
        </w:tc>
        <w:tc>
          <w:tcPr>
            <w:tcW w:w="794" w:type="dxa"/>
          </w:tcPr>
          <w:p w14:paraId="0B1F70A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39 974</w:t>
            </w:r>
          </w:p>
        </w:tc>
        <w:tc>
          <w:tcPr>
            <w:tcW w:w="794" w:type="dxa"/>
          </w:tcPr>
          <w:p w14:paraId="5030DF3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41 349</w:t>
            </w:r>
          </w:p>
        </w:tc>
      </w:tr>
      <w:tr w:rsidR="008D6F13" w14:paraId="1859CD61"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10A653A3" w14:textId="77777777" w:rsidR="008D6F13" w:rsidRDefault="008D6F13" w:rsidP="0031078F">
            <w:r>
              <w:t>Other revenue and income</w:t>
            </w:r>
          </w:p>
        </w:tc>
        <w:tc>
          <w:tcPr>
            <w:tcW w:w="794" w:type="dxa"/>
            <w:tcBorders>
              <w:bottom w:val="single" w:sz="6" w:space="0" w:color="auto"/>
            </w:tcBorders>
          </w:tcPr>
          <w:p w14:paraId="57E35E7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3 966</w:t>
            </w:r>
          </w:p>
        </w:tc>
        <w:tc>
          <w:tcPr>
            <w:tcW w:w="794" w:type="dxa"/>
            <w:tcBorders>
              <w:bottom w:val="single" w:sz="6" w:space="0" w:color="auto"/>
            </w:tcBorders>
          </w:tcPr>
          <w:p w14:paraId="48ABFBA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4 098</w:t>
            </w:r>
          </w:p>
        </w:tc>
        <w:tc>
          <w:tcPr>
            <w:tcW w:w="794" w:type="dxa"/>
            <w:tcBorders>
              <w:bottom w:val="single" w:sz="6" w:space="0" w:color="auto"/>
            </w:tcBorders>
          </w:tcPr>
          <w:p w14:paraId="08E2429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3 804</w:t>
            </w:r>
          </w:p>
        </w:tc>
        <w:tc>
          <w:tcPr>
            <w:tcW w:w="794" w:type="dxa"/>
            <w:tcBorders>
              <w:bottom w:val="single" w:sz="6" w:space="0" w:color="auto"/>
            </w:tcBorders>
          </w:tcPr>
          <w:p w14:paraId="6B2227B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4 021</w:t>
            </w:r>
          </w:p>
        </w:tc>
      </w:tr>
      <w:tr w:rsidR="008D6F13" w14:paraId="1360AA36"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4828C380" w14:textId="77777777" w:rsidR="008D6F13" w:rsidRDefault="008D6F13" w:rsidP="0031078F">
            <w:r>
              <w:rPr>
                <w:b/>
              </w:rPr>
              <w:t>Total revenue and income from transactions</w:t>
            </w:r>
          </w:p>
        </w:tc>
        <w:tc>
          <w:tcPr>
            <w:tcW w:w="794" w:type="dxa"/>
            <w:tcBorders>
              <w:top w:val="single" w:sz="6" w:space="0" w:color="auto"/>
            </w:tcBorders>
          </w:tcPr>
          <w:p w14:paraId="5EE0E75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83 558</w:t>
            </w:r>
          </w:p>
        </w:tc>
        <w:tc>
          <w:tcPr>
            <w:tcW w:w="794" w:type="dxa"/>
            <w:tcBorders>
              <w:top w:val="single" w:sz="6" w:space="0" w:color="auto"/>
            </w:tcBorders>
          </w:tcPr>
          <w:p w14:paraId="7518707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86 013</w:t>
            </w:r>
          </w:p>
        </w:tc>
        <w:tc>
          <w:tcPr>
            <w:tcW w:w="794" w:type="dxa"/>
            <w:tcBorders>
              <w:top w:val="single" w:sz="6" w:space="0" w:color="auto"/>
            </w:tcBorders>
          </w:tcPr>
          <w:p w14:paraId="459E657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88 326</w:t>
            </w:r>
          </w:p>
        </w:tc>
        <w:tc>
          <w:tcPr>
            <w:tcW w:w="794" w:type="dxa"/>
            <w:tcBorders>
              <w:top w:val="single" w:sz="6" w:space="0" w:color="auto"/>
            </w:tcBorders>
          </w:tcPr>
          <w:p w14:paraId="68A815F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91 585</w:t>
            </w:r>
          </w:p>
        </w:tc>
      </w:tr>
      <w:tr w:rsidR="008D6F13" w14:paraId="58432391"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7E6E9389" w14:textId="77777777" w:rsidR="008D6F13" w:rsidRDefault="008D6F13" w:rsidP="0031078F">
            <w:r>
              <w:rPr>
                <w:i/>
              </w:rPr>
              <w:t xml:space="preserve">% change </w:t>
            </w:r>
            <w:r>
              <w:rPr>
                <w:i/>
                <w:vertAlign w:val="superscript"/>
              </w:rPr>
              <w:t>(c)</w:t>
            </w:r>
          </w:p>
        </w:tc>
        <w:tc>
          <w:tcPr>
            <w:tcW w:w="794" w:type="dxa"/>
          </w:tcPr>
          <w:p w14:paraId="731ED84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i/>
              </w:rPr>
              <w:t>10.3</w:t>
            </w:r>
          </w:p>
        </w:tc>
        <w:tc>
          <w:tcPr>
            <w:tcW w:w="794" w:type="dxa"/>
          </w:tcPr>
          <w:p w14:paraId="015B9F5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i/>
              </w:rPr>
              <w:t>2.9</w:t>
            </w:r>
          </w:p>
        </w:tc>
        <w:tc>
          <w:tcPr>
            <w:tcW w:w="794" w:type="dxa"/>
          </w:tcPr>
          <w:p w14:paraId="32FBAE9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i/>
              </w:rPr>
              <w:t>2.7</w:t>
            </w:r>
          </w:p>
        </w:tc>
        <w:tc>
          <w:tcPr>
            <w:tcW w:w="794" w:type="dxa"/>
          </w:tcPr>
          <w:p w14:paraId="7C6560E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i/>
              </w:rPr>
              <w:t>3.7</w:t>
            </w:r>
          </w:p>
        </w:tc>
      </w:tr>
      <w:tr w:rsidR="008D6F13" w14:paraId="4022D2F9"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22B86957" w14:textId="77777777" w:rsidR="008D6F13" w:rsidRDefault="008D6F13" w:rsidP="0031078F">
            <w:r>
              <w:rPr>
                <w:b/>
              </w:rPr>
              <w:t>Expenses from transactions</w:t>
            </w:r>
          </w:p>
        </w:tc>
        <w:tc>
          <w:tcPr>
            <w:tcW w:w="794" w:type="dxa"/>
          </w:tcPr>
          <w:p w14:paraId="17ADE52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53CEC0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D3685E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FBAE65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274035B4"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1304659D" w14:textId="77777777" w:rsidR="008D6F13" w:rsidRDefault="008D6F13" w:rsidP="0031078F">
            <w:r>
              <w:t>Employee expenses</w:t>
            </w:r>
          </w:p>
        </w:tc>
        <w:tc>
          <w:tcPr>
            <w:tcW w:w="794" w:type="dxa"/>
          </w:tcPr>
          <w:p w14:paraId="2ABAF2A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34 298</w:t>
            </w:r>
          </w:p>
        </w:tc>
        <w:tc>
          <w:tcPr>
            <w:tcW w:w="794" w:type="dxa"/>
          </w:tcPr>
          <w:p w14:paraId="60FAE5F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34 586</w:t>
            </w:r>
          </w:p>
        </w:tc>
        <w:tc>
          <w:tcPr>
            <w:tcW w:w="794" w:type="dxa"/>
          </w:tcPr>
          <w:p w14:paraId="1455795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35 368</w:t>
            </w:r>
          </w:p>
        </w:tc>
        <w:tc>
          <w:tcPr>
            <w:tcW w:w="794" w:type="dxa"/>
          </w:tcPr>
          <w:p w14:paraId="2E1CF06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36 148</w:t>
            </w:r>
          </w:p>
        </w:tc>
      </w:tr>
      <w:tr w:rsidR="008D6F13" w14:paraId="57B14426"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65590564" w14:textId="77777777" w:rsidR="008D6F13" w:rsidRDefault="008D6F13" w:rsidP="0031078F">
            <w:r>
              <w:t xml:space="preserve">Superannuation </w:t>
            </w:r>
            <w:r>
              <w:rPr>
                <w:vertAlign w:val="superscript"/>
              </w:rPr>
              <w:t>(d)</w:t>
            </w:r>
          </w:p>
        </w:tc>
        <w:tc>
          <w:tcPr>
            <w:tcW w:w="794" w:type="dxa"/>
          </w:tcPr>
          <w:p w14:paraId="2330C6B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4 253</w:t>
            </w:r>
          </w:p>
        </w:tc>
        <w:tc>
          <w:tcPr>
            <w:tcW w:w="794" w:type="dxa"/>
          </w:tcPr>
          <w:p w14:paraId="214417D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4 263</w:t>
            </w:r>
          </w:p>
        </w:tc>
        <w:tc>
          <w:tcPr>
            <w:tcW w:w="794" w:type="dxa"/>
          </w:tcPr>
          <w:p w14:paraId="4C53B09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4 418</w:t>
            </w:r>
          </w:p>
        </w:tc>
        <w:tc>
          <w:tcPr>
            <w:tcW w:w="794" w:type="dxa"/>
          </w:tcPr>
          <w:p w14:paraId="41AAFCC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4 551</w:t>
            </w:r>
          </w:p>
        </w:tc>
      </w:tr>
      <w:tr w:rsidR="008D6F13" w14:paraId="703F0C0F"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4690536D" w14:textId="77777777" w:rsidR="008D6F13" w:rsidRDefault="008D6F13" w:rsidP="0031078F">
            <w:r>
              <w:t xml:space="preserve">Depreciation </w:t>
            </w:r>
          </w:p>
        </w:tc>
        <w:tc>
          <w:tcPr>
            <w:tcW w:w="794" w:type="dxa"/>
          </w:tcPr>
          <w:p w14:paraId="29DD4C7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7 112</w:t>
            </w:r>
          </w:p>
        </w:tc>
        <w:tc>
          <w:tcPr>
            <w:tcW w:w="794" w:type="dxa"/>
          </w:tcPr>
          <w:p w14:paraId="29CB899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7 719</w:t>
            </w:r>
          </w:p>
        </w:tc>
        <w:tc>
          <w:tcPr>
            <w:tcW w:w="794" w:type="dxa"/>
          </w:tcPr>
          <w:p w14:paraId="0069175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9 403</w:t>
            </w:r>
          </w:p>
        </w:tc>
        <w:tc>
          <w:tcPr>
            <w:tcW w:w="794" w:type="dxa"/>
          </w:tcPr>
          <w:p w14:paraId="5AB1C0D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10 542</w:t>
            </w:r>
          </w:p>
        </w:tc>
      </w:tr>
      <w:tr w:rsidR="008D6F13" w14:paraId="79A0B63B"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3DBE8686" w14:textId="77777777" w:rsidR="008D6F13" w:rsidRDefault="008D6F13" w:rsidP="0031078F">
            <w:r>
              <w:t>Interest expense</w:t>
            </w:r>
          </w:p>
        </w:tc>
        <w:tc>
          <w:tcPr>
            <w:tcW w:w="794" w:type="dxa"/>
          </w:tcPr>
          <w:p w14:paraId="513B8BE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3 576</w:t>
            </w:r>
          </w:p>
        </w:tc>
        <w:tc>
          <w:tcPr>
            <w:tcW w:w="794" w:type="dxa"/>
          </w:tcPr>
          <w:p w14:paraId="747248B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4 194</w:t>
            </w:r>
          </w:p>
        </w:tc>
        <w:tc>
          <w:tcPr>
            <w:tcW w:w="794" w:type="dxa"/>
          </w:tcPr>
          <w:p w14:paraId="5F5BCE9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4 840</w:t>
            </w:r>
          </w:p>
        </w:tc>
        <w:tc>
          <w:tcPr>
            <w:tcW w:w="794" w:type="dxa"/>
          </w:tcPr>
          <w:p w14:paraId="6010A54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5 627</w:t>
            </w:r>
          </w:p>
        </w:tc>
      </w:tr>
      <w:tr w:rsidR="008D6F13" w14:paraId="18CA1178"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257BECCC" w14:textId="77777777" w:rsidR="008D6F13" w:rsidRDefault="008D6F13" w:rsidP="0031078F">
            <w:r>
              <w:t>Grant expense</w:t>
            </w:r>
          </w:p>
        </w:tc>
        <w:tc>
          <w:tcPr>
            <w:tcW w:w="794" w:type="dxa"/>
          </w:tcPr>
          <w:p w14:paraId="1E380F3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22 757</w:t>
            </w:r>
          </w:p>
        </w:tc>
        <w:tc>
          <w:tcPr>
            <w:tcW w:w="794" w:type="dxa"/>
          </w:tcPr>
          <w:p w14:paraId="67ACD1A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14 230</w:t>
            </w:r>
          </w:p>
        </w:tc>
        <w:tc>
          <w:tcPr>
            <w:tcW w:w="794" w:type="dxa"/>
          </w:tcPr>
          <w:p w14:paraId="6BF2D1B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13 806</w:t>
            </w:r>
          </w:p>
        </w:tc>
        <w:tc>
          <w:tcPr>
            <w:tcW w:w="794" w:type="dxa"/>
          </w:tcPr>
          <w:p w14:paraId="5D65786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13 519</w:t>
            </w:r>
          </w:p>
        </w:tc>
      </w:tr>
      <w:tr w:rsidR="008D6F13" w14:paraId="6AD81AC9"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1B0CE597" w14:textId="77777777" w:rsidR="008D6F13" w:rsidRDefault="008D6F13" w:rsidP="0031078F">
            <w:r>
              <w:t>Other operating expenses</w:t>
            </w:r>
          </w:p>
        </w:tc>
        <w:tc>
          <w:tcPr>
            <w:tcW w:w="794" w:type="dxa"/>
          </w:tcPr>
          <w:p w14:paraId="58D07FC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32 611</w:t>
            </w:r>
          </w:p>
        </w:tc>
        <w:tc>
          <w:tcPr>
            <w:tcW w:w="794" w:type="dxa"/>
          </w:tcPr>
          <w:p w14:paraId="51C3291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27 694</w:t>
            </w:r>
          </w:p>
        </w:tc>
        <w:tc>
          <w:tcPr>
            <w:tcW w:w="794" w:type="dxa"/>
          </w:tcPr>
          <w:p w14:paraId="470D61B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26 906</w:t>
            </w:r>
          </w:p>
        </w:tc>
        <w:tc>
          <w:tcPr>
            <w:tcW w:w="794" w:type="dxa"/>
          </w:tcPr>
          <w:p w14:paraId="676A0F4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26 939</w:t>
            </w:r>
          </w:p>
        </w:tc>
      </w:tr>
      <w:tr w:rsidR="008D6F13" w14:paraId="54A63F72"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7F88799E" w14:textId="77777777" w:rsidR="008D6F13" w:rsidRDefault="008D6F13" w:rsidP="0031078F">
            <w:r>
              <w:rPr>
                <w:b/>
              </w:rPr>
              <w:t>Total expenses from transactions</w:t>
            </w:r>
          </w:p>
        </w:tc>
        <w:tc>
          <w:tcPr>
            <w:tcW w:w="794" w:type="dxa"/>
          </w:tcPr>
          <w:p w14:paraId="31AE921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104 606</w:t>
            </w:r>
          </w:p>
        </w:tc>
        <w:tc>
          <w:tcPr>
            <w:tcW w:w="794" w:type="dxa"/>
          </w:tcPr>
          <w:p w14:paraId="11285C2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92 685</w:t>
            </w:r>
          </w:p>
        </w:tc>
        <w:tc>
          <w:tcPr>
            <w:tcW w:w="794" w:type="dxa"/>
          </w:tcPr>
          <w:p w14:paraId="5463C9B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94 741</w:t>
            </w:r>
          </w:p>
        </w:tc>
        <w:tc>
          <w:tcPr>
            <w:tcW w:w="794" w:type="dxa"/>
          </w:tcPr>
          <w:p w14:paraId="133E35E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97 327</w:t>
            </w:r>
          </w:p>
        </w:tc>
      </w:tr>
      <w:tr w:rsidR="008D6F13" w14:paraId="16C77921"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08DCED88" w14:textId="77777777" w:rsidR="008D6F13" w:rsidRDefault="008D6F13" w:rsidP="0031078F">
            <w:r>
              <w:rPr>
                <w:i/>
              </w:rPr>
              <w:t xml:space="preserve">% change </w:t>
            </w:r>
            <w:r>
              <w:rPr>
                <w:i/>
                <w:vertAlign w:val="superscript"/>
              </w:rPr>
              <w:t>(c)</w:t>
            </w:r>
          </w:p>
        </w:tc>
        <w:tc>
          <w:tcPr>
            <w:tcW w:w="794" w:type="dxa"/>
            <w:tcBorders>
              <w:bottom w:val="single" w:sz="6" w:space="0" w:color="auto"/>
            </w:tcBorders>
          </w:tcPr>
          <w:p w14:paraId="1E912A3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i/>
              </w:rPr>
              <w:t>14.1</w:t>
            </w:r>
          </w:p>
        </w:tc>
        <w:tc>
          <w:tcPr>
            <w:tcW w:w="794" w:type="dxa"/>
            <w:tcBorders>
              <w:bottom w:val="single" w:sz="6" w:space="0" w:color="auto"/>
            </w:tcBorders>
          </w:tcPr>
          <w:p w14:paraId="420D2F1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i/>
              </w:rPr>
              <w:noBreakHyphen/>
              <w:t>11.4</w:t>
            </w:r>
          </w:p>
        </w:tc>
        <w:tc>
          <w:tcPr>
            <w:tcW w:w="794" w:type="dxa"/>
            <w:tcBorders>
              <w:bottom w:val="single" w:sz="6" w:space="0" w:color="auto"/>
            </w:tcBorders>
          </w:tcPr>
          <w:p w14:paraId="0ED528A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i/>
              </w:rPr>
              <w:t>2.2</w:t>
            </w:r>
          </w:p>
        </w:tc>
        <w:tc>
          <w:tcPr>
            <w:tcW w:w="794" w:type="dxa"/>
            <w:tcBorders>
              <w:bottom w:val="single" w:sz="6" w:space="0" w:color="auto"/>
            </w:tcBorders>
          </w:tcPr>
          <w:p w14:paraId="2286571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i/>
              </w:rPr>
              <w:t>2.7</w:t>
            </w:r>
          </w:p>
        </w:tc>
      </w:tr>
      <w:tr w:rsidR="008D6F13" w14:paraId="6E61E2FD"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7D7E98D0" w14:textId="77777777" w:rsidR="008D6F13" w:rsidRDefault="008D6F13" w:rsidP="0031078F">
            <w:r>
              <w:rPr>
                <w:b/>
              </w:rPr>
              <w:t>Net result from transactions</w:t>
            </w:r>
          </w:p>
        </w:tc>
        <w:tc>
          <w:tcPr>
            <w:tcW w:w="794" w:type="dxa"/>
            <w:tcBorders>
              <w:top w:val="single" w:sz="6" w:space="0" w:color="auto"/>
              <w:bottom w:val="single" w:sz="6" w:space="0" w:color="auto"/>
            </w:tcBorders>
          </w:tcPr>
          <w:p w14:paraId="7CB95BB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(21 048)</w:t>
            </w:r>
          </w:p>
        </w:tc>
        <w:tc>
          <w:tcPr>
            <w:tcW w:w="794" w:type="dxa"/>
            <w:tcBorders>
              <w:top w:val="single" w:sz="6" w:space="0" w:color="auto"/>
              <w:bottom w:val="single" w:sz="6" w:space="0" w:color="auto"/>
            </w:tcBorders>
          </w:tcPr>
          <w:p w14:paraId="6E0195B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(6 672)</w:t>
            </w:r>
          </w:p>
        </w:tc>
        <w:tc>
          <w:tcPr>
            <w:tcW w:w="794" w:type="dxa"/>
            <w:tcBorders>
              <w:top w:val="single" w:sz="6" w:space="0" w:color="auto"/>
              <w:bottom w:val="single" w:sz="6" w:space="0" w:color="auto"/>
            </w:tcBorders>
          </w:tcPr>
          <w:p w14:paraId="4DD9538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(6 415)</w:t>
            </w:r>
          </w:p>
        </w:tc>
        <w:tc>
          <w:tcPr>
            <w:tcW w:w="794" w:type="dxa"/>
            <w:tcBorders>
              <w:top w:val="single" w:sz="6" w:space="0" w:color="auto"/>
              <w:bottom w:val="single" w:sz="6" w:space="0" w:color="auto"/>
            </w:tcBorders>
          </w:tcPr>
          <w:p w14:paraId="2566A8A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(5 742)</w:t>
            </w:r>
          </w:p>
        </w:tc>
      </w:tr>
      <w:tr w:rsidR="008D6F13" w14:paraId="5E57841F"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3C4E0490" w14:textId="77777777" w:rsidR="008D6F13" w:rsidRDefault="008D6F13" w:rsidP="0031078F">
            <w:r>
              <w:t>Total other economic flows included in net result</w:t>
            </w:r>
          </w:p>
        </w:tc>
        <w:tc>
          <w:tcPr>
            <w:tcW w:w="794" w:type="dxa"/>
            <w:tcBorders>
              <w:top w:val="single" w:sz="6" w:space="0" w:color="auto"/>
              <w:bottom w:val="single" w:sz="6" w:space="0" w:color="auto"/>
            </w:tcBorders>
          </w:tcPr>
          <w:p w14:paraId="1811DD8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(929)</w:t>
            </w:r>
          </w:p>
        </w:tc>
        <w:tc>
          <w:tcPr>
            <w:tcW w:w="794" w:type="dxa"/>
            <w:tcBorders>
              <w:top w:val="single" w:sz="6" w:space="0" w:color="auto"/>
              <w:bottom w:val="single" w:sz="6" w:space="0" w:color="auto"/>
            </w:tcBorders>
          </w:tcPr>
          <w:p w14:paraId="006B8BD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(459)</w:t>
            </w:r>
          </w:p>
        </w:tc>
        <w:tc>
          <w:tcPr>
            <w:tcW w:w="794" w:type="dxa"/>
            <w:tcBorders>
              <w:top w:val="single" w:sz="6" w:space="0" w:color="auto"/>
              <w:bottom w:val="single" w:sz="6" w:space="0" w:color="auto"/>
            </w:tcBorders>
          </w:tcPr>
          <w:p w14:paraId="38E1434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(58)</w:t>
            </w:r>
          </w:p>
        </w:tc>
        <w:tc>
          <w:tcPr>
            <w:tcW w:w="794" w:type="dxa"/>
            <w:tcBorders>
              <w:top w:val="single" w:sz="6" w:space="0" w:color="auto"/>
              <w:bottom w:val="single" w:sz="6" w:space="0" w:color="auto"/>
            </w:tcBorders>
          </w:tcPr>
          <w:p w14:paraId="34DEB1C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(423)</w:t>
            </w:r>
          </w:p>
        </w:tc>
      </w:tr>
      <w:tr w:rsidR="008D6F13" w14:paraId="6EC91AD3"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5E748F1F" w14:textId="77777777" w:rsidR="008D6F13" w:rsidRDefault="008D6F13" w:rsidP="0031078F">
            <w:r>
              <w:rPr>
                <w:b/>
              </w:rPr>
              <w:t>Net result</w:t>
            </w:r>
          </w:p>
        </w:tc>
        <w:tc>
          <w:tcPr>
            <w:tcW w:w="794" w:type="dxa"/>
          </w:tcPr>
          <w:p w14:paraId="38A38DC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(21 976)</w:t>
            </w:r>
          </w:p>
        </w:tc>
        <w:tc>
          <w:tcPr>
            <w:tcW w:w="794" w:type="dxa"/>
          </w:tcPr>
          <w:p w14:paraId="7581D16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(7 132)</w:t>
            </w:r>
          </w:p>
        </w:tc>
        <w:tc>
          <w:tcPr>
            <w:tcW w:w="794" w:type="dxa"/>
          </w:tcPr>
          <w:p w14:paraId="104AF6F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(6 474)</w:t>
            </w:r>
          </w:p>
        </w:tc>
        <w:tc>
          <w:tcPr>
            <w:tcW w:w="794" w:type="dxa"/>
          </w:tcPr>
          <w:p w14:paraId="26F06115" w14:textId="09E1D360"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(6 165)</w:t>
            </w:r>
          </w:p>
        </w:tc>
      </w:tr>
    </w:tbl>
    <w:p w14:paraId="3416F355" w14:textId="77777777" w:rsidR="008D6F13" w:rsidRDefault="008D6F13" w:rsidP="008D6F13">
      <w:pPr>
        <w:pStyle w:val="Note"/>
      </w:pPr>
      <w:r>
        <w:t>Notes:</w:t>
      </w:r>
    </w:p>
    <w:p w14:paraId="6F81E642" w14:textId="77777777" w:rsidR="008D6F13" w:rsidRPr="00171422" w:rsidRDefault="008D6F13" w:rsidP="008D6F13">
      <w:pPr>
        <w:pStyle w:val="Note"/>
      </w:pPr>
      <w:r>
        <w:t>(a)</w:t>
      </w:r>
      <w:r>
        <w:tab/>
      </w:r>
      <w:r w:rsidRPr="00171422">
        <w:t xml:space="preserve">This is a summary operating statement. The comprehensive operating statement is presented in Chapter 5 </w:t>
      </w:r>
      <w:r w:rsidRPr="00C40881">
        <w:rPr>
          <w:i w:val="0"/>
          <w:iCs/>
        </w:rPr>
        <w:t>Supplementary uniform presentation framework tables</w:t>
      </w:r>
      <w:r w:rsidRPr="00171422">
        <w:t xml:space="preserve">. Figures in this table are subject to rounding to the nearest million and may not add up to totals. </w:t>
      </w:r>
    </w:p>
    <w:p w14:paraId="656B5EC5" w14:textId="77777777" w:rsidR="008D6F13" w:rsidRPr="00171422" w:rsidRDefault="008D6F13" w:rsidP="008D6F13">
      <w:pPr>
        <w:pStyle w:val="Note"/>
      </w:pPr>
      <w:r>
        <w:t>(b)</w:t>
      </w:r>
      <w:r>
        <w:tab/>
      </w:r>
      <w:r w:rsidRPr="00171422">
        <w:t>Comprises dividends, income tax and rate equivalent revenue and interest.</w:t>
      </w:r>
    </w:p>
    <w:p w14:paraId="631FA1E0" w14:textId="77777777" w:rsidR="008D6F13" w:rsidRPr="00171422" w:rsidRDefault="008D6F13" w:rsidP="008D6F13">
      <w:pPr>
        <w:pStyle w:val="Note"/>
      </w:pPr>
      <w:r>
        <w:t>(c)</w:t>
      </w:r>
      <w:r>
        <w:tab/>
      </w:r>
      <w:r w:rsidRPr="00171422">
        <w:t xml:space="preserve">The revenue and expense growth for 2021-22 is based on published figures in the </w:t>
      </w:r>
      <w:r w:rsidRPr="00214751">
        <w:rPr>
          <w:i w:val="0"/>
          <w:iCs/>
        </w:rPr>
        <w:t>2020-21 Financial Report</w:t>
      </w:r>
      <w:r w:rsidRPr="00171422">
        <w:t>.</w:t>
      </w:r>
    </w:p>
    <w:p w14:paraId="4F92074F" w14:textId="77777777" w:rsidR="008D6F13" w:rsidRDefault="008D6F13" w:rsidP="008D6F13">
      <w:pPr>
        <w:pStyle w:val="Note"/>
      </w:pPr>
      <w:r>
        <w:t>(d)</w:t>
      </w:r>
      <w:r>
        <w:tab/>
      </w:r>
      <w:r w:rsidRPr="00171422">
        <w:t>Comprises superannuation interest expense and other superannuation expenses</w:t>
      </w:r>
      <w:r>
        <w:t>.</w:t>
      </w:r>
    </w:p>
    <w:p w14:paraId="302F41FC" w14:textId="77777777" w:rsidR="008D6F13" w:rsidRPr="005F40F1" w:rsidRDefault="008D6F13" w:rsidP="008D6F13">
      <w:r w:rsidRPr="005F40F1">
        <w:t>The net result from transactions of the NFPS is projected to improve from a deficit of $</w:t>
      </w:r>
      <w:r>
        <w:t>21.0</w:t>
      </w:r>
      <w:r w:rsidRPr="005F40F1">
        <w:t> billion in 2021</w:t>
      </w:r>
      <w:r w:rsidRPr="005F40F1">
        <w:noBreakHyphen/>
        <w:t>22 to a deficit of $</w:t>
      </w:r>
      <w:r>
        <w:t>5.7</w:t>
      </w:r>
      <w:r w:rsidRPr="005F40F1">
        <w:t> billion by 2024</w:t>
      </w:r>
      <w:r w:rsidRPr="005F40F1">
        <w:noBreakHyphen/>
        <w:t>25. This is largely due to the projected improvement in the general government sector deficit from $</w:t>
      </w:r>
      <w:r>
        <w:t>19.5</w:t>
      </w:r>
      <w:r w:rsidRPr="005F40F1">
        <w:t xml:space="preserve"> billion in 2021</w:t>
      </w:r>
      <w:r w:rsidRPr="005F40F1">
        <w:noBreakHyphen/>
        <w:t>22 to $</w:t>
      </w:r>
      <w:r>
        <w:t>2.1</w:t>
      </w:r>
      <w:r w:rsidRPr="005F40F1">
        <w:t xml:space="preserve"> billion by 2024</w:t>
      </w:r>
      <w:r w:rsidRPr="005F40F1">
        <w:noBreakHyphen/>
        <w:t>25 primarily due to revenues growing faster than expenses over the budget and forward estimates.</w:t>
      </w:r>
    </w:p>
    <w:p w14:paraId="200323AF" w14:textId="77777777" w:rsidR="008D6F13" w:rsidRPr="005F40F1" w:rsidRDefault="008D6F13" w:rsidP="008D6F13">
      <w:pPr>
        <w:keepNext/>
      </w:pPr>
      <w:r w:rsidRPr="005F40F1">
        <w:lastRenderedPageBreak/>
        <w:t>The net result from transactions of the PNFC sector is projected to improve from a deficit of $</w:t>
      </w:r>
      <w:r>
        <w:t>539</w:t>
      </w:r>
      <w:r w:rsidRPr="005F40F1">
        <w:t xml:space="preserve"> million in 2021</w:t>
      </w:r>
      <w:r w:rsidRPr="005F40F1">
        <w:noBreakHyphen/>
        <w:t>22 to a surplus of $</w:t>
      </w:r>
      <w:r>
        <w:t>96</w:t>
      </w:r>
      <w:r w:rsidRPr="005F40F1">
        <w:t xml:space="preserve"> million in 2024</w:t>
      </w:r>
      <w:r w:rsidRPr="005F40F1">
        <w:noBreakHyphen/>
        <w:t>25. This improvement is driven by increased business and developer activities within the metropolitan water sector as the economy recovers from the COVID-19 pandemic.</w:t>
      </w:r>
    </w:p>
    <w:p w14:paraId="337CC0D3" w14:textId="77777777" w:rsidR="008D6F13" w:rsidRPr="005F40F1" w:rsidRDefault="008D6F13" w:rsidP="008D6F13">
      <w:pPr>
        <w:pStyle w:val="Heading20"/>
      </w:pPr>
      <w:r w:rsidRPr="005F40F1">
        <w:t>Application of cash resources</w:t>
      </w:r>
    </w:p>
    <w:p w14:paraId="53FE26BC" w14:textId="77777777" w:rsidR="008D6F13" w:rsidRDefault="008D6F13" w:rsidP="008D6F13">
      <w:r w:rsidRPr="005F40F1">
        <w:t>The NFPS is forecast to record an operating cash flow deficit of $</w:t>
      </w:r>
      <w:r>
        <w:t>14.1</w:t>
      </w:r>
      <w:r w:rsidRPr="005F40F1">
        <w:t xml:space="preserve"> billion in 2021-22 before improving to a surplus of $</w:t>
      </w:r>
      <w:r>
        <w:t>4.1</w:t>
      </w:r>
      <w:r w:rsidRPr="005F40F1">
        <w:t xml:space="preserve"> billion in 2024-25. This results in an average annual operating cash flow deficit of $</w:t>
      </w:r>
      <w:r>
        <w:t>941</w:t>
      </w:r>
      <w:r w:rsidRPr="005F40F1">
        <w:t xml:space="preserve"> million across the budget and forward estimates. By 2024-25, the operating cash flow surplus will fund </w:t>
      </w:r>
      <w:r>
        <w:t>16</w:t>
      </w:r>
      <w:r w:rsidRPr="005F40F1">
        <w:t xml:space="preserve"> per cent of the NFPS infrastructure program with the remainder funded by borrowings.</w:t>
      </w:r>
    </w:p>
    <w:p w14:paraId="5820CA18" w14:textId="77777777" w:rsidR="008D6F13" w:rsidRDefault="008D6F13" w:rsidP="008D6F13">
      <w:pPr>
        <w:pStyle w:val="TableHeading"/>
      </w:pPr>
      <w:bookmarkStart w:id="60" w:name="_Hlk87421327"/>
      <w:r>
        <w:t xml:space="preserve">Table 3.7: </w:t>
      </w:r>
      <w:r>
        <w:tab/>
        <w:t xml:space="preserve">Application of cash resources for the non-financial public sector </w:t>
      </w:r>
      <w:r w:rsidRPr="005E6479">
        <w:rPr>
          <w:vertAlign w:val="superscript"/>
        </w:rPr>
        <w:t>(a)</w:t>
      </w:r>
      <w:r>
        <w:tab/>
        <w:t>($ million)</w:t>
      </w:r>
    </w:p>
    <w:tbl>
      <w:tblPr>
        <w:tblStyle w:val="DTFTableNumeric"/>
        <w:tblW w:w="7710" w:type="dxa"/>
        <w:tblLayout w:type="fixed"/>
        <w:tblLook w:val="06A0" w:firstRow="1" w:lastRow="0" w:firstColumn="1" w:lastColumn="0" w:noHBand="1" w:noVBand="1"/>
      </w:tblPr>
      <w:tblGrid>
        <w:gridCol w:w="4534"/>
        <w:gridCol w:w="794"/>
        <w:gridCol w:w="794"/>
        <w:gridCol w:w="794"/>
        <w:gridCol w:w="794"/>
      </w:tblGrid>
      <w:tr w:rsidR="008D6F13" w14:paraId="25BD9741"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7CF5E5B7" w14:textId="5F6F2EDF" w:rsidR="008D6F13" w:rsidRDefault="008D6F13" w:rsidP="0031078F"/>
        </w:tc>
        <w:tc>
          <w:tcPr>
            <w:tcW w:w="794" w:type="dxa"/>
            <w:tcBorders>
              <w:top w:val="single" w:sz="6" w:space="0" w:color="auto"/>
            </w:tcBorders>
          </w:tcPr>
          <w:p w14:paraId="007A8602"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rPr>
                <w:i w:val="0"/>
              </w:rPr>
              <w:br/>
            </w:r>
            <w:r>
              <w:t>revised</w:t>
            </w:r>
          </w:p>
        </w:tc>
        <w:tc>
          <w:tcPr>
            <w:tcW w:w="794" w:type="dxa"/>
            <w:tcBorders>
              <w:top w:val="single" w:sz="6" w:space="0" w:color="auto"/>
            </w:tcBorders>
          </w:tcPr>
          <w:p w14:paraId="7773BD2F"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rPr>
                <w:i w:val="0"/>
              </w:rPr>
              <w:br/>
            </w:r>
            <w:r>
              <w:t>estimate</w:t>
            </w:r>
          </w:p>
        </w:tc>
        <w:tc>
          <w:tcPr>
            <w:tcW w:w="794" w:type="dxa"/>
            <w:tcBorders>
              <w:top w:val="single" w:sz="6" w:space="0" w:color="auto"/>
            </w:tcBorders>
          </w:tcPr>
          <w:p w14:paraId="2E2DB8B3"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rPr>
                <w:i w:val="0"/>
              </w:rPr>
              <w:br/>
            </w:r>
            <w:r>
              <w:t>estimate</w:t>
            </w:r>
          </w:p>
        </w:tc>
        <w:tc>
          <w:tcPr>
            <w:tcW w:w="794" w:type="dxa"/>
            <w:tcBorders>
              <w:top w:val="single" w:sz="6" w:space="0" w:color="auto"/>
            </w:tcBorders>
          </w:tcPr>
          <w:p w14:paraId="2B137D60"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rPr>
                <w:i w:val="0"/>
              </w:rPr>
              <w:br/>
            </w:r>
            <w:r>
              <w:t>estimate</w:t>
            </w:r>
          </w:p>
        </w:tc>
      </w:tr>
      <w:tr w:rsidR="008D6F13" w14:paraId="136B0962"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7560681C" w14:textId="77777777" w:rsidR="008D6F13" w:rsidRDefault="008D6F13" w:rsidP="0031078F">
            <w:r>
              <w:t>Net result from transactions</w:t>
            </w:r>
          </w:p>
        </w:tc>
        <w:tc>
          <w:tcPr>
            <w:tcW w:w="794" w:type="dxa"/>
          </w:tcPr>
          <w:p w14:paraId="0E86EFA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(21 048)</w:t>
            </w:r>
          </w:p>
        </w:tc>
        <w:tc>
          <w:tcPr>
            <w:tcW w:w="794" w:type="dxa"/>
          </w:tcPr>
          <w:p w14:paraId="69A4F90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(6 672)</w:t>
            </w:r>
          </w:p>
        </w:tc>
        <w:tc>
          <w:tcPr>
            <w:tcW w:w="794" w:type="dxa"/>
          </w:tcPr>
          <w:p w14:paraId="78F2DBE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(6 415)</w:t>
            </w:r>
          </w:p>
        </w:tc>
        <w:tc>
          <w:tcPr>
            <w:tcW w:w="794" w:type="dxa"/>
          </w:tcPr>
          <w:p w14:paraId="17EA527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(5 742)</w:t>
            </w:r>
          </w:p>
        </w:tc>
      </w:tr>
      <w:tr w:rsidR="008D6F13" w14:paraId="500F247D"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0C53C022" w14:textId="77777777" w:rsidR="008D6F13" w:rsidRDefault="008D6F13" w:rsidP="0031078F">
            <w:r>
              <w:t xml:space="preserve">Add back: operating cash flows not recognised in the net operating balance </w:t>
            </w:r>
            <w:r>
              <w:rPr>
                <w:vertAlign w:val="superscript"/>
              </w:rPr>
              <w:t>(b)</w:t>
            </w:r>
          </w:p>
        </w:tc>
        <w:tc>
          <w:tcPr>
            <w:tcW w:w="794" w:type="dxa"/>
            <w:tcBorders>
              <w:bottom w:val="single" w:sz="6" w:space="0" w:color="auto"/>
            </w:tcBorders>
          </w:tcPr>
          <w:p w14:paraId="03FE8F6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6 929</w:t>
            </w:r>
          </w:p>
        </w:tc>
        <w:tc>
          <w:tcPr>
            <w:tcW w:w="794" w:type="dxa"/>
            <w:tcBorders>
              <w:bottom w:val="single" w:sz="6" w:space="0" w:color="auto"/>
            </w:tcBorders>
          </w:tcPr>
          <w:p w14:paraId="57D10F7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10 655</w:t>
            </w:r>
          </w:p>
        </w:tc>
        <w:tc>
          <w:tcPr>
            <w:tcW w:w="794" w:type="dxa"/>
            <w:tcBorders>
              <w:bottom w:val="single" w:sz="6" w:space="0" w:color="auto"/>
            </w:tcBorders>
          </w:tcPr>
          <w:p w14:paraId="0A4BB51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8 685</w:t>
            </w:r>
          </w:p>
        </w:tc>
        <w:tc>
          <w:tcPr>
            <w:tcW w:w="794" w:type="dxa"/>
            <w:tcBorders>
              <w:bottom w:val="single" w:sz="6" w:space="0" w:color="auto"/>
            </w:tcBorders>
          </w:tcPr>
          <w:p w14:paraId="156EA07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9 843</w:t>
            </w:r>
          </w:p>
        </w:tc>
      </w:tr>
      <w:tr w:rsidR="008D6F13" w14:paraId="0D91E14A"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6FF7A3C7" w14:textId="77777777" w:rsidR="008D6F13" w:rsidRDefault="008D6F13" w:rsidP="0031078F">
            <w:r>
              <w:rPr>
                <w:b/>
              </w:rPr>
              <w:t>Net cash flows from operating activities</w:t>
            </w:r>
          </w:p>
        </w:tc>
        <w:tc>
          <w:tcPr>
            <w:tcW w:w="794" w:type="dxa"/>
            <w:tcBorders>
              <w:top w:val="single" w:sz="6" w:space="0" w:color="auto"/>
              <w:bottom w:val="single" w:sz="6" w:space="0" w:color="auto"/>
            </w:tcBorders>
          </w:tcPr>
          <w:p w14:paraId="0A52F75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(14 118)</w:t>
            </w:r>
          </w:p>
        </w:tc>
        <w:tc>
          <w:tcPr>
            <w:tcW w:w="794" w:type="dxa"/>
            <w:tcBorders>
              <w:top w:val="single" w:sz="6" w:space="0" w:color="auto"/>
              <w:bottom w:val="single" w:sz="6" w:space="0" w:color="auto"/>
            </w:tcBorders>
          </w:tcPr>
          <w:p w14:paraId="2BE87E2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3 982</w:t>
            </w:r>
          </w:p>
        </w:tc>
        <w:tc>
          <w:tcPr>
            <w:tcW w:w="794" w:type="dxa"/>
            <w:tcBorders>
              <w:top w:val="single" w:sz="6" w:space="0" w:color="auto"/>
              <w:bottom w:val="single" w:sz="6" w:space="0" w:color="auto"/>
            </w:tcBorders>
          </w:tcPr>
          <w:p w14:paraId="113D8AE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2 270</w:t>
            </w:r>
          </w:p>
        </w:tc>
        <w:tc>
          <w:tcPr>
            <w:tcW w:w="794" w:type="dxa"/>
            <w:tcBorders>
              <w:top w:val="single" w:sz="6" w:space="0" w:color="auto"/>
              <w:bottom w:val="single" w:sz="6" w:space="0" w:color="auto"/>
            </w:tcBorders>
          </w:tcPr>
          <w:p w14:paraId="01073BE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4 102</w:t>
            </w:r>
          </w:p>
        </w:tc>
      </w:tr>
      <w:tr w:rsidR="008D6F13" w14:paraId="1D03BE01"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307C9B97" w14:textId="77777777" w:rsidR="008D6F13" w:rsidRDefault="008D6F13" w:rsidP="0031078F">
            <w:r>
              <w:rPr>
                <w:b/>
              </w:rPr>
              <w:t xml:space="preserve">Less: Total net investment in fixed assets </w:t>
            </w:r>
            <w:r>
              <w:rPr>
                <w:b/>
                <w:vertAlign w:val="superscript"/>
              </w:rPr>
              <w:t>(c)</w:t>
            </w:r>
          </w:p>
        </w:tc>
        <w:tc>
          <w:tcPr>
            <w:tcW w:w="794" w:type="dxa"/>
            <w:tcBorders>
              <w:bottom w:val="single" w:sz="6" w:space="0" w:color="auto"/>
            </w:tcBorders>
          </w:tcPr>
          <w:p w14:paraId="3769CEA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18 125</w:t>
            </w:r>
          </w:p>
        </w:tc>
        <w:tc>
          <w:tcPr>
            <w:tcW w:w="794" w:type="dxa"/>
            <w:tcBorders>
              <w:bottom w:val="single" w:sz="6" w:space="0" w:color="auto"/>
            </w:tcBorders>
          </w:tcPr>
          <w:p w14:paraId="712AAAB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20 648</w:t>
            </w:r>
          </w:p>
        </w:tc>
        <w:tc>
          <w:tcPr>
            <w:tcW w:w="794" w:type="dxa"/>
            <w:tcBorders>
              <w:bottom w:val="single" w:sz="6" w:space="0" w:color="auto"/>
            </w:tcBorders>
          </w:tcPr>
          <w:p w14:paraId="0CE4D56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24 167</w:t>
            </w:r>
          </w:p>
        </w:tc>
        <w:tc>
          <w:tcPr>
            <w:tcW w:w="794" w:type="dxa"/>
            <w:tcBorders>
              <w:bottom w:val="single" w:sz="6" w:space="0" w:color="auto"/>
            </w:tcBorders>
          </w:tcPr>
          <w:p w14:paraId="41DB817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25 802</w:t>
            </w:r>
          </w:p>
        </w:tc>
      </w:tr>
      <w:tr w:rsidR="008D6F13" w14:paraId="3C300CA7"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339CF02D" w14:textId="77777777" w:rsidR="008D6F13" w:rsidRDefault="008D6F13" w:rsidP="0031078F">
            <w:r>
              <w:rPr>
                <w:b/>
              </w:rPr>
              <w:t>Surplus/(deficit) of cash from operations after funding net investments in fixed assets</w:t>
            </w:r>
          </w:p>
        </w:tc>
        <w:tc>
          <w:tcPr>
            <w:tcW w:w="794" w:type="dxa"/>
            <w:tcBorders>
              <w:top w:val="single" w:sz="6" w:space="0" w:color="auto"/>
              <w:bottom w:val="single" w:sz="6" w:space="0" w:color="auto"/>
            </w:tcBorders>
          </w:tcPr>
          <w:p w14:paraId="26B6B09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(32 244)</w:t>
            </w:r>
          </w:p>
        </w:tc>
        <w:tc>
          <w:tcPr>
            <w:tcW w:w="794" w:type="dxa"/>
            <w:tcBorders>
              <w:top w:val="single" w:sz="6" w:space="0" w:color="auto"/>
              <w:bottom w:val="single" w:sz="6" w:space="0" w:color="auto"/>
            </w:tcBorders>
          </w:tcPr>
          <w:p w14:paraId="49A133D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(16 666)</w:t>
            </w:r>
          </w:p>
        </w:tc>
        <w:tc>
          <w:tcPr>
            <w:tcW w:w="794" w:type="dxa"/>
            <w:tcBorders>
              <w:top w:val="single" w:sz="6" w:space="0" w:color="auto"/>
              <w:bottom w:val="single" w:sz="6" w:space="0" w:color="auto"/>
            </w:tcBorders>
          </w:tcPr>
          <w:p w14:paraId="484EDF0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(21 897)</w:t>
            </w:r>
          </w:p>
        </w:tc>
        <w:tc>
          <w:tcPr>
            <w:tcW w:w="794" w:type="dxa"/>
            <w:tcBorders>
              <w:top w:val="single" w:sz="6" w:space="0" w:color="auto"/>
              <w:bottom w:val="single" w:sz="6" w:space="0" w:color="auto"/>
            </w:tcBorders>
          </w:tcPr>
          <w:p w14:paraId="14CDF4A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(21 700)</w:t>
            </w:r>
          </w:p>
        </w:tc>
      </w:tr>
      <w:tr w:rsidR="008D6F13" w14:paraId="2DF271AA"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1A6235EA" w14:textId="77777777" w:rsidR="008D6F13" w:rsidRDefault="008D6F13" w:rsidP="0031078F">
            <w:r>
              <w:t>Less:</w:t>
            </w:r>
          </w:p>
        </w:tc>
        <w:tc>
          <w:tcPr>
            <w:tcW w:w="794" w:type="dxa"/>
            <w:tcBorders>
              <w:top w:val="single" w:sz="6" w:space="0" w:color="auto"/>
            </w:tcBorders>
          </w:tcPr>
          <w:p w14:paraId="44BB244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A6BA29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E48684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AD5FA5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2C182748"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48FF634B" w14:textId="77777777" w:rsidR="008D6F13" w:rsidRDefault="008D6F13" w:rsidP="0031078F">
            <w:r>
              <w:t xml:space="preserve">Leases and service concession arrangements </w:t>
            </w:r>
            <w:r>
              <w:rPr>
                <w:vertAlign w:val="superscript"/>
              </w:rPr>
              <w:t>(d)</w:t>
            </w:r>
          </w:p>
        </w:tc>
        <w:tc>
          <w:tcPr>
            <w:tcW w:w="794" w:type="dxa"/>
          </w:tcPr>
          <w:p w14:paraId="08911A9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3 514</w:t>
            </w:r>
          </w:p>
        </w:tc>
        <w:tc>
          <w:tcPr>
            <w:tcW w:w="794" w:type="dxa"/>
          </w:tcPr>
          <w:p w14:paraId="41B63E1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3 423</w:t>
            </w:r>
          </w:p>
        </w:tc>
        <w:tc>
          <w:tcPr>
            <w:tcW w:w="794" w:type="dxa"/>
          </w:tcPr>
          <w:p w14:paraId="0777EDE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2 089</w:t>
            </w:r>
          </w:p>
        </w:tc>
        <w:tc>
          <w:tcPr>
            <w:tcW w:w="794" w:type="dxa"/>
          </w:tcPr>
          <w:p w14:paraId="1EEE03E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951</w:t>
            </w:r>
          </w:p>
        </w:tc>
      </w:tr>
      <w:tr w:rsidR="008D6F13" w14:paraId="3BC7D019"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35A7CCC0" w14:textId="77777777" w:rsidR="008D6F13" w:rsidRDefault="008D6F13" w:rsidP="0031078F">
            <w:r>
              <w:t>Other movements</w:t>
            </w:r>
          </w:p>
        </w:tc>
        <w:tc>
          <w:tcPr>
            <w:tcW w:w="794" w:type="dxa"/>
            <w:tcBorders>
              <w:bottom w:val="single" w:sz="6" w:space="0" w:color="auto"/>
            </w:tcBorders>
          </w:tcPr>
          <w:p w14:paraId="0166A23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(41)</w:t>
            </w:r>
          </w:p>
        </w:tc>
        <w:tc>
          <w:tcPr>
            <w:tcW w:w="794" w:type="dxa"/>
            <w:tcBorders>
              <w:bottom w:val="single" w:sz="6" w:space="0" w:color="auto"/>
            </w:tcBorders>
          </w:tcPr>
          <w:p w14:paraId="5968ED5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64</w:t>
            </w:r>
          </w:p>
        </w:tc>
        <w:tc>
          <w:tcPr>
            <w:tcW w:w="794" w:type="dxa"/>
            <w:tcBorders>
              <w:bottom w:val="single" w:sz="6" w:space="0" w:color="auto"/>
            </w:tcBorders>
          </w:tcPr>
          <w:p w14:paraId="2967188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w:t>
            </w:r>
          </w:p>
        </w:tc>
        <w:tc>
          <w:tcPr>
            <w:tcW w:w="794" w:type="dxa"/>
            <w:tcBorders>
              <w:bottom w:val="single" w:sz="6" w:space="0" w:color="auto"/>
            </w:tcBorders>
          </w:tcPr>
          <w:p w14:paraId="7323B44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w:t>
            </w:r>
          </w:p>
        </w:tc>
      </w:tr>
      <w:tr w:rsidR="008D6F13" w14:paraId="02444FD5"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7B8733DB" w14:textId="77777777" w:rsidR="008D6F13" w:rsidRDefault="008D6F13" w:rsidP="0031078F">
            <w:r>
              <w:rPr>
                <w:b/>
              </w:rPr>
              <w:t>Decrease/(increase) in net debt</w:t>
            </w:r>
          </w:p>
        </w:tc>
        <w:tc>
          <w:tcPr>
            <w:tcW w:w="794" w:type="dxa"/>
          </w:tcPr>
          <w:p w14:paraId="0CDD648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(35 716)</w:t>
            </w:r>
          </w:p>
        </w:tc>
        <w:tc>
          <w:tcPr>
            <w:tcW w:w="794" w:type="dxa"/>
          </w:tcPr>
          <w:p w14:paraId="24664E3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(20 153)</w:t>
            </w:r>
          </w:p>
        </w:tc>
        <w:tc>
          <w:tcPr>
            <w:tcW w:w="794" w:type="dxa"/>
          </w:tcPr>
          <w:p w14:paraId="03D325D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(23 997)</w:t>
            </w:r>
          </w:p>
        </w:tc>
        <w:tc>
          <w:tcPr>
            <w:tcW w:w="794" w:type="dxa"/>
          </w:tcPr>
          <w:p w14:paraId="565E7F3E" w14:textId="6F81BE51"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(22 640)</w:t>
            </w:r>
          </w:p>
        </w:tc>
      </w:tr>
    </w:tbl>
    <w:p w14:paraId="11B75DD9" w14:textId="77777777" w:rsidR="008D6F13" w:rsidRDefault="008D6F13" w:rsidP="008D6F13">
      <w:pPr>
        <w:pStyle w:val="Note"/>
      </w:pPr>
      <w:r>
        <w:t>Notes:</w:t>
      </w:r>
    </w:p>
    <w:p w14:paraId="4297FB8A" w14:textId="77777777" w:rsidR="008D6F13" w:rsidRDefault="008D6F13" w:rsidP="008D6F13">
      <w:pPr>
        <w:pStyle w:val="Note"/>
      </w:pPr>
      <w:r>
        <w:t>(a)</w:t>
      </w:r>
      <w:r>
        <w:tab/>
        <w:t>Figures in this table are subject to rounding to the nearest million and may not add up to totals.</w:t>
      </w:r>
    </w:p>
    <w:p w14:paraId="5B99C655" w14:textId="77777777" w:rsidR="008D6F13" w:rsidRDefault="008D6F13" w:rsidP="008D6F13">
      <w:pPr>
        <w:pStyle w:val="Note"/>
      </w:pPr>
      <w:r>
        <w:t xml:space="preserve">(b) </w:t>
      </w:r>
      <w:r>
        <w:tab/>
      </w:r>
      <w:r w:rsidRPr="00736CFA">
        <w:t>Includes depreciation, prepayments and movements in the superannuation liability and liability of employee benefits, and the progressive unwinding of the grant of a right to the operator liability.</w:t>
      </w:r>
    </w:p>
    <w:p w14:paraId="355A859E" w14:textId="77777777" w:rsidR="008D6F13" w:rsidRDefault="008D6F13" w:rsidP="008D6F13">
      <w:pPr>
        <w:pStyle w:val="Note"/>
      </w:pPr>
      <w:r>
        <w:t xml:space="preserve">(c) </w:t>
      </w:r>
      <w:r>
        <w:tab/>
      </w:r>
      <w:r w:rsidRPr="00736CFA">
        <w:t>Includes total purchases of plant, property and equipment, and capital contributions to other sectors of government net of proceeds from asset sales.</w:t>
      </w:r>
    </w:p>
    <w:p w14:paraId="6CC4D6F6" w14:textId="77777777" w:rsidR="008D6F13" w:rsidRDefault="008D6F13" w:rsidP="008D6F13">
      <w:pPr>
        <w:pStyle w:val="Note"/>
      </w:pPr>
      <w:r>
        <w:t>(d)</w:t>
      </w:r>
      <w:r>
        <w:tab/>
      </w:r>
      <w:r w:rsidRPr="00736CFA">
        <w:t xml:space="preserve">Includes most operating leases which are now required to be recognised as lease liabilities. It also includes the financial liabilities relating to public private partnerships including the </w:t>
      </w:r>
      <w:proofErr w:type="gramStart"/>
      <w:r w:rsidRPr="00736CFA">
        <w:t>High Capacity</w:t>
      </w:r>
      <w:proofErr w:type="gramEnd"/>
      <w:r w:rsidRPr="00736CFA">
        <w:t xml:space="preserve"> Metro Trains Project, the Metro Tunnel, the new Footscray Hospital, the Frankston Hospital Redevelopment, the North East Link and the Western Roads Upgrade</w:t>
      </w:r>
      <w:r>
        <w:t xml:space="preserve">.  </w:t>
      </w:r>
    </w:p>
    <w:bookmarkEnd w:id="60"/>
    <w:p w14:paraId="56779008" w14:textId="77777777" w:rsidR="008D6F13" w:rsidRPr="005F40F1" w:rsidRDefault="008D6F13" w:rsidP="008D6F13">
      <w:pPr>
        <w:keepNext/>
      </w:pPr>
      <w:r w:rsidRPr="005F40F1">
        <w:t>NFPS total net cash outflows from investments in fixed assets are projected to average $</w:t>
      </w:r>
      <w:r>
        <w:t>22</w:t>
      </w:r>
      <w:r w:rsidRPr="005F40F1">
        <w:t xml:space="preserve"> billion a year over the budget and forward estimates. </w:t>
      </w:r>
      <w:bookmarkStart w:id="61" w:name="_Hlk87365304"/>
      <w:r w:rsidRPr="005F40F1">
        <w:t>The key infrastructure projects under development include:</w:t>
      </w:r>
    </w:p>
    <w:p w14:paraId="43DD55B4" w14:textId="77777777" w:rsidR="008D6F13" w:rsidRPr="005F40F1" w:rsidRDefault="008D6F13" w:rsidP="008D6F13">
      <w:pPr>
        <w:pStyle w:val="ListBullet"/>
      </w:pPr>
      <w:r w:rsidRPr="005F40F1">
        <w:t>investment in transport infrastructure and rolling stock to meet patronage growth and improve network performance, including the new metropolitan trains, Next Generation Trams, tram infrastructure upgrades and maintenance facilities for rolling stock</w:t>
      </w:r>
    </w:p>
    <w:p w14:paraId="1D2DA938" w14:textId="77777777" w:rsidR="008D6F13" w:rsidRPr="005F40F1" w:rsidRDefault="008D6F13" w:rsidP="008D6F13">
      <w:pPr>
        <w:pStyle w:val="ListBullet"/>
      </w:pPr>
      <w:r w:rsidRPr="005F40F1">
        <w:t xml:space="preserve">various water and sewer related infrastructure projects, such as the Western Treatment Plant Primary Treatment Augmentation, the Lockerbie Main Sewer, the Western Irrigation Network </w:t>
      </w:r>
      <w:proofErr w:type="gramStart"/>
      <w:r w:rsidRPr="005F40F1">
        <w:t>Project</w:t>
      </w:r>
      <w:proofErr w:type="gramEnd"/>
      <w:r w:rsidRPr="005F40F1">
        <w:t xml:space="preserve"> and the East Grampians Pipeline Project</w:t>
      </w:r>
    </w:p>
    <w:p w14:paraId="7BC1801D" w14:textId="77777777" w:rsidR="008D6F13" w:rsidRPr="005F40F1" w:rsidRDefault="008D6F13" w:rsidP="008D6F13">
      <w:pPr>
        <w:pStyle w:val="ListBullet"/>
      </w:pPr>
      <w:r w:rsidRPr="005F40F1">
        <w:t xml:space="preserve">Victoria’s Big Housing Build program. </w:t>
      </w:r>
    </w:p>
    <w:bookmarkEnd w:id="61"/>
    <w:p w14:paraId="495CD045" w14:textId="77777777" w:rsidR="008D6F13" w:rsidRPr="006B41DB" w:rsidRDefault="008D6F13" w:rsidP="006B41DB">
      <w:r w:rsidRPr="006B41DB">
        <w:br w:type="page"/>
      </w:r>
    </w:p>
    <w:p w14:paraId="08AECB19" w14:textId="77777777" w:rsidR="008D6F13" w:rsidRDefault="008D6F13" w:rsidP="008D6F13">
      <w:pPr>
        <w:pStyle w:val="Heading10"/>
      </w:pPr>
      <w:bookmarkStart w:id="62" w:name="_Toc89423585"/>
      <w:r>
        <w:lastRenderedPageBreak/>
        <w:t>Non-financial public sector net debt and net financial liabilities</w:t>
      </w:r>
      <w:bookmarkEnd w:id="62"/>
    </w:p>
    <w:p w14:paraId="34B2445E" w14:textId="77777777" w:rsidR="008D6F13" w:rsidRDefault="008D6F13" w:rsidP="008D6F13">
      <w:r>
        <w:t>Table 3.8 details NFPS net debt and financial liabilities.</w:t>
      </w:r>
    </w:p>
    <w:p w14:paraId="35F58C29" w14:textId="77777777" w:rsidR="008D6F13" w:rsidRDefault="008D6F13" w:rsidP="008D6F13">
      <w:pPr>
        <w:pStyle w:val="TableHeading"/>
      </w:pPr>
      <w:r>
        <w:t>Table 3.8:</w:t>
      </w:r>
      <w:r>
        <w:tab/>
        <w:t>Non</w:t>
      </w:r>
      <w:r>
        <w:noBreakHyphen/>
        <w:t xml:space="preserve">financial public sector net debt and financial liabilities </w:t>
      </w:r>
      <w:r>
        <w:rPr>
          <w:vertAlign w:val="superscript"/>
        </w:rPr>
        <w:t>(a)</w:t>
      </w:r>
      <w:r>
        <w:tab/>
        <w:t>($ billion)</w:t>
      </w:r>
    </w:p>
    <w:tbl>
      <w:tblPr>
        <w:tblStyle w:val="DTFTableNumeric"/>
        <w:tblW w:w="7711" w:type="dxa"/>
        <w:tblLayout w:type="fixed"/>
        <w:tblLook w:val="06A0" w:firstRow="1" w:lastRow="0" w:firstColumn="1" w:lastColumn="0" w:noHBand="1" w:noVBand="1"/>
      </w:tblPr>
      <w:tblGrid>
        <w:gridCol w:w="4519"/>
        <w:gridCol w:w="797"/>
        <w:gridCol w:w="797"/>
        <w:gridCol w:w="797"/>
        <w:gridCol w:w="801"/>
      </w:tblGrid>
      <w:tr w:rsidR="008D6F13" w14:paraId="70B7EAD5"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19" w:type="dxa"/>
          </w:tcPr>
          <w:p w14:paraId="280EDBB6" w14:textId="33BC462C" w:rsidR="008D6F13" w:rsidRDefault="008D6F13" w:rsidP="0031078F"/>
        </w:tc>
        <w:tc>
          <w:tcPr>
            <w:tcW w:w="797" w:type="dxa"/>
          </w:tcPr>
          <w:p w14:paraId="5D0F8E49"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rPr>
                <w:i w:val="0"/>
              </w:rPr>
              <w:br/>
            </w:r>
            <w:r>
              <w:t>revised</w:t>
            </w:r>
          </w:p>
        </w:tc>
        <w:tc>
          <w:tcPr>
            <w:tcW w:w="797" w:type="dxa"/>
          </w:tcPr>
          <w:p w14:paraId="38D27710"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rPr>
                <w:i w:val="0"/>
              </w:rPr>
              <w:br/>
            </w:r>
            <w:r>
              <w:t>estimate</w:t>
            </w:r>
          </w:p>
        </w:tc>
        <w:tc>
          <w:tcPr>
            <w:tcW w:w="797" w:type="dxa"/>
          </w:tcPr>
          <w:p w14:paraId="7D2E73E8"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rPr>
                <w:i w:val="0"/>
              </w:rPr>
              <w:br/>
            </w:r>
            <w:r>
              <w:t>estimate</w:t>
            </w:r>
          </w:p>
        </w:tc>
        <w:tc>
          <w:tcPr>
            <w:tcW w:w="801" w:type="dxa"/>
          </w:tcPr>
          <w:p w14:paraId="7A2175FA"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rPr>
                <w:i w:val="0"/>
              </w:rPr>
              <w:br/>
            </w:r>
            <w:r>
              <w:t>estimate</w:t>
            </w:r>
          </w:p>
        </w:tc>
      </w:tr>
      <w:tr w:rsidR="008D6F13" w14:paraId="7EA29837" w14:textId="77777777" w:rsidTr="0031078F">
        <w:tc>
          <w:tcPr>
            <w:cnfStyle w:val="001000000000" w:firstRow="0" w:lastRow="0" w:firstColumn="1" w:lastColumn="0" w:oddVBand="0" w:evenVBand="0" w:oddHBand="0" w:evenHBand="0" w:firstRowFirstColumn="0" w:firstRowLastColumn="0" w:lastRowFirstColumn="0" w:lastRowLastColumn="0"/>
            <w:tcW w:w="4519" w:type="dxa"/>
          </w:tcPr>
          <w:p w14:paraId="5AB8E6B0" w14:textId="77777777" w:rsidR="008D6F13" w:rsidRDefault="008D6F13" w:rsidP="0031078F">
            <w:r>
              <w:rPr>
                <w:b/>
              </w:rPr>
              <w:t>Assets</w:t>
            </w:r>
          </w:p>
        </w:tc>
        <w:tc>
          <w:tcPr>
            <w:tcW w:w="797" w:type="dxa"/>
          </w:tcPr>
          <w:p w14:paraId="0276CAC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7" w:type="dxa"/>
          </w:tcPr>
          <w:p w14:paraId="224DE9C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7" w:type="dxa"/>
          </w:tcPr>
          <w:p w14:paraId="220EDEC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01" w:type="dxa"/>
          </w:tcPr>
          <w:p w14:paraId="2F84399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28983F77" w14:textId="77777777" w:rsidTr="0031078F">
        <w:tc>
          <w:tcPr>
            <w:cnfStyle w:val="001000000000" w:firstRow="0" w:lastRow="0" w:firstColumn="1" w:lastColumn="0" w:oddVBand="0" w:evenVBand="0" w:oddHBand="0" w:evenHBand="0" w:firstRowFirstColumn="0" w:firstRowLastColumn="0" w:lastRowFirstColumn="0" w:lastRowLastColumn="0"/>
            <w:tcW w:w="4519" w:type="dxa"/>
          </w:tcPr>
          <w:p w14:paraId="3EB67CED" w14:textId="77777777" w:rsidR="008D6F13" w:rsidRDefault="008D6F13" w:rsidP="0031078F">
            <w:r>
              <w:t>Cash and deposits</w:t>
            </w:r>
          </w:p>
        </w:tc>
        <w:tc>
          <w:tcPr>
            <w:tcW w:w="797" w:type="dxa"/>
          </w:tcPr>
          <w:p w14:paraId="79E36F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15.7</w:t>
            </w:r>
          </w:p>
        </w:tc>
        <w:tc>
          <w:tcPr>
            <w:tcW w:w="797" w:type="dxa"/>
          </w:tcPr>
          <w:p w14:paraId="252D24C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15.6</w:t>
            </w:r>
          </w:p>
        </w:tc>
        <w:tc>
          <w:tcPr>
            <w:tcW w:w="797" w:type="dxa"/>
          </w:tcPr>
          <w:p w14:paraId="4FE9DEA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15.9</w:t>
            </w:r>
          </w:p>
        </w:tc>
        <w:tc>
          <w:tcPr>
            <w:tcW w:w="801" w:type="dxa"/>
          </w:tcPr>
          <w:p w14:paraId="5A0FBB7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16.1</w:t>
            </w:r>
          </w:p>
        </w:tc>
      </w:tr>
      <w:tr w:rsidR="008D6F13" w14:paraId="6A54F4A5" w14:textId="77777777" w:rsidTr="0031078F">
        <w:tc>
          <w:tcPr>
            <w:cnfStyle w:val="001000000000" w:firstRow="0" w:lastRow="0" w:firstColumn="1" w:lastColumn="0" w:oddVBand="0" w:evenVBand="0" w:oddHBand="0" w:evenHBand="0" w:firstRowFirstColumn="0" w:firstRowLastColumn="0" w:lastRowFirstColumn="0" w:lastRowLastColumn="0"/>
            <w:tcW w:w="4519" w:type="dxa"/>
          </w:tcPr>
          <w:p w14:paraId="73C793A4" w14:textId="77777777" w:rsidR="008D6F13" w:rsidRDefault="008D6F13" w:rsidP="0031078F">
            <w:r>
              <w:t>Advances paid</w:t>
            </w:r>
          </w:p>
        </w:tc>
        <w:tc>
          <w:tcPr>
            <w:tcW w:w="797" w:type="dxa"/>
          </w:tcPr>
          <w:p w14:paraId="4A77EB7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0.6</w:t>
            </w:r>
          </w:p>
        </w:tc>
        <w:tc>
          <w:tcPr>
            <w:tcW w:w="797" w:type="dxa"/>
          </w:tcPr>
          <w:p w14:paraId="759236C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0.5</w:t>
            </w:r>
          </w:p>
        </w:tc>
        <w:tc>
          <w:tcPr>
            <w:tcW w:w="797" w:type="dxa"/>
          </w:tcPr>
          <w:p w14:paraId="054C9A1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0.4</w:t>
            </w:r>
          </w:p>
        </w:tc>
        <w:tc>
          <w:tcPr>
            <w:tcW w:w="801" w:type="dxa"/>
          </w:tcPr>
          <w:p w14:paraId="66BFE2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0.4</w:t>
            </w:r>
          </w:p>
        </w:tc>
      </w:tr>
      <w:tr w:rsidR="008D6F13" w14:paraId="26B537F0" w14:textId="77777777" w:rsidTr="0031078F">
        <w:tc>
          <w:tcPr>
            <w:cnfStyle w:val="001000000000" w:firstRow="0" w:lastRow="0" w:firstColumn="1" w:lastColumn="0" w:oddVBand="0" w:evenVBand="0" w:oddHBand="0" w:evenHBand="0" w:firstRowFirstColumn="0" w:firstRowLastColumn="0" w:lastRowFirstColumn="0" w:lastRowLastColumn="0"/>
            <w:tcW w:w="4519" w:type="dxa"/>
            <w:tcBorders>
              <w:bottom w:val="single" w:sz="6" w:space="0" w:color="auto"/>
            </w:tcBorders>
          </w:tcPr>
          <w:p w14:paraId="583A5A65" w14:textId="77777777" w:rsidR="008D6F13" w:rsidRDefault="008D6F13" w:rsidP="0031078F">
            <w:r>
              <w:t xml:space="preserve">Investments, </w:t>
            </w:r>
            <w:proofErr w:type="gramStart"/>
            <w:r>
              <w:t>loans</w:t>
            </w:r>
            <w:proofErr w:type="gramEnd"/>
            <w:r>
              <w:t xml:space="preserve"> and placements</w:t>
            </w:r>
          </w:p>
        </w:tc>
        <w:tc>
          <w:tcPr>
            <w:tcW w:w="797" w:type="dxa"/>
            <w:tcBorders>
              <w:bottom w:val="single" w:sz="6" w:space="0" w:color="auto"/>
            </w:tcBorders>
          </w:tcPr>
          <w:p w14:paraId="51AAC99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4.1</w:t>
            </w:r>
          </w:p>
        </w:tc>
        <w:tc>
          <w:tcPr>
            <w:tcW w:w="797" w:type="dxa"/>
            <w:tcBorders>
              <w:bottom w:val="single" w:sz="6" w:space="0" w:color="auto"/>
            </w:tcBorders>
          </w:tcPr>
          <w:p w14:paraId="20041A6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4.3</w:t>
            </w:r>
          </w:p>
        </w:tc>
        <w:tc>
          <w:tcPr>
            <w:tcW w:w="797" w:type="dxa"/>
            <w:tcBorders>
              <w:bottom w:val="single" w:sz="6" w:space="0" w:color="auto"/>
            </w:tcBorders>
          </w:tcPr>
          <w:p w14:paraId="5875502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4.6</w:t>
            </w:r>
          </w:p>
        </w:tc>
        <w:tc>
          <w:tcPr>
            <w:tcW w:w="801" w:type="dxa"/>
            <w:tcBorders>
              <w:bottom w:val="single" w:sz="6" w:space="0" w:color="auto"/>
            </w:tcBorders>
          </w:tcPr>
          <w:p w14:paraId="2791FD7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4.9</w:t>
            </w:r>
          </w:p>
        </w:tc>
      </w:tr>
      <w:tr w:rsidR="008D6F13" w14:paraId="6DBEE5B9" w14:textId="77777777" w:rsidTr="0031078F">
        <w:tc>
          <w:tcPr>
            <w:cnfStyle w:val="001000000000" w:firstRow="0" w:lastRow="0" w:firstColumn="1" w:lastColumn="0" w:oddVBand="0" w:evenVBand="0" w:oddHBand="0" w:evenHBand="0" w:firstRowFirstColumn="0" w:firstRowLastColumn="0" w:lastRowFirstColumn="0" w:lastRowLastColumn="0"/>
            <w:tcW w:w="4519" w:type="dxa"/>
            <w:tcBorders>
              <w:top w:val="single" w:sz="6" w:space="0" w:color="auto"/>
            </w:tcBorders>
          </w:tcPr>
          <w:p w14:paraId="112FC224" w14:textId="77777777" w:rsidR="008D6F13" w:rsidRDefault="008D6F13" w:rsidP="0031078F">
            <w:r>
              <w:rPr>
                <w:b/>
              </w:rPr>
              <w:t>Total</w:t>
            </w:r>
          </w:p>
        </w:tc>
        <w:tc>
          <w:tcPr>
            <w:tcW w:w="797" w:type="dxa"/>
            <w:tcBorders>
              <w:top w:val="single" w:sz="6" w:space="0" w:color="auto"/>
            </w:tcBorders>
          </w:tcPr>
          <w:p w14:paraId="70378B4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20.4</w:t>
            </w:r>
          </w:p>
        </w:tc>
        <w:tc>
          <w:tcPr>
            <w:tcW w:w="797" w:type="dxa"/>
            <w:tcBorders>
              <w:top w:val="single" w:sz="6" w:space="0" w:color="auto"/>
            </w:tcBorders>
          </w:tcPr>
          <w:p w14:paraId="1DE74FC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20.4</w:t>
            </w:r>
          </w:p>
        </w:tc>
        <w:tc>
          <w:tcPr>
            <w:tcW w:w="797" w:type="dxa"/>
            <w:tcBorders>
              <w:top w:val="single" w:sz="6" w:space="0" w:color="auto"/>
            </w:tcBorders>
          </w:tcPr>
          <w:p w14:paraId="4DED550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20.9</w:t>
            </w:r>
          </w:p>
        </w:tc>
        <w:tc>
          <w:tcPr>
            <w:tcW w:w="801" w:type="dxa"/>
            <w:tcBorders>
              <w:top w:val="single" w:sz="6" w:space="0" w:color="auto"/>
            </w:tcBorders>
          </w:tcPr>
          <w:p w14:paraId="24E4849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21.5</w:t>
            </w:r>
          </w:p>
        </w:tc>
      </w:tr>
      <w:tr w:rsidR="008D6F13" w14:paraId="5191DFCD" w14:textId="77777777" w:rsidTr="0031078F">
        <w:tc>
          <w:tcPr>
            <w:cnfStyle w:val="001000000000" w:firstRow="0" w:lastRow="0" w:firstColumn="1" w:lastColumn="0" w:oddVBand="0" w:evenVBand="0" w:oddHBand="0" w:evenHBand="0" w:firstRowFirstColumn="0" w:firstRowLastColumn="0" w:lastRowFirstColumn="0" w:lastRowLastColumn="0"/>
            <w:tcW w:w="4519" w:type="dxa"/>
          </w:tcPr>
          <w:p w14:paraId="4F7FE0BE" w14:textId="77777777" w:rsidR="008D6F13" w:rsidRDefault="008D6F13" w:rsidP="0031078F">
            <w:r>
              <w:rPr>
                <w:b/>
              </w:rPr>
              <w:t>Liabilities</w:t>
            </w:r>
          </w:p>
        </w:tc>
        <w:tc>
          <w:tcPr>
            <w:tcW w:w="797" w:type="dxa"/>
          </w:tcPr>
          <w:p w14:paraId="77DDC0A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7" w:type="dxa"/>
          </w:tcPr>
          <w:p w14:paraId="1134822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7" w:type="dxa"/>
          </w:tcPr>
          <w:p w14:paraId="2672416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01" w:type="dxa"/>
          </w:tcPr>
          <w:p w14:paraId="0844C6F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03361315" w14:textId="77777777" w:rsidTr="0031078F">
        <w:tc>
          <w:tcPr>
            <w:cnfStyle w:val="001000000000" w:firstRow="0" w:lastRow="0" w:firstColumn="1" w:lastColumn="0" w:oddVBand="0" w:evenVBand="0" w:oddHBand="0" w:evenHBand="0" w:firstRowFirstColumn="0" w:firstRowLastColumn="0" w:lastRowFirstColumn="0" w:lastRowLastColumn="0"/>
            <w:tcW w:w="4519" w:type="dxa"/>
          </w:tcPr>
          <w:p w14:paraId="64438ECB" w14:textId="77777777" w:rsidR="008D6F13" w:rsidRDefault="008D6F13" w:rsidP="0031078F">
            <w:r>
              <w:t>Deposits held and advances received</w:t>
            </w:r>
          </w:p>
        </w:tc>
        <w:tc>
          <w:tcPr>
            <w:tcW w:w="797" w:type="dxa"/>
          </w:tcPr>
          <w:p w14:paraId="0EC9DAF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w:t>
            </w:r>
          </w:p>
        </w:tc>
        <w:tc>
          <w:tcPr>
            <w:tcW w:w="797" w:type="dxa"/>
          </w:tcPr>
          <w:p w14:paraId="70E2DC3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w:t>
            </w:r>
          </w:p>
        </w:tc>
        <w:tc>
          <w:tcPr>
            <w:tcW w:w="797" w:type="dxa"/>
          </w:tcPr>
          <w:p w14:paraId="4A26648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w:t>
            </w:r>
          </w:p>
        </w:tc>
        <w:tc>
          <w:tcPr>
            <w:tcW w:w="801" w:type="dxa"/>
          </w:tcPr>
          <w:p w14:paraId="3DEB33F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w:t>
            </w:r>
          </w:p>
        </w:tc>
      </w:tr>
      <w:tr w:rsidR="008D6F13" w14:paraId="29E6D07C" w14:textId="77777777" w:rsidTr="0031078F">
        <w:tc>
          <w:tcPr>
            <w:cnfStyle w:val="001000000000" w:firstRow="0" w:lastRow="0" w:firstColumn="1" w:lastColumn="0" w:oddVBand="0" w:evenVBand="0" w:oddHBand="0" w:evenHBand="0" w:firstRowFirstColumn="0" w:firstRowLastColumn="0" w:lastRowFirstColumn="0" w:lastRowLastColumn="0"/>
            <w:tcW w:w="4519" w:type="dxa"/>
            <w:tcBorders>
              <w:bottom w:val="single" w:sz="6" w:space="0" w:color="auto"/>
            </w:tcBorders>
          </w:tcPr>
          <w:p w14:paraId="4C86B983" w14:textId="77777777" w:rsidR="008D6F13" w:rsidRDefault="008D6F13" w:rsidP="0031078F">
            <w:r>
              <w:t>Borrowings</w:t>
            </w:r>
          </w:p>
        </w:tc>
        <w:tc>
          <w:tcPr>
            <w:tcW w:w="797" w:type="dxa"/>
            <w:tcBorders>
              <w:bottom w:val="single" w:sz="6" w:space="0" w:color="auto"/>
            </w:tcBorders>
          </w:tcPr>
          <w:p w14:paraId="6787A8D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142.8</w:t>
            </w:r>
          </w:p>
        </w:tc>
        <w:tc>
          <w:tcPr>
            <w:tcW w:w="797" w:type="dxa"/>
            <w:tcBorders>
              <w:bottom w:val="single" w:sz="6" w:space="0" w:color="auto"/>
            </w:tcBorders>
          </w:tcPr>
          <w:p w14:paraId="5A6601B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163.1</w:t>
            </w:r>
          </w:p>
        </w:tc>
        <w:tc>
          <w:tcPr>
            <w:tcW w:w="797" w:type="dxa"/>
            <w:tcBorders>
              <w:bottom w:val="single" w:sz="6" w:space="0" w:color="auto"/>
            </w:tcBorders>
          </w:tcPr>
          <w:p w14:paraId="165BFA9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187.5</w:t>
            </w:r>
          </w:p>
        </w:tc>
        <w:tc>
          <w:tcPr>
            <w:tcW w:w="801" w:type="dxa"/>
            <w:tcBorders>
              <w:bottom w:val="single" w:sz="6" w:space="0" w:color="auto"/>
            </w:tcBorders>
          </w:tcPr>
          <w:p w14:paraId="61A8F5B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210.7</w:t>
            </w:r>
          </w:p>
        </w:tc>
      </w:tr>
      <w:tr w:rsidR="008D6F13" w14:paraId="0C672A4A" w14:textId="77777777" w:rsidTr="0031078F">
        <w:tc>
          <w:tcPr>
            <w:cnfStyle w:val="001000000000" w:firstRow="0" w:lastRow="0" w:firstColumn="1" w:lastColumn="0" w:oddVBand="0" w:evenVBand="0" w:oddHBand="0" w:evenHBand="0" w:firstRowFirstColumn="0" w:firstRowLastColumn="0" w:lastRowFirstColumn="0" w:lastRowLastColumn="0"/>
            <w:tcW w:w="4519" w:type="dxa"/>
            <w:tcBorders>
              <w:top w:val="single" w:sz="6" w:space="0" w:color="auto"/>
            </w:tcBorders>
          </w:tcPr>
          <w:p w14:paraId="16D8F393" w14:textId="77777777" w:rsidR="008D6F13" w:rsidRDefault="008D6F13" w:rsidP="0031078F">
            <w:r>
              <w:rPr>
                <w:b/>
              </w:rPr>
              <w:t>Total</w:t>
            </w:r>
          </w:p>
        </w:tc>
        <w:tc>
          <w:tcPr>
            <w:tcW w:w="797" w:type="dxa"/>
            <w:tcBorders>
              <w:top w:val="single" w:sz="6" w:space="0" w:color="auto"/>
            </w:tcBorders>
          </w:tcPr>
          <w:p w14:paraId="1C050FA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144.5</w:t>
            </w:r>
          </w:p>
        </w:tc>
        <w:tc>
          <w:tcPr>
            <w:tcW w:w="797" w:type="dxa"/>
            <w:tcBorders>
              <w:top w:val="single" w:sz="6" w:space="0" w:color="auto"/>
            </w:tcBorders>
          </w:tcPr>
          <w:p w14:paraId="0936CE9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164.7</w:t>
            </w:r>
          </w:p>
        </w:tc>
        <w:tc>
          <w:tcPr>
            <w:tcW w:w="797" w:type="dxa"/>
            <w:tcBorders>
              <w:top w:val="single" w:sz="6" w:space="0" w:color="auto"/>
            </w:tcBorders>
          </w:tcPr>
          <w:p w14:paraId="16A13F6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189.2</w:t>
            </w:r>
          </w:p>
        </w:tc>
        <w:tc>
          <w:tcPr>
            <w:tcW w:w="801" w:type="dxa"/>
            <w:tcBorders>
              <w:top w:val="single" w:sz="6" w:space="0" w:color="auto"/>
            </w:tcBorders>
          </w:tcPr>
          <w:p w14:paraId="430AB24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212.4</w:t>
            </w:r>
          </w:p>
        </w:tc>
      </w:tr>
      <w:tr w:rsidR="008D6F13" w14:paraId="4045EC74" w14:textId="77777777" w:rsidTr="0031078F">
        <w:tc>
          <w:tcPr>
            <w:cnfStyle w:val="001000000000" w:firstRow="0" w:lastRow="0" w:firstColumn="1" w:lastColumn="0" w:oddVBand="0" w:evenVBand="0" w:oddHBand="0" w:evenHBand="0" w:firstRowFirstColumn="0" w:firstRowLastColumn="0" w:lastRowFirstColumn="0" w:lastRowLastColumn="0"/>
            <w:tcW w:w="4519" w:type="dxa"/>
          </w:tcPr>
          <w:p w14:paraId="6CCE0517" w14:textId="77777777" w:rsidR="008D6F13" w:rsidRDefault="008D6F13" w:rsidP="0031078F">
            <w:r>
              <w:rPr>
                <w:b/>
              </w:rPr>
              <w:t xml:space="preserve">Net debt </w:t>
            </w:r>
            <w:r>
              <w:rPr>
                <w:b/>
                <w:vertAlign w:val="superscript"/>
              </w:rPr>
              <w:t>(b)</w:t>
            </w:r>
          </w:p>
        </w:tc>
        <w:tc>
          <w:tcPr>
            <w:tcW w:w="797" w:type="dxa"/>
          </w:tcPr>
          <w:p w14:paraId="36A623A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124.2</w:t>
            </w:r>
          </w:p>
        </w:tc>
        <w:tc>
          <w:tcPr>
            <w:tcW w:w="797" w:type="dxa"/>
          </w:tcPr>
          <w:p w14:paraId="1EB20DC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144.3</w:t>
            </w:r>
          </w:p>
        </w:tc>
        <w:tc>
          <w:tcPr>
            <w:tcW w:w="797" w:type="dxa"/>
          </w:tcPr>
          <w:p w14:paraId="2FC7D59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168.3</w:t>
            </w:r>
          </w:p>
        </w:tc>
        <w:tc>
          <w:tcPr>
            <w:tcW w:w="801" w:type="dxa"/>
          </w:tcPr>
          <w:p w14:paraId="205A38E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190.9</w:t>
            </w:r>
          </w:p>
        </w:tc>
      </w:tr>
      <w:tr w:rsidR="008D6F13" w14:paraId="57476D59" w14:textId="77777777" w:rsidTr="0031078F">
        <w:tc>
          <w:tcPr>
            <w:cnfStyle w:val="001000000000" w:firstRow="0" w:lastRow="0" w:firstColumn="1" w:lastColumn="0" w:oddVBand="0" w:evenVBand="0" w:oddHBand="0" w:evenHBand="0" w:firstRowFirstColumn="0" w:firstRowLastColumn="0" w:lastRowFirstColumn="0" w:lastRowLastColumn="0"/>
            <w:tcW w:w="4519" w:type="dxa"/>
            <w:tcBorders>
              <w:bottom w:val="single" w:sz="6" w:space="0" w:color="auto"/>
            </w:tcBorders>
          </w:tcPr>
          <w:p w14:paraId="558D059E" w14:textId="77777777" w:rsidR="008D6F13" w:rsidRDefault="008D6F13" w:rsidP="0031078F">
            <w:r>
              <w:t>Superannuation liability</w:t>
            </w:r>
          </w:p>
        </w:tc>
        <w:tc>
          <w:tcPr>
            <w:tcW w:w="797" w:type="dxa"/>
            <w:tcBorders>
              <w:bottom w:val="single" w:sz="6" w:space="0" w:color="auto"/>
            </w:tcBorders>
          </w:tcPr>
          <w:p w14:paraId="1E1D525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25.8</w:t>
            </w:r>
          </w:p>
        </w:tc>
        <w:tc>
          <w:tcPr>
            <w:tcW w:w="797" w:type="dxa"/>
            <w:tcBorders>
              <w:bottom w:val="single" w:sz="6" w:space="0" w:color="auto"/>
            </w:tcBorders>
          </w:tcPr>
          <w:p w14:paraId="65EBD80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24.7</w:t>
            </w:r>
          </w:p>
        </w:tc>
        <w:tc>
          <w:tcPr>
            <w:tcW w:w="797" w:type="dxa"/>
            <w:tcBorders>
              <w:bottom w:val="single" w:sz="6" w:space="0" w:color="auto"/>
            </w:tcBorders>
          </w:tcPr>
          <w:p w14:paraId="23CC306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23.6</w:t>
            </w:r>
          </w:p>
        </w:tc>
        <w:tc>
          <w:tcPr>
            <w:tcW w:w="801" w:type="dxa"/>
            <w:tcBorders>
              <w:bottom w:val="single" w:sz="6" w:space="0" w:color="auto"/>
            </w:tcBorders>
          </w:tcPr>
          <w:p w14:paraId="6B69DCC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22.6</w:t>
            </w:r>
          </w:p>
        </w:tc>
      </w:tr>
      <w:tr w:rsidR="008D6F13" w14:paraId="66145542" w14:textId="77777777" w:rsidTr="0031078F">
        <w:tc>
          <w:tcPr>
            <w:cnfStyle w:val="001000000000" w:firstRow="0" w:lastRow="0" w:firstColumn="1" w:lastColumn="0" w:oddVBand="0" w:evenVBand="0" w:oddHBand="0" w:evenHBand="0" w:firstRowFirstColumn="0" w:firstRowLastColumn="0" w:lastRowFirstColumn="0" w:lastRowLastColumn="0"/>
            <w:tcW w:w="4519" w:type="dxa"/>
            <w:tcBorders>
              <w:top w:val="single" w:sz="6" w:space="0" w:color="auto"/>
            </w:tcBorders>
          </w:tcPr>
          <w:p w14:paraId="6A3ACBDE" w14:textId="77777777" w:rsidR="008D6F13" w:rsidRDefault="008D6F13" w:rsidP="0031078F">
            <w:r>
              <w:rPr>
                <w:b/>
              </w:rPr>
              <w:t>Net debt plus superannuation liability</w:t>
            </w:r>
          </w:p>
        </w:tc>
        <w:tc>
          <w:tcPr>
            <w:tcW w:w="797" w:type="dxa"/>
            <w:tcBorders>
              <w:top w:val="single" w:sz="6" w:space="0" w:color="auto"/>
            </w:tcBorders>
          </w:tcPr>
          <w:p w14:paraId="6CABEA0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149.9</w:t>
            </w:r>
          </w:p>
        </w:tc>
        <w:tc>
          <w:tcPr>
            <w:tcW w:w="797" w:type="dxa"/>
            <w:tcBorders>
              <w:top w:val="single" w:sz="6" w:space="0" w:color="auto"/>
            </w:tcBorders>
          </w:tcPr>
          <w:p w14:paraId="1A3CE07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169.0</w:t>
            </w:r>
          </w:p>
        </w:tc>
        <w:tc>
          <w:tcPr>
            <w:tcW w:w="797" w:type="dxa"/>
            <w:tcBorders>
              <w:top w:val="single" w:sz="6" w:space="0" w:color="auto"/>
            </w:tcBorders>
          </w:tcPr>
          <w:p w14:paraId="2C7CD0D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191.9</w:t>
            </w:r>
          </w:p>
        </w:tc>
        <w:tc>
          <w:tcPr>
            <w:tcW w:w="801" w:type="dxa"/>
            <w:tcBorders>
              <w:top w:val="single" w:sz="6" w:space="0" w:color="auto"/>
            </w:tcBorders>
          </w:tcPr>
          <w:p w14:paraId="4B6468C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213.5</w:t>
            </w:r>
          </w:p>
        </w:tc>
      </w:tr>
      <w:tr w:rsidR="008D6F13" w14:paraId="1A72BFEF" w14:textId="77777777" w:rsidTr="0031078F">
        <w:tc>
          <w:tcPr>
            <w:cnfStyle w:val="001000000000" w:firstRow="0" w:lastRow="0" w:firstColumn="1" w:lastColumn="0" w:oddVBand="0" w:evenVBand="0" w:oddHBand="0" w:evenHBand="0" w:firstRowFirstColumn="0" w:firstRowLastColumn="0" w:lastRowFirstColumn="0" w:lastRowLastColumn="0"/>
            <w:tcW w:w="4519" w:type="dxa"/>
            <w:tcBorders>
              <w:bottom w:val="single" w:sz="6" w:space="0" w:color="auto"/>
            </w:tcBorders>
          </w:tcPr>
          <w:p w14:paraId="3517C34F" w14:textId="77777777" w:rsidR="008D6F13" w:rsidRDefault="008D6F13" w:rsidP="0031078F">
            <w:r>
              <w:t xml:space="preserve">Other liabilities (net) </w:t>
            </w:r>
            <w:r>
              <w:rPr>
                <w:vertAlign w:val="superscript"/>
              </w:rPr>
              <w:t>(c)</w:t>
            </w:r>
          </w:p>
        </w:tc>
        <w:tc>
          <w:tcPr>
            <w:tcW w:w="797" w:type="dxa"/>
            <w:tcBorders>
              <w:bottom w:val="single" w:sz="6" w:space="0" w:color="auto"/>
            </w:tcBorders>
          </w:tcPr>
          <w:p w14:paraId="6BAC6A9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29.5</w:t>
            </w:r>
          </w:p>
        </w:tc>
        <w:tc>
          <w:tcPr>
            <w:tcW w:w="797" w:type="dxa"/>
            <w:tcBorders>
              <w:bottom w:val="single" w:sz="6" w:space="0" w:color="auto"/>
            </w:tcBorders>
          </w:tcPr>
          <w:p w14:paraId="5082FCB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33.0</w:t>
            </w:r>
          </w:p>
        </w:tc>
        <w:tc>
          <w:tcPr>
            <w:tcW w:w="797" w:type="dxa"/>
            <w:tcBorders>
              <w:bottom w:val="single" w:sz="6" w:space="0" w:color="auto"/>
            </w:tcBorders>
          </w:tcPr>
          <w:p w14:paraId="4C26306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33.1</w:t>
            </w:r>
          </w:p>
        </w:tc>
        <w:tc>
          <w:tcPr>
            <w:tcW w:w="801" w:type="dxa"/>
            <w:tcBorders>
              <w:bottom w:val="single" w:sz="6" w:space="0" w:color="auto"/>
            </w:tcBorders>
          </w:tcPr>
          <w:p w14:paraId="701CC30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32.6</w:t>
            </w:r>
          </w:p>
        </w:tc>
      </w:tr>
      <w:tr w:rsidR="008D6F13" w14:paraId="17F8EEFA" w14:textId="77777777" w:rsidTr="0031078F">
        <w:tc>
          <w:tcPr>
            <w:cnfStyle w:val="001000000000" w:firstRow="0" w:lastRow="0" w:firstColumn="1" w:lastColumn="0" w:oddVBand="0" w:evenVBand="0" w:oddHBand="0" w:evenHBand="0" w:firstRowFirstColumn="0" w:firstRowLastColumn="0" w:lastRowFirstColumn="0" w:lastRowLastColumn="0"/>
            <w:tcW w:w="4519" w:type="dxa"/>
            <w:tcBorders>
              <w:top w:val="single" w:sz="6" w:space="0" w:color="auto"/>
              <w:bottom w:val="single" w:sz="6" w:space="0" w:color="auto"/>
            </w:tcBorders>
          </w:tcPr>
          <w:p w14:paraId="3F39E5F4" w14:textId="77777777" w:rsidR="008D6F13" w:rsidRDefault="008D6F13" w:rsidP="0031078F">
            <w:r>
              <w:rPr>
                <w:b/>
              </w:rPr>
              <w:t xml:space="preserve">Net financial liabilities </w:t>
            </w:r>
            <w:r>
              <w:rPr>
                <w:b/>
                <w:vertAlign w:val="superscript"/>
              </w:rPr>
              <w:t>(d)</w:t>
            </w:r>
          </w:p>
        </w:tc>
        <w:tc>
          <w:tcPr>
            <w:tcW w:w="797" w:type="dxa"/>
            <w:tcBorders>
              <w:top w:val="single" w:sz="6" w:space="0" w:color="auto"/>
              <w:bottom w:val="single" w:sz="6" w:space="0" w:color="auto"/>
            </w:tcBorders>
          </w:tcPr>
          <w:p w14:paraId="2B3788F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179.5</w:t>
            </w:r>
          </w:p>
        </w:tc>
        <w:tc>
          <w:tcPr>
            <w:tcW w:w="797" w:type="dxa"/>
            <w:tcBorders>
              <w:top w:val="single" w:sz="6" w:space="0" w:color="auto"/>
              <w:bottom w:val="single" w:sz="6" w:space="0" w:color="auto"/>
            </w:tcBorders>
          </w:tcPr>
          <w:p w14:paraId="0C8E8F4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201.9</w:t>
            </w:r>
          </w:p>
        </w:tc>
        <w:tc>
          <w:tcPr>
            <w:tcW w:w="797" w:type="dxa"/>
            <w:tcBorders>
              <w:top w:val="single" w:sz="6" w:space="0" w:color="auto"/>
              <w:bottom w:val="single" w:sz="6" w:space="0" w:color="auto"/>
            </w:tcBorders>
          </w:tcPr>
          <w:p w14:paraId="541C447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225.0</w:t>
            </w:r>
          </w:p>
        </w:tc>
        <w:tc>
          <w:tcPr>
            <w:tcW w:w="801" w:type="dxa"/>
            <w:tcBorders>
              <w:top w:val="single" w:sz="6" w:space="0" w:color="auto"/>
              <w:bottom w:val="single" w:sz="6" w:space="0" w:color="auto"/>
            </w:tcBorders>
          </w:tcPr>
          <w:p w14:paraId="5B7AFAE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246.1</w:t>
            </w:r>
          </w:p>
        </w:tc>
      </w:tr>
      <w:tr w:rsidR="008D6F13" w:rsidRPr="007043F3" w14:paraId="78549CB7" w14:textId="77777777" w:rsidTr="0031078F">
        <w:tc>
          <w:tcPr>
            <w:cnfStyle w:val="001000000000" w:firstRow="0" w:lastRow="0" w:firstColumn="1" w:lastColumn="0" w:oddVBand="0" w:evenVBand="0" w:oddHBand="0" w:evenHBand="0" w:firstRowFirstColumn="0" w:firstRowLastColumn="0" w:lastRowFirstColumn="0" w:lastRowLastColumn="0"/>
            <w:tcW w:w="4519" w:type="dxa"/>
            <w:tcBorders>
              <w:top w:val="single" w:sz="6" w:space="0" w:color="auto"/>
            </w:tcBorders>
          </w:tcPr>
          <w:p w14:paraId="43F4ABFC" w14:textId="77777777" w:rsidR="008D6F13" w:rsidRPr="007043F3" w:rsidRDefault="008D6F13" w:rsidP="0031078F">
            <w:pPr>
              <w:pStyle w:val="TableHeading"/>
            </w:pPr>
          </w:p>
        </w:tc>
        <w:tc>
          <w:tcPr>
            <w:tcW w:w="797" w:type="dxa"/>
            <w:tcBorders>
              <w:top w:val="single" w:sz="6" w:space="0" w:color="auto"/>
            </w:tcBorders>
          </w:tcPr>
          <w:p w14:paraId="1C76C11C" w14:textId="77777777" w:rsidR="008D6F13" w:rsidRPr="007043F3" w:rsidRDefault="008D6F13" w:rsidP="0031078F">
            <w:pPr>
              <w:pStyle w:val="TableHeading"/>
              <w:cnfStyle w:val="000000000000" w:firstRow="0" w:lastRow="0" w:firstColumn="0" w:lastColumn="0" w:oddVBand="0" w:evenVBand="0" w:oddHBand="0" w:evenHBand="0" w:firstRowFirstColumn="0" w:firstRowLastColumn="0" w:lastRowFirstColumn="0" w:lastRowLastColumn="0"/>
            </w:pPr>
          </w:p>
        </w:tc>
        <w:tc>
          <w:tcPr>
            <w:tcW w:w="2395" w:type="dxa"/>
            <w:gridSpan w:val="3"/>
            <w:tcBorders>
              <w:top w:val="single" w:sz="6" w:space="0" w:color="auto"/>
            </w:tcBorders>
          </w:tcPr>
          <w:p w14:paraId="12DB0B7E" w14:textId="77777777" w:rsidR="008D6F13" w:rsidRPr="007043F3" w:rsidRDefault="008D6F13" w:rsidP="0031078F">
            <w:pPr>
              <w:pStyle w:val="TableHeading"/>
              <w:cnfStyle w:val="000000000000" w:firstRow="0" w:lastRow="0" w:firstColumn="0" w:lastColumn="0" w:oddVBand="0" w:evenVBand="0" w:oddHBand="0" w:evenHBand="0" w:firstRowFirstColumn="0" w:firstRowLastColumn="0" w:lastRowFirstColumn="0" w:lastRowLastColumn="0"/>
            </w:pPr>
            <w:r w:rsidRPr="007043F3">
              <w:t>(per cent)</w:t>
            </w:r>
          </w:p>
        </w:tc>
      </w:tr>
      <w:tr w:rsidR="008D6F13" w14:paraId="04932B52" w14:textId="77777777" w:rsidTr="0031078F">
        <w:tc>
          <w:tcPr>
            <w:cnfStyle w:val="001000000000" w:firstRow="0" w:lastRow="0" w:firstColumn="1" w:lastColumn="0" w:oddVBand="0" w:evenVBand="0" w:oddHBand="0" w:evenHBand="0" w:firstRowFirstColumn="0" w:firstRowLastColumn="0" w:lastRowFirstColumn="0" w:lastRowLastColumn="0"/>
            <w:tcW w:w="4519" w:type="dxa"/>
          </w:tcPr>
          <w:p w14:paraId="610CFE4E" w14:textId="77777777" w:rsidR="008D6F13" w:rsidRDefault="008D6F13" w:rsidP="0031078F">
            <w:r>
              <w:t xml:space="preserve">Net debt to GSP </w:t>
            </w:r>
            <w:r>
              <w:rPr>
                <w:vertAlign w:val="superscript"/>
              </w:rPr>
              <w:t>(e)</w:t>
            </w:r>
          </w:p>
        </w:tc>
        <w:tc>
          <w:tcPr>
            <w:tcW w:w="797" w:type="dxa"/>
          </w:tcPr>
          <w:p w14:paraId="4A84F0D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25.1</w:t>
            </w:r>
          </w:p>
        </w:tc>
        <w:tc>
          <w:tcPr>
            <w:tcW w:w="797" w:type="dxa"/>
          </w:tcPr>
          <w:p w14:paraId="691867A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27.4</w:t>
            </w:r>
          </w:p>
        </w:tc>
        <w:tc>
          <w:tcPr>
            <w:tcW w:w="797" w:type="dxa"/>
          </w:tcPr>
          <w:p w14:paraId="684C918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30.4</w:t>
            </w:r>
          </w:p>
        </w:tc>
        <w:tc>
          <w:tcPr>
            <w:tcW w:w="801" w:type="dxa"/>
          </w:tcPr>
          <w:p w14:paraId="5C780CE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32.8</w:t>
            </w:r>
          </w:p>
        </w:tc>
      </w:tr>
      <w:tr w:rsidR="008D6F13" w14:paraId="07E2FAFA" w14:textId="77777777" w:rsidTr="0031078F">
        <w:tc>
          <w:tcPr>
            <w:cnfStyle w:val="001000000000" w:firstRow="0" w:lastRow="0" w:firstColumn="1" w:lastColumn="0" w:oddVBand="0" w:evenVBand="0" w:oddHBand="0" w:evenHBand="0" w:firstRowFirstColumn="0" w:firstRowLastColumn="0" w:lastRowFirstColumn="0" w:lastRowLastColumn="0"/>
            <w:tcW w:w="4519" w:type="dxa"/>
          </w:tcPr>
          <w:p w14:paraId="1CF1ADE0" w14:textId="77777777" w:rsidR="008D6F13" w:rsidRDefault="008D6F13" w:rsidP="0031078F">
            <w:r>
              <w:t xml:space="preserve">Net debt plus superannuation liability to GSP </w:t>
            </w:r>
            <w:r>
              <w:rPr>
                <w:vertAlign w:val="superscript"/>
              </w:rPr>
              <w:t>(e)</w:t>
            </w:r>
          </w:p>
        </w:tc>
        <w:tc>
          <w:tcPr>
            <w:tcW w:w="797" w:type="dxa"/>
          </w:tcPr>
          <w:p w14:paraId="7EA82FF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30.3</w:t>
            </w:r>
          </w:p>
        </w:tc>
        <w:tc>
          <w:tcPr>
            <w:tcW w:w="797" w:type="dxa"/>
          </w:tcPr>
          <w:p w14:paraId="1545A69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32.1</w:t>
            </w:r>
          </w:p>
        </w:tc>
        <w:tc>
          <w:tcPr>
            <w:tcW w:w="797" w:type="dxa"/>
          </w:tcPr>
          <w:p w14:paraId="2C14089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34.7</w:t>
            </w:r>
          </w:p>
        </w:tc>
        <w:tc>
          <w:tcPr>
            <w:tcW w:w="801" w:type="dxa"/>
          </w:tcPr>
          <w:p w14:paraId="1799F1E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36.7</w:t>
            </w:r>
          </w:p>
        </w:tc>
      </w:tr>
      <w:tr w:rsidR="008D6F13" w14:paraId="01E79ABE" w14:textId="77777777" w:rsidTr="0031078F">
        <w:tc>
          <w:tcPr>
            <w:cnfStyle w:val="001000000000" w:firstRow="0" w:lastRow="0" w:firstColumn="1" w:lastColumn="0" w:oddVBand="0" w:evenVBand="0" w:oddHBand="0" w:evenHBand="0" w:firstRowFirstColumn="0" w:firstRowLastColumn="0" w:lastRowFirstColumn="0" w:lastRowLastColumn="0"/>
            <w:tcW w:w="4519" w:type="dxa"/>
          </w:tcPr>
          <w:p w14:paraId="29C2EF2F" w14:textId="77777777" w:rsidR="008D6F13" w:rsidRDefault="008D6F13" w:rsidP="0031078F">
            <w:r>
              <w:t xml:space="preserve">Net financial liabilities to GSP </w:t>
            </w:r>
            <w:r>
              <w:rPr>
                <w:vertAlign w:val="superscript"/>
              </w:rPr>
              <w:t>(e)</w:t>
            </w:r>
          </w:p>
        </w:tc>
        <w:tc>
          <w:tcPr>
            <w:tcW w:w="797" w:type="dxa"/>
          </w:tcPr>
          <w:p w14:paraId="365EB7E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36.3</w:t>
            </w:r>
          </w:p>
        </w:tc>
        <w:tc>
          <w:tcPr>
            <w:tcW w:w="797" w:type="dxa"/>
          </w:tcPr>
          <w:p w14:paraId="6AC25DA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38.4</w:t>
            </w:r>
          </w:p>
        </w:tc>
        <w:tc>
          <w:tcPr>
            <w:tcW w:w="797" w:type="dxa"/>
          </w:tcPr>
          <w:p w14:paraId="3D90B59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40.7</w:t>
            </w:r>
          </w:p>
        </w:tc>
        <w:tc>
          <w:tcPr>
            <w:tcW w:w="801" w:type="dxa"/>
          </w:tcPr>
          <w:p w14:paraId="7393A32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42.2</w:t>
            </w:r>
          </w:p>
        </w:tc>
      </w:tr>
      <w:tr w:rsidR="008D6F13" w14:paraId="47EA48F8" w14:textId="77777777" w:rsidTr="0031078F">
        <w:tc>
          <w:tcPr>
            <w:cnfStyle w:val="001000000000" w:firstRow="0" w:lastRow="0" w:firstColumn="1" w:lastColumn="0" w:oddVBand="0" w:evenVBand="0" w:oddHBand="0" w:evenHBand="0" w:firstRowFirstColumn="0" w:firstRowLastColumn="0" w:lastRowFirstColumn="0" w:lastRowLastColumn="0"/>
            <w:tcW w:w="4519" w:type="dxa"/>
          </w:tcPr>
          <w:p w14:paraId="2D2810B7" w14:textId="77777777" w:rsidR="008D6F13" w:rsidRDefault="008D6F13" w:rsidP="0031078F">
            <w:r>
              <w:t xml:space="preserve">Net debt plus superannuation liability to revenue </w:t>
            </w:r>
            <w:r>
              <w:rPr>
                <w:vertAlign w:val="superscript"/>
              </w:rPr>
              <w:t>(f)</w:t>
            </w:r>
          </w:p>
        </w:tc>
        <w:tc>
          <w:tcPr>
            <w:tcW w:w="797" w:type="dxa"/>
          </w:tcPr>
          <w:p w14:paraId="7515FDF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179.4</w:t>
            </w:r>
          </w:p>
        </w:tc>
        <w:tc>
          <w:tcPr>
            <w:tcW w:w="797" w:type="dxa"/>
          </w:tcPr>
          <w:p w14:paraId="67BCFA7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196.5</w:t>
            </w:r>
          </w:p>
        </w:tc>
        <w:tc>
          <w:tcPr>
            <w:tcW w:w="797" w:type="dxa"/>
          </w:tcPr>
          <w:p w14:paraId="57E2A71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217.3</w:t>
            </w:r>
          </w:p>
        </w:tc>
        <w:tc>
          <w:tcPr>
            <w:tcW w:w="801" w:type="dxa"/>
          </w:tcPr>
          <w:p w14:paraId="2D30E5BD" w14:textId="3CB62BD4" w:rsidR="008D6F13" w:rsidRDefault="008D6F13" w:rsidP="0031078F">
            <w:pPr>
              <w:cnfStyle w:val="000000000000" w:firstRow="0" w:lastRow="0" w:firstColumn="0" w:lastColumn="0" w:oddVBand="0" w:evenVBand="0" w:oddHBand="0" w:evenHBand="0" w:firstRowFirstColumn="0" w:firstRowLastColumn="0" w:lastRowFirstColumn="0" w:lastRowLastColumn="0"/>
            </w:pPr>
            <w:r>
              <w:t>233.1</w:t>
            </w:r>
          </w:p>
        </w:tc>
      </w:tr>
    </w:tbl>
    <w:p w14:paraId="01FE2C9C" w14:textId="77777777" w:rsidR="008D6F13" w:rsidRDefault="008D6F13" w:rsidP="008D6F13">
      <w:pPr>
        <w:pStyle w:val="Note"/>
      </w:pPr>
      <w:r>
        <w:t>Notes:</w:t>
      </w:r>
    </w:p>
    <w:p w14:paraId="0F022056" w14:textId="77777777" w:rsidR="008D6F13" w:rsidRDefault="008D6F13" w:rsidP="008D6F13">
      <w:pPr>
        <w:pStyle w:val="Note"/>
      </w:pPr>
      <w:r>
        <w:t>(a)</w:t>
      </w:r>
      <w:r>
        <w:tab/>
      </w:r>
      <w:r w:rsidRPr="00C114BD">
        <w:t>Figures in this table are subject to rounding to the nearest million and may not add up to totals.</w:t>
      </w:r>
    </w:p>
    <w:p w14:paraId="5F9F378B" w14:textId="77777777" w:rsidR="008D6F13" w:rsidRDefault="008D6F13" w:rsidP="008D6F13">
      <w:pPr>
        <w:pStyle w:val="Note"/>
      </w:pPr>
      <w:r>
        <w:t>(b)</w:t>
      </w:r>
      <w:r>
        <w:tab/>
        <w:t xml:space="preserve">Net debt is the sum of borrowings, deposits </w:t>
      </w:r>
      <w:proofErr w:type="gramStart"/>
      <w:r>
        <w:t>held</w:t>
      </w:r>
      <w:proofErr w:type="gramEnd"/>
      <w:r>
        <w:t xml:space="preserve"> and advances received less the sum of cash and deposits, advances paid, and investments, loans and placements.</w:t>
      </w:r>
    </w:p>
    <w:p w14:paraId="7A22B818" w14:textId="77777777" w:rsidR="008D6F13" w:rsidRDefault="008D6F13" w:rsidP="008D6F13">
      <w:pPr>
        <w:pStyle w:val="Note"/>
      </w:pPr>
      <w:r>
        <w:t>(c)</w:t>
      </w:r>
      <w:r>
        <w:tab/>
        <w:t>Other liabilities include other employee entitlements and provisions and other non</w:t>
      </w:r>
      <w:r>
        <w:noBreakHyphen/>
        <w:t>equity liabilities, less other non</w:t>
      </w:r>
      <w:r>
        <w:noBreakHyphen/>
        <w:t>equity financial assets.</w:t>
      </w:r>
    </w:p>
    <w:p w14:paraId="20FD6070" w14:textId="77777777" w:rsidR="008D6F13" w:rsidRDefault="008D6F13" w:rsidP="008D6F13">
      <w:pPr>
        <w:pStyle w:val="Note"/>
      </w:pPr>
      <w:r>
        <w:t>(d)</w:t>
      </w:r>
      <w:r>
        <w:tab/>
        <w:t xml:space="preserve">Net financial liabilities </w:t>
      </w:r>
      <w:proofErr w:type="gramStart"/>
      <w:r>
        <w:t>is</w:t>
      </w:r>
      <w:proofErr w:type="gramEnd"/>
      <w:r>
        <w:t xml:space="preserve"> total liabilities less financial assets (excluding investments in other sector entities).</w:t>
      </w:r>
    </w:p>
    <w:p w14:paraId="33697BEF" w14:textId="77777777" w:rsidR="008D6F13" w:rsidRDefault="008D6F13" w:rsidP="008D6F13">
      <w:pPr>
        <w:pStyle w:val="Note"/>
      </w:pPr>
      <w:r>
        <w:t>(e)</w:t>
      </w:r>
      <w:r>
        <w:tab/>
        <w:t>The ratios to GSP may vary over time due to revisions to the Australian Bureau of Statistics GSP data.</w:t>
      </w:r>
    </w:p>
    <w:p w14:paraId="70C45218" w14:textId="77777777" w:rsidR="008D6F13" w:rsidRDefault="008D6F13" w:rsidP="008D6F13">
      <w:pPr>
        <w:pStyle w:val="Note"/>
      </w:pPr>
      <w:r>
        <w:t>(f)</w:t>
      </w:r>
      <w:r>
        <w:tab/>
        <w:t>The sum of NFPS net debt (excluding advances paid) plus the superannuation liability as a proportion of NFPS total operating revenue.</w:t>
      </w:r>
    </w:p>
    <w:p w14:paraId="368E4D7E" w14:textId="77777777" w:rsidR="008D6F13" w:rsidRDefault="008D6F13" w:rsidP="008D6F13">
      <w:r w:rsidRPr="005F40F1">
        <w:t>NFPS net debt is projected to increase to $</w:t>
      </w:r>
      <w:r>
        <w:t>190.9</w:t>
      </w:r>
      <w:r w:rsidRPr="005F40F1">
        <w:t xml:space="preserve"> billion by 2024-25 due to the ongoing investment in infrastructure projects over the budget and forward estimates. The NFPS net debt to GSP ratio is projected to increase from </w:t>
      </w:r>
      <w:r>
        <w:t>25.1</w:t>
      </w:r>
      <w:r w:rsidRPr="005F40F1">
        <w:t xml:space="preserve"> per cent in 2021</w:t>
      </w:r>
      <w:r w:rsidRPr="005F40F1">
        <w:noBreakHyphen/>
        <w:t xml:space="preserve">22 to </w:t>
      </w:r>
      <w:r>
        <w:t>32.8 </w:t>
      </w:r>
      <w:r w:rsidRPr="005F40F1">
        <w:t>per</w:t>
      </w:r>
      <w:r>
        <w:t> </w:t>
      </w:r>
      <w:r w:rsidRPr="005F40F1">
        <w:t>cent in 2024</w:t>
      </w:r>
      <w:r w:rsidRPr="005F40F1">
        <w:noBreakHyphen/>
        <w:t>25, predominantly driven by the general government sector.</w:t>
      </w:r>
    </w:p>
    <w:p w14:paraId="0C3FAE79" w14:textId="77777777" w:rsidR="008D6F13" w:rsidRDefault="008D6F13" w:rsidP="008D6F13">
      <w:pPr>
        <w:keepLines w:val="0"/>
      </w:pPr>
      <w:r>
        <w:br w:type="page"/>
      </w:r>
    </w:p>
    <w:p w14:paraId="02150751" w14:textId="77777777" w:rsidR="008D6F13" w:rsidRDefault="008D6F13" w:rsidP="008D6F13">
      <w:r>
        <w:lastRenderedPageBreak/>
        <w:t>Table 3.9 provides projections of several additional indicators of financial sustainability for the NFPS.</w:t>
      </w:r>
    </w:p>
    <w:p w14:paraId="7BC65A1B" w14:textId="77777777" w:rsidR="008D6F13" w:rsidRDefault="008D6F13" w:rsidP="008D6F13">
      <w:pPr>
        <w:pStyle w:val="TableHeading"/>
      </w:pPr>
      <w:r>
        <w:t>Table 3.9:</w:t>
      </w:r>
      <w:r>
        <w:tab/>
        <w:t>Indicators of financial sustainability of non-financial public sector</w:t>
      </w:r>
      <w:r>
        <w:tab/>
        <w:t>(per cent)</w:t>
      </w:r>
    </w:p>
    <w:tbl>
      <w:tblPr>
        <w:tblStyle w:val="DTFTableNumeric"/>
        <w:tblW w:w="7710" w:type="dxa"/>
        <w:tblLayout w:type="fixed"/>
        <w:tblLook w:val="06A0" w:firstRow="1" w:lastRow="0" w:firstColumn="1" w:lastColumn="0" w:noHBand="1" w:noVBand="1"/>
      </w:tblPr>
      <w:tblGrid>
        <w:gridCol w:w="4534"/>
        <w:gridCol w:w="794"/>
        <w:gridCol w:w="794"/>
        <w:gridCol w:w="794"/>
        <w:gridCol w:w="794"/>
      </w:tblGrid>
      <w:tr w:rsidR="008D6F13" w14:paraId="5BD93543"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037BBA0C" w14:textId="2A834D73" w:rsidR="008D6F13" w:rsidRDefault="008D6F13" w:rsidP="0031078F"/>
        </w:tc>
        <w:tc>
          <w:tcPr>
            <w:tcW w:w="794" w:type="dxa"/>
          </w:tcPr>
          <w:p w14:paraId="3C9D08B2"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6F636030"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rPr>
                <w:i w:val="0"/>
              </w:rPr>
              <w:br/>
            </w:r>
            <w:r>
              <w:t>estimate</w:t>
            </w:r>
          </w:p>
        </w:tc>
        <w:tc>
          <w:tcPr>
            <w:tcW w:w="794" w:type="dxa"/>
          </w:tcPr>
          <w:p w14:paraId="526E153C"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rPr>
                <w:i w:val="0"/>
              </w:rPr>
              <w:br/>
            </w:r>
            <w:r>
              <w:t>estimate</w:t>
            </w:r>
          </w:p>
        </w:tc>
        <w:tc>
          <w:tcPr>
            <w:tcW w:w="794" w:type="dxa"/>
          </w:tcPr>
          <w:p w14:paraId="64318C1E"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rPr>
                <w:i w:val="0"/>
              </w:rPr>
              <w:br/>
            </w:r>
            <w:r>
              <w:t>estimate</w:t>
            </w:r>
          </w:p>
        </w:tc>
      </w:tr>
      <w:tr w:rsidR="008D6F13" w14:paraId="7EA4FFC8"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36DD276D" w14:textId="77777777" w:rsidR="008D6F13" w:rsidRDefault="008D6F13" w:rsidP="0031078F">
            <w:r>
              <w:t>Operating cash flow surplus / (deficit) to revenue</w:t>
            </w:r>
          </w:p>
        </w:tc>
        <w:tc>
          <w:tcPr>
            <w:tcW w:w="794" w:type="dxa"/>
          </w:tcPr>
          <w:p w14:paraId="5D3E638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(16.9)</w:t>
            </w:r>
          </w:p>
        </w:tc>
        <w:tc>
          <w:tcPr>
            <w:tcW w:w="794" w:type="dxa"/>
          </w:tcPr>
          <w:p w14:paraId="3D7C1CB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4.6</w:t>
            </w:r>
          </w:p>
        </w:tc>
        <w:tc>
          <w:tcPr>
            <w:tcW w:w="794" w:type="dxa"/>
          </w:tcPr>
          <w:p w14:paraId="5D664B9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w:t>
            </w:r>
          </w:p>
        </w:tc>
        <w:tc>
          <w:tcPr>
            <w:tcW w:w="794" w:type="dxa"/>
          </w:tcPr>
          <w:p w14:paraId="386E685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4.5</w:t>
            </w:r>
          </w:p>
        </w:tc>
      </w:tr>
      <w:tr w:rsidR="008D6F13" w14:paraId="1B749BE4"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1AF58E60" w14:textId="77777777" w:rsidR="008D6F13" w:rsidRDefault="008D6F13" w:rsidP="0031078F">
            <w:r>
              <w:t xml:space="preserve">Gross debt to revenue </w:t>
            </w:r>
            <w:r>
              <w:rPr>
                <w:vertAlign w:val="superscript"/>
              </w:rPr>
              <w:t>(a)</w:t>
            </w:r>
          </w:p>
        </w:tc>
        <w:tc>
          <w:tcPr>
            <w:tcW w:w="794" w:type="dxa"/>
          </w:tcPr>
          <w:p w14:paraId="5963AFF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173.0</w:t>
            </w:r>
          </w:p>
        </w:tc>
        <w:tc>
          <w:tcPr>
            <w:tcW w:w="794" w:type="dxa"/>
          </w:tcPr>
          <w:p w14:paraId="6061C42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191.5</w:t>
            </w:r>
          </w:p>
        </w:tc>
        <w:tc>
          <w:tcPr>
            <w:tcW w:w="794" w:type="dxa"/>
          </w:tcPr>
          <w:p w14:paraId="21AF2C4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214.2</w:t>
            </w:r>
          </w:p>
        </w:tc>
        <w:tc>
          <w:tcPr>
            <w:tcW w:w="794" w:type="dxa"/>
          </w:tcPr>
          <w:p w14:paraId="5842F31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231.9</w:t>
            </w:r>
          </w:p>
        </w:tc>
      </w:tr>
      <w:tr w:rsidR="008D6F13" w14:paraId="282F1A0C"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638D27D5" w14:textId="77777777" w:rsidR="008D6F13" w:rsidRDefault="008D6F13" w:rsidP="0031078F">
            <w:r>
              <w:t>Interest expense to revenue</w:t>
            </w:r>
          </w:p>
        </w:tc>
        <w:tc>
          <w:tcPr>
            <w:tcW w:w="794" w:type="dxa"/>
          </w:tcPr>
          <w:p w14:paraId="393E047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4.3</w:t>
            </w:r>
          </w:p>
        </w:tc>
        <w:tc>
          <w:tcPr>
            <w:tcW w:w="794" w:type="dxa"/>
          </w:tcPr>
          <w:p w14:paraId="1B3D831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4.9</w:t>
            </w:r>
          </w:p>
        </w:tc>
        <w:tc>
          <w:tcPr>
            <w:tcW w:w="794" w:type="dxa"/>
          </w:tcPr>
          <w:p w14:paraId="21DB2F5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5.5</w:t>
            </w:r>
          </w:p>
        </w:tc>
        <w:tc>
          <w:tcPr>
            <w:tcW w:w="794" w:type="dxa"/>
          </w:tcPr>
          <w:p w14:paraId="70B34370" w14:textId="16C54F63" w:rsidR="008D6F13" w:rsidRDefault="008D6F13" w:rsidP="0031078F">
            <w:pPr>
              <w:cnfStyle w:val="000000000000" w:firstRow="0" w:lastRow="0" w:firstColumn="0" w:lastColumn="0" w:oddVBand="0" w:evenVBand="0" w:oddHBand="0" w:evenHBand="0" w:firstRowFirstColumn="0" w:firstRowLastColumn="0" w:lastRowFirstColumn="0" w:lastRowLastColumn="0"/>
            </w:pPr>
            <w:r>
              <w:t>6.1</w:t>
            </w:r>
          </w:p>
        </w:tc>
      </w:tr>
    </w:tbl>
    <w:p w14:paraId="320709AA" w14:textId="77777777" w:rsidR="008D6F13" w:rsidRDefault="008D6F13" w:rsidP="008D6F13">
      <w:pPr>
        <w:pStyle w:val="Note"/>
      </w:pPr>
      <w:r>
        <w:t>Note:</w:t>
      </w:r>
    </w:p>
    <w:p w14:paraId="530A874A" w14:textId="77777777" w:rsidR="008D6F13" w:rsidRDefault="008D6F13" w:rsidP="008D6F13">
      <w:pPr>
        <w:pStyle w:val="Note"/>
      </w:pPr>
      <w:r>
        <w:t>(a)</w:t>
      </w:r>
      <w:r>
        <w:tab/>
        <w:t>Gross debt includes borrowings, deposits held, and advances received.</w:t>
      </w:r>
    </w:p>
    <w:p w14:paraId="55F4F521" w14:textId="77777777" w:rsidR="008D6F13" w:rsidRPr="005F40F1" w:rsidRDefault="008D6F13" w:rsidP="008D6F13">
      <w:r>
        <w:t xml:space="preserve">The operating cash flow surplus to revenue ratio indicates the proportion of cash generated from operations that can be used to fund infrastructure. </w:t>
      </w:r>
      <w:r w:rsidRPr="00FA6525">
        <w:t>Due to successive increases in the operating cash flow surplus over the budget and forward estimates,</w:t>
      </w:r>
      <w:r>
        <w:t xml:space="preserve"> this ratio improves </w:t>
      </w:r>
      <w:r w:rsidRPr="005F40F1">
        <w:t xml:space="preserve">significantly to positive </w:t>
      </w:r>
      <w:r>
        <w:t>4</w:t>
      </w:r>
      <w:r w:rsidRPr="005F40F1">
        <w:t xml:space="preserve"> per cent by 2024-25. This improvement reflects a re-alignment of revenue and expenditure as the economic recovery increases revenue, the tapering of targeted, short-term expenditure that supported Victorians during public health restrictions, and the implementation of savings and efficiencies to improve the effectiveness of departmental spending.</w:t>
      </w:r>
    </w:p>
    <w:p w14:paraId="316CC543" w14:textId="77777777" w:rsidR="008D6F13" w:rsidRDefault="008D6F13" w:rsidP="008D6F13">
      <w:r w:rsidRPr="005F40F1">
        <w:t xml:space="preserve">The ratio of NFPS interest expense to revenue is a measure of the State’s debt service burden. This ratio is expected to average </w:t>
      </w:r>
      <w:r>
        <w:t>5</w:t>
      </w:r>
      <w:r w:rsidRPr="005F40F1">
        <w:t xml:space="preserve"> per cent over the budget and forward estimates. This ratio rises over the forward estimates as debt is increasing at a faster rate than revenue. The overall debt burden is evidenced by the ratio of gross debt to revenue, which is estimated to be </w:t>
      </w:r>
      <w:r>
        <w:t>173</w:t>
      </w:r>
      <w:r w:rsidRPr="005F40F1">
        <w:t xml:space="preserve"> per cent in 2021</w:t>
      </w:r>
      <w:r w:rsidRPr="005F40F1">
        <w:noBreakHyphen/>
        <w:t xml:space="preserve">22, increasing to </w:t>
      </w:r>
      <w:r>
        <w:t>232</w:t>
      </w:r>
      <w:r w:rsidRPr="005F40F1">
        <w:t xml:space="preserve"> per cent by 2024</w:t>
      </w:r>
      <w:r w:rsidRPr="005F40F1">
        <w:noBreakHyphen/>
        <w:t>25.</w:t>
      </w:r>
      <w:r>
        <w:t xml:space="preserve"> </w:t>
      </w:r>
    </w:p>
    <w:p w14:paraId="34D85FC0" w14:textId="77777777" w:rsidR="008D6F13" w:rsidRPr="006B41DB" w:rsidRDefault="008D6F13" w:rsidP="006B41DB">
      <w:r w:rsidRPr="006B41DB">
        <w:br w:type="page"/>
      </w:r>
    </w:p>
    <w:p w14:paraId="6BDE1C5E" w14:textId="77777777" w:rsidR="008D6F13" w:rsidRDefault="008D6F13" w:rsidP="008D6F13">
      <w:pPr>
        <w:pStyle w:val="Heading10"/>
      </w:pPr>
      <w:bookmarkStart w:id="63" w:name="_Toc89423586"/>
      <w:r>
        <w:lastRenderedPageBreak/>
        <w:t>State of Victoria</w:t>
      </w:r>
      <w:bookmarkEnd w:id="63"/>
    </w:p>
    <w:p w14:paraId="42F33743" w14:textId="77777777" w:rsidR="008D6F13" w:rsidRDefault="008D6F13" w:rsidP="008D6F13">
      <w:r>
        <w:t xml:space="preserve">The State of Victoria financial results are obtained by consolidating the public financial corporations (PFC) sector with the NFPS. There are two broad types of PFCs: those that provide services to the </w:t>
      </w:r>
      <w:proofErr w:type="gramStart"/>
      <w:r>
        <w:t>general public</w:t>
      </w:r>
      <w:proofErr w:type="gramEnd"/>
      <w:r>
        <w:t xml:space="preserve"> and businesses (statutory insurers such as the Transport Accident Commission and WorkSafe Victoria) and those that predominantly provide financial services to other government entities (such as the Victorian Managed Insurance Authority, Victorian Funds Management Corporation and the Treasury Corporation of Victoria).</w:t>
      </w:r>
    </w:p>
    <w:p w14:paraId="079BDB96" w14:textId="77777777" w:rsidR="008D6F13" w:rsidRDefault="008D6F13" w:rsidP="0031078F">
      <w:pPr>
        <w:pStyle w:val="TableHeading"/>
        <w:spacing w:before="120"/>
      </w:pPr>
      <w:r>
        <w:t xml:space="preserve">Table 3.10: </w:t>
      </w:r>
      <w:r>
        <w:tab/>
        <w:t xml:space="preserve">Summary operating statement of the State of Victoria </w:t>
      </w:r>
      <w:r w:rsidRPr="005E6479">
        <w:rPr>
          <w:vertAlign w:val="superscript"/>
        </w:rPr>
        <w:t>(a)</w:t>
      </w:r>
      <w:r>
        <w:tab/>
        <w:t>($ million)</w:t>
      </w:r>
    </w:p>
    <w:tbl>
      <w:tblPr>
        <w:tblStyle w:val="DTFTableNumeric"/>
        <w:tblW w:w="7710" w:type="dxa"/>
        <w:tblLayout w:type="fixed"/>
        <w:tblLook w:val="06A0" w:firstRow="1" w:lastRow="0" w:firstColumn="1" w:lastColumn="0" w:noHBand="1" w:noVBand="1"/>
      </w:tblPr>
      <w:tblGrid>
        <w:gridCol w:w="4534"/>
        <w:gridCol w:w="794"/>
        <w:gridCol w:w="794"/>
        <w:gridCol w:w="794"/>
        <w:gridCol w:w="794"/>
      </w:tblGrid>
      <w:tr w:rsidR="008D6F13" w14:paraId="359D1A7A"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0143BF98" w14:textId="620916B6" w:rsidR="008D6F13" w:rsidRDefault="008D6F13" w:rsidP="0031078F">
            <w:pPr>
              <w:spacing w:after="0"/>
            </w:pPr>
          </w:p>
        </w:tc>
        <w:tc>
          <w:tcPr>
            <w:tcW w:w="794" w:type="dxa"/>
          </w:tcPr>
          <w:p w14:paraId="1F19E33E" w14:textId="77777777" w:rsidR="008D6F13" w:rsidRDefault="008D6F13" w:rsidP="0031078F">
            <w:pPr>
              <w:spacing w:after="0"/>
              <w:cnfStyle w:val="100000000000" w:firstRow="1" w:lastRow="0" w:firstColumn="0" w:lastColumn="0" w:oddVBand="0" w:evenVBand="0" w:oddHBand="0" w:evenHBand="0" w:firstRowFirstColumn="0" w:firstRowLastColumn="0" w:lastRowFirstColumn="0" w:lastRowLastColumn="0"/>
            </w:pPr>
            <w:r>
              <w:t>2021</w:t>
            </w:r>
            <w:r>
              <w:noBreakHyphen/>
              <w:t>22</w:t>
            </w:r>
            <w:r>
              <w:rPr>
                <w:i w:val="0"/>
              </w:rPr>
              <w:br/>
            </w:r>
            <w:r>
              <w:t>revised</w:t>
            </w:r>
          </w:p>
        </w:tc>
        <w:tc>
          <w:tcPr>
            <w:tcW w:w="794" w:type="dxa"/>
          </w:tcPr>
          <w:p w14:paraId="3F2F7DC4" w14:textId="77777777" w:rsidR="008D6F13" w:rsidRDefault="008D6F13" w:rsidP="0031078F">
            <w:pPr>
              <w:spacing w:after="0"/>
              <w:cnfStyle w:val="100000000000" w:firstRow="1" w:lastRow="0" w:firstColumn="0" w:lastColumn="0" w:oddVBand="0" w:evenVBand="0" w:oddHBand="0" w:evenHBand="0" w:firstRowFirstColumn="0" w:firstRowLastColumn="0" w:lastRowFirstColumn="0" w:lastRowLastColumn="0"/>
            </w:pPr>
            <w:r>
              <w:t>2022</w:t>
            </w:r>
            <w:r>
              <w:noBreakHyphen/>
              <w:t>23</w:t>
            </w:r>
            <w:r>
              <w:rPr>
                <w:i w:val="0"/>
              </w:rPr>
              <w:br/>
            </w:r>
            <w:r>
              <w:t>estimate</w:t>
            </w:r>
          </w:p>
        </w:tc>
        <w:tc>
          <w:tcPr>
            <w:tcW w:w="794" w:type="dxa"/>
          </w:tcPr>
          <w:p w14:paraId="1BF8AF0B" w14:textId="77777777" w:rsidR="008D6F13" w:rsidRDefault="008D6F13" w:rsidP="0031078F">
            <w:pPr>
              <w:spacing w:after="0"/>
              <w:cnfStyle w:val="100000000000" w:firstRow="1" w:lastRow="0" w:firstColumn="0" w:lastColumn="0" w:oddVBand="0" w:evenVBand="0" w:oddHBand="0" w:evenHBand="0" w:firstRowFirstColumn="0" w:firstRowLastColumn="0" w:lastRowFirstColumn="0" w:lastRowLastColumn="0"/>
            </w:pPr>
            <w:r>
              <w:t>2023</w:t>
            </w:r>
            <w:r>
              <w:noBreakHyphen/>
              <w:t>24</w:t>
            </w:r>
            <w:r>
              <w:rPr>
                <w:i w:val="0"/>
              </w:rPr>
              <w:br/>
            </w:r>
            <w:r>
              <w:t>estimate</w:t>
            </w:r>
          </w:p>
        </w:tc>
        <w:tc>
          <w:tcPr>
            <w:tcW w:w="794" w:type="dxa"/>
          </w:tcPr>
          <w:p w14:paraId="2E600B45" w14:textId="77777777" w:rsidR="008D6F13" w:rsidRDefault="008D6F13" w:rsidP="0031078F">
            <w:pPr>
              <w:spacing w:after="0"/>
              <w:cnfStyle w:val="100000000000" w:firstRow="1" w:lastRow="0" w:firstColumn="0" w:lastColumn="0" w:oddVBand="0" w:evenVBand="0" w:oddHBand="0" w:evenHBand="0" w:firstRowFirstColumn="0" w:firstRowLastColumn="0" w:lastRowFirstColumn="0" w:lastRowLastColumn="0"/>
            </w:pPr>
            <w:r>
              <w:t>2024</w:t>
            </w:r>
            <w:r>
              <w:noBreakHyphen/>
              <w:t>25</w:t>
            </w:r>
            <w:r>
              <w:rPr>
                <w:i w:val="0"/>
              </w:rPr>
              <w:br/>
            </w:r>
            <w:r>
              <w:t>estimate</w:t>
            </w:r>
          </w:p>
        </w:tc>
      </w:tr>
      <w:tr w:rsidR="008D6F13" w14:paraId="617289BA"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670D8DF0" w14:textId="77777777" w:rsidR="008D6F13" w:rsidRDefault="008D6F13" w:rsidP="0031078F">
            <w:pPr>
              <w:spacing w:after="0"/>
            </w:pPr>
            <w:r>
              <w:rPr>
                <w:b/>
              </w:rPr>
              <w:t>Revenue and income from transactions</w:t>
            </w:r>
          </w:p>
        </w:tc>
        <w:tc>
          <w:tcPr>
            <w:tcW w:w="794" w:type="dxa"/>
          </w:tcPr>
          <w:p w14:paraId="0E0B254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5CA2D12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6D3E279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480EF8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r>
      <w:tr w:rsidR="008D6F13" w14:paraId="0A4A9761"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021A836F" w14:textId="77777777" w:rsidR="008D6F13" w:rsidRDefault="008D6F13" w:rsidP="0031078F">
            <w:pPr>
              <w:spacing w:after="0"/>
            </w:pPr>
            <w:r>
              <w:t>Taxation</w:t>
            </w:r>
          </w:p>
        </w:tc>
        <w:tc>
          <w:tcPr>
            <w:tcW w:w="794" w:type="dxa"/>
          </w:tcPr>
          <w:p w14:paraId="4E30EB2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26 526</w:t>
            </w:r>
          </w:p>
        </w:tc>
        <w:tc>
          <w:tcPr>
            <w:tcW w:w="794" w:type="dxa"/>
          </w:tcPr>
          <w:p w14:paraId="45BA08F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28 978</w:t>
            </w:r>
          </w:p>
        </w:tc>
        <w:tc>
          <w:tcPr>
            <w:tcW w:w="794" w:type="dxa"/>
          </w:tcPr>
          <w:p w14:paraId="0CF7D03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30 518</w:t>
            </w:r>
          </w:p>
        </w:tc>
        <w:tc>
          <w:tcPr>
            <w:tcW w:w="794" w:type="dxa"/>
          </w:tcPr>
          <w:p w14:paraId="19FC977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31 939</w:t>
            </w:r>
          </w:p>
        </w:tc>
      </w:tr>
      <w:tr w:rsidR="008D6F13" w14:paraId="5D30EFB7"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6A9E2918" w14:textId="77777777" w:rsidR="008D6F13" w:rsidRDefault="008D6F13" w:rsidP="0031078F">
            <w:pPr>
              <w:spacing w:after="0"/>
            </w:pPr>
            <w:r>
              <w:t>Dividends and interest</w:t>
            </w:r>
          </w:p>
        </w:tc>
        <w:tc>
          <w:tcPr>
            <w:tcW w:w="794" w:type="dxa"/>
          </w:tcPr>
          <w:p w14:paraId="509B7B2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2 036</w:t>
            </w:r>
          </w:p>
        </w:tc>
        <w:tc>
          <w:tcPr>
            <w:tcW w:w="794" w:type="dxa"/>
          </w:tcPr>
          <w:p w14:paraId="77D03D3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2 068</w:t>
            </w:r>
          </w:p>
        </w:tc>
        <w:tc>
          <w:tcPr>
            <w:tcW w:w="794" w:type="dxa"/>
          </w:tcPr>
          <w:p w14:paraId="0AC8593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2 097</w:t>
            </w:r>
          </w:p>
        </w:tc>
        <w:tc>
          <w:tcPr>
            <w:tcW w:w="794" w:type="dxa"/>
          </w:tcPr>
          <w:p w14:paraId="431379B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2 574</w:t>
            </w:r>
          </w:p>
        </w:tc>
      </w:tr>
      <w:tr w:rsidR="008D6F13" w14:paraId="52A51768"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39692CF4" w14:textId="77777777" w:rsidR="008D6F13" w:rsidRDefault="008D6F13" w:rsidP="0031078F">
            <w:pPr>
              <w:spacing w:after="0"/>
            </w:pPr>
            <w:r>
              <w:t>Sales of goods and services</w:t>
            </w:r>
          </w:p>
        </w:tc>
        <w:tc>
          <w:tcPr>
            <w:tcW w:w="794" w:type="dxa"/>
          </w:tcPr>
          <w:p w14:paraId="12EE4E9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16 555</w:t>
            </w:r>
          </w:p>
        </w:tc>
        <w:tc>
          <w:tcPr>
            <w:tcW w:w="794" w:type="dxa"/>
          </w:tcPr>
          <w:p w14:paraId="5B49579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17 905</w:t>
            </w:r>
          </w:p>
        </w:tc>
        <w:tc>
          <w:tcPr>
            <w:tcW w:w="794" w:type="dxa"/>
          </w:tcPr>
          <w:p w14:paraId="27B2DF5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18 412</w:t>
            </w:r>
          </w:p>
        </w:tc>
        <w:tc>
          <w:tcPr>
            <w:tcW w:w="794" w:type="dxa"/>
          </w:tcPr>
          <w:p w14:paraId="142E635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18 861</w:t>
            </w:r>
          </w:p>
        </w:tc>
      </w:tr>
      <w:tr w:rsidR="008D6F13" w14:paraId="58BE2B53"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227FC9B9" w14:textId="77777777" w:rsidR="008D6F13" w:rsidRDefault="008D6F13" w:rsidP="0031078F">
            <w:pPr>
              <w:spacing w:after="0"/>
            </w:pPr>
            <w:r>
              <w:t>Grants</w:t>
            </w:r>
          </w:p>
        </w:tc>
        <w:tc>
          <w:tcPr>
            <w:tcW w:w="794" w:type="dxa"/>
          </w:tcPr>
          <w:p w14:paraId="1B6A88F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39 708</w:t>
            </w:r>
          </w:p>
        </w:tc>
        <w:tc>
          <w:tcPr>
            <w:tcW w:w="794" w:type="dxa"/>
          </w:tcPr>
          <w:p w14:paraId="6116100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38 512</w:t>
            </w:r>
          </w:p>
        </w:tc>
        <w:tc>
          <w:tcPr>
            <w:tcW w:w="794" w:type="dxa"/>
          </w:tcPr>
          <w:p w14:paraId="2671A64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39 008</w:t>
            </w:r>
          </w:p>
        </w:tc>
        <w:tc>
          <w:tcPr>
            <w:tcW w:w="794" w:type="dxa"/>
          </w:tcPr>
          <w:p w14:paraId="71049B1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40 491</w:t>
            </w:r>
          </w:p>
        </w:tc>
      </w:tr>
      <w:tr w:rsidR="008D6F13" w14:paraId="6E4AAF56"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12910013" w14:textId="77777777" w:rsidR="008D6F13" w:rsidRDefault="008D6F13" w:rsidP="0031078F">
            <w:pPr>
              <w:spacing w:after="0"/>
            </w:pPr>
            <w:r>
              <w:t>Other revenue and income</w:t>
            </w:r>
          </w:p>
        </w:tc>
        <w:tc>
          <w:tcPr>
            <w:tcW w:w="794" w:type="dxa"/>
            <w:tcBorders>
              <w:bottom w:val="single" w:sz="6" w:space="0" w:color="auto"/>
            </w:tcBorders>
          </w:tcPr>
          <w:p w14:paraId="5FBC821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3 994</w:t>
            </w:r>
          </w:p>
        </w:tc>
        <w:tc>
          <w:tcPr>
            <w:tcW w:w="794" w:type="dxa"/>
            <w:tcBorders>
              <w:bottom w:val="single" w:sz="6" w:space="0" w:color="auto"/>
            </w:tcBorders>
          </w:tcPr>
          <w:p w14:paraId="5DD868A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4 128</w:t>
            </w:r>
          </w:p>
        </w:tc>
        <w:tc>
          <w:tcPr>
            <w:tcW w:w="794" w:type="dxa"/>
            <w:tcBorders>
              <w:bottom w:val="single" w:sz="6" w:space="0" w:color="auto"/>
            </w:tcBorders>
          </w:tcPr>
          <w:p w14:paraId="5232B70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3 834</w:t>
            </w:r>
          </w:p>
        </w:tc>
        <w:tc>
          <w:tcPr>
            <w:tcW w:w="794" w:type="dxa"/>
            <w:tcBorders>
              <w:bottom w:val="single" w:sz="6" w:space="0" w:color="auto"/>
            </w:tcBorders>
          </w:tcPr>
          <w:p w14:paraId="7EA3D5B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4 052</w:t>
            </w:r>
          </w:p>
        </w:tc>
      </w:tr>
      <w:tr w:rsidR="008D6F13" w14:paraId="67C3ACF6"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423558C6" w14:textId="77777777" w:rsidR="008D6F13" w:rsidRDefault="008D6F13" w:rsidP="0031078F">
            <w:pPr>
              <w:spacing w:after="0"/>
            </w:pPr>
            <w:r>
              <w:rPr>
                <w:b/>
              </w:rPr>
              <w:t>Total revenue and income from transactions</w:t>
            </w:r>
          </w:p>
        </w:tc>
        <w:tc>
          <w:tcPr>
            <w:tcW w:w="794" w:type="dxa"/>
            <w:tcBorders>
              <w:top w:val="single" w:sz="6" w:space="0" w:color="auto"/>
            </w:tcBorders>
          </w:tcPr>
          <w:p w14:paraId="139B786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88 820</w:t>
            </w:r>
          </w:p>
        </w:tc>
        <w:tc>
          <w:tcPr>
            <w:tcW w:w="794" w:type="dxa"/>
            <w:tcBorders>
              <w:top w:val="single" w:sz="6" w:space="0" w:color="auto"/>
            </w:tcBorders>
          </w:tcPr>
          <w:p w14:paraId="4E65C98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91 590</w:t>
            </w:r>
          </w:p>
        </w:tc>
        <w:tc>
          <w:tcPr>
            <w:tcW w:w="794" w:type="dxa"/>
            <w:tcBorders>
              <w:top w:val="single" w:sz="6" w:space="0" w:color="auto"/>
            </w:tcBorders>
          </w:tcPr>
          <w:p w14:paraId="31F1F56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93 869</w:t>
            </w:r>
          </w:p>
        </w:tc>
        <w:tc>
          <w:tcPr>
            <w:tcW w:w="794" w:type="dxa"/>
            <w:tcBorders>
              <w:top w:val="single" w:sz="6" w:space="0" w:color="auto"/>
            </w:tcBorders>
          </w:tcPr>
          <w:p w14:paraId="2A6109D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97 918</w:t>
            </w:r>
          </w:p>
        </w:tc>
      </w:tr>
      <w:tr w:rsidR="008D6F13" w14:paraId="7952D731"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58CF3F1E" w14:textId="77777777" w:rsidR="008D6F13" w:rsidRDefault="008D6F13" w:rsidP="0031078F">
            <w:pPr>
              <w:spacing w:after="0"/>
            </w:pPr>
            <w:r>
              <w:rPr>
                <w:i/>
              </w:rPr>
              <w:t xml:space="preserve">% change </w:t>
            </w:r>
            <w:r>
              <w:rPr>
                <w:i/>
                <w:vertAlign w:val="superscript"/>
              </w:rPr>
              <w:t>(b)</w:t>
            </w:r>
          </w:p>
        </w:tc>
        <w:tc>
          <w:tcPr>
            <w:tcW w:w="794" w:type="dxa"/>
          </w:tcPr>
          <w:p w14:paraId="21B5555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i/>
              </w:rPr>
              <w:t>8.6</w:t>
            </w:r>
          </w:p>
        </w:tc>
        <w:tc>
          <w:tcPr>
            <w:tcW w:w="794" w:type="dxa"/>
          </w:tcPr>
          <w:p w14:paraId="4498A71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i/>
              </w:rPr>
              <w:t>3.1</w:t>
            </w:r>
          </w:p>
        </w:tc>
        <w:tc>
          <w:tcPr>
            <w:tcW w:w="794" w:type="dxa"/>
          </w:tcPr>
          <w:p w14:paraId="2F4F73E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i/>
              </w:rPr>
              <w:t>2.5</w:t>
            </w:r>
          </w:p>
        </w:tc>
        <w:tc>
          <w:tcPr>
            <w:tcW w:w="794" w:type="dxa"/>
          </w:tcPr>
          <w:p w14:paraId="161D33A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i/>
              </w:rPr>
              <w:t>4.3</w:t>
            </w:r>
          </w:p>
        </w:tc>
      </w:tr>
      <w:tr w:rsidR="008D6F13" w14:paraId="2CD02A67"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7A1670FA" w14:textId="77777777" w:rsidR="008D6F13" w:rsidRDefault="008D6F13" w:rsidP="0031078F">
            <w:pPr>
              <w:spacing w:after="0"/>
            </w:pPr>
            <w:r>
              <w:rPr>
                <w:b/>
              </w:rPr>
              <w:t>Expenses from transactions</w:t>
            </w:r>
          </w:p>
        </w:tc>
        <w:tc>
          <w:tcPr>
            <w:tcW w:w="794" w:type="dxa"/>
          </w:tcPr>
          <w:p w14:paraId="49F9228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75AE6AA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3F3FAD0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8DD4C9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r>
      <w:tr w:rsidR="008D6F13" w14:paraId="33614840"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48F77A53" w14:textId="77777777" w:rsidR="008D6F13" w:rsidRDefault="008D6F13" w:rsidP="0031078F">
            <w:pPr>
              <w:spacing w:after="0"/>
            </w:pPr>
            <w:r>
              <w:t>Employee expenses</w:t>
            </w:r>
          </w:p>
        </w:tc>
        <w:tc>
          <w:tcPr>
            <w:tcW w:w="794" w:type="dxa"/>
          </w:tcPr>
          <w:p w14:paraId="591C91E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34 257</w:t>
            </w:r>
          </w:p>
        </w:tc>
        <w:tc>
          <w:tcPr>
            <w:tcW w:w="794" w:type="dxa"/>
          </w:tcPr>
          <w:p w14:paraId="3815226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34 558</w:t>
            </w:r>
          </w:p>
        </w:tc>
        <w:tc>
          <w:tcPr>
            <w:tcW w:w="794" w:type="dxa"/>
          </w:tcPr>
          <w:p w14:paraId="1DD5B61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35 345</w:t>
            </w:r>
          </w:p>
        </w:tc>
        <w:tc>
          <w:tcPr>
            <w:tcW w:w="794" w:type="dxa"/>
          </w:tcPr>
          <w:p w14:paraId="2AB66C3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36 132</w:t>
            </w:r>
          </w:p>
        </w:tc>
      </w:tr>
      <w:tr w:rsidR="008D6F13" w14:paraId="162D7031"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361D9EC9" w14:textId="77777777" w:rsidR="008D6F13" w:rsidRDefault="008D6F13" w:rsidP="0031078F">
            <w:pPr>
              <w:spacing w:after="0"/>
            </w:pPr>
            <w:r>
              <w:t xml:space="preserve">Superannuation </w:t>
            </w:r>
            <w:r>
              <w:rPr>
                <w:vertAlign w:val="superscript"/>
              </w:rPr>
              <w:t>(c)</w:t>
            </w:r>
          </w:p>
        </w:tc>
        <w:tc>
          <w:tcPr>
            <w:tcW w:w="794" w:type="dxa"/>
          </w:tcPr>
          <w:p w14:paraId="29614F3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4 295</w:t>
            </w:r>
          </w:p>
        </w:tc>
        <w:tc>
          <w:tcPr>
            <w:tcW w:w="794" w:type="dxa"/>
          </w:tcPr>
          <w:p w14:paraId="15282AA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4 306</w:t>
            </w:r>
          </w:p>
        </w:tc>
        <w:tc>
          <w:tcPr>
            <w:tcW w:w="794" w:type="dxa"/>
          </w:tcPr>
          <w:p w14:paraId="40F8007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4 463</w:t>
            </w:r>
          </w:p>
        </w:tc>
        <w:tc>
          <w:tcPr>
            <w:tcW w:w="794" w:type="dxa"/>
          </w:tcPr>
          <w:p w14:paraId="05367B8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4 598</w:t>
            </w:r>
          </w:p>
        </w:tc>
      </w:tr>
      <w:tr w:rsidR="008D6F13" w14:paraId="4698C6AE"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6835B73A" w14:textId="77777777" w:rsidR="008D6F13" w:rsidRDefault="008D6F13" w:rsidP="0031078F">
            <w:pPr>
              <w:spacing w:after="0"/>
            </w:pPr>
            <w:r>
              <w:t xml:space="preserve">Depreciation </w:t>
            </w:r>
          </w:p>
        </w:tc>
        <w:tc>
          <w:tcPr>
            <w:tcW w:w="794" w:type="dxa"/>
          </w:tcPr>
          <w:p w14:paraId="6FC32B7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7 193</w:t>
            </w:r>
          </w:p>
        </w:tc>
        <w:tc>
          <w:tcPr>
            <w:tcW w:w="794" w:type="dxa"/>
          </w:tcPr>
          <w:p w14:paraId="2D66AC8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7 811</w:t>
            </w:r>
          </w:p>
        </w:tc>
        <w:tc>
          <w:tcPr>
            <w:tcW w:w="794" w:type="dxa"/>
          </w:tcPr>
          <w:p w14:paraId="56F5711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9 493</w:t>
            </w:r>
          </w:p>
        </w:tc>
        <w:tc>
          <w:tcPr>
            <w:tcW w:w="794" w:type="dxa"/>
          </w:tcPr>
          <w:p w14:paraId="2101369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10 635</w:t>
            </w:r>
          </w:p>
        </w:tc>
      </w:tr>
      <w:tr w:rsidR="008D6F13" w14:paraId="36BB487B"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6E0ACA0A" w14:textId="77777777" w:rsidR="008D6F13" w:rsidRDefault="008D6F13" w:rsidP="0031078F">
            <w:pPr>
              <w:spacing w:after="0"/>
            </w:pPr>
            <w:r>
              <w:t>Interest expense</w:t>
            </w:r>
          </w:p>
        </w:tc>
        <w:tc>
          <w:tcPr>
            <w:tcW w:w="794" w:type="dxa"/>
          </w:tcPr>
          <w:p w14:paraId="2EF5D0C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3 560</w:t>
            </w:r>
          </w:p>
        </w:tc>
        <w:tc>
          <w:tcPr>
            <w:tcW w:w="794" w:type="dxa"/>
          </w:tcPr>
          <w:p w14:paraId="27563DF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4 167</w:t>
            </w:r>
          </w:p>
        </w:tc>
        <w:tc>
          <w:tcPr>
            <w:tcW w:w="794" w:type="dxa"/>
          </w:tcPr>
          <w:p w14:paraId="32946CB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4 804</w:t>
            </w:r>
          </w:p>
        </w:tc>
        <w:tc>
          <w:tcPr>
            <w:tcW w:w="794" w:type="dxa"/>
          </w:tcPr>
          <w:p w14:paraId="031AD07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5 596</w:t>
            </w:r>
          </w:p>
        </w:tc>
      </w:tr>
      <w:tr w:rsidR="008D6F13" w14:paraId="42EDDAF8"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49D870D3" w14:textId="77777777" w:rsidR="008D6F13" w:rsidRDefault="008D6F13" w:rsidP="0031078F">
            <w:pPr>
              <w:spacing w:after="0"/>
            </w:pPr>
            <w:r>
              <w:t>Grant expense</w:t>
            </w:r>
          </w:p>
        </w:tc>
        <w:tc>
          <w:tcPr>
            <w:tcW w:w="794" w:type="dxa"/>
          </w:tcPr>
          <w:p w14:paraId="0F6D2CD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22 558</w:t>
            </w:r>
          </w:p>
        </w:tc>
        <w:tc>
          <w:tcPr>
            <w:tcW w:w="794" w:type="dxa"/>
          </w:tcPr>
          <w:p w14:paraId="6A5DF3F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14 040</w:t>
            </w:r>
          </w:p>
        </w:tc>
        <w:tc>
          <w:tcPr>
            <w:tcW w:w="794" w:type="dxa"/>
          </w:tcPr>
          <w:p w14:paraId="31645B7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13 617</w:t>
            </w:r>
          </w:p>
        </w:tc>
        <w:tc>
          <w:tcPr>
            <w:tcW w:w="794" w:type="dxa"/>
          </w:tcPr>
          <w:p w14:paraId="7215A1D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13 329</w:t>
            </w:r>
          </w:p>
        </w:tc>
      </w:tr>
      <w:tr w:rsidR="008D6F13" w14:paraId="14B0EDC8"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39F6224D" w14:textId="77777777" w:rsidR="008D6F13" w:rsidRDefault="008D6F13" w:rsidP="0031078F">
            <w:pPr>
              <w:spacing w:after="0"/>
            </w:pPr>
            <w:r>
              <w:t>Other operating expenses</w:t>
            </w:r>
          </w:p>
        </w:tc>
        <w:tc>
          <w:tcPr>
            <w:tcW w:w="794" w:type="dxa"/>
          </w:tcPr>
          <w:p w14:paraId="328EC56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42 140</w:t>
            </w:r>
          </w:p>
        </w:tc>
        <w:tc>
          <w:tcPr>
            <w:tcW w:w="794" w:type="dxa"/>
          </w:tcPr>
          <w:p w14:paraId="2A36F92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37 834</w:t>
            </w:r>
          </w:p>
        </w:tc>
        <w:tc>
          <w:tcPr>
            <w:tcW w:w="794" w:type="dxa"/>
          </w:tcPr>
          <w:p w14:paraId="1A01EC2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37 674</w:t>
            </w:r>
          </w:p>
        </w:tc>
        <w:tc>
          <w:tcPr>
            <w:tcW w:w="794" w:type="dxa"/>
          </w:tcPr>
          <w:p w14:paraId="56CD152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38 194</w:t>
            </w:r>
          </w:p>
        </w:tc>
      </w:tr>
      <w:tr w:rsidR="008D6F13" w14:paraId="75902B37"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629ED41E" w14:textId="77777777" w:rsidR="008D6F13" w:rsidRDefault="008D6F13" w:rsidP="0031078F">
            <w:pPr>
              <w:spacing w:after="0"/>
            </w:pPr>
            <w:r>
              <w:rPr>
                <w:b/>
              </w:rPr>
              <w:t>Total expenses from transactions</w:t>
            </w:r>
          </w:p>
        </w:tc>
        <w:tc>
          <w:tcPr>
            <w:tcW w:w="794" w:type="dxa"/>
          </w:tcPr>
          <w:p w14:paraId="023C612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114 003</w:t>
            </w:r>
          </w:p>
        </w:tc>
        <w:tc>
          <w:tcPr>
            <w:tcW w:w="794" w:type="dxa"/>
          </w:tcPr>
          <w:p w14:paraId="616828B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102 717</w:t>
            </w:r>
          </w:p>
        </w:tc>
        <w:tc>
          <w:tcPr>
            <w:tcW w:w="794" w:type="dxa"/>
          </w:tcPr>
          <w:p w14:paraId="73EE4DD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105 396</w:t>
            </w:r>
          </w:p>
        </w:tc>
        <w:tc>
          <w:tcPr>
            <w:tcW w:w="794" w:type="dxa"/>
          </w:tcPr>
          <w:p w14:paraId="182C464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108 483</w:t>
            </w:r>
          </w:p>
        </w:tc>
      </w:tr>
      <w:tr w:rsidR="008D6F13" w14:paraId="4EB1CD28"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36D6C3A2" w14:textId="77777777" w:rsidR="008D6F13" w:rsidRDefault="008D6F13" w:rsidP="0031078F">
            <w:pPr>
              <w:spacing w:after="0"/>
            </w:pPr>
            <w:r>
              <w:rPr>
                <w:i/>
              </w:rPr>
              <w:t xml:space="preserve">% change </w:t>
            </w:r>
            <w:r>
              <w:rPr>
                <w:i/>
                <w:vertAlign w:val="superscript"/>
              </w:rPr>
              <w:t>(b)</w:t>
            </w:r>
          </w:p>
        </w:tc>
        <w:tc>
          <w:tcPr>
            <w:tcW w:w="794" w:type="dxa"/>
            <w:tcBorders>
              <w:bottom w:val="single" w:sz="6" w:space="0" w:color="auto"/>
            </w:tcBorders>
          </w:tcPr>
          <w:p w14:paraId="681BF1F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i/>
              </w:rPr>
              <w:t>13.9</w:t>
            </w:r>
          </w:p>
        </w:tc>
        <w:tc>
          <w:tcPr>
            <w:tcW w:w="794" w:type="dxa"/>
            <w:tcBorders>
              <w:bottom w:val="single" w:sz="6" w:space="0" w:color="auto"/>
            </w:tcBorders>
          </w:tcPr>
          <w:p w14:paraId="131F9CC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i/>
              </w:rPr>
              <w:noBreakHyphen/>
              <w:t>9.9</w:t>
            </w:r>
          </w:p>
        </w:tc>
        <w:tc>
          <w:tcPr>
            <w:tcW w:w="794" w:type="dxa"/>
            <w:tcBorders>
              <w:bottom w:val="single" w:sz="6" w:space="0" w:color="auto"/>
            </w:tcBorders>
          </w:tcPr>
          <w:p w14:paraId="3ECF442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i/>
              </w:rPr>
              <w:t>2.6</w:t>
            </w:r>
          </w:p>
        </w:tc>
        <w:tc>
          <w:tcPr>
            <w:tcW w:w="794" w:type="dxa"/>
            <w:tcBorders>
              <w:bottom w:val="single" w:sz="6" w:space="0" w:color="auto"/>
            </w:tcBorders>
          </w:tcPr>
          <w:p w14:paraId="30768AA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i/>
              </w:rPr>
              <w:t>2.9</w:t>
            </w:r>
          </w:p>
        </w:tc>
      </w:tr>
      <w:tr w:rsidR="008D6F13" w14:paraId="111558D7"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161862FB" w14:textId="77777777" w:rsidR="008D6F13" w:rsidRDefault="008D6F13" w:rsidP="0031078F">
            <w:pPr>
              <w:spacing w:after="0"/>
            </w:pPr>
            <w:r>
              <w:rPr>
                <w:b/>
              </w:rPr>
              <w:t>Net result from transactions</w:t>
            </w:r>
          </w:p>
        </w:tc>
        <w:tc>
          <w:tcPr>
            <w:tcW w:w="794" w:type="dxa"/>
            <w:tcBorders>
              <w:top w:val="single" w:sz="6" w:space="0" w:color="auto"/>
              <w:bottom w:val="single" w:sz="6" w:space="0" w:color="auto"/>
            </w:tcBorders>
          </w:tcPr>
          <w:p w14:paraId="4099FCC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(25 183)</w:t>
            </w:r>
          </w:p>
        </w:tc>
        <w:tc>
          <w:tcPr>
            <w:tcW w:w="794" w:type="dxa"/>
            <w:tcBorders>
              <w:top w:val="single" w:sz="6" w:space="0" w:color="auto"/>
              <w:bottom w:val="single" w:sz="6" w:space="0" w:color="auto"/>
            </w:tcBorders>
          </w:tcPr>
          <w:p w14:paraId="6E83C7C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(11 127)</w:t>
            </w:r>
          </w:p>
        </w:tc>
        <w:tc>
          <w:tcPr>
            <w:tcW w:w="794" w:type="dxa"/>
            <w:tcBorders>
              <w:top w:val="single" w:sz="6" w:space="0" w:color="auto"/>
              <w:bottom w:val="single" w:sz="6" w:space="0" w:color="auto"/>
            </w:tcBorders>
          </w:tcPr>
          <w:p w14:paraId="5093AA1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(11 527)</w:t>
            </w:r>
          </w:p>
        </w:tc>
        <w:tc>
          <w:tcPr>
            <w:tcW w:w="794" w:type="dxa"/>
            <w:tcBorders>
              <w:top w:val="single" w:sz="6" w:space="0" w:color="auto"/>
              <w:bottom w:val="single" w:sz="6" w:space="0" w:color="auto"/>
            </w:tcBorders>
          </w:tcPr>
          <w:p w14:paraId="4BF1AA0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(10 566)</w:t>
            </w:r>
          </w:p>
        </w:tc>
      </w:tr>
      <w:tr w:rsidR="008D6F13" w14:paraId="60BB2F74"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7AFDF8B5" w14:textId="77777777" w:rsidR="008D6F13" w:rsidRDefault="008D6F13" w:rsidP="0031078F">
            <w:pPr>
              <w:spacing w:after="0"/>
            </w:pPr>
            <w:r>
              <w:t>Total other economic flows included in net result</w:t>
            </w:r>
          </w:p>
        </w:tc>
        <w:tc>
          <w:tcPr>
            <w:tcW w:w="794" w:type="dxa"/>
            <w:tcBorders>
              <w:top w:val="single" w:sz="6" w:space="0" w:color="auto"/>
              <w:bottom w:val="single" w:sz="6" w:space="0" w:color="auto"/>
            </w:tcBorders>
          </w:tcPr>
          <w:p w14:paraId="7C3B385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(149)</w:t>
            </w:r>
          </w:p>
        </w:tc>
        <w:tc>
          <w:tcPr>
            <w:tcW w:w="794" w:type="dxa"/>
            <w:tcBorders>
              <w:top w:val="single" w:sz="6" w:space="0" w:color="auto"/>
              <w:bottom w:val="single" w:sz="6" w:space="0" w:color="auto"/>
            </w:tcBorders>
          </w:tcPr>
          <w:p w14:paraId="06ECE30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972</w:t>
            </w:r>
          </w:p>
        </w:tc>
        <w:tc>
          <w:tcPr>
            <w:tcW w:w="794" w:type="dxa"/>
            <w:tcBorders>
              <w:top w:val="single" w:sz="6" w:space="0" w:color="auto"/>
              <w:bottom w:val="single" w:sz="6" w:space="0" w:color="auto"/>
            </w:tcBorders>
          </w:tcPr>
          <w:p w14:paraId="48CE6EC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1 583</w:t>
            </w:r>
          </w:p>
        </w:tc>
        <w:tc>
          <w:tcPr>
            <w:tcW w:w="794" w:type="dxa"/>
            <w:tcBorders>
              <w:top w:val="single" w:sz="6" w:space="0" w:color="auto"/>
              <w:bottom w:val="single" w:sz="6" w:space="0" w:color="auto"/>
            </w:tcBorders>
          </w:tcPr>
          <w:p w14:paraId="327C2C4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1 790</w:t>
            </w:r>
          </w:p>
        </w:tc>
      </w:tr>
      <w:tr w:rsidR="008D6F13" w14:paraId="3FE07027"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08184D8F" w14:textId="77777777" w:rsidR="008D6F13" w:rsidRDefault="008D6F13" w:rsidP="0031078F">
            <w:pPr>
              <w:spacing w:after="0"/>
            </w:pPr>
            <w:r>
              <w:rPr>
                <w:b/>
              </w:rPr>
              <w:t>Net result</w:t>
            </w:r>
          </w:p>
        </w:tc>
        <w:tc>
          <w:tcPr>
            <w:tcW w:w="794" w:type="dxa"/>
          </w:tcPr>
          <w:p w14:paraId="2764275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(25 332)</w:t>
            </w:r>
          </w:p>
        </w:tc>
        <w:tc>
          <w:tcPr>
            <w:tcW w:w="794" w:type="dxa"/>
          </w:tcPr>
          <w:p w14:paraId="4845030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(10 155)</w:t>
            </w:r>
          </w:p>
        </w:tc>
        <w:tc>
          <w:tcPr>
            <w:tcW w:w="794" w:type="dxa"/>
          </w:tcPr>
          <w:p w14:paraId="1A91EAA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(9 944)</w:t>
            </w:r>
          </w:p>
        </w:tc>
        <w:tc>
          <w:tcPr>
            <w:tcW w:w="794" w:type="dxa"/>
          </w:tcPr>
          <w:p w14:paraId="6AE3CA9A" w14:textId="3BC3CFD6"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(8 776)</w:t>
            </w:r>
          </w:p>
        </w:tc>
      </w:tr>
    </w:tbl>
    <w:p w14:paraId="203B6BE6" w14:textId="77777777" w:rsidR="008D6F13" w:rsidRDefault="008D6F13" w:rsidP="008D6F13">
      <w:pPr>
        <w:pStyle w:val="Note"/>
      </w:pPr>
      <w:r>
        <w:t>Notes:</w:t>
      </w:r>
    </w:p>
    <w:p w14:paraId="22A72754" w14:textId="77777777" w:rsidR="008D6F13" w:rsidRPr="00171422" w:rsidRDefault="008D6F13" w:rsidP="008D6F13">
      <w:pPr>
        <w:pStyle w:val="Note"/>
      </w:pPr>
      <w:r>
        <w:t>(a)</w:t>
      </w:r>
      <w:r>
        <w:tab/>
      </w:r>
      <w:r w:rsidRPr="00171422">
        <w:t xml:space="preserve">This is a summary operating statement. The comprehensive operating statement is presented in Chapter 5. Figures in this table are subject to rounding to the nearest million and may not add up to totals. </w:t>
      </w:r>
    </w:p>
    <w:p w14:paraId="019C9404" w14:textId="77777777" w:rsidR="008D6F13" w:rsidRPr="00171422" w:rsidRDefault="008D6F13" w:rsidP="008D6F13">
      <w:pPr>
        <w:pStyle w:val="Note"/>
      </w:pPr>
      <w:r>
        <w:t>(b)</w:t>
      </w:r>
      <w:r>
        <w:tab/>
      </w:r>
      <w:r w:rsidRPr="00171422">
        <w:t xml:space="preserve">The revenue and expense </w:t>
      </w:r>
      <w:r>
        <w:t>growth</w:t>
      </w:r>
      <w:r w:rsidRPr="00171422">
        <w:t xml:space="preserve"> for 2021-22 is based on published figures in the </w:t>
      </w:r>
      <w:r w:rsidRPr="00171422">
        <w:rPr>
          <w:i w:val="0"/>
          <w:iCs/>
        </w:rPr>
        <w:t>2020-21 Financial Report</w:t>
      </w:r>
      <w:r w:rsidRPr="00171422">
        <w:t>.</w:t>
      </w:r>
    </w:p>
    <w:p w14:paraId="6EE71067" w14:textId="77777777" w:rsidR="008D6F13" w:rsidRPr="00171422" w:rsidRDefault="008D6F13" w:rsidP="008D6F13">
      <w:pPr>
        <w:pStyle w:val="Note"/>
      </w:pPr>
      <w:r>
        <w:t>(c)</w:t>
      </w:r>
      <w:r>
        <w:tab/>
      </w:r>
      <w:r w:rsidRPr="00171422">
        <w:t>Comprises superannuation interest expense and other superannuation expenses</w:t>
      </w:r>
      <w:r>
        <w:t>.</w:t>
      </w:r>
    </w:p>
    <w:p w14:paraId="316D2D0A" w14:textId="77777777" w:rsidR="008D6F13" w:rsidRPr="005F40F1" w:rsidRDefault="008D6F13" w:rsidP="008D6F13">
      <w:r w:rsidRPr="005F40F1">
        <w:t>Table 3.10 shows that the State’s net result from transactions is projected to improve from a deficit of $</w:t>
      </w:r>
      <w:r>
        <w:t>25.2</w:t>
      </w:r>
      <w:r w:rsidRPr="005F40F1">
        <w:t xml:space="preserve"> billion in 2021</w:t>
      </w:r>
      <w:r w:rsidRPr="005F40F1">
        <w:noBreakHyphen/>
        <w:t>22 to a deficit of $</w:t>
      </w:r>
      <w:r>
        <w:t>10.6</w:t>
      </w:r>
      <w:r w:rsidRPr="005F40F1">
        <w:t xml:space="preserve"> billion in 2024</w:t>
      </w:r>
      <w:r w:rsidRPr="005F40F1">
        <w:noBreakHyphen/>
        <w:t>25, with an average deficit of $</w:t>
      </w:r>
      <w:r>
        <w:t>14.6</w:t>
      </w:r>
      <w:r w:rsidRPr="005F40F1">
        <w:t xml:space="preserve"> billion a year over the budget and forward estimates. This improvement is primarily due to revenues growing faster than expenses over the forward estimates, driven by movements in the general government sector.</w:t>
      </w:r>
    </w:p>
    <w:p w14:paraId="4465B41F" w14:textId="77777777" w:rsidR="008D6F13" w:rsidRDefault="008D6F13" w:rsidP="008D6F13">
      <w:r w:rsidRPr="005F40F1">
        <w:t>The net result from transactions excludes other economic flows such as projected capital gains on the investments that are held by the State’s insurance agencies to meet these agencies’ liabilities. Other economic flows are projected to average $</w:t>
      </w:r>
      <w:r>
        <w:t>1.0</w:t>
      </w:r>
      <w:r w:rsidRPr="005F40F1">
        <w:t xml:space="preserve"> </w:t>
      </w:r>
      <w:r>
        <w:t>b</w:t>
      </w:r>
      <w:r w:rsidRPr="005F40F1">
        <w:t>illion a year over the budget and forward estimates.</w:t>
      </w:r>
    </w:p>
    <w:p w14:paraId="0CBBDACA" w14:textId="77777777" w:rsidR="008D6F13" w:rsidRDefault="008D6F13" w:rsidP="008D6F13">
      <w:r w:rsidRPr="005F40F1">
        <w:lastRenderedPageBreak/>
        <w:t>When other economic flows are included, the State’s net result improves from a deficit of $</w:t>
      </w:r>
      <w:r>
        <w:t>25.3</w:t>
      </w:r>
      <w:r w:rsidRPr="005F40F1">
        <w:t xml:space="preserve"> billion in 2021</w:t>
      </w:r>
      <w:r w:rsidRPr="005F40F1">
        <w:noBreakHyphen/>
        <w:t>22 to a deficit of $</w:t>
      </w:r>
      <w:r>
        <w:t>8.8</w:t>
      </w:r>
      <w:r w:rsidRPr="005F40F1">
        <w:t xml:space="preserve"> billion in 2024</w:t>
      </w:r>
      <w:r w:rsidRPr="005F40F1">
        <w:noBreakHyphen/>
        <w:t>25, with an average deficit of $</w:t>
      </w:r>
      <w:r>
        <w:t>13.6</w:t>
      </w:r>
      <w:r w:rsidRPr="005F40F1">
        <w:t xml:space="preserve"> billion a year over the budget and forward estimates.</w:t>
      </w:r>
      <w:r>
        <w:t xml:space="preserve"> </w:t>
      </w:r>
    </w:p>
    <w:p w14:paraId="1DC51C7A" w14:textId="77777777" w:rsidR="008D6F13" w:rsidRDefault="008D6F13" w:rsidP="008D6F13">
      <w:pPr>
        <w:pStyle w:val="TableHeading"/>
      </w:pPr>
      <w:r w:rsidRPr="005E6479">
        <w:t xml:space="preserve">Table 3.11: </w:t>
      </w:r>
      <w:r w:rsidRPr="005E6479">
        <w:tab/>
        <w:t>Summary balance sheet for the State of Victoria</w:t>
      </w:r>
      <w:r w:rsidRPr="005E6479">
        <w:rPr>
          <w:vertAlign w:val="superscript"/>
        </w:rPr>
        <w:t xml:space="preserve"> (a)</w:t>
      </w:r>
      <w:r w:rsidRPr="005E6479">
        <w:tab/>
        <w:t>($ billion)</w:t>
      </w:r>
    </w:p>
    <w:tbl>
      <w:tblPr>
        <w:tblStyle w:val="DTFTableNumeric"/>
        <w:tblW w:w="7710" w:type="dxa"/>
        <w:tblLayout w:type="fixed"/>
        <w:tblLook w:val="06A0" w:firstRow="1" w:lastRow="0" w:firstColumn="1" w:lastColumn="0" w:noHBand="1" w:noVBand="1"/>
      </w:tblPr>
      <w:tblGrid>
        <w:gridCol w:w="4534"/>
        <w:gridCol w:w="794"/>
        <w:gridCol w:w="794"/>
        <w:gridCol w:w="794"/>
        <w:gridCol w:w="794"/>
      </w:tblGrid>
      <w:tr w:rsidR="008D6F13" w14:paraId="0BA2DA14"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2DE2246D" w14:textId="323BE399" w:rsidR="008D6F13" w:rsidRDefault="008D6F13" w:rsidP="0031078F"/>
        </w:tc>
        <w:tc>
          <w:tcPr>
            <w:tcW w:w="794" w:type="dxa"/>
          </w:tcPr>
          <w:p w14:paraId="579C349A"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rPr>
                <w:i w:val="0"/>
              </w:rPr>
              <w:br/>
            </w:r>
            <w:r>
              <w:t>revised</w:t>
            </w:r>
          </w:p>
        </w:tc>
        <w:tc>
          <w:tcPr>
            <w:tcW w:w="794" w:type="dxa"/>
          </w:tcPr>
          <w:p w14:paraId="1E9ACAF8"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rPr>
                <w:i w:val="0"/>
              </w:rPr>
              <w:br/>
            </w:r>
            <w:r>
              <w:t>estimate</w:t>
            </w:r>
          </w:p>
        </w:tc>
        <w:tc>
          <w:tcPr>
            <w:tcW w:w="794" w:type="dxa"/>
          </w:tcPr>
          <w:p w14:paraId="33694976"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rPr>
                <w:i w:val="0"/>
              </w:rPr>
              <w:br/>
            </w:r>
            <w:r>
              <w:t>estimate</w:t>
            </w:r>
          </w:p>
        </w:tc>
        <w:tc>
          <w:tcPr>
            <w:tcW w:w="794" w:type="dxa"/>
          </w:tcPr>
          <w:p w14:paraId="693404A3"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rPr>
                <w:i w:val="0"/>
              </w:rPr>
              <w:br/>
            </w:r>
            <w:r>
              <w:t>estimate</w:t>
            </w:r>
          </w:p>
        </w:tc>
      </w:tr>
      <w:tr w:rsidR="008D6F13" w14:paraId="509CB5D4"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0194E439" w14:textId="77777777" w:rsidR="008D6F13" w:rsidRDefault="008D6F13" w:rsidP="0031078F">
            <w:r>
              <w:rPr>
                <w:b/>
              </w:rPr>
              <w:t>Assets</w:t>
            </w:r>
          </w:p>
        </w:tc>
        <w:tc>
          <w:tcPr>
            <w:tcW w:w="794" w:type="dxa"/>
          </w:tcPr>
          <w:p w14:paraId="4803FF9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C7186D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A4DFD5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CFD687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3E407AA9"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26F86CBF" w14:textId="77777777" w:rsidR="008D6F13" w:rsidRDefault="008D6F13" w:rsidP="0031078F">
            <w:r>
              <w:t>Total financial assets</w:t>
            </w:r>
            <w:r>
              <w:rPr>
                <w:vertAlign w:val="superscript"/>
              </w:rPr>
              <w:t xml:space="preserve"> (b)</w:t>
            </w:r>
          </w:p>
        </w:tc>
        <w:tc>
          <w:tcPr>
            <w:tcW w:w="794" w:type="dxa"/>
          </w:tcPr>
          <w:p w14:paraId="23708FF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79.2</w:t>
            </w:r>
          </w:p>
        </w:tc>
        <w:tc>
          <w:tcPr>
            <w:tcW w:w="794" w:type="dxa"/>
          </w:tcPr>
          <w:p w14:paraId="3050A40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80.1</w:t>
            </w:r>
          </w:p>
        </w:tc>
        <w:tc>
          <w:tcPr>
            <w:tcW w:w="794" w:type="dxa"/>
          </w:tcPr>
          <w:p w14:paraId="20B115C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81.5</w:t>
            </w:r>
          </w:p>
        </w:tc>
        <w:tc>
          <w:tcPr>
            <w:tcW w:w="794" w:type="dxa"/>
          </w:tcPr>
          <w:p w14:paraId="449C60F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83.7</w:t>
            </w:r>
          </w:p>
        </w:tc>
      </w:tr>
      <w:tr w:rsidR="008D6F13" w14:paraId="57A3E192"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4AAE6F33" w14:textId="77777777" w:rsidR="008D6F13" w:rsidRDefault="008D6F13" w:rsidP="0031078F">
            <w:r>
              <w:t>Total non</w:t>
            </w:r>
            <w:r>
              <w:noBreakHyphen/>
              <w:t>financial assets</w:t>
            </w:r>
            <w:r>
              <w:rPr>
                <w:vertAlign w:val="superscript"/>
              </w:rPr>
              <w:t xml:space="preserve"> (c)</w:t>
            </w:r>
          </w:p>
        </w:tc>
        <w:tc>
          <w:tcPr>
            <w:tcW w:w="794" w:type="dxa"/>
            <w:tcBorders>
              <w:bottom w:val="single" w:sz="6" w:space="0" w:color="auto"/>
            </w:tcBorders>
          </w:tcPr>
          <w:p w14:paraId="20ECCE2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357.3</w:t>
            </w:r>
          </w:p>
        </w:tc>
        <w:tc>
          <w:tcPr>
            <w:tcW w:w="794" w:type="dxa"/>
            <w:tcBorders>
              <w:bottom w:val="single" w:sz="6" w:space="0" w:color="auto"/>
            </w:tcBorders>
          </w:tcPr>
          <w:p w14:paraId="37AD3A6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381.0</w:t>
            </w:r>
          </w:p>
        </w:tc>
        <w:tc>
          <w:tcPr>
            <w:tcW w:w="794" w:type="dxa"/>
            <w:tcBorders>
              <w:bottom w:val="single" w:sz="6" w:space="0" w:color="auto"/>
            </w:tcBorders>
          </w:tcPr>
          <w:p w14:paraId="0BA58C6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405.1</w:t>
            </w:r>
          </w:p>
        </w:tc>
        <w:tc>
          <w:tcPr>
            <w:tcW w:w="794" w:type="dxa"/>
            <w:tcBorders>
              <w:bottom w:val="single" w:sz="6" w:space="0" w:color="auto"/>
            </w:tcBorders>
          </w:tcPr>
          <w:p w14:paraId="690749B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431.6</w:t>
            </w:r>
          </w:p>
        </w:tc>
      </w:tr>
      <w:tr w:rsidR="008D6F13" w14:paraId="14B17121"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tcBorders>
          </w:tcPr>
          <w:p w14:paraId="4511940D" w14:textId="77777777" w:rsidR="008D6F13" w:rsidRDefault="008D6F13" w:rsidP="0031078F">
            <w:r>
              <w:rPr>
                <w:b/>
              </w:rPr>
              <w:t>Total assets</w:t>
            </w:r>
          </w:p>
        </w:tc>
        <w:tc>
          <w:tcPr>
            <w:tcW w:w="794" w:type="dxa"/>
            <w:tcBorders>
              <w:top w:val="single" w:sz="6" w:space="0" w:color="auto"/>
            </w:tcBorders>
          </w:tcPr>
          <w:p w14:paraId="4E6993C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436.4</w:t>
            </w:r>
          </w:p>
        </w:tc>
        <w:tc>
          <w:tcPr>
            <w:tcW w:w="794" w:type="dxa"/>
            <w:tcBorders>
              <w:top w:val="single" w:sz="6" w:space="0" w:color="auto"/>
            </w:tcBorders>
          </w:tcPr>
          <w:p w14:paraId="4357506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461.1</w:t>
            </w:r>
          </w:p>
        </w:tc>
        <w:tc>
          <w:tcPr>
            <w:tcW w:w="794" w:type="dxa"/>
            <w:tcBorders>
              <w:top w:val="single" w:sz="6" w:space="0" w:color="auto"/>
            </w:tcBorders>
          </w:tcPr>
          <w:p w14:paraId="07B5273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486.6</w:t>
            </w:r>
          </w:p>
        </w:tc>
        <w:tc>
          <w:tcPr>
            <w:tcW w:w="794" w:type="dxa"/>
            <w:tcBorders>
              <w:top w:val="single" w:sz="6" w:space="0" w:color="auto"/>
            </w:tcBorders>
          </w:tcPr>
          <w:p w14:paraId="4BAF072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515.2</w:t>
            </w:r>
          </w:p>
        </w:tc>
      </w:tr>
      <w:tr w:rsidR="008D6F13" w14:paraId="1548392B"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764DC74B" w14:textId="77777777" w:rsidR="008D6F13" w:rsidRDefault="008D6F13" w:rsidP="0031078F">
            <w:r>
              <w:rPr>
                <w:b/>
              </w:rPr>
              <w:t>Liabilities</w:t>
            </w:r>
          </w:p>
        </w:tc>
        <w:tc>
          <w:tcPr>
            <w:tcW w:w="794" w:type="dxa"/>
          </w:tcPr>
          <w:p w14:paraId="20E36CF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FD784E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A12C84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D9AC36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5B26D1C0"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0EC5D0CF" w14:textId="77777777" w:rsidR="008D6F13" w:rsidRDefault="008D6F13" w:rsidP="0031078F">
            <w:r>
              <w:t>Superannuation</w:t>
            </w:r>
          </w:p>
        </w:tc>
        <w:tc>
          <w:tcPr>
            <w:tcW w:w="794" w:type="dxa"/>
          </w:tcPr>
          <w:p w14:paraId="55E852C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25.8</w:t>
            </w:r>
          </w:p>
        </w:tc>
        <w:tc>
          <w:tcPr>
            <w:tcW w:w="794" w:type="dxa"/>
          </w:tcPr>
          <w:p w14:paraId="4CBCF50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24.7</w:t>
            </w:r>
          </w:p>
        </w:tc>
        <w:tc>
          <w:tcPr>
            <w:tcW w:w="794" w:type="dxa"/>
          </w:tcPr>
          <w:p w14:paraId="08122CF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23.6</w:t>
            </w:r>
          </w:p>
        </w:tc>
        <w:tc>
          <w:tcPr>
            <w:tcW w:w="794" w:type="dxa"/>
          </w:tcPr>
          <w:p w14:paraId="3C531A5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22.6</w:t>
            </w:r>
          </w:p>
        </w:tc>
      </w:tr>
      <w:tr w:rsidR="008D6F13" w14:paraId="13B140A1"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7B499188" w14:textId="77777777" w:rsidR="008D6F13" w:rsidRDefault="008D6F13" w:rsidP="0031078F">
            <w:r>
              <w:t>Borrowings</w:t>
            </w:r>
          </w:p>
        </w:tc>
        <w:tc>
          <w:tcPr>
            <w:tcW w:w="794" w:type="dxa"/>
          </w:tcPr>
          <w:p w14:paraId="506105F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152.6</w:t>
            </w:r>
          </w:p>
        </w:tc>
        <w:tc>
          <w:tcPr>
            <w:tcW w:w="794" w:type="dxa"/>
          </w:tcPr>
          <w:p w14:paraId="352FB73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172.9</w:t>
            </w:r>
          </w:p>
        </w:tc>
        <w:tc>
          <w:tcPr>
            <w:tcW w:w="794" w:type="dxa"/>
          </w:tcPr>
          <w:p w14:paraId="02949FF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197.7</w:t>
            </w:r>
          </w:p>
        </w:tc>
        <w:tc>
          <w:tcPr>
            <w:tcW w:w="794" w:type="dxa"/>
          </w:tcPr>
          <w:p w14:paraId="1AC85D5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221.0</w:t>
            </w:r>
          </w:p>
        </w:tc>
      </w:tr>
      <w:tr w:rsidR="008D6F13" w14:paraId="5E39699B"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12091431" w14:textId="77777777" w:rsidR="008D6F13" w:rsidRDefault="008D6F13" w:rsidP="0031078F">
            <w:r>
              <w:t>Deposits held and advances received</w:t>
            </w:r>
          </w:p>
        </w:tc>
        <w:tc>
          <w:tcPr>
            <w:tcW w:w="794" w:type="dxa"/>
          </w:tcPr>
          <w:p w14:paraId="01585C0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1.8</w:t>
            </w:r>
          </w:p>
        </w:tc>
        <w:tc>
          <w:tcPr>
            <w:tcW w:w="794" w:type="dxa"/>
          </w:tcPr>
          <w:p w14:paraId="35CED27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w:t>
            </w:r>
          </w:p>
        </w:tc>
        <w:tc>
          <w:tcPr>
            <w:tcW w:w="794" w:type="dxa"/>
          </w:tcPr>
          <w:p w14:paraId="5A6D880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w:t>
            </w:r>
          </w:p>
        </w:tc>
        <w:tc>
          <w:tcPr>
            <w:tcW w:w="794" w:type="dxa"/>
          </w:tcPr>
          <w:p w14:paraId="37088DE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w:t>
            </w:r>
          </w:p>
        </w:tc>
      </w:tr>
      <w:tr w:rsidR="008D6F13" w14:paraId="74BBA83C"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5B95351A" w14:textId="77777777" w:rsidR="008D6F13" w:rsidRDefault="008D6F13" w:rsidP="0031078F">
            <w:r>
              <w:t xml:space="preserve">Other liabilities </w:t>
            </w:r>
            <w:r>
              <w:rPr>
                <w:vertAlign w:val="superscript"/>
              </w:rPr>
              <w:t>(d)</w:t>
            </w:r>
          </w:p>
        </w:tc>
        <w:tc>
          <w:tcPr>
            <w:tcW w:w="794" w:type="dxa"/>
            <w:tcBorders>
              <w:bottom w:val="single" w:sz="6" w:space="0" w:color="auto"/>
            </w:tcBorders>
          </w:tcPr>
          <w:p w14:paraId="0622FF7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91.2</w:t>
            </w:r>
          </w:p>
        </w:tc>
        <w:tc>
          <w:tcPr>
            <w:tcW w:w="794" w:type="dxa"/>
            <w:tcBorders>
              <w:bottom w:val="single" w:sz="6" w:space="0" w:color="auto"/>
            </w:tcBorders>
          </w:tcPr>
          <w:p w14:paraId="07AF239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98.6</w:t>
            </w:r>
          </w:p>
        </w:tc>
        <w:tc>
          <w:tcPr>
            <w:tcW w:w="794" w:type="dxa"/>
            <w:tcBorders>
              <w:bottom w:val="single" w:sz="6" w:space="0" w:color="auto"/>
            </w:tcBorders>
          </w:tcPr>
          <w:p w14:paraId="64F61E6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102.7</w:t>
            </w:r>
          </w:p>
        </w:tc>
        <w:tc>
          <w:tcPr>
            <w:tcW w:w="794" w:type="dxa"/>
            <w:tcBorders>
              <w:bottom w:val="single" w:sz="6" w:space="0" w:color="auto"/>
            </w:tcBorders>
          </w:tcPr>
          <w:p w14:paraId="50F8D2C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106.3</w:t>
            </w:r>
          </w:p>
        </w:tc>
      </w:tr>
      <w:tr w:rsidR="008D6F13" w14:paraId="4C07B814"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5E31F49D" w14:textId="77777777" w:rsidR="008D6F13" w:rsidRDefault="008D6F13" w:rsidP="0031078F">
            <w:r>
              <w:rPr>
                <w:b/>
              </w:rPr>
              <w:t>Total liabilities</w:t>
            </w:r>
          </w:p>
        </w:tc>
        <w:tc>
          <w:tcPr>
            <w:tcW w:w="794" w:type="dxa"/>
            <w:tcBorders>
              <w:top w:val="single" w:sz="6" w:space="0" w:color="auto"/>
              <w:bottom w:val="single" w:sz="6" w:space="0" w:color="auto"/>
            </w:tcBorders>
          </w:tcPr>
          <w:p w14:paraId="3D821DC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271.4</w:t>
            </w:r>
          </w:p>
        </w:tc>
        <w:tc>
          <w:tcPr>
            <w:tcW w:w="794" w:type="dxa"/>
            <w:tcBorders>
              <w:top w:val="single" w:sz="6" w:space="0" w:color="auto"/>
              <w:bottom w:val="single" w:sz="6" w:space="0" w:color="auto"/>
            </w:tcBorders>
          </w:tcPr>
          <w:p w14:paraId="43BC2C1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297.9</w:t>
            </w:r>
          </w:p>
        </w:tc>
        <w:tc>
          <w:tcPr>
            <w:tcW w:w="794" w:type="dxa"/>
            <w:tcBorders>
              <w:top w:val="single" w:sz="6" w:space="0" w:color="auto"/>
              <w:bottom w:val="single" w:sz="6" w:space="0" w:color="auto"/>
            </w:tcBorders>
          </w:tcPr>
          <w:p w14:paraId="24F5147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325.7</w:t>
            </w:r>
          </w:p>
        </w:tc>
        <w:tc>
          <w:tcPr>
            <w:tcW w:w="794" w:type="dxa"/>
            <w:tcBorders>
              <w:top w:val="single" w:sz="6" w:space="0" w:color="auto"/>
              <w:bottom w:val="single" w:sz="6" w:space="0" w:color="auto"/>
            </w:tcBorders>
          </w:tcPr>
          <w:p w14:paraId="691E574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351.5</w:t>
            </w:r>
          </w:p>
        </w:tc>
      </w:tr>
      <w:tr w:rsidR="008D6F13" w14:paraId="5D2F58C0"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5F2DBD51" w14:textId="77777777" w:rsidR="008D6F13" w:rsidRDefault="008D6F13" w:rsidP="0031078F">
            <w:r>
              <w:rPr>
                <w:b/>
              </w:rPr>
              <w:t>Net assets</w:t>
            </w:r>
          </w:p>
        </w:tc>
        <w:tc>
          <w:tcPr>
            <w:tcW w:w="794" w:type="dxa"/>
          </w:tcPr>
          <w:p w14:paraId="78C4B56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165.0</w:t>
            </w:r>
          </w:p>
        </w:tc>
        <w:tc>
          <w:tcPr>
            <w:tcW w:w="794" w:type="dxa"/>
          </w:tcPr>
          <w:p w14:paraId="2D6FF64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163.3</w:t>
            </w:r>
          </w:p>
        </w:tc>
        <w:tc>
          <w:tcPr>
            <w:tcW w:w="794" w:type="dxa"/>
          </w:tcPr>
          <w:p w14:paraId="3B46DA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160.9</w:t>
            </w:r>
          </w:p>
        </w:tc>
        <w:tc>
          <w:tcPr>
            <w:tcW w:w="794" w:type="dxa"/>
          </w:tcPr>
          <w:p w14:paraId="282CE3E4" w14:textId="36C15739"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163.7</w:t>
            </w:r>
          </w:p>
        </w:tc>
      </w:tr>
    </w:tbl>
    <w:p w14:paraId="7C6C9D0E" w14:textId="77777777" w:rsidR="008D6F13" w:rsidRDefault="008D6F13" w:rsidP="008D6F13">
      <w:pPr>
        <w:pStyle w:val="Note"/>
      </w:pPr>
      <w:r>
        <w:t>Notes:</w:t>
      </w:r>
    </w:p>
    <w:p w14:paraId="6DD22416" w14:textId="77777777" w:rsidR="008D6F13" w:rsidRPr="00171422" w:rsidRDefault="008D6F13" w:rsidP="008D6F13">
      <w:pPr>
        <w:pStyle w:val="Note"/>
      </w:pPr>
      <w:r>
        <w:t>(a)</w:t>
      </w:r>
      <w:r>
        <w:tab/>
      </w:r>
      <w:r w:rsidRPr="00171422">
        <w:t xml:space="preserve"> </w:t>
      </w:r>
      <w:r>
        <w:t>This is a summary balance sheet. The comprehensive balance sheet is presented in Chapter 5. Figures in this table are subject to rounding to the nearest billion and may not add up to totals.</w:t>
      </w:r>
    </w:p>
    <w:p w14:paraId="31BF3F87" w14:textId="77777777" w:rsidR="008D6F13" w:rsidRPr="00171422" w:rsidRDefault="008D6F13" w:rsidP="008D6F13">
      <w:pPr>
        <w:pStyle w:val="Note"/>
      </w:pPr>
      <w:r>
        <w:t>(b)</w:t>
      </w:r>
      <w:r>
        <w:tab/>
        <w:t>Financial assets include cash and deposits, advances paid, investments, loans and placements, receivables, and investments accounted for using the equity method.</w:t>
      </w:r>
    </w:p>
    <w:p w14:paraId="10F4E84D" w14:textId="77777777" w:rsidR="008D6F13" w:rsidRDefault="008D6F13" w:rsidP="008D6F13">
      <w:pPr>
        <w:pStyle w:val="Note"/>
      </w:pPr>
      <w:r>
        <w:t>(c)</w:t>
      </w:r>
      <w:r>
        <w:tab/>
        <w:t>Non-financial assets include inventories, non-financial assets held for sale, land, buildings, infrastructure, plant and equipment, and other non-financial assets.</w:t>
      </w:r>
    </w:p>
    <w:p w14:paraId="1E8085AD" w14:textId="77777777" w:rsidR="008D6F13" w:rsidRDefault="008D6F13" w:rsidP="008D6F13">
      <w:pPr>
        <w:pStyle w:val="Note"/>
      </w:pPr>
      <w:r>
        <w:t>(d)</w:t>
      </w:r>
      <w:r>
        <w:tab/>
        <w:t xml:space="preserve">Other liabilities consist of payables, employee benefits, other </w:t>
      </w:r>
      <w:proofErr w:type="gramStart"/>
      <w:r>
        <w:t>provisions</w:t>
      </w:r>
      <w:proofErr w:type="gramEnd"/>
      <w:r>
        <w:t xml:space="preserve"> and c</w:t>
      </w:r>
      <w:r w:rsidRPr="000E0A96">
        <w:t>ontract liabilities</w:t>
      </w:r>
      <w:r>
        <w:t>.</w:t>
      </w:r>
    </w:p>
    <w:p w14:paraId="4394FE10" w14:textId="77777777" w:rsidR="008D6F13" w:rsidRPr="005F40F1" w:rsidRDefault="008D6F13" w:rsidP="008D6F13">
      <w:r w:rsidRPr="005F40F1">
        <w:t>Table 3.11 shows that the State’s net assets are projected to remain stable over the budget and forward estimates at around $</w:t>
      </w:r>
      <w:r>
        <w:t xml:space="preserve">163.2 </w:t>
      </w:r>
      <w:r w:rsidRPr="005F40F1">
        <w:t>billion. While total assets are expected to increase significantly over the budget and forward estimates, the impact this has on the net assets is largely offset by higher liabilities, primarily due to increased borrowings.</w:t>
      </w:r>
    </w:p>
    <w:p w14:paraId="45E378D7" w14:textId="77777777" w:rsidR="008D6F13" w:rsidRPr="005F40F1" w:rsidRDefault="008D6F13" w:rsidP="008D6F13">
      <w:proofErr w:type="gramStart"/>
      <w:r w:rsidRPr="005F40F1">
        <w:t>In particular, financial</w:t>
      </w:r>
      <w:proofErr w:type="gramEnd"/>
      <w:r w:rsidRPr="005F40F1">
        <w:t xml:space="preserve"> assets are estimated to increase from $</w:t>
      </w:r>
      <w:r>
        <w:t>79.2</w:t>
      </w:r>
      <w:r w:rsidRPr="005F40F1">
        <w:t xml:space="preserve"> billion in 2021</w:t>
      </w:r>
      <w:r w:rsidRPr="005F40F1">
        <w:noBreakHyphen/>
        <w:t>22 to $</w:t>
      </w:r>
      <w:r>
        <w:t>83.7</w:t>
      </w:r>
      <w:r w:rsidRPr="005F40F1">
        <w:t xml:space="preserve"> billion by 2024</w:t>
      </w:r>
      <w:r w:rsidRPr="005F40F1">
        <w:noBreakHyphen/>
        <w:t>25 and non-financial assets, including infrastructure, are estimated to increase from $</w:t>
      </w:r>
      <w:r>
        <w:t>357.3</w:t>
      </w:r>
      <w:r w:rsidRPr="005F40F1">
        <w:t xml:space="preserve"> billion in 2021</w:t>
      </w:r>
      <w:r w:rsidRPr="005F40F1">
        <w:noBreakHyphen/>
        <w:t>22 to $</w:t>
      </w:r>
      <w:r>
        <w:t>431.6</w:t>
      </w:r>
      <w:r w:rsidRPr="005F40F1">
        <w:t xml:space="preserve"> billion by 2024</w:t>
      </w:r>
      <w:r w:rsidRPr="005F40F1">
        <w:noBreakHyphen/>
        <w:t>25.</w:t>
      </w:r>
    </w:p>
    <w:p w14:paraId="429F9F74" w14:textId="77777777" w:rsidR="008D6F13" w:rsidRPr="005F40F1" w:rsidRDefault="008D6F13" w:rsidP="008D6F13">
      <w:pPr>
        <w:ind w:right="-227"/>
      </w:pPr>
      <w:r w:rsidRPr="005F40F1">
        <w:t>The superannuation liability is projected to fall from $</w:t>
      </w:r>
      <w:r>
        <w:t>25.8</w:t>
      </w:r>
      <w:r w:rsidRPr="005F40F1">
        <w:t> billion in 2021</w:t>
      </w:r>
      <w:r w:rsidRPr="005F40F1">
        <w:noBreakHyphen/>
        <w:t>22 to $</w:t>
      </w:r>
      <w:r>
        <w:t>22.6</w:t>
      </w:r>
      <w:r w:rsidRPr="005F40F1">
        <w:t> billion in 2024</w:t>
      </w:r>
      <w:r w:rsidRPr="005F40F1">
        <w:noBreakHyphen/>
        <w:t xml:space="preserve">25, reflecting the contributions the Government is making to fully fund the liabilities of the former State Superannuation Fund by 2035. </w:t>
      </w:r>
    </w:p>
    <w:p w14:paraId="00B50CB2" w14:textId="77777777" w:rsidR="008D6F13" w:rsidRPr="004A16FC" w:rsidRDefault="008D6F13" w:rsidP="008D6F13">
      <w:r w:rsidRPr="005F40F1">
        <w:t>However, as noted above, these favourable movements are largely offset by a projected increase in borrowings from $</w:t>
      </w:r>
      <w:r>
        <w:t>152.6</w:t>
      </w:r>
      <w:r w:rsidRPr="005F40F1">
        <w:t xml:space="preserve"> billion in 2021</w:t>
      </w:r>
      <w:r w:rsidRPr="005F40F1">
        <w:noBreakHyphen/>
        <w:t>22 to $</w:t>
      </w:r>
      <w:r>
        <w:t>221.0</w:t>
      </w:r>
      <w:r w:rsidRPr="005F40F1">
        <w:t xml:space="preserve"> billion by 2024</w:t>
      </w:r>
      <w:r w:rsidRPr="005F40F1">
        <w:noBreakHyphen/>
        <w:t>25. Other liabilities are also projected to increase from $</w:t>
      </w:r>
      <w:r>
        <w:t>91.2</w:t>
      </w:r>
      <w:r w:rsidRPr="005F40F1">
        <w:t xml:space="preserve"> billion in 2021</w:t>
      </w:r>
      <w:r w:rsidRPr="005F40F1">
        <w:noBreakHyphen/>
        <w:t>22 to $</w:t>
      </w:r>
      <w:r>
        <w:t>106.3</w:t>
      </w:r>
      <w:r w:rsidRPr="005F40F1">
        <w:t xml:space="preserve"> billion by 2024</w:t>
      </w:r>
      <w:r w:rsidRPr="005F40F1">
        <w:noBreakHyphen/>
        <w:t>25, largely due to growth in the value of the outstanding claims liabilities reported by the State’s insurance agencies.</w:t>
      </w:r>
    </w:p>
    <w:p w14:paraId="7F552CD9" w14:textId="500001A3" w:rsidR="0031078F" w:rsidRDefault="0031078F">
      <w:pPr>
        <w:keepLines w:val="0"/>
      </w:pPr>
      <w:r>
        <w:br w:type="page"/>
      </w:r>
    </w:p>
    <w:p w14:paraId="2B4BB690" w14:textId="77777777" w:rsidR="0031078F" w:rsidRDefault="0031078F">
      <w:pPr>
        <w:keepLines w:val="0"/>
      </w:pPr>
    </w:p>
    <w:p w14:paraId="53D122F8" w14:textId="77777777" w:rsidR="008D6F13" w:rsidRDefault="008D6F13" w:rsidP="003610AD"/>
    <w:p w14:paraId="3876CF43" w14:textId="40FA0CFD" w:rsidR="0031078F" w:rsidRDefault="0031078F" w:rsidP="003610AD">
      <w:pPr>
        <w:sectPr w:rsidR="0031078F" w:rsidSect="00DD54EA">
          <w:footerReference w:type="even" r:id="rId39"/>
          <w:footerReference w:type="default" r:id="rId40"/>
          <w:footerReference w:type="first" r:id="rId41"/>
          <w:pgSz w:w="9979" w:h="14175" w:code="9"/>
          <w:pgMar w:top="1134" w:right="1134" w:bottom="1134" w:left="1134" w:header="624" w:footer="567" w:gutter="0"/>
          <w:cols w:space="708"/>
          <w:docGrid w:linePitch="360"/>
        </w:sectPr>
      </w:pPr>
    </w:p>
    <w:p w14:paraId="179DF502" w14:textId="77777777" w:rsidR="008D6F13" w:rsidRPr="00A53A9A" w:rsidRDefault="008D6F13" w:rsidP="008D6F13">
      <w:pPr>
        <w:pStyle w:val="ChapterHeading"/>
      </w:pPr>
      <w:bookmarkStart w:id="64" w:name="_Toc89423587"/>
      <w:r w:rsidRPr="00A53A9A">
        <w:lastRenderedPageBreak/>
        <w:t>Chapter 4 – Estimated financial statements and notes</w:t>
      </w:r>
      <w:bookmarkEnd w:id="64"/>
    </w:p>
    <w:p w14:paraId="21CCFCEF" w14:textId="77777777" w:rsidR="008D6F13" w:rsidRDefault="008D6F13" w:rsidP="008D6F13">
      <w:pPr>
        <w:pStyle w:val="Heading10"/>
      </w:pPr>
      <w:bookmarkStart w:id="65" w:name="_Toc89423588"/>
      <w:r>
        <w:t>Estimated general government sector</w:t>
      </w:r>
      <w:r>
        <w:br/>
        <w:t>comprehensive operating statement</w:t>
      </w:r>
      <w:bookmarkEnd w:id="65"/>
    </w:p>
    <w:p w14:paraId="501020EF" w14:textId="77777777" w:rsidR="008D6F13" w:rsidRDefault="008D6F13" w:rsidP="008D6F13">
      <w:pPr>
        <w:pStyle w:val="TableHeading"/>
      </w:pPr>
      <w:r>
        <w:t>For the financial year ended 30 June</w:t>
      </w:r>
      <w:r>
        <w:tab/>
        <w:t>($ million)</w:t>
      </w:r>
    </w:p>
    <w:tbl>
      <w:tblPr>
        <w:tblStyle w:val="DTFTableNumeric"/>
        <w:tblW w:w="7710" w:type="dxa"/>
        <w:tblLayout w:type="fixed"/>
        <w:tblLook w:val="06A0" w:firstRow="1" w:lastRow="0" w:firstColumn="1" w:lastColumn="0" w:noHBand="1" w:noVBand="1"/>
      </w:tblPr>
      <w:tblGrid>
        <w:gridCol w:w="3173"/>
        <w:gridCol w:w="567"/>
        <w:gridCol w:w="794"/>
        <w:gridCol w:w="794"/>
        <w:gridCol w:w="794"/>
        <w:gridCol w:w="794"/>
        <w:gridCol w:w="794"/>
      </w:tblGrid>
      <w:tr w:rsidR="008D6F13" w14:paraId="743A43F7"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73" w:type="dxa"/>
          </w:tcPr>
          <w:p w14:paraId="15CC4EF0" w14:textId="7647775B" w:rsidR="008D6F13" w:rsidRDefault="008D6F13" w:rsidP="0031078F">
            <w:pPr>
              <w:spacing w:after="0"/>
            </w:pPr>
          </w:p>
        </w:tc>
        <w:tc>
          <w:tcPr>
            <w:tcW w:w="567" w:type="dxa"/>
          </w:tcPr>
          <w:p w14:paraId="59FD060F" w14:textId="77777777" w:rsidR="008D6F13" w:rsidRDefault="008D6F13" w:rsidP="0031078F">
            <w:pPr>
              <w:spacing w:after="0"/>
              <w:jc w:val="center"/>
              <w:cnfStyle w:val="100000000000" w:firstRow="1" w:lastRow="0" w:firstColumn="0" w:lastColumn="0" w:oddVBand="0" w:evenVBand="0" w:oddHBand="0" w:evenHBand="0" w:firstRowFirstColumn="0" w:firstRowLastColumn="0" w:lastRowFirstColumn="0" w:lastRowLastColumn="0"/>
            </w:pPr>
            <w:r>
              <w:t>Notes</w:t>
            </w:r>
          </w:p>
        </w:tc>
        <w:tc>
          <w:tcPr>
            <w:tcW w:w="794" w:type="dxa"/>
          </w:tcPr>
          <w:p w14:paraId="5ADE421E" w14:textId="77777777" w:rsidR="008D6F13" w:rsidRDefault="008D6F13" w:rsidP="0031078F">
            <w:pPr>
              <w:spacing w:after="0"/>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1B9B5C7B" w14:textId="77777777" w:rsidR="008D6F13" w:rsidRDefault="008D6F13" w:rsidP="0031078F">
            <w:pPr>
              <w:spacing w:after="0"/>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32379D85" w14:textId="77777777" w:rsidR="008D6F13" w:rsidRDefault="008D6F13" w:rsidP="0031078F">
            <w:pPr>
              <w:spacing w:after="0"/>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1AA2D20F" w14:textId="77777777" w:rsidR="008D6F13" w:rsidRDefault="008D6F13" w:rsidP="0031078F">
            <w:pPr>
              <w:spacing w:after="0"/>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73613BA6" w14:textId="77777777" w:rsidR="008D6F13" w:rsidRDefault="008D6F13" w:rsidP="0031078F">
            <w:pPr>
              <w:spacing w:after="0"/>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02A6E84E"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7A4E53E3" w14:textId="77777777" w:rsidR="008D6F13" w:rsidRDefault="008D6F13" w:rsidP="0031078F">
            <w:pPr>
              <w:spacing w:after="0"/>
            </w:pPr>
            <w:r>
              <w:rPr>
                <w:b/>
              </w:rPr>
              <w:t>Revenue and income from transactions</w:t>
            </w:r>
          </w:p>
        </w:tc>
        <w:tc>
          <w:tcPr>
            <w:tcW w:w="567" w:type="dxa"/>
          </w:tcPr>
          <w:p w14:paraId="29F520BB"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3BF563C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500090F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0C65A3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4803EA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6EFA55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r>
      <w:tr w:rsidR="008D6F13" w14:paraId="10A4ACD3"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582AA8D0" w14:textId="77777777" w:rsidR="008D6F13" w:rsidRDefault="008D6F13" w:rsidP="0031078F">
            <w:pPr>
              <w:spacing w:after="0"/>
            </w:pPr>
            <w:r>
              <w:t>Taxation</w:t>
            </w:r>
          </w:p>
        </w:tc>
        <w:tc>
          <w:tcPr>
            <w:tcW w:w="567" w:type="dxa"/>
          </w:tcPr>
          <w:p w14:paraId="779B2168"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r>
              <w:t>4.2.1</w:t>
            </w:r>
          </w:p>
        </w:tc>
        <w:tc>
          <w:tcPr>
            <w:tcW w:w="794" w:type="dxa"/>
          </w:tcPr>
          <w:p w14:paraId="155D8E9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26 577</w:t>
            </w:r>
          </w:p>
        </w:tc>
        <w:tc>
          <w:tcPr>
            <w:tcW w:w="794" w:type="dxa"/>
          </w:tcPr>
          <w:p w14:paraId="413306D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27 004</w:t>
            </w:r>
          </w:p>
        </w:tc>
        <w:tc>
          <w:tcPr>
            <w:tcW w:w="794" w:type="dxa"/>
          </w:tcPr>
          <w:p w14:paraId="5D9A992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29 474</w:t>
            </w:r>
          </w:p>
        </w:tc>
        <w:tc>
          <w:tcPr>
            <w:tcW w:w="794" w:type="dxa"/>
          </w:tcPr>
          <w:p w14:paraId="0EF37E9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31 029</w:t>
            </w:r>
          </w:p>
        </w:tc>
        <w:tc>
          <w:tcPr>
            <w:tcW w:w="794" w:type="dxa"/>
          </w:tcPr>
          <w:p w14:paraId="2E4B0FA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32 289</w:t>
            </w:r>
          </w:p>
        </w:tc>
      </w:tr>
      <w:tr w:rsidR="008D6F13" w14:paraId="4298F832"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1886D9BF" w14:textId="77777777" w:rsidR="008D6F13" w:rsidRDefault="008D6F13" w:rsidP="0031078F">
            <w:pPr>
              <w:spacing w:after="0"/>
            </w:pPr>
            <w:r>
              <w:t>Interest income</w:t>
            </w:r>
          </w:p>
        </w:tc>
        <w:tc>
          <w:tcPr>
            <w:tcW w:w="567" w:type="dxa"/>
          </w:tcPr>
          <w:p w14:paraId="085C259E"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521BDED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637</w:t>
            </w:r>
          </w:p>
        </w:tc>
        <w:tc>
          <w:tcPr>
            <w:tcW w:w="794" w:type="dxa"/>
          </w:tcPr>
          <w:p w14:paraId="124099A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618</w:t>
            </w:r>
          </w:p>
        </w:tc>
        <w:tc>
          <w:tcPr>
            <w:tcW w:w="794" w:type="dxa"/>
          </w:tcPr>
          <w:p w14:paraId="535444D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616</w:t>
            </w:r>
          </w:p>
        </w:tc>
        <w:tc>
          <w:tcPr>
            <w:tcW w:w="794" w:type="dxa"/>
          </w:tcPr>
          <w:p w14:paraId="62E1880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655</w:t>
            </w:r>
          </w:p>
        </w:tc>
        <w:tc>
          <w:tcPr>
            <w:tcW w:w="794" w:type="dxa"/>
          </w:tcPr>
          <w:p w14:paraId="012D516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687</w:t>
            </w:r>
          </w:p>
        </w:tc>
      </w:tr>
      <w:tr w:rsidR="008D6F13" w14:paraId="49AC9142"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017661D9" w14:textId="77777777" w:rsidR="008D6F13" w:rsidRDefault="008D6F13" w:rsidP="0031078F">
            <w:pPr>
              <w:spacing w:after="0"/>
            </w:pPr>
            <w:r>
              <w:t>Dividends, income tax equivalent and rate equivalent income</w:t>
            </w:r>
          </w:p>
        </w:tc>
        <w:tc>
          <w:tcPr>
            <w:tcW w:w="567" w:type="dxa"/>
          </w:tcPr>
          <w:p w14:paraId="35946BF1"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r>
              <w:t>4.2.2</w:t>
            </w:r>
          </w:p>
        </w:tc>
        <w:tc>
          <w:tcPr>
            <w:tcW w:w="794" w:type="dxa"/>
          </w:tcPr>
          <w:p w14:paraId="19FDD98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575</w:t>
            </w:r>
          </w:p>
        </w:tc>
        <w:tc>
          <w:tcPr>
            <w:tcW w:w="794" w:type="dxa"/>
          </w:tcPr>
          <w:p w14:paraId="3A8F520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579</w:t>
            </w:r>
          </w:p>
        </w:tc>
        <w:tc>
          <w:tcPr>
            <w:tcW w:w="794" w:type="dxa"/>
          </w:tcPr>
          <w:p w14:paraId="274AE10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475</w:t>
            </w:r>
          </w:p>
        </w:tc>
        <w:tc>
          <w:tcPr>
            <w:tcW w:w="794" w:type="dxa"/>
          </w:tcPr>
          <w:p w14:paraId="7EA6FD5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569</w:t>
            </w:r>
          </w:p>
        </w:tc>
        <w:tc>
          <w:tcPr>
            <w:tcW w:w="794" w:type="dxa"/>
          </w:tcPr>
          <w:p w14:paraId="6751D6D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645</w:t>
            </w:r>
          </w:p>
        </w:tc>
      </w:tr>
      <w:tr w:rsidR="008D6F13" w14:paraId="2450ECED"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7C4D7AEC" w14:textId="77777777" w:rsidR="008D6F13" w:rsidRDefault="008D6F13" w:rsidP="0031078F">
            <w:pPr>
              <w:spacing w:after="0"/>
            </w:pPr>
            <w:r>
              <w:t>Sales of goods and services</w:t>
            </w:r>
          </w:p>
        </w:tc>
        <w:tc>
          <w:tcPr>
            <w:tcW w:w="567" w:type="dxa"/>
          </w:tcPr>
          <w:p w14:paraId="4371A9CB"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r>
              <w:t>4.2.3</w:t>
            </w:r>
          </w:p>
        </w:tc>
        <w:tc>
          <w:tcPr>
            <w:tcW w:w="794" w:type="dxa"/>
          </w:tcPr>
          <w:p w14:paraId="7A8BA68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6 405</w:t>
            </w:r>
          </w:p>
        </w:tc>
        <w:tc>
          <w:tcPr>
            <w:tcW w:w="794" w:type="dxa"/>
          </w:tcPr>
          <w:p w14:paraId="5A80D52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5 923</w:t>
            </w:r>
          </w:p>
        </w:tc>
        <w:tc>
          <w:tcPr>
            <w:tcW w:w="794" w:type="dxa"/>
          </w:tcPr>
          <w:p w14:paraId="1B7DE48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6 462</w:t>
            </w:r>
          </w:p>
        </w:tc>
        <w:tc>
          <w:tcPr>
            <w:tcW w:w="794" w:type="dxa"/>
          </w:tcPr>
          <w:p w14:paraId="47B5D59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6 605</w:t>
            </w:r>
          </w:p>
        </w:tc>
        <w:tc>
          <w:tcPr>
            <w:tcW w:w="794" w:type="dxa"/>
          </w:tcPr>
          <w:p w14:paraId="25CF7F3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6 699</w:t>
            </w:r>
          </w:p>
        </w:tc>
      </w:tr>
      <w:tr w:rsidR="008D6F13" w14:paraId="14585F2D"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4F9E088D" w14:textId="77777777" w:rsidR="008D6F13" w:rsidRDefault="008D6F13" w:rsidP="0031078F">
            <w:pPr>
              <w:spacing w:after="0"/>
            </w:pPr>
            <w:r>
              <w:t>Grants</w:t>
            </w:r>
          </w:p>
        </w:tc>
        <w:tc>
          <w:tcPr>
            <w:tcW w:w="567" w:type="dxa"/>
          </w:tcPr>
          <w:p w14:paraId="7CBAFBDC"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r>
              <w:t>4.2.4</w:t>
            </w:r>
          </w:p>
        </w:tc>
        <w:tc>
          <w:tcPr>
            <w:tcW w:w="794" w:type="dxa"/>
          </w:tcPr>
          <w:p w14:paraId="2C5D23A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36 778</w:t>
            </w:r>
          </w:p>
        </w:tc>
        <w:tc>
          <w:tcPr>
            <w:tcW w:w="794" w:type="dxa"/>
          </w:tcPr>
          <w:p w14:paraId="0C2E8E5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40 457</w:t>
            </w:r>
          </w:p>
        </w:tc>
        <w:tc>
          <w:tcPr>
            <w:tcW w:w="794" w:type="dxa"/>
          </w:tcPr>
          <w:p w14:paraId="7116BDE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39 214</w:t>
            </w:r>
          </w:p>
        </w:tc>
        <w:tc>
          <w:tcPr>
            <w:tcW w:w="794" w:type="dxa"/>
          </w:tcPr>
          <w:p w14:paraId="107FFFC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39 977</w:t>
            </w:r>
          </w:p>
        </w:tc>
        <w:tc>
          <w:tcPr>
            <w:tcW w:w="794" w:type="dxa"/>
          </w:tcPr>
          <w:p w14:paraId="1984BD2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41 351</w:t>
            </w:r>
          </w:p>
        </w:tc>
      </w:tr>
      <w:tr w:rsidR="008D6F13" w14:paraId="2BB4898D"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bottom w:val="single" w:sz="6" w:space="0" w:color="auto"/>
            </w:tcBorders>
          </w:tcPr>
          <w:p w14:paraId="1D480011" w14:textId="77777777" w:rsidR="008D6F13" w:rsidRDefault="008D6F13" w:rsidP="0031078F">
            <w:pPr>
              <w:spacing w:after="0"/>
            </w:pPr>
            <w:r>
              <w:t>Other revenue and income</w:t>
            </w:r>
          </w:p>
        </w:tc>
        <w:tc>
          <w:tcPr>
            <w:tcW w:w="567" w:type="dxa"/>
            <w:tcBorders>
              <w:bottom w:val="single" w:sz="6" w:space="0" w:color="auto"/>
            </w:tcBorders>
          </w:tcPr>
          <w:p w14:paraId="6E3740EC"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r>
              <w:t>4.2.5</w:t>
            </w:r>
          </w:p>
        </w:tc>
        <w:tc>
          <w:tcPr>
            <w:tcW w:w="794" w:type="dxa"/>
            <w:tcBorders>
              <w:bottom w:val="single" w:sz="6" w:space="0" w:color="auto"/>
            </w:tcBorders>
          </w:tcPr>
          <w:p w14:paraId="58C2992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3 605</w:t>
            </w:r>
          </w:p>
        </w:tc>
        <w:tc>
          <w:tcPr>
            <w:tcW w:w="794" w:type="dxa"/>
            <w:tcBorders>
              <w:bottom w:val="single" w:sz="6" w:space="0" w:color="auto"/>
            </w:tcBorders>
          </w:tcPr>
          <w:p w14:paraId="3C79DA3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3 350</w:t>
            </w:r>
          </w:p>
        </w:tc>
        <w:tc>
          <w:tcPr>
            <w:tcW w:w="794" w:type="dxa"/>
            <w:tcBorders>
              <w:bottom w:val="single" w:sz="6" w:space="0" w:color="auto"/>
            </w:tcBorders>
          </w:tcPr>
          <w:p w14:paraId="29B5252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3 508</w:t>
            </w:r>
          </w:p>
        </w:tc>
        <w:tc>
          <w:tcPr>
            <w:tcW w:w="794" w:type="dxa"/>
            <w:tcBorders>
              <w:bottom w:val="single" w:sz="6" w:space="0" w:color="auto"/>
            </w:tcBorders>
          </w:tcPr>
          <w:p w14:paraId="25602E3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3 209</w:t>
            </w:r>
          </w:p>
        </w:tc>
        <w:tc>
          <w:tcPr>
            <w:tcW w:w="794" w:type="dxa"/>
            <w:tcBorders>
              <w:bottom w:val="single" w:sz="6" w:space="0" w:color="auto"/>
            </w:tcBorders>
          </w:tcPr>
          <w:p w14:paraId="75D9483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3 408</w:t>
            </w:r>
          </w:p>
        </w:tc>
      </w:tr>
      <w:tr w:rsidR="008D6F13" w14:paraId="0E650D7C"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tcBorders>
          </w:tcPr>
          <w:p w14:paraId="480DADC7" w14:textId="77777777" w:rsidR="008D6F13" w:rsidRDefault="008D6F13" w:rsidP="0031078F">
            <w:pPr>
              <w:spacing w:after="0"/>
            </w:pPr>
            <w:r>
              <w:rPr>
                <w:b/>
              </w:rPr>
              <w:t>Total revenue and income from transactions</w:t>
            </w:r>
          </w:p>
        </w:tc>
        <w:tc>
          <w:tcPr>
            <w:tcW w:w="567" w:type="dxa"/>
            <w:tcBorders>
              <w:top w:val="single" w:sz="6" w:space="0" w:color="auto"/>
            </w:tcBorders>
          </w:tcPr>
          <w:p w14:paraId="4FD0970A"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03F3C1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74 576</w:t>
            </w:r>
          </w:p>
        </w:tc>
        <w:tc>
          <w:tcPr>
            <w:tcW w:w="794" w:type="dxa"/>
            <w:tcBorders>
              <w:top w:val="single" w:sz="6" w:space="0" w:color="auto"/>
            </w:tcBorders>
          </w:tcPr>
          <w:p w14:paraId="64F20A7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77 931</w:t>
            </w:r>
          </w:p>
        </w:tc>
        <w:tc>
          <w:tcPr>
            <w:tcW w:w="794" w:type="dxa"/>
            <w:tcBorders>
              <w:top w:val="single" w:sz="6" w:space="0" w:color="auto"/>
            </w:tcBorders>
          </w:tcPr>
          <w:p w14:paraId="348745B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79 749</w:t>
            </w:r>
          </w:p>
        </w:tc>
        <w:tc>
          <w:tcPr>
            <w:tcW w:w="794" w:type="dxa"/>
            <w:tcBorders>
              <w:top w:val="single" w:sz="6" w:space="0" w:color="auto"/>
            </w:tcBorders>
          </w:tcPr>
          <w:p w14:paraId="448ABEA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82 045</w:t>
            </w:r>
          </w:p>
        </w:tc>
        <w:tc>
          <w:tcPr>
            <w:tcW w:w="794" w:type="dxa"/>
            <w:tcBorders>
              <w:top w:val="single" w:sz="6" w:space="0" w:color="auto"/>
            </w:tcBorders>
          </w:tcPr>
          <w:p w14:paraId="19C0A42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85 079</w:t>
            </w:r>
          </w:p>
        </w:tc>
      </w:tr>
      <w:tr w:rsidR="008D6F13" w14:paraId="58D2CED4"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55C307D1" w14:textId="77777777" w:rsidR="008D6F13" w:rsidRDefault="008D6F13" w:rsidP="0031078F">
            <w:pPr>
              <w:spacing w:after="0"/>
            </w:pPr>
            <w:r>
              <w:rPr>
                <w:b/>
              </w:rPr>
              <w:t>Expenses from transactions</w:t>
            </w:r>
          </w:p>
        </w:tc>
        <w:tc>
          <w:tcPr>
            <w:tcW w:w="567" w:type="dxa"/>
          </w:tcPr>
          <w:p w14:paraId="360FB87D"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14256BE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7AA9443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AAC221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8A4BA4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728AFB2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r>
      <w:tr w:rsidR="008D6F13" w14:paraId="326DC5EA"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2A5580FF" w14:textId="77777777" w:rsidR="008D6F13" w:rsidRDefault="008D6F13" w:rsidP="0031078F">
            <w:pPr>
              <w:spacing w:after="0"/>
            </w:pPr>
            <w:r>
              <w:t>Employee expenses</w:t>
            </w:r>
          </w:p>
        </w:tc>
        <w:tc>
          <w:tcPr>
            <w:tcW w:w="567" w:type="dxa"/>
          </w:tcPr>
          <w:p w14:paraId="2D427248"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r>
              <w:t>4.3.1</w:t>
            </w:r>
          </w:p>
        </w:tc>
        <w:tc>
          <w:tcPr>
            <w:tcW w:w="794" w:type="dxa"/>
          </w:tcPr>
          <w:p w14:paraId="6926FE1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31 725</w:t>
            </w:r>
          </w:p>
        </w:tc>
        <w:tc>
          <w:tcPr>
            <w:tcW w:w="794" w:type="dxa"/>
          </w:tcPr>
          <w:p w14:paraId="17EF5CB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32 779</w:t>
            </w:r>
          </w:p>
        </w:tc>
        <w:tc>
          <w:tcPr>
            <w:tcW w:w="794" w:type="dxa"/>
          </w:tcPr>
          <w:p w14:paraId="54C51C4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33 040</w:t>
            </w:r>
          </w:p>
        </w:tc>
        <w:tc>
          <w:tcPr>
            <w:tcW w:w="794" w:type="dxa"/>
          </w:tcPr>
          <w:p w14:paraId="28DA4E9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33 789</w:t>
            </w:r>
          </w:p>
        </w:tc>
        <w:tc>
          <w:tcPr>
            <w:tcW w:w="794" w:type="dxa"/>
          </w:tcPr>
          <w:p w14:paraId="5A05FAA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34 541</w:t>
            </w:r>
          </w:p>
        </w:tc>
      </w:tr>
      <w:tr w:rsidR="008D6F13" w14:paraId="26D435D2"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384E7567" w14:textId="77777777" w:rsidR="008D6F13" w:rsidRDefault="008D6F13" w:rsidP="0031078F">
            <w:pPr>
              <w:spacing w:after="0"/>
            </w:pPr>
            <w:r>
              <w:t>Net superannuation interest expense</w:t>
            </w:r>
          </w:p>
        </w:tc>
        <w:tc>
          <w:tcPr>
            <w:tcW w:w="567" w:type="dxa"/>
          </w:tcPr>
          <w:p w14:paraId="34FAD0A0"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r>
              <w:t>4.3.2</w:t>
            </w:r>
          </w:p>
        </w:tc>
        <w:tc>
          <w:tcPr>
            <w:tcW w:w="794" w:type="dxa"/>
          </w:tcPr>
          <w:p w14:paraId="15226CA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565</w:t>
            </w:r>
          </w:p>
        </w:tc>
        <w:tc>
          <w:tcPr>
            <w:tcW w:w="794" w:type="dxa"/>
          </w:tcPr>
          <w:p w14:paraId="64AF3D6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481</w:t>
            </w:r>
          </w:p>
        </w:tc>
        <w:tc>
          <w:tcPr>
            <w:tcW w:w="794" w:type="dxa"/>
          </w:tcPr>
          <w:p w14:paraId="31D3602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450</w:t>
            </w:r>
          </w:p>
        </w:tc>
        <w:tc>
          <w:tcPr>
            <w:tcW w:w="794" w:type="dxa"/>
          </w:tcPr>
          <w:p w14:paraId="151B7EF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431</w:t>
            </w:r>
          </w:p>
        </w:tc>
        <w:tc>
          <w:tcPr>
            <w:tcW w:w="794" w:type="dxa"/>
          </w:tcPr>
          <w:p w14:paraId="5AE1E32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414</w:t>
            </w:r>
          </w:p>
        </w:tc>
      </w:tr>
      <w:tr w:rsidR="008D6F13" w14:paraId="16B0C88F"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36218D49" w14:textId="77777777" w:rsidR="008D6F13" w:rsidRDefault="008D6F13" w:rsidP="0031078F">
            <w:pPr>
              <w:spacing w:after="0"/>
            </w:pPr>
            <w:r>
              <w:t>Other superannuation</w:t>
            </w:r>
          </w:p>
        </w:tc>
        <w:tc>
          <w:tcPr>
            <w:tcW w:w="567" w:type="dxa"/>
          </w:tcPr>
          <w:p w14:paraId="4035F4BF"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r>
              <w:t>4.3.2</w:t>
            </w:r>
          </w:p>
        </w:tc>
        <w:tc>
          <w:tcPr>
            <w:tcW w:w="794" w:type="dxa"/>
          </w:tcPr>
          <w:p w14:paraId="70FB2B4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3 682</w:t>
            </w:r>
          </w:p>
        </w:tc>
        <w:tc>
          <w:tcPr>
            <w:tcW w:w="794" w:type="dxa"/>
          </w:tcPr>
          <w:p w14:paraId="6EB9736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3 629</w:t>
            </w:r>
          </w:p>
        </w:tc>
        <w:tc>
          <w:tcPr>
            <w:tcW w:w="794" w:type="dxa"/>
          </w:tcPr>
          <w:p w14:paraId="5B8E150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3 664</w:t>
            </w:r>
          </w:p>
        </w:tc>
        <w:tc>
          <w:tcPr>
            <w:tcW w:w="794" w:type="dxa"/>
          </w:tcPr>
          <w:p w14:paraId="74C8C3A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3 832</w:t>
            </w:r>
          </w:p>
        </w:tc>
        <w:tc>
          <w:tcPr>
            <w:tcW w:w="794" w:type="dxa"/>
          </w:tcPr>
          <w:p w14:paraId="55075E1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3 977</w:t>
            </w:r>
          </w:p>
        </w:tc>
      </w:tr>
      <w:tr w:rsidR="008D6F13" w14:paraId="145C535F"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170ADEA2" w14:textId="77777777" w:rsidR="008D6F13" w:rsidRDefault="008D6F13" w:rsidP="0031078F">
            <w:pPr>
              <w:spacing w:after="0"/>
            </w:pPr>
            <w:r>
              <w:t>Depreciation</w:t>
            </w:r>
          </w:p>
        </w:tc>
        <w:tc>
          <w:tcPr>
            <w:tcW w:w="567" w:type="dxa"/>
          </w:tcPr>
          <w:p w14:paraId="170BA7AC"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r>
              <w:t>4.4.2</w:t>
            </w:r>
          </w:p>
        </w:tc>
        <w:tc>
          <w:tcPr>
            <w:tcW w:w="794" w:type="dxa"/>
          </w:tcPr>
          <w:p w14:paraId="352C3B8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4 399</w:t>
            </w:r>
          </w:p>
        </w:tc>
        <w:tc>
          <w:tcPr>
            <w:tcW w:w="794" w:type="dxa"/>
          </w:tcPr>
          <w:p w14:paraId="7CF3FC1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4 367</w:t>
            </w:r>
          </w:p>
        </w:tc>
        <w:tc>
          <w:tcPr>
            <w:tcW w:w="794" w:type="dxa"/>
          </w:tcPr>
          <w:p w14:paraId="371BB11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4 481</w:t>
            </w:r>
          </w:p>
        </w:tc>
        <w:tc>
          <w:tcPr>
            <w:tcW w:w="794" w:type="dxa"/>
          </w:tcPr>
          <w:p w14:paraId="3C66719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4 531</w:t>
            </w:r>
          </w:p>
        </w:tc>
        <w:tc>
          <w:tcPr>
            <w:tcW w:w="794" w:type="dxa"/>
          </w:tcPr>
          <w:p w14:paraId="41206F5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4 923</w:t>
            </w:r>
          </w:p>
        </w:tc>
      </w:tr>
      <w:tr w:rsidR="008D6F13" w14:paraId="04FA004A"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34F7132B" w14:textId="77777777" w:rsidR="008D6F13" w:rsidRDefault="008D6F13" w:rsidP="0031078F">
            <w:pPr>
              <w:spacing w:after="0"/>
            </w:pPr>
            <w:r>
              <w:t>Interest expense</w:t>
            </w:r>
          </w:p>
        </w:tc>
        <w:tc>
          <w:tcPr>
            <w:tcW w:w="567" w:type="dxa"/>
          </w:tcPr>
          <w:p w14:paraId="05A7202E"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r>
              <w:t>4.5.3</w:t>
            </w:r>
          </w:p>
        </w:tc>
        <w:tc>
          <w:tcPr>
            <w:tcW w:w="794" w:type="dxa"/>
          </w:tcPr>
          <w:p w14:paraId="778A4A1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3 051</w:t>
            </w:r>
          </w:p>
        </w:tc>
        <w:tc>
          <w:tcPr>
            <w:tcW w:w="794" w:type="dxa"/>
          </w:tcPr>
          <w:p w14:paraId="0F495C3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3 176</w:t>
            </w:r>
          </w:p>
        </w:tc>
        <w:tc>
          <w:tcPr>
            <w:tcW w:w="794" w:type="dxa"/>
          </w:tcPr>
          <w:p w14:paraId="0C62F68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3 757</w:t>
            </w:r>
          </w:p>
        </w:tc>
        <w:tc>
          <w:tcPr>
            <w:tcW w:w="794" w:type="dxa"/>
          </w:tcPr>
          <w:p w14:paraId="4B9794D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4 376</w:t>
            </w:r>
          </w:p>
        </w:tc>
        <w:tc>
          <w:tcPr>
            <w:tcW w:w="794" w:type="dxa"/>
          </w:tcPr>
          <w:p w14:paraId="1136F8F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5 123</w:t>
            </w:r>
          </w:p>
        </w:tc>
      </w:tr>
      <w:tr w:rsidR="008D6F13" w14:paraId="26BB7993"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05E9C139" w14:textId="77777777" w:rsidR="008D6F13" w:rsidRDefault="008D6F13" w:rsidP="0031078F">
            <w:pPr>
              <w:spacing w:after="0"/>
            </w:pPr>
            <w:r>
              <w:t>Grant expense</w:t>
            </w:r>
          </w:p>
        </w:tc>
        <w:tc>
          <w:tcPr>
            <w:tcW w:w="567" w:type="dxa"/>
          </w:tcPr>
          <w:p w14:paraId="73A64CDE"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r>
              <w:t>4.3.3</w:t>
            </w:r>
          </w:p>
        </w:tc>
        <w:tc>
          <w:tcPr>
            <w:tcW w:w="794" w:type="dxa"/>
          </w:tcPr>
          <w:p w14:paraId="4DDFE47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17 301</w:t>
            </w:r>
          </w:p>
        </w:tc>
        <w:tc>
          <w:tcPr>
            <w:tcW w:w="794" w:type="dxa"/>
          </w:tcPr>
          <w:p w14:paraId="214BD6B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24 457</w:t>
            </w:r>
          </w:p>
        </w:tc>
        <w:tc>
          <w:tcPr>
            <w:tcW w:w="794" w:type="dxa"/>
          </w:tcPr>
          <w:p w14:paraId="7579C4A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15 744</w:t>
            </w:r>
          </w:p>
        </w:tc>
        <w:tc>
          <w:tcPr>
            <w:tcW w:w="794" w:type="dxa"/>
          </w:tcPr>
          <w:p w14:paraId="5B7A637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15 202</w:t>
            </w:r>
          </w:p>
        </w:tc>
        <w:tc>
          <w:tcPr>
            <w:tcW w:w="794" w:type="dxa"/>
          </w:tcPr>
          <w:p w14:paraId="014748A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14 919</w:t>
            </w:r>
          </w:p>
        </w:tc>
      </w:tr>
      <w:tr w:rsidR="008D6F13" w14:paraId="2E03B5F5"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bottom w:val="single" w:sz="6" w:space="0" w:color="auto"/>
            </w:tcBorders>
          </w:tcPr>
          <w:p w14:paraId="0133D1C0" w14:textId="77777777" w:rsidR="008D6F13" w:rsidRDefault="008D6F13" w:rsidP="0031078F">
            <w:pPr>
              <w:spacing w:after="0"/>
            </w:pPr>
            <w:r>
              <w:t>Other operating expenses</w:t>
            </w:r>
          </w:p>
        </w:tc>
        <w:tc>
          <w:tcPr>
            <w:tcW w:w="567" w:type="dxa"/>
            <w:tcBorders>
              <w:bottom w:val="single" w:sz="6" w:space="0" w:color="auto"/>
            </w:tcBorders>
          </w:tcPr>
          <w:p w14:paraId="3C026D75"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r>
              <w:t>4.3.4</w:t>
            </w:r>
          </w:p>
        </w:tc>
        <w:tc>
          <w:tcPr>
            <w:tcW w:w="794" w:type="dxa"/>
            <w:tcBorders>
              <w:bottom w:val="single" w:sz="6" w:space="0" w:color="auto"/>
            </w:tcBorders>
          </w:tcPr>
          <w:p w14:paraId="442DF44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25 477</w:t>
            </w:r>
          </w:p>
        </w:tc>
        <w:tc>
          <w:tcPr>
            <w:tcW w:w="794" w:type="dxa"/>
            <w:tcBorders>
              <w:bottom w:val="single" w:sz="6" w:space="0" w:color="auto"/>
            </w:tcBorders>
          </w:tcPr>
          <w:p w14:paraId="3200985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28 581</w:t>
            </w:r>
          </w:p>
        </w:tc>
        <w:tc>
          <w:tcPr>
            <w:tcW w:w="794" w:type="dxa"/>
            <w:tcBorders>
              <w:bottom w:val="single" w:sz="6" w:space="0" w:color="auto"/>
            </w:tcBorders>
          </w:tcPr>
          <w:p w14:paraId="5BE2027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23 891</w:t>
            </w:r>
          </w:p>
        </w:tc>
        <w:tc>
          <w:tcPr>
            <w:tcW w:w="794" w:type="dxa"/>
            <w:tcBorders>
              <w:bottom w:val="single" w:sz="6" w:space="0" w:color="auto"/>
            </w:tcBorders>
          </w:tcPr>
          <w:p w14:paraId="0884C76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23 330</w:t>
            </w:r>
          </w:p>
        </w:tc>
        <w:tc>
          <w:tcPr>
            <w:tcW w:w="794" w:type="dxa"/>
            <w:tcBorders>
              <w:bottom w:val="single" w:sz="6" w:space="0" w:color="auto"/>
            </w:tcBorders>
          </w:tcPr>
          <w:p w14:paraId="68E1804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23 288</w:t>
            </w:r>
          </w:p>
        </w:tc>
      </w:tr>
      <w:tr w:rsidR="008D6F13" w14:paraId="4BEF2DF7"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bottom w:val="single" w:sz="6" w:space="0" w:color="auto"/>
            </w:tcBorders>
          </w:tcPr>
          <w:p w14:paraId="5F684361" w14:textId="77777777" w:rsidR="008D6F13" w:rsidRDefault="008D6F13" w:rsidP="0031078F">
            <w:pPr>
              <w:spacing w:after="0"/>
            </w:pPr>
            <w:r>
              <w:rPr>
                <w:b/>
              </w:rPr>
              <w:t>Total expenses from transactions</w:t>
            </w:r>
          </w:p>
        </w:tc>
        <w:tc>
          <w:tcPr>
            <w:tcW w:w="567" w:type="dxa"/>
            <w:tcBorders>
              <w:top w:val="single" w:sz="6" w:space="0" w:color="auto"/>
              <w:bottom w:val="single" w:sz="6" w:space="0" w:color="auto"/>
            </w:tcBorders>
          </w:tcPr>
          <w:p w14:paraId="3DEDD61A"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r>
              <w:t>4.3.5</w:t>
            </w:r>
          </w:p>
        </w:tc>
        <w:tc>
          <w:tcPr>
            <w:tcW w:w="794" w:type="dxa"/>
            <w:tcBorders>
              <w:top w:val="single" w:sz="6" w:space="0" w:color="auto"/>
              <w:bottom w:val="single" w:sz="6" w:space="0" w:color="auto"/>
            </w:tcBorders>
          </w:tcPr>
          <w:p w14:paraId="683B729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86 200</w:t>
            </w:r>
          </w:p>
        </w:tc>
        <w:tc>
          <w:tcPr>
            <w:tcW w:w="794" w:type="dxa"/>
            <w:tcBorders>
              <w:top w:val="single" w:sz="6" w:space="0" w:color="auto"/>
              <w:bottom w:val="single" w:sz="6" w:space="0" w:color="auto"/>
            </w:tcBorders>
          </w:tcPr>
          <w:p w14:paraId="4BA71DA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97 470</w:t>
            </w:r>
          </w:p>
        </w:tc>
        <w:tc>
          <w:tcPr>
            <w:tcW w:w="794" w:type="dxa"/>
            <w:tcBorders>
              <w:top w:val="single" w:sz="6" w:space="0" w:color="auto"/>
              <w:bottom w:val="single" w:sz="6" w:space="0" w:color="auto"/>
            </w:tcBorders>
          </w:tcPr>
          <w:p w14:paraId="652AA9D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85 026</w:t>
            </w:r>
          </w:p>
        </w:tc>
        <w:tc>
          <w:tcPr>
            <w:tcW w:w="794" w:type="dxa"/>
            <w:tcBorders>
              <w:top w:val="single" w:sz="6" w:space="0" w:color="auto"/>
              <w:bottom w:val="single" w:sz="6" w:space="0" w:color="auto"/>
            </w:tcBorders>
          </w:tcPr>
          <w:p w14:paraId="30C1E90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85 491</w:t>
            </w:r>
          </w:p>
        </w:tc>
        <w:tc>
          <w:tcPr>
            <w:tcW w:w="794" w:type="dxa"/>
            <w:tcBorders>
              <w:top w:val="single" w:sz="6" w:space="0" w:color="auto"/>
              <w:bottom w:val="single" w:sz="6" w:space="0" w:color="auto"/>
            </w:tcBorders>
          </w:tcPr>
          <w:p w14:paraId="1A15A88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87 185</w:t>
            </w:r>
          </w:p>
        </w:tc>
      </w:tr>
      <w:tr w:rsidR="008D6F13" w14:paraId="7CAC028D"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bottom w:val="single" w:sz="12" w:space="0" w:color="auto"/>
            </w:tcBorders>
          </w:tcPr>
          <w:p w14:paraId="31C33E4A" w14:textId="77777777" w:rsidR="008D6F13" w:rsidRDefault="008D6F13" w:rsidP="0031078F">
            <w:pPr>
              <w:spacing w:after="0"/>
            </w:pPr>
            <w:r>
              <w:rPr>
                <w:b/>
              </w:rPr>
              <w:t>Net result from transactions – net operating balance</w:t>
            </w:r>
          </w:p>
        </w:tc>
        <w:tc>
          <w:tcPr>
            <w:tcW w:w="567" w:type="dxa"/>
            <w:tcBorders>
              <w:top w:val="single" w:sz="6" w:space="0" w:color="auto"/>
              <w:bottom w:val="single" w:sz="12" w:space="0" w:color="auto"/>
            </w:tcBorders>
          </w:tcPr>
          <w:p w14:paraId="2A396364"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bottom w:val="single" w:sz="12" w:space="0" w:color="auto"/>
            </w:tcBorders>
          </w:tcPr>
          <w:p w14:paraId="76A6CA3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(11 624)</w:t>
            </w:r>
          </w:p>
        </w:tc>
        <w:tc>
          <w:tcPr>
            <w:tcW w:w="794" w:type="dxa"/>
            <w:tcBorders>
              <w:top w:val="single" w:sz="6" w:space="0" w:color="auto"/>
              <w:bottom w:val="single" w:sz="12" w:space="0" w:color="auto"/>
            </w:tcBorders>
          </w:tcPr>
          <w:p w14:paraId="77A9A15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(19 538)</w:t>
            </w:r>
          </w:p>
        </w:tc>
        <w:tc>
          <w:tcPr>
            <w:tcW w:w="794" w:type="dxa"/>
            <w:tcBorders>
              <w:top w:val="single" w:sz="6" w:space="0" w:color="auto"/>
              <w:bottom w:val="single" w:sz="12" w:space="0" w:color="auto"/>
            </w:tcBorders>
          </w:tcPr>
          <w:p w14:paraId="419F40F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(5 276)</w:t>
            </w:r>
          </w:p>
        </w:tc>
        <w:tc>
          <w:tcPr>
            <w:tcW w:w="794" w:type="dxa"/>
            <w:tcBorders>
              <w:top w:val="single" w:sz="6" w:space="0" w:color="auto"/>
              <w:bottom w:val="single" w:sz="12" w:space="0" w:color="auto"/>
            </w:tcBorders>
          </w:tcPr>
          <w:p w14:paraId="158C7D7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(3 447)</w:t>
            </w:r>
          </w:p>
        </w:tc>
        <w:tc>
          <w:tcPr>
            <w:tcW w:w="794" w:type="dxa"/>
            <w:tcBorders>
              <w:top w:val="single" w:sz="6" w:space="0" w:color="auto"/>
              <w:bottom w:val="single" w:sz="12" w:space="0" w:color="auto"/>
            </w:tcBorders>
          </w:tcPr>
          <w:p w14:paraId="49B6962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(2 105)</w:t>
            </w:r>
          </w:p>
        </w:tc>
      </w:tr>
      <w:tr w:rsidR="008D6F13" w14:paraId="69004C8F"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tcBorders>
          </w:tcPr>
          <w:p w14:paraId="6DEAE2FE" w14:textId="77777777" w:rsidR="008D6F13" w:rsidRDefault="008D6F13" w:rsidP="0031078F">
            <w:pPr>
              <w:spacing w:after="0"/>
            </w:pPr>
            <w:r>
              <w:rPr>
                <w:b/>
              </w:rPr>
              <w:t>Other economic flows included in net result</w:t>
            </w:r>
          </w:p>
        </w:tc>
        <w:tc>
          <w:tcPr>
            <w:tcW w:w="567" w:type="dxa"/>
            <w:tcBorders>
              <w:top w:val="single" w:sz="6" w:space="0" w:color="auto"/>
            </w:tcBorders>
          </w:tcPr>
          <w:p w14:paraId="67130935"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055157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B26311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335AFD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DA7DAA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B7CACD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r>
      <w:tr w:rsidR="008D6F13" w14:paraId="3561AB14"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4B860595" w14:textId="77777777" w:rsidR="008D6F13" w:rsidRDefault="008D6F13" w:rsidP="0031078F">
            <w:pPr>
              <w:spacing w:after="0"/>
            </w:pPr>
            <w:r>
              <w:t>Net gain/(loss) on disposal of non</w:t>
            </w:r>
            <w:r>
              <w:noBreakHyphen/>
              <w:t>financial assets</w:t>
            </w:r>
          </w:p>
        </w:tc>
        <w:tc>
          <w:tcPr>
            <w:tcW w:w="567" w:type="dxa"/>
          </w:tcPr>
          <w:p w14:paraId="6F90F3BA"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26E3152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30</w:t>
            </w:r>
          </w:p>
        </w:tc>
        <w:tc>
          <w:tcPr>
            <w:tcW w:w="794" w:type="dxa"/>
          </w:tcPr>
          <w:p w14:paraId="70AFC9F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38</w:t>
            </w:r>
          </w:p>
        </w:tc>
        <w:tc>
          <w:tcPr>
            <w:tcW w:w="794" w:type="dxa"/>
          </w:tcPr>
          <w:p w14:paraId="22E4F80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50</w:t>
            </w:r>
          </w:p>
        </w:tc>
        <w:tc>
          <w:tcPr>
            <w:tcW w:w="794" w:type="dxa"/>
          </w:tcPr>
          <w:p w14:paraId="450C0DF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28</w:t>
            </w:r>
          </w:p>
        </w:tc>
        <w:tc>
          <w:tcPr>
            <w:tcW w:w="794" w:type="dxa"/>
          </w:tcPr>
          <w:p w14:paraId="7A80AC5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25</w:t>
            </w:r>
          </w:p>
        </w:tc>
      </w:tr>
      <w:tr w:rsidR="008D6F13" w14:paraId="3C440F20"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7EECEDC3" w14:textId="77777777" w:rsidR="008D6F13" w:rsidRDefault="008D6F13" w:rsidP="0031078F">
            <w:pPr>
              <w:spacing w:after="0"/>
            </w:pPr>
            <w:r>
              <w:t>Net gain/(loss) on financial assets or liabilities at fair value</w:t>
            </w:r>
          </w:p>
        </w:tc>
        <w:tc>
          <w:tcPr>
            <w:tcW w:w="567" w:type="dxa"/>
          </w:tcPr>
          <w:p w14:paraId="626A4753"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223F342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20</w:t>
            </w:r>
          </w:p>
        </w:tc>
        <w:tc>
          <w:tcPr>
            <w:tcW w:w="794" w:type="dxa"/>
          </w:tcPr>
          <w:p w14:paraId="6DC0F02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21</w:t>
            </w:r>
          </w:p>
        </w:tc>
        <w:tc>
          <w:tcPr>
            <w:tcW w:w="794" w:type="dxa"/>
          </w:tcPr>
          <w:p w14:paraId="1DC9A0D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21</w:t>
            </w:r>
          </w:p>
        </w:tc>
        <w:tc>
          <w:tcPr>
            <w:tcW w:w="794" w:type="dxa"/>
          </w:tcPr>
          <w:p w14:paraId="5B2B68F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22</w:t>
            </w:r>
          </w:p>
        </w:tc>
        <w:tc>
          <w:tcPr>
            <w:tcW w:w="794" w:type="dxa"/>
          </w:tcPr>
          <w:p w14:paraId="2B677D7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20</w:t>
            </w:r>
          </w:p>
        </w:tc>
      </w:tr>
      <w:tr w:rsidR="008D6F13" w14:paraId="2AEA02A0"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bottom w:val="single" w:sz="6" w:space="0" w:color="auto"/>
            </w:tcBorders>
          </w:tcPr>
          <w:p w14:paraId="1A050583" w14:textId="77777777" w:rsidR="008D6F13" w:rsidRDefault="008D6F13" w:rsidP="0031078F">
            <w:pPr>
              <w:spacing w:after="0"/>
            </w:pPr>
            <w:r>
              <w:t>Other gains/(losses) from other economic flows</w:t>
            </w:r>
          </w:p>
        </w:tc>
        <w:tc>
          <w:tcPr>
            <w:tcW w:w="567" w:type="dxa"/>
            <w:tcBorders>
              <w:bottom w:val="single" w:sz="6" w:space="0" w:color="auto"/>
            </w:tcBorders>
          </w:tcPr>
          <w:p w14:paraId="4DB11F9F"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r>
              <w:t>4.7.1</w:t>
            </w:r>
          </w:p>
        </w:tc>
        <w:tc>
          <w:tcPr>
            <w:tcW w:w="794" w:type="dxa"/>
            <w:tcBorders>
              <w:bottom w:val="single" w:sz="6" w:space="0" w:color="auto"/>
            </w:tcBorders>
          </w:tcPr>
          <w:p w14:paraId="1F16F6F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(521)</w:t>
            </w:r>
          </w:p>
        </w:tc>
        <w:tc>
          <w:tcPr>
            <w:tcW w:w="794" w:type="dxa"/>
            <w:tcBorders>
              <w:bottom w:val="single" w:sz="6" w:space="0" w:color="auto"/>
            </w:tcBorders>
          </w:tcPr>
          <w:p w14:paraId="4F0D6AA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(396)</w:t>
            </w:r>
          </w:p>
        </w:tc>
        <w:tc>
          <w:tcPr>
            <w:tcW w:w="794" w:type="dxa"/>
            <w:tcBorders>
              <w:bottom w:val="single" w:sz="6" w:space="0" w:color="auto"/>
            </w:tcBorders>
          </w:tcPr>
          <w:p w14:paraId="50C0507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(513)</w:t>
            </w:r>
          </w:p>
        </w:tc>
        <w:tc>
          <w:tcPr>
            <w:tcW w:w="794" w:type="dxa"/>
            <w:tcBorders>
              <w:bottom w:val="single" w:sz="6" w:space="0" w:color="auto"/>
            </w:tcBorders>
          </w:tcPr>
          <w:p w14:paraId="7CDCDFD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(489)</w:t>
            </w:r>
          </w:p>
        </w:tc>
        <w:tc>
          <w:tcPr>
            <w:tcW w:w="794" w:type="dxa"/>
            <w:tcBorders>
              <w:bottom w:val="single" w:sz="6" w:space="0" w:color="auto"/>
            </w:tcBorders>
          </w:tcPr>
          <w:p w14:paraId="408434C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(444)</w:t>
            </w:r>
          </w:p>
        </w:tc>
      </w:tr>
      <w:tr w:rsidR="008D6F13" w14:paraId="578561AF" w14:textId="77777777" w:rsidTr="007A2CEC">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bottom w:val="single" w:sz="6" w:space="0" w:color="auto"/>
            </w:tcBorders>
          </w:tcPr>
          <w:p w14:paraId="6E737469" w14:textId="77777777" w:rsidR="008D6F13" w:rsidRDefault="008D6F13" w:rsidP="0031078F">
            <w:pPr>
              <w:spacing w:after="0"/>
            </w:pPr>
            <w:r>
              <w:rPr>
                <w:b/>
              </w:rPr>
              <w:t>Total other economic flows included in net result</w:t>
            </w:r>
          </w:p>
        </w:tc>
        <w:tc>
          <w:tcPr>
            <w:tcW w:w="567" w:type="dxa"/>
            <w:tcBorders>
              <w:top w:val="single" w:sz="6" w:space="0" w:color="auto"/>
              <w:bottom w:val="single" w:sz="6" w:space="0" w:color="auto"/>
            </w:tcBorders>
          </w:tcPr>
          <w:p w14:paraId="5E45DA80"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bottom w:val="single" w:sz="6" w:space="0" w:color="auto"/>
            </w:tcBorders>
          </w:tcPr>
          <w:p w14:paraId="38DC522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(471)</w:t>
            </w:r>
          </w:p>
        </w:tc>
        <w:tc>
          <w:tcPr>
            <w:tcW w:w="794" w:type="dxa"/>
            <w:tcBorders>
              <w:top w:val="single" w:sz="6" w:space="0" w:color="auto"/>
              <w:bottom w:val="single" w:sz="6" w:space="0" w:color="auto"/>
            </w:tcBorders>
          </w:tcPr>
          <w:p w14:paraId="7749042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(337)</w:t>
            </w:r>
          </w:p>
        </w:tc>
        <w:tc>
          <w:tcPr>
            <w:tcW w:w="794" w:type="dxa"/>
            <w:tcBorders>
              <w:top w:val="single" w:sz="6" w:space="0" w:color="auto"/>
              <w:bottom w:val="single" w:sz="6" w:space="0" w:color="auto"/>
            </w:tcBorders>
          </w:tcPr>
          <w:p w14:paraId="47311F6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(442)</w:t>
            </w:r>
          </w:p>
        </w:tc>
        <w:tc>
          <w:tcPr>
            <w:tcW w:w="794" w:type="dxa"/>
            <w:tcBorders>
              <w:top w:val="single" w:sz="6" w:space="0" w:color="auto"/>
              <w:bottom w:val="single" w:sz="6" w:space="0" w:color="auto"/>
            </w:tcBorders>
          </w:tcPr>
          <w:p w14:paraId="428EF7D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(439)</w:t>
            </w:r>
          </w:p>
        </w:tc>
        <w:tc>
          <w:tcPr>
            <w:tcW w:w="794" w:type="dxa"/>
            <w:tcBorders>
              <w:top w:val="single" w:sz="6" w:space="0" w:color="auto"/>
              <w:bottom w:val="single" w:sz="6" w:space="0" w:color="auto"/>
            </w:tcBorders>
          </w:tcPr>
          <w:p w14:paraId="01C757F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(400)</w:t>
            </w:r>
          </w:p>
        </w:tc>
      </w:tr>
      <w:tr w:rsidR="008D6F13" w14:paraId="6B573A9A" w14:textId="77777777" w:rsidTr="007A2CEC">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bottom w:val="single" w:sz="6" w:space="0" w:color="auto"/>
            </w:tcBorders>
          </w:tcPr>
          <w:p w14:paraId="33016C11" w14:textId="77777777" w:rsidR="008D6F13" w:rsidRDefault="008D6F13" w:rsidP="0031078F">
            <w:pPr>
              <w:spacing w:after="0"/>
            </w:pPr>
            <w:r>
              <w:rPr>
                <w:b/>
              </w:rPr>
              <w:t>Net result</w:t>
            </w:r>
          </w:p>
        </w:tc>
        <w:tc>
          <w:tcPr>
            <w:tcW w:w="567" w:type="dxa"/>
            <w:tcBorders>
              <w:top w:val="single" w:sz="6" w:space="0" w:color="auto"/>
              <w:bottom w:val="single" w:sz="6" w:space="0" w:color="auto"/>
            </w:tcBorders>
          </w:tcPr>
          <w:p w14:paraId="589B8B76"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bottom w:val="single" w:sz="6" w:space="0" w:color="auto"/>
            </w:tcBorders>
          </w:tcPr>
          <w:p w14:paraId="62420C0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(12 094)</w:t>
            </w:r>
          </w:p>
        </w:tc>
        <w:tc>
          <w:tcPr>
            <w:tcW w:w="794" w:type="dxa"/>
            <w:tcBorders>
              <w:top w:val="single" w:sz="6" w:space="0" w:color="auto"/>
              <w:bottom w:val="single" w:sz="6" w:space="0" w:color="auto"/>
            </w:tcBorders>
          </w:tcPr>
          <w:p w14:paraId="1AD534E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(19 876)</w:t>
            </w:r>
          </w:p>
        </w:tc>
        <w:tc>
          <w:tcPr>
            <w:tcW w:w="794" w:type="dxa"/>
            <w:tcBorders>
              <w:top w:val="single" w:sz="6" w:space="0" w:color="auto"/>
              <w:bottom w:val="single" w:sz="6" w:space="0" w:color="auto"/>
            </w:tcBorders>
          </w:tcPr>
          <w:p w14:paraId="005C38A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(5 718)</w:t>
            </w:r>
          </w:p>
        </w:tc>
        <w:tc>
          <w:tcPr>
            <w:tcW w:w="794" w:type="dxa"/>
            <w:tcBorders>
              <w:top w:val="single" w:sz="6" w:space="0" w:color="auto"/>
              <w:bottom w:val="single" w:sz="6" w:space="0" w:color="auto"/>
            </w:tcBorders>
          </w:tcPr>
          <w:p w14:paraId="6CF5F5E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(3 886)</w:t>
            </w:r>
          </w:p>
        </w:tc>
        <w:tc>
          <w:tcPr>
            <w:tcW w:w="794" w:type="dxa"/>
            <w:tcBorders>
              <w:top w:val="single" w:sz="6" w:space="0" w:color="auto"/>
              <w:bottom w:val="single" w:sz="6" w:space="0" w:color="auto"/>
            </w:tcBorders>
          </w:tcPr>
          <w:p w14:paraId="32E737D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(2 506)</w:t>
            </w:r>
          </w:p>
        </w:tc>
      </w:tr>
    </w:tbl>
    <w:p w14:paraId="33519CD4" w14:textId="5CFA478E" w:rsidR="00D056BB" w:rsidRDefault="00D056BB"/>
    <w:p w14:paraId="4BE7CEA2" w14:textId="593866F7" w:rsidR="00D056BB" w:rsidRDefault="00D056BB" w:rsidP="00CB5E47">
      <w:pPr>
        <w:pStyle w:val="Heading1Non-TOC"/>
      </w:pPr>
      <w:r>
        <w:lastRenderedPageBreak/>
        <w:t>Estimated general government sector</w:t>
      </w:r>
      <w:r>
        <w:br/>
        <w:t xml:space="preserve">comprehensive operating statement </w:t>
      </w:r>
      <w:r w:rsidRPr="00D056BB">
        <w:rPr>
          <w:i/>
          <w:iCs/>
          <w:sz w:val="22"/>
          <w:szCs w:val="24"/>
        </w:rPr>
        <w:t>(continued)</w:t>
      </w:r>
    </w:p>
    <w:p w14:paraId="08980AED" w14:textId="300929EB" w:rsidR="00D056BB" w:rsidRDefault="00D056BB" w:rsidP="00D056BB">
      <w:pPr>
        <w:pStyle w:val="TableHeading"/>
      </w:pPr>
      <w:r>
        <w:t>For the financial year ended 30 June</w:t>
      </w:r>
      <w:r>
        <w:tab/>
        <w:t>($ million)</w:t>
      </w:r>
    </w:p>
    <w:tbl>
      <w:tblPr>
        <w:tblStyle w:val="DTFTableNumeric"/>
        <w:tblW w:w="7710" w:type="dxa"/>
        <w:tblLayout w:type="fixed"/>
        <w:tblLook w:val="06A0" w:firstRow="1" w:lastRow="0" w:firstColumn="1" w:lastColumn="0" w:noHBand="1" w:noVBand="1"/>
      </w:tblPr>
      <w:tblGrid>
        <w:gridCol w:w="3173"/>
        <w:gridCol w:w="567"/>
        <w:gridCol w:w="794"/>
        <w:gridCol w:w="794"/>
        <w:gridCol w:w="794"/>
        <w:gridCol w:w="794"/>
        <w:gridCol w:w="794"/>
      </w:tblGrid>
      <w:tr w:rsidR="00D056BB" w14:paraId="3110CCDC"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73" w:type="dxa"/>
          </w:tcPr>
          <w:p w14:paraId="5AEB723C" w14:textId="77777777" w:rsidR="00D056BB" w:rsidRDefault="00D056BB" w:rsidP="0031078F">
            <w:pPr>
              <w:spacing w:after="0"/>
            </w:pPr>
          </w:p>
        </w:tc>
        <w:tc>
          <w:tcPr>
            <w:tcW w:w="567" w:type="dxa"/>
          </w:tcPr>
          <w:p w14:paraId="158A4EFA" w14:textId="77777777" w:rsidR="00D056BB" w:rsidRDefault="00D056BB" w:rsidP="0031078F">
            <w:pPr>
              <w:spacing w:after="0"/>
              <w:jc w:val="center"/>
              <w:cnfStyle w:val="100000000000" w:firstRow="1" w:lastRow="0" w:firstColumn="0" w:lastColumn="0" w:oddVBand="0" w:evenVBand="0" w:oddHBand="0" w:evenHBand="0" w:firstRowFirstColumn="0" w:firstRowLastColumn="0" w:lastRowFirstColumn="0" w:lastRowLastColumn="0"/>
            </w:pPr>
            <w:r>
              <w:t>Notes</w:t>
            </w:r>
          </w:p>
        </w:tc>
        <w:tc>
          <w:tcPr>
            <w:tcW w:w="794" w:type="dxa"/>
          </w:tcPr>
          <w:p w14:paraId="760484DD" w14:textId="77777777" w:rsidR="00D056BB" w:rsidRDefault="00D056BB" w:rsidP="0031078F">
            <w:pPr>
              <w:spacing w:after="0"/>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266A0D65" w14:textId="77777777" w:rsidR="00D056BB" w:rsidRDefault="00D056BB" w:rsidP="0031078F">
            <w:pPr>
              <w:spacing w:after="0"/>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4D909FF3" w14:textId="77777777" w:rsidR="00D056BB" w:rsidRDefault="00D056BB" w:rsidP="0031078F">
            <w:pPr>
              <w:spacing w:after="0"/>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40551953" w14:textId="77777777" w:rsidR="00D056BB" w:rsidRDefault="00D056BB" w:rsidP="0031078F">
            <w:pPr>
              <w:spacing w:after="0"/>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1BB95C26" w14:textId="77777777" w:rsidR="00D056BB" w:rsidRDefault="00D056BB" w:rsidP="0031078F">
            <w:pPr>
              <w:spacing w:after="0"/>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7D2D06AD"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tcBorders>
          </w:tcPr>
          <w:p w14:paraId="0C7028EC" w14:textId="77777777" w:rsidR="008D6F13" w:rsidRDefault="008D6F13" w:rsidP="00D056BB">
            <w:pPr>
              <w:spacing w:after="0"/>
            </w:pPr>
            <w:r>
              <w:rPr>
                <w:b/>
              </w:rPr>
              <w:t>Other economic flows – other comprehensive income</w:t>
            </w:r>
          </w:p>
        </w:tc>
        <w:tc>
          <w:tcPr>
            <w:tcW w:w="567" w:type="dxa"/>
            <w:tcBorders>
              <w:top w:val="single" w:sz="6" w:space="0" w:color="auto"/>
            </w:tcBorders>
          </w:tcPr>
          <w:p w14:paraId="45DEACB1"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A93DCA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58541D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43BDE6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7CED9B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58367A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r>
      <w:tr w:rsidR="008D6F13" w14:paraId="3F484429"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436608D8" w14:textId="77777777" w:rsidR="008D6F13" w:rsidRDefault="008D6F13" w:rsidP="0031078F">
            <w:pPr>
              <w:spacing w:after="0"/>
            </w:pPr>
            <w:r>
              <w:rPr>
                <w:b/>
              </w:rPr>
              <w:t>Items that will not be reclassified to net result</w:t>
            </w:r>
          </w:p>
        </w:tc>
        <w:tc>
          <w:tcPr>
            <w:tcW w:w="567" w:type="dxa"/>
          </w:tcPr>
          <w:p w14:paraId="3C6E12D2"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65D4DFA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3294C99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10630A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358509C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BD4D6F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r>
      <w:tr w:rsidR="008D6F13" w14:paraId="09948083"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526B9EBA" w14:textId="77777777" w:rsidR="008D6F13" w:rsidRDefault="008D6F13" w:rsidP="0031078F">
            <w:pPr>
              <w:spacing w:after="0"/>
            </w:pPr>
            <w:r>
              <w:t>Changes in non</w:t>
            </w:r>
            <w:r>
              <w:noBreakHyphen/>
              <w:t>financial assets revaluation surplus</w:t>
            </w:r>
          </w:p>
        </w:tc>
        <w:tc>
          <w:tcPr>
            <w:tcW w:w="567" w:type="dxa"/>
          </w:tcPr>
          <w:p w14:paraId="05B52A81"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122C3DA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563</w:t>
            </w:r>
          </w:p>
        </w:tc>
        <w:tc>
          <w:tcPr>
            <w:tcW w:w="794" w:type="dxa"/>
          </w:tcPr>
          <w:p w14:paraId="4646F32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548</w:t>
            </w:r>
          </w:p>
        </w:tc>
        <w:tc>
          <w:tcPr>
            <w:tcW w:w="794" w:type="dxa"/>
          </w:tcPr>
          <w:p w14:paraId="2AEA3EA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7 035</w:t>
            </w:r>
          </w:p>
        </w:tc>
        <w:tc>
          <w:tcPr>
            <w:tcW w:w="794" w:type="dxa"/>
          </w:tcPr>
          <w:p w14:paraId="7772B50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6 116</w:t>
            </w:r>
          </w:p>
        </w:tc>
        <w:tc>
          <w:tcPr>
            <w:tcW w:w="794" w:type="dxa"/>
          </w:tcPr>
          <w:p w14:paraId="0697D35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10 097</w:t>
            </w:r>
          </w:p>
        </w:tc>
      </w:tr>
      <w:tr w:rsidR="008D6F13" w14:paraId="67FAE630"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2112E062" w14:textId="77777777" w:rsidR="008D6F13" w:rsidRDefault="008D6F13" w:rsidP="0031078F">
            <w:pPr>
              <w:spacing w:after="0"/>
            </w:pPr>
            <w:r>
              <w:t>Remeasurement of superannuation defined benefit plans</w:t>
            </w:r>
          </w:p>
        </w:tc>
        <w:tc>
          <w:tcPr>
            <w:tcW w:w="567" w:type="dxa"/>
          </w:tcPr>
          <w:p w14:paraId="6C36CB51"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r>
              <w:t>4.3.2</w:t>
            </w:r>
          </w:p>
        </w:tc>
        <w:tc>
          <w:tcPr>
            <w:tcW w:w="794" w:type="dxa"/>
          </w:tcPr>
          <w:p w14:paraId="0D22D9B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1 241</w:t>
            </w:r>
          </w:p>
        </w:tc>
        <w:tc>
          <w:tcPr>
            <w:tcW w:w="794" w:type="dxa"/>
          </w:tcPr>
          <w:p w14:paraId="0D06FB8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1 690</w:t>
            </w:r>
          </w:p>
        </w:tc>
        <w:tc>
          <w:tcPr>
            <w:tcW w:w="794" w:type="dxa"/>
          </w:tcPr>
          <w:p w14:paraId="5FED214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1 371</w:t>
            </w:r>
          </w:p>
        </w:tc>
        <w:tc>
          <w:tcPr>
            <w:tcW w:w="794" w:type="dxa"/>
          </w:tcPr>
          <w:p w14:paraId="2723289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1 394</w:t>
            </w:r>
          </w:p>
        </w:tc>
        <w:tc>
          <w:tcPr>
            <w:tcW w:w="794" w:type="dxa"/>
          </w:tcPr>
          <w:p w14:paraId="0AD9FE3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1 420</w:t>
            </w:r>
          </w:p>
        </w:tc>
      </w:tr>
      <w:tr w:rsidR="008D6F13" w14:paraId="521CAD8B"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1F5DA797" w14:textId="77777777" w:rsidR="008D6F13" w:rsidRDefault="008D6F13" w:rsidP="0031078F">
            <w:pPr>
              <w:spacing w:after="0"/>
            </w:pPr>
            <w:r>
              <w:t>Other movements in equity</w:t>
            </w:r>
          </w:p>
        </w:tc>
        <w:tc>
          <w:tcPr>
            <w:tcW w:w="567" w:type="dxa"/>
          </w:tcPr>
          <w:p w14:paraId="66F311C3"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15FD51B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27</w:t>
            </w:r>
          </w:p>
        </w:tc>
        <w:tc>
          <w:tcPr>
            <w:tcW w:w="794" w:type="dxa"/>
          </w:tcPr>
          <w:p w14:paraId="323588B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10</w:t>
            </w:r>
          </w:p>
        </w:tc>
        <w:tc>
          <w:tcPr>
            <w:tcW w:w="794" w:type="dxa"/>
          </w:tcPr>
          <w:p w14:paraId="4ACAB22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26</w:t>
            </w:r>
          </w:p>
        </w:tc>
        <w:tc>
          <w:tcPr>
            <w:tcW w:w="794" w:type="dxa"/>
          </w:tcPr>
          <w:p w14:paraId="5D20EAD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32</w:t>
            </w:r>
          </w:p>
        </w:tc>
        <w:tc>
          <w:tcPr>
            <w:tcW w:w="794" w:type="dxa"/>
          </w:tcPr>
          <w:p w14:paraId="52DF0DA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38</w:t>
            </w:r>
          </w:p>
        </w:tc>
      </w:tr>
      <w:tr w:rsidR="008D6F13" w14:paraId="0FF8EE63"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313A8577" w14:textId="77777777" w:rsidR="008D6F13" w:rsidRDefault="008D6F13" w:rsidP="0031078F">
            <w:pPr>
              <w:spacing w:after="0"/>
            </w:pPr>
            <w:r>
              <w:rPr>
                <w:b/>
              </w:rPr>
              <w:t>Items that may be reclassified subsequently to net result</w:t>
            </w:r>
          </w:p>
        </w:tc>
        <w:tc>
          <w:tcPr>
            <w:tcW w:w="567" w:type="dxa"/>
          </w:tcPr>
          <w:p w14:paraId="2D1EE326"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14FCF62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77B3B3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5D9B5DA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C65DEF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5B275BC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r>
      <w:tr w:rsidR="008D6F13" w14:paraId="1C652286"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5BDE0090" w14:textId="77777777" w:rsidR="008D6F13" w:rsidRDefault="008D6F13" w:rsidP="0031078F">
            <w:pPr>
              <w:spacing w:after="0"/>
            </w:pPr>
            <w:r>
              <w:t>Net gain/(loss) on financial assets at fair value</w:t>
            </w:r>
          </w:p>
        </w:tc>
        <w:tc>
          <w:tcPr>
            <w:tcW w:w="567" w:type="dxa"/>
          </w:tcPr>
          <w:p w14:paraId="6EC881C8"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1D27BDF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w:t>
            </w:r>
          </w:p>
        </w:tc>
        <w:tc>
          <w:tcPr>
            <w:tcW w:w="794" w:type="dxa"/>
          </w:tcPr>
          <w:p w14:paraId="18AF33D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w:t>
            </w:r>
          </w:p>
        </w:tc>
        <w:tc>
          <w:tcPr>
            <w:tcW w:w="794" w:type="dxa"/>
          </w:tcPr>
          <w:p w14:paraId="1464EF7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w:t>
            </w:r>
          </w:p>
        </w:tc>
        <w:tc>
          <w:tcPr>
            <w:tcW w:w="794" w:type="dxa"/>
          </w:tcPr>
          <w:p w14:paraId="7F44583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w:t>
            </w:r>
          </w:p>
        </w:tc>
        <w:tc>
          <w:tcPr>
            <w:tcW w:w="794" w:type="dxa"/>
          </w:tcPr>
          <w:p w14:paraId="7BF90C9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w:t>
            </w:r>
          </w:p>
        </w:tc>
      </w:tr>
      <w:tr w:rsidR="008D6F13" w14:paraId="307882AD"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bottom w:val="single" w:sz="6" w:space="0" w:color="auto"/>
            </w:tcBorders>
          </w:tcPr>
          <w:p w14:paraId="6EEA3988" w14:textId="77777777" w:rsidR="008D6F13" w:rsidRDefault="008D6F13" w:rsidP="0031078F">
            <w:pPr>
              <w:spacing w:after="0"/>
            </w:pPr>
            <w:r>
              <w:t>Net gain/(loss) on equity investments in other sector entities at proportional share of the carrying amount of net assets</w:t>
            </w:r>
          </w:p>
        </w:tc>
        <w:tc>
          <w:tcPr>
            <w:tcW w:w="567" w:type="dxa"/>
            <w:tcBorders>
              <w:bottom w:val="single" w:sz="6" w:space="0" w:color="auto"/>
            </w:tcBorders>
          </w:tcPr>
          <w:p w14:paraId="2AAE01DB"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r>
              <w:t>4.6.1</w:t>
            </w:r>
          </w:p>
        </w:tc>
        <w:tc>
          <w:tcPr>
            <w:tcW w:w="794" w:type="dxa"/>
            <w:tcBorders>
              <w:bottom w:val="single" w:sz="6" w:space="0" w:color="auto"/>
            </w:tcBorders>
          </w:tcPr>
          <w:p w14:paraId="7089F45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(7 403)</w:t>
            </w:r>
          </w:p>
        </w:tc>
        <w:tc>
          <w:tcPr>
            <w:tcW w:w="794" w:type="dxa"/>
            <w:tcBorders>
              <w:bottom w:val="single" w:sz="6" w:space="0" w:color="auto"/>
            </w:tcBorders>
          </w:tcPr>
          <w:p w14:paraId="776EA56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(3 690)</w:t>
            </w:r>
          </w:p>
        </w:tc>
        <w:tc>
          <w:tcPr>
            <w:tcW w:w="794" w:type="dxa"/>
            <w:tcBorders>
              <w:bottom w:val="single" w:sz="6" w:space="0" w:color="auto"/>
            </w:tcBorders>
          </w:tcPr>
          <w:p w14:paraId="6ACB986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(6 198)</w:t>
            </w:r>
          </w:p>
        </w:tc>
        <w:tc>
          <w:tcPr>
            <w:tcW w:w="794" w:type="dxa"/>
            <w:tcBorders>
              <w:bottom w:val="single" w:sz="6" w:space="0" w:color="auto"/>
            </w:tcBorders>
          </w:tcPr>
          <w:p w14:paraId="1FA2DF1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(3 294)</w:t>
            </w:r>
          </w:p>
        </w:tc>
        <w:tc>
          <w:tcPr>
            <w:tcW w:w="794" w:type="dxa"/>
            <w:tcBorders>
              <w:bottom w:val="single" w:sz="6" w:space="0" w:color="auto"/>
            </w:tcBorders>
          </w:tcPr>
          <w:p w14:paraId="465470C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(2 875)</w:t>
            </w:r>
          </w:p>
        </w:tc>
      </w:tr>
      <w:tr w:rsidR="008D6F13" w14:paraId="5F270D12"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bottom w:val="single" w:sz="6" w:space="0" w:color="auto"/>
            </w:tcBorders>
          </w:tcPr>
          <w:p w14:paraId="1A39F9A5" w14:textId="77777777" w:rsidR="008D6F13" w:rsidRDefault="008D6F13" w:rsidP="0031078F">
            <w:pPr>
              <w:spacing w:after="0"/>
            </w:pPr>
            <w:r>
              <w:rPr>
                <w:b/>
              </w:rPr>
              <w:t>Total other economic flows – other comprehensive income</w:t>
            </w:r>
          </w:p>
        </w:tc>
        <w:tc>
          <w:tcPr>
            <w:tcW w:w="567" w:type="dxa"/>
            <w:tcBorders>
              <w:top w:val="single" w:sz="6" w:space="0" w:color="auto"/>
              <w:bottom w:val="single" w:sz="6" w:space="0" w:color="auto"/>
            </w:tcBorders>
          </w:tcPr>
          <w:p w14:paraId="3D2AFDC4"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bottom w:val="single" w:sz="6" w:space="0" w:color="auto"/>
            </w:tcBorders>
          </w:tcPr>
          <w:p w14:paraId="3556255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(5 570)</w:t>
            </w:r>
          </w:p>
        </w:tc>
        <w:tc>
          <w:tcPr>
            <w:tcW w:w="794" w:type="dxa"/>
            <w:tcBorders>
              <w:top w:val="single" w:sz="6" w:space="0" w:color="auto"/>
              <w:bottom w:val="single" w:sz="6" w:space="0" w:color="auto"/>
            </w:tcBorders>
          </w:tcPr>
          <w:p w14:paraId="44E34BF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(1 440)</w:t>
            </w:r>
          </w:p>
        </w:tc>
        <w:tc>
          <w:tcPr>
            <w:tcW w:w="794" w:type="dxa"/>
            <w:tcBorders>
              <w:top w:val="single" w:sz="6" w:space="0" w:color="auto"/>
              <w:bottom w:val="single" w:sz="6" w:space="0" w:color="auto"/>
            </w:tcBorders>
          </w:tcPr>
          <w:p w14:paraId="5EE699B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2 237</w:t>
            </w:r>
          </w:p>
        </w:tc>
        <w:tc>
          <w:tcPr>
            <w:tcW w:w="794" w:type="dxa"/>
            <w:tcBorders>
              <w:top w:val="single" w:sz="6" w:space="0" w:color="auto"/>
              <w:bottom w:val="single" w:sz="6" w:space="0" w:color="auto"/>
            </w:tcBorders>
          </w:tcPr>
          <w:p w14:paraId="4FA346B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4 252</w:t>
            </w:r>
          </w:p>
        </w:tc>
        <w:tc>
          <w:tcPr>
            <w:tcW w:w="794" w:type="dxa"/>
            <w:tcBorders>
              <w:top w:val="single" w:sz="6" w:space="0" w:color="auto"/>
              <w:bottom w:val="single" w:sz="6" w:space="0" w:color="auto"/>
            </w:tcBorders>
          </w:tcPr>
          <w:p w14:paraId="45DD8AE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8 684</w:t>
            </w:r>
          </w:p>
        </w:tc>
      </w:tr>
      <w:tr w:rsidR="008D6F13" w14:paraId="1CF52CD3"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bottom w:val="single" w:sz="12" w:space="0" w:color="auto"/>
            </w:tcBorders>
          </w:tcPr>
          <w:p w14:paraId="782D521D" w14:textId="77777777" w:rsidR="008D6F13" w:rsidRDefault="008D6F13" w:rsidP="0031078F">
            <w:pPr>
              <w:spacing w:after="0"/>
            </w:pPr>
            <w:r>
              <w:rPr>
                <w:b/>
              </w:rPr>
              <w:t>Comprehensive result – total change in net worth</w:t>
            </w:r>
          </w:p>
        </w:tc>
        <w:tc>
          <w:tcPr>
            <w:tcW w:w="567" w:type="dxa"/>
            <w:tcBorders>
              <w:top w:val="single" w:sz="6" w:space="0" w:color="auto"/>
              <w:bottom w:val="single" w:sz="12" w:space="0" w:color="auto"/>
            </w:tcBorders>
          </w:tcPr>
          <w:p w14:paraId="7DB415EC"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bottom w:val="single" w:sz="12" w:space="0" w:color="auto"/>
            </w:tcBorders>
          </w:tcPr>
          <w:p w14:paraId="00B9F47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(17 664)</w:t>
            </w:r>
          </w:p>
        </w:tc>
        <w:tc>
          <w:tcPr>
            <w:tcW w:w="794" w:type="dxa"/>
            <w:tcBorders>
              <w:top w:val="single" w:sz="6" w:space="0" w:color="auto"/>
              <w:bottom w:val="single" w:sz="12" w:space="0" w:color="auto"/>
            </w:tcBorders>
          </w:tcPr>
          <w:p w14:paraId="78E3A10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(21 316)</w:t>
            </w:r>
          </w:p>
        </w:tc>
        <w:tc>
          <w:tcPr>
            <w:tcW w:w="794" w:type="dxa"/>
            <w:tcBorders>
              <w:top w:val="single" w:sz="6" w:space="0" w:color="auto"/>
              <w:bottom w:val="single" w:sz="12" w:space="0" w:color="auto"/>
            </w:tcBorders>
          </w:tcPr>
          <w:p w14:paraId="4FA5DE7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(3 481)</w:t>
            </w:r>
          </w:p>
        </w:tc>
        <w:tc>
          <w:tcPr>
            <w:tcW w:w="794" w:type="dxa"/>
            <w:tcBorders>
              <w:top w:val="single" w:sz="6" w:space="0" w:color="auto"/>
              <w:bottom w:val="single" w:sz="12" w:space="0" w:color="auto"/>
            </w:tcBorders>
          </w:tcPr>
          <w:p w14:paraId="29554F5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366</w:t>
            </w:r>
          </w:p>
        </w:tc>
        <w:tc>
          <w:tcPr>
            <w:tcW w:w="794" w:type="dxa"/>
            <w:tcBorders>
              <w:top w:val="single" w:sz="6" w:space="0" w:color="auto"/>
              <w:bottom w:val="single" w:sz="12" w:space="0" w:color="auto"/>
            </w:tcBorders>
          </w:tcPr>
          <w:p w14:paraId="48D1354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6 178</w:t>
            </w:r>
          </w:p>
        </w:tc>
      </w:tr>
      <w:tr w:rsidR="008D6F13" w14:paraId="2F9A659B"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04C55A32" w14:textId="77777777" w:rsidR="008D6F13" w:rsidRDefault="008D6F13" w:rsidP="0031078F">
            <w:pPr>
              <w:spacing w:after="0"/>
            </w:pPr>
            <w:r>
              <w:rPr>
                <w:b/>
              </w:rPr>
              <w:t>KEY FISCAL AGGREGATES</w:t>
            </w:r>
          </w:p>
        </w:tc>
        <w:tc>
          <w:tcPr>
            <w:tcW w:w="567" w:type="dxa"/>
          </w:tcPr>
          <w:p w14:paraId="2221E4D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954DA2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742FAE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7F9FD10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3123997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3DC4526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r>
      <w:tr w:rsidR="008D6F13" w14:paraId="24F114D3"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5138AE85" w14:textId="77777777" w:rsidR="008D6F13" w:rsidRDefault="008D6F13" w:rsidP="0031078F">
            <w:pPr>
              <w:spacing w:after="0"/>
            </w:pPr>
            <w:r>
              <w:rPr>
                <w:b/>
              </w:rPr>
              <w:t>Net operating balance</w:t>
            </w:r>
          </w:p>
        </w:tc>
        <w:tc>
          <w:tcPr>
            <w:tcW w:w="567" w:type="dxa"/>
          </w:tcPr>
          <w:p w14:paraId="068BFB8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33D7AB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(11 624)</w:t>
            </w:r>
          </w:p>
        </w:tc>
        <w:tc>
          <w:tcPr>
            <w:tcW w:w="794" w:type="dxa"/>
          </w:tcPr>
          <w:p w14:paraId="289A281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(19 538)</w:t>
            </w:r>
          </w:p>
        </w:tc>
        <w:tc>
          <w:tcPr>
            <w:tcW w:w="794" w:type="dxa"/>
          </w:tcPr>
          <w:p w14:paraId="3D017B4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(5 276)</w:t>
            </w:r>
          </w:p>
        </w:tc>
        <w:tc>
          <w:tcPr>
            <w:tcW w:w="794" w:type="dxa"/>
          </w:tcPr>
          <w:p w14:paraId="7CE3737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(3 447)</w:t>
            </w:r>
          </w:p>
        </w:tc>
        <w:tc>
          <w:tcPr>
            <w:tcW w:w="794" w:type="dxa"/>
          </w:tcPr>
          <w:p w14:paraId="3CD07A5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(2 105)</w:t>
            </w:r>
          </w:p>
        </w:tc>
      </w:tr>
      <w:tr w:rsidR="008D6F13" w14:paraId="5446D3E2"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bottom w:val="single" w:sz="6" w:space="0" w:color="auto"/>
            </w:tcBorders>
          </w:tcPr>
          <w:p w14:paraId="4FB89A40" w14:textId="77777777" w:rsidR="008D6F13" w:rsidRDefault="008D6F13" w:rsidP="0031078F">
            <w:pPr>
              <w:spacing w:after="0"/>
            </w:pPr>
            <w:r>
              <w:t>Less: Net acquisition of non</w:t>
            </w:r>
            <w:r>
              <w:noBreakHyphen/>
              <w:t>financial assets from transactions</w:t>
            </w:r>
          </w:p>
        </w:tc>
        <w:tc>
          <w:tcPr>
            <w:tcW w:w="567" w:type="dxa"/>
            <w:tcBorders>
              <w:bottom w:val="single" w:sz="6" w:space="0" w:color="auto"/>
            </w:tcBorders>
          </w:tcPr>
          <w:p w14:paraId="78025A8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4.3.7</w:t>
            </w:r>
          </w:p>
        </w:tc>
        <w:tc>
          <w:tcPr>
            <w:tcW w:w="794" w:type="dxa"/>
            <w:tcBorders>
              <w:bottom w:val="single" w:sz="6" w:space="0" w:color="auto"/>
            </w:tcBorders>
          </w:tcPr>
          <w:p w14:paraId="0D5889C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7 442</w:t>
            </w:r>
          </w:p>
        </w:tc>
        <w:tc>
          <w:tcPr>
            <w:tcW w:w="794" w:type="dxa"/>
            <w:tcBorders>
              <w:bottom w:val="single" w:sz="6" w:space="0" w:color="auto"/>
            </w:tcBorders>
          </w:tcPr>
          <w:p w14:paraId="18AA2D6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9 004</w:t>
            </w:r>
          </w:p>
        </w:tc>
        <w:tc>
          <w:tcPr>
            <w:tcW w:w="794" w:type="dxa"/>
            <w:tcBorders>
              <w:bottom w:val="single" w:sz="6" w:space="0" w:color="auto"/>
            </w:tcBorders>
          </w:tcPr>
          <w:p w14:paraId="539C6BE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7 095</w:t>
            </w:r>
          </w:p>
        </w:tc>
        <w:tc>
          <w:tcPr>
            <w:tcW w:w="794" w:type="dxa"/>
            <w:tcBorders>
              <w:bottom w:val="single" w:sz="6" w:space="0" w:color="auto"/>
            </w:tcBorders>
          </w:tcPr>
          <w:p w14:paraId="32E58D6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12 691</w:t>
            </w:r>
          </w:p>
        </w:tc>
        <w:tc>
          <w:tcPr>
            <w:tcW w:w="794" w:type="dxa"/>
            <w:tcBorders>
              <w:bottom w:val="single" w:sz="6" w:space="0" w:color="auto"/>
            </w:tcBorders>
          </w:tcPr>
          <w:p w14:paraId="2B6EC9F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13 172</w:t>
            </w:r>
          </w:p>
        </w:tc>
      </w:tr>
      <w:tr w:rsidR="008D6F13" w14:paraId="0CB8D214"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3C3B660F" w14:textId="77777777" w:rsidR="008D6F13" w:rsidRDefault="008D6F13" w:rsidP="0031078F">
            <w:pPr>
              <w:spacing w:after="0"/>
            </w:pPr>
            <w:r>
              <w:rPr>
                <w:b/>
              </w:rPr>
              <w:t>Net lending/(borrowing)</w:t>
            </w:r>
          </w:p>
        </w:tc>
        <w:tc>
          <w:tcPr>
            <w:tcW w:w="567" w:type="dxa"/>
          </w:tcPr>
          <w:p w14:paraId="4DC728F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6C7A50B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(19 066)</w:t>
            </w:r>
          </w:p>
        </w:tc>
        <w:tc>
          <w:tcPr>
            <w:tcW w:w="794" w:type="dxa"/>
          </w:tcPr>
          <w:p w14:paraId="2B77219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(28 542)</w:t>
            </w:r>
          </w:p>
        </w:tc>
        <w:tc>
          <w:tcPr>
            <w:tcW w:w="794" w:type="dxa"/>
          </w:tcPr>
          <w:p w14:paraId="144FB49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(12 371)</w:t>
            </w:r>
          </w:p>
        </w:tc>
        <w:tc>
          <w:tcPr>
            <w:tcW w:w="794" w:type="dxa"/>
          </w:tcPr>
          <w:p w14:paraId="50CF8A1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(16 138)</w:t>
            </w:r>
          </w:p>
        </w:tc>
        <w:tc>
          <w:tcPr>
            <w:tcW w:w="794" w:type="dxa"/>
          </w:tcPr>
          <w:p w14:paraId="44F1D658" w14:textId="1331BDB5"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(15 278)</w:t>
            </w:r>
          </w:p>
        </w:tc>
      </w:tr>
    </w:tbl>
    <w:p w14:paraId="295FF028" w14:textId="77777777" w:rsidR="008D6F13" w:rsidRDefault="008D6F13" w:rsidP="008D6F13">
      <w:pPr>
        <w:pStyle w:val="Source"/>
      </w:pPr>
      <w:r w:rsidRPr="00416984">
        <w:t>The accompanying notes form part of these Estimated Financial Statements.</w:t>
      </w:r>
    </w:p>
    <w:p w14:paraId="608CEC6C" w14:textId="77777777" w:rsidR="008D6F13" w:rsidRPr="00510877" w:rsidRDefault="008D6F13" w:rsidP="008D6F13"/>
    <w:p w14:paraId="1956C66D" w14:textId="77777777" w:rsidR="008D6F13" w:rsidRDefault="008D6F13" w:rsidP="008D6F13">
      <w:pPr>
        <w:pStyle w:val="Heading10"/>
        <w:pageBreakBefore/>
      </w:pPr>
      <w:bookmarkStart w:id="66" w:name="_Toc89423589"/>
      <w:r>
        <w:lastRenderedPageBreak/>
        <w:t>Estimated general government sector</w:t>
      </w:r>
      <w:r>
        <w:br/>
        <w:t>balance sheet</w:t>
      </w:r>
      <w:bookmarkEnd w:id="66"/>
      <w:r>
        <w:t xml:space="preserve"> </w:t>
      </w:r>
    </w:p>
    <w:p w14:paraId="3106F93F" w14:textId="77777777" w:rsidR="008D6F13" w:rsidRDefault="008D6F13" w:rsidP="008D6F13">
      <w:pPr>
        <w:pStyle w:val="TableHeading"/>
      </w:pPr>
      <w:r>
        <w:t xml:space="preserve">As </w:t>
      </w:r>
      <w:proofErr w:type="gramStart"/>
      <w:r>
        <w:t>at</w:t>
      </w:r>
      <w:proofErr w:type="gramEnd"/>
      <w:r>
        <w:t xml:space="preserve"> 30 June</w:t>
      </w:r>
      <w:r>
        <w:tab/>
        <w:t>($ million)</w:t>
      </w:r>
    </w:p>
    <w:tbl>
      <w:tblPr>
        <w:tblStyle w:val="DTFTableNumeric"/>
        <w:tblW w:w="7710" w:type="dxa"/>
        <w:tblLayout w:type="fixed"/>
        <w:tblLook w:val="06A0" w:firstRow="1" w:lastRow="0" w:firstColumn="1" w:lastColumn="0" w:noHBand="1" w:noVBand="1"/>
      </w:tblPr>
      <w:tblGrid>
        <w:gridCol w:w="3173"/>
        <w:gridCol w:w="567"/>
        <w:gridCol w:w="794"/>
        <w:gridCol w:w="794"/>
        <w:gridCol w:w="794"/>
        <w:gridCol w:w="794"/>
        <w:gridCol w:w="794"/>
      </w:tblGrid>
      <w:tr w:rsidR="008D6F13" w14:paraId="29D1BD53"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73" w:type="dxa"/>
          </w:tcPr>
          <w:p w14:paraId="7394C1D2" w14:textId="5FFC32C5" w:rsidR="008D6F13" w:rsidRDefault="008D6F13" w:rsidP="0031078F"/>
        </w:tc>
        <w:tc>
          <w:tcPr>
            <w:tcW w:w="567" w:type="dxa"/>
          </w:tcPr>
          <w:p w14:paraId="2CDC909F" w14:textId="77777777" w:rsidR="008D6F13" w:rsidRDefault="008D6F13" w:rsidP="0031078F">
            <w:pPr>
              <w:jc w:val="center"/>
              <w:cnfStyle w:val="100000000000" w:firstRow="1" w:lastRow="0" w:firstColumn="0" w:lastColumn="0" w:oddVBand="0" w:evenVBand="0" w:oddHBand="0" w:evenHBand="0" w:firstRowFirstColumn="0" w:firstRowLastColumn="0" w:lastRowFirstColumn="0" w:lastRowLastColumn="0"/>
            </w:pPr>
            <w:r>
              <w:t>Notes</w:t>
            </w:r>
          </w:p>
        </w:tc>
        <w:tc>
          <w:tcPr>
            <w:tcW w:w="794" w:type="dxa"/>
          </w:tcPr>
          <w:p w14:paraId="24A4FD0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br/>
              <w:t>budget</w:t>
            </w:r>
            <w:r>
              <w:rPr>
                <w:vertAlign w:val="superscript"/>
              </w:rPr>
              <w:t xml:space="preserve"> (a)</w:t>
            </w:r>
          </w:p>
        </w:tc>
        <w:tc>
          <w:tcPr>
            <w:tcW w:w="794" w:type="dxa"/>
          </w:tcPr>
          <w:p w14:paraId="688ACFA6"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br/>
              <w:t>revised</w:t>
            </w:r>
          </w:p>
        </w:tc>
        <w:tc>
          <w:tcPr>
            <w:tcW w:w="794" w:type="dxa"/>
          </w:tcPr>
          <w:p w14:paraId="304D0DAA"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br/>
              <w:t>estimate</w:t>
            </w:r>
          </w:p>
        </w:tc>
        <w:tc>
          <w:tcPr>
            <w:tcW w:w="794" w:type="dxa"/>
          </w:tcPr>
          <w:p w14:paraId="1711FDFD"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br/>
              <w:t>estimate</w:t>
            </w:r>
          </w:p>
        </w:tc>
        <w:tc>
          <w:tcPr>
            <w:tcW w:w="794" w:type="dxa"/>
          </w:tcPr>
          <w:p w14:paraId="28499479"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2025</w:t>
            </w:r>
            <w:r>
              <w:br/>
              <w:t>estimate</w:t>
            </w:r>
          </w:p>
        </w:tc>
      </w:tr>
      <w:tr w:rsidR="008D6F13" w14:paraId="72BAE464"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6E58EB0C" w14:textId="77777777" w:rsidR="008D6F13" w:rsidRDefault="008D6F13" w:rsidP="0031078F">
            <w:r>
              <w:rPr>
                <w:b/>
              </w:rPr>
              <w:t>Assets</w:t>
            </w:r>
          </w:p>
        </w:tc>
        <w:tc>
          <w:tcPr>
            <w:tcW w:w="567" w:type="dxa"/>
          </w:tcPr>
          <w:p w14:paraId="643E19A7"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3D6B03E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D81351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0DDB4F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473BE1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74F92A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15515819"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06D8BF9A" w14:textId="77777777" w:rsidR="008D6F13" w:rsidRDefault="008D6F13" w:rsidP="0031078F">
            <w:r>
              <w:rPr>
                <w:b/>
              </w:rPr>
              <w:t>Financial assets</w:t>
            </w:r>
          </w:p>
        </w:tc>
        <w:tc>
          <w:tcPr>
            <w:tcW w:w="567" w:type="dxa"/>
          </w:tcPr>
          <w:p w14:paraId="443B2061"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2B56143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0532A5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18B748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E02A96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72A858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13659FBE"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6CAD7891" w14:textId="77777777" w:rsidR="008D6F13" w:rsidRDefault="008D6F13" w:rsidP="0031078F">
            <w:r>
              <w:t>Cash and deposits</w:t>
            </w:r>
          </w:p>
        </w:tc>
        <w:tc>
          <w:tcPr>
            <w:tcW w:w="567" w:type="dxa"/>
          </w:tcPr>
          <w:p w14:paraId="55F74970"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0AC923C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14 899</w:t>
            </w:r>
          </w:p>
        </w:tc>
        <w:tc>
          <w:tcPr>
            <w:tcW w:w="794" w:type="dxa"/>
          </w:tcPr>
          <w:p w14:paraId="616E7E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14 690</w:t>
            </w:r>
          </w:p>
        </w:tc>
        <w:tc>
          <w:tcPr>
            <w:tcW w:w="794" w:type="dxa"/>
          </w:tcPr>
          <w:p w14:paraId="66EB925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14 855</w:t>
            </w:r>
          </w:p>
        </w:tc>
        <w:tc>
          <w:tcPr>
            <w:tcW w:w="794" w:type="dxa"/>
          </w:tcPr>
          <w:p w14:paraId="7659CF1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15 089</w:t>
            </w:r>
          </w:p>
        </w:tc>
        <w:tc>
          <w:tcPr>
            <w:tcW w:w="794" w:type="dxa"/>
          </w:tcPr>
          <w:p w14:paraId="6E6AD47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15 380</w:t>
            </w:r>
          </w:p>
        </w:tc>
      </w:tr>
      <w:tr w:rsidR="008D6F13" w14:paraId="236A7F33"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3CADECA7" w14:textId="77777777" w:rsidR="008D6F13" w:rsidRDefault="008D6F13" w:rsidP="0031078F">
            <w:r>
              <w:t>Advances paid</w:t>
            </w:r>
          </w:p>
        </w:tc>
        <w:tc>
          <w:tcPr>
            <w:tcW w:w="567" w:type="dxa"/>
          </w:tcPr>
          <w:p w14:paraId="775C9815"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r>
              <w:t>4.5.2</w:t>
            </w:r>
          </w:p>
        </w:tc>
        <w:tc>
          <w:tcPr>
            <w:tcW w:w="794" w:type="dxa"/>
          </w:tcPr>
          <w:p w14:paraId="3643608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4 800</w:t>
            </w:r>
          </w:p>
        </w:tc>
        <w:tc>
          <w:tcPr>
            <w:tcW w:w="794" w:type="dxa"/>
          </w:tcPr>
          <w:p w14:paraId="51DB017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4 840</w:t>
            </w:r>
          </w:p>
        </w:tc>
        <w:tc>
          <w:tcPr>
            <w:tcW w:w="794" w:type="dxa"/>
          </w:tcPr>
          <w:p w14:paraId="59D43E0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4 896</w:t>
            </w:r>
          </w:p>
        </w:tc>
        <w:tc>
          <w:tcPr>
            <w:tcW w:w="794" w:type="dxa"/>
          </w:tcPr>
          <w:p w14:paraId="3E5D29F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6 449</w:t>
            </w:r>
          </w:p>
        </w:tc>
        <w:tc>
          <w:tcPr>
            <w:tcW w:w="794" w:type="dxa"/>
          </w:tcPr>
          <w:p w14:paraId="171F361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6 463</w:t>
            </w:r>
          </w:p>
        </w:tc>
      </w:tr>
      <w:tr w:rsidR="008D6F13" w14:paraId="7D126691"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479E8A83" w14:textId="77777777" w:rsidR="008D6F13" w:rsidRDefault="008D6F13" w:rsidP="0031078F">
            <w:r>
              <w:t>Receivables and contract assets</w:t>
            </w:r>
          </w:p>
        </w:tc>
        <w:tc>
          <w:tcPr>
            <w:tcW w:w="567" w:type="dxa"/>
          </w:tcPr>
          <w:p w14:paraId="2834AC44"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07C17D0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6 410</w:t>
            </w:r>
          </w:p>
        </w:tc>
        <w:tc>
          <w:tcPr>
            <w:tcW w:w="794" w:type="dxa"/>
          </w:tcPr>
          <w:p w14:paraId="24E6449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7 191</w:t>
            </w:r>
          </w:p>
        </w:tc>
        <w:tc>
          <w:tcPr>
            <w:tcW w:w="794" w:type="dxa"/>
          </w:tcPr>
          <w:p w14:paraId="30E246E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7 319</w:t>
            </w:r>
          </w:p>
        </w:tc>
        <w:tc>
          <w:tcPr>
            <w:tcW w:w="794" w:type="dxa"/>
          </w:tcPr>
          <w:p w14:paraId="73C6AA9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7 547</w:t>
            </w:r>
          </w:p>
        </w:tc>
        <w:tc>
          <w:tcPr>
            <w:tcW w:w="794" w:type="dxa"/>
          </w:tcPr>
          <w:p w14:paraId="278A3B5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7 849</w:t>
            </w:r>
          </w:p>
        </w:tc>
      </w:tr>
      <w:tr w:rsidR="008D6F13" w14:paraId="767599F3"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45F5C834" w14:textId="77777777" w:rsidR="008D6F13" w:rsidRDefault="008D6F13" w:rsidP="0031078F">
            <w:r>
              <w:t xml:space="preserve">Investments, </w:t>
            </w:r>
            <w:proofErr w:type="gramStart"/>
            <w:r>
              <w:t>loans</w:t>
            </w:r>
            <w:proofErr w:type="gramEnd"/>
            <w:r>
              <w:t xml:space="preserve"> and placements</w:t>
            </w:r>
          </w:p>
        </w:tc>
        <w:tc>
          <w:tcPr>
            <w:tcW w:w="567" w:type="dxa"/>
          </w:tcPr>
          <w:p w14:paraId="010E52BA"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r>
              <w:t>4.5.2</w:t>
            </w:r>
          </w:p>
        </w:tc>
        <w:tc>
          <w:tcPr>
            <w:tcW w:w="794" w:type="dxa"/>
          </w:tcPr>
          <w:p w14:paraId="1D88694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2 924</w:t>
            </w:r>
          </w:p>
        </w:tc>
        <w:tc>
          <w:tcPr>
            <w:tcW w:w="794" w:type="dxa"/>
          </w:tcPr>
          <w:p w14:paraId="153AF1F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3 541</w:t>
            </w:r>
          </w:p>
        </w:tc>
        <w:tc>
          <w:tcPr>
            <w:tcW w:w="794" w:type="dxa"/>
          </w:tcPr>
          <w:p w14:paraId="1160EEF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3 728</w:t>
            </w:r>
          </w:p>
        </w:tc>
        <w:tc>
          <w:tcPr>
            <w:tcW w:w="794" w:type="dxa"/>
          </w:tcPr>
          <w:p w14:paraId="4EBCBA0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3 986</w:t>
            </w:r>
          </w:p>
        </w:tc>
        <w:tc>
          <w:tcPr>
            <w:tcW w:w="794" w:type="dxa"/>
          </w:tcPr>
          <w:p w14:paraId="3939B8D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4 243</w:t>
            </w:r>
          </w:p>
        </w:tc>
      </w:tr>
      <w:tr w:rsidR="008D6F13" w14:paraId="40E1B914"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189FEACD" w14:textId="77777777" w:rsidR="008D6F13" w:rsidRDefault="008D6F13" w:rsidP="0031078F">
            <w:r>
              <w:t>Investments accounted for using equity method</w:t>
            </w:r>
          </w:p>
        </w:tc>
        <w:tc>
          <w:tcPr>
            <w:tcW w:w="567" w:type="dxa"/>
          </w:tcPr>
          <w:p w14:paraId="49FF8720"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6AEFA97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074642E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2D827D8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021762F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563B6D6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w:t>
            </w:r>
          </w:p>
        </w:tc>
      </w:tr>
      <w:tr w:rsidR="008D6F13" w14:paraId="7D80ADB2"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bottom w:val="single" w:sz="6" w:space="0" w:color="auto"/>
            </w:tcBorders>
          </w:tcPr>
          <w:p w14:paraId="2E8613E0" w14:textId="77777777" w:rsidR="008D6F13" w:rsidRDefault="008D6F13" w:rsidP="0031078F">
            <w:r>
              <w:t>Investments in other sector entities</w:t>
            </w:r>
          </w:p>
        </w:tc>
        <w:tc>
          <w:tcPr>
            <w:tcW w:w="567" w:type="dxa"/>
            <w:tcBorders>
              <w:bottom w:val="single" w:sz="6" w:space="0" w:color="auto"/>
            </w:tcBorders>
          </w:tcPr>
          <w:p w14:paraId="68B54985"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r>
              <w:t>4.6.1</w:t>
            </w:r>
          </w:p>
        </w:tc>
        <w:tc>
          <w:tcPr>
            <w:tcW w:w="794" w:type="dxa"/>
            <w:tcBorders>
              <w:bottom w:val="single" w:sz="6" w:space="0" w:color="auto"/>
            </w:tcBorders>
          </w:tcPr>
          <w:p w14:paraId="0DD268A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76 802</w:t>
            </w:r>
          </w:p>
        </w:tc>
        <w:tc>
          <w:tcPr>
            <w:tcW w:w="794" w:type="dxa"/>
            <w:tcBorders>
              <w:bottom w:val="single" w:sz="6" w:space="0" w:color="auto"/>
            </w:tcBorders>
          </w:tcPr>
          <w:p w14:paraId="5C05B9B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73 542</w:t>
            </w:r>
          </w:p>
        </w:tc>
        <w:tc>
          <w:tcPr>
            <w:tcW w:w="794" w:type="dxa"/>
            <w:tcBorders>
              <w:bottom w:val="single" w:sz="6" w:space="0" w:color="auto"/>
            </w:tcBorders>
          </w:tcPr>
          <w:p w14:paraId="62B3772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74 954</w:t>
            </w:r>
          </w:p>
        </w:tc>
        <w:tc>
          <w:tcPr>
            <w:tcW w:w="794" w:type="dxa"/>
            <w:tcBorders>
              <w:bottom w:val="single" w:sz="6" w:space="0" w:color="auto"/>
            </w:tcBorders>
          </w:tcPr>
          <w:p w14:paraId="19EEF7C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75 866</w:t>
            </w:r>
          </w:p>
        </w:tc>
        <w:tc>
          <w:tcPr>
            <w:tcW w:w="794" w:type="dxa"/>
            <w:tcBorders>
              <w:bottom w:val="single" w:sz="6" w:space="0" w:color="auto"/>
            </w:tcBorders>
          </w:tcPr>
          <w:p w14:paraId="7FA524C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78 637</w:t>
            </w:r>
          </w:p>
        </w:tc>
      </w:tr>
      <w:tr w:rsidR="008D6F13" w14:paraId="44D1E49E"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bottom w:val="single" w:sz="6" w:space="0" w:color="auto"/>
            </w:tcBorders>
          </w:tcPr>
          <w:p w14:paraId="4C9489E9" w14:textId="77777777" w:rsidR="008D6F13" w:rsidRDefault="008D6F13" w:rsidP="0031078F">
            <w:r>
              <w:rPr>
                <w:b/>
              </w:rPr>
              <w:t>Total financial assets</w:t>
            </w:r>
          </w:p>
        </w:tc>
        <w:tc>
          <w:tcPr>
            <w:tcW w:w="567" w:type="dxa"/>
            <w:tcBorders>
              <w:top w:val="single" w:sz="6" w:space="0" w:color="auto"/>
              <w:bottom w:val="single" w:sz="6" w:space="0" w:color="auto"/>
            </w:tcBorders>
          </w:tcPr>
          <w:p w14:paraId="797BA069"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bottom w:val="single" w:sz="6" w:space="0" w:color="auto"/>
            </w:tcBorders>
          </w:tcPr>
          <w:p w14:paraId="16C5C42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105 846</w:t>
            </w:r>
          </w:p>
        </w:tc>
        <w:tc>
          <w:tcPr>
            <w:tcW w:w="794" w:type="dxa"/>
            <w:tcBorders>
              <w:top w:val="single" w:sz="6" w:space="0" w:color="auto"/>
              <w:bottom w:val="single" w:sz="6" w:space="0" w:color="auto"/>
            </w:tcBorders>
          </w:tcPr>
          <w:p w14:paraId="3C029DC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103 814</w:t>
            </w:r>
          </w:p>
        </w:tc>
        <w:tc>
          <w:tcPr>
            <w:tcW w:w="794" w:type="dxa"/>
            <w:tcBorders>
              <w:top w:val="single" w:sz="6" w:space="0" w:color="auto"/>
              <w:bottom w:val="single" w:sz="6" w:space="0" w:color="auto"/>
            </w:tcBorders>
          </w:tcPr>
          <w:p w14:paraId="4B6BA91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105 761</w:t>
            </w:r>
          </w:p>
        </w:tc>
        <w:tc>
          <w:tcPr>
            <w:tcW w:w="794" w:type="dxa"/>
            <w:tcBorders>
              <w:top w:val="single" w:sz="6" w:space="0" w:color="auto"/>
              <w:bottom w:val="single" w:sz="6" w:space="0" w:color="auto"/>
            </w:tcBorders>
          </w:tcPr>
          <w:p w14:paraId="7C41DFD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108 946</w:t>
            </w:r>
          </w:p>
        </w:tc>
        <w:tc>
          <w:tcPr>
            <w:tcW w:w="794" w:type="dxa"/>
            <w:tcBorders>
              <w:top w:val="single" w:sz="6" w:space="0" w:color="auto"/>
              <w:bottom w:val="single" w:sz="6" w:space="0" w:color="auto"/>
            </w:tcBorders>
          </w:tcPr>
          <w:p w14:paraId="0635462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112 581</w:t>
            </w:r>
          </w:p>
        </w:tc>
      </w:tr>
      <w:tr w:rsidR="008D6F13" w14:paraId="3F771A30"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tcBorders>
          </w:tcPr>
          <w:p w14:paraId="433C6B0C" w14:textId="77777777" w:rsidR="008D6F13" w:rsidRDefault="008D6F13" w:rsidP="0031078F">
            <w:r>
              <w:rPr>
                <w:b/>
              </w:rPr>
              <w:t>Non</w:t>
            </w:r>
            <w:r>
              <w:rPr>
                <w:b/>
              </w:rPr>
              <w:noBreakHyphen/>
              <w:t>financial assets</w:t>
            </w:r>
          </w:p>
        </w:tc>
        <w:tc>
          <w:tcPr>
            <w:tcW w:w="567" w:type="dxa"/>
            <w:tcBorders>
              <w:top w:val="single" w:sz="6" w:space="0" w:color="auto"/>
            </w:tcBorders>
          </w:tcPr>
          <w:p w14:paraId="7FE3898A"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7207FB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4CFC69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201D95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BFC5DB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BA4E1C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4C86B713"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57347D6D" w14:textId="77777777" w:rsidR="008D6F13" w:rsidRDefault="008D6F13" w:rsidP="0031078F">
            <w:r>
              <w:t>Inventories</w:t>
            </w:r>
          </w:p>
        </w:tc>
        <w:tc>
          <w:tcPr>
            <w:tcW w:w="567" w:type="dxa"/>
          </w:tcPr>
          <w:p w14:paraId="13BC9E36"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460E286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588</w:t>
            </w:r>
          </w:p>
        </w:tc>
        <w:tc>
          <w:tcPr>
            <w:tcW w:w="794" w:type="dxa"/>
          </w:tcPr>
          <w:p w14:paraId="2830C66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588</w:t>
            </w:r>
          </w:p>
        </w:tc>
        <w:tc>
          <w:tcPr>
            <w:tcW w:w="794" w:type="dxa"/>
          </w:tcPr>
          <w:p w14:paraId="7237D56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197</w:t>
            </w:r>
          </w:p>
        </w:tc>
        <w:tc>
          <w:tcPr>
            <w:tcW w:w="794" w:type="dxa"/>
          </w:tcPr>
          <w:p w14:paraId="6302998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200</w:t>
            </w:r>
          </w:p>
        </w:tc>
        <w:tc>
          <w:tcPr>
            <w:tcW w:w="794" w:type="dxa"/>
          </w:tcPr>
          <w:p w14:paraId="75C9747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204</w:t>
            </w:r>
          </w:p>
        </w:tc>
      </w:tr>
      <w:tr w:rsidR="008D6F13" w14:paraId="35EC9776"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672A41D2" w14:textId="77777777" w:rsidR="008D6F13" w:rsidRDefault="008D6F13" w:rsidP="0031078F">
            <w:r>
              <w:t>Non</w:t>
            </w:r>
            <w:r>
              <w:noBreakHyphen/>
              <w:t>financial assets held for sale</w:t>
            </w:r>
          </w:p>
        </w:tc>
        <w:tc>
          <w:tcPr>
            <w:tcW w:w="567" w:type="dxa"/>
          </w:tcPr>
          <w:p w14:paraId="5B2C0109"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423097C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194</w:t>
            </w:r>
          </w:p>
        </w:tc>
        <w:tc>
          <w:tcPr>
            <w:tcW w:w="794" w:type="dxa"/>
          </w:tcPr>
          <w:p w14:paraId="5D3A86A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194</w:t>
            </w:r>
          </w:p>
        </w:tc>
        <w:tc>
          <w:tcPr>
            <w:tcW w:w="794" w:type="dxa"/>
          </w:tcPr>
          <w:p w14:paraId="294C8FB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192</w:t>
            </w:r>
          </w:p>
        </w:tc>
        <w:tc>
          <w:tcPr>
            <w:tcW w:w="794" w:type="dxa"/>
          </w:tcPr>
          <w:p w14:paraId="7931E0D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170</w:t>
            </w:r>
          </w:p>
        </w:tc>
        <w:tc>
          <w:tcPr>
            <w:tcW w:w="794" w:type="dxa"/>
          </w:tcPr>
          <w:p w14:paraId="098B093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142</w:t>
            </w:r>
          </w:p>
        </w:tc>
      </w:tr>
      <w:tr w:rsidR="008D6F13" w14:paraId="25D0ED2A"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507B4A9B" w14:textId="77777777" w:rsidR="008D6F13" w:rsidRDefault="008D6F13" w:rsidP="0031078F">
            <w:r>
              <w:t xml:space="preserve">Land, buildings, infrastructure, </w:t>
            </w:r>
            <w:proofErr w:type="gramStart"/>
            <w:r>
              <w:t>plant</w:t>
            </w:r>
            <w:proofErr w:type="gramEnd"/>
            <w:r>
              <w:t xml:space="preserve"> and equipment</w:t>
            </w:r>
          </w:p>
        </w:tc>
        <w:tc>
          <w:tcPr>
            <w:tcW w:w="567" w:type="dxa"/>
          </w:tcPr>
          <w:p w14:paraId="24E9F3C0"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r>
              <w:t>4.4.1</w:t>
            </w:r>
          </w:p>
        </w:tc>
        <w:tc>
          <w:tcPr>
            <w:tcW w:w="794" w:type="dxa"/>
          </w:tcPr>
          <w:p w14:paraId="3E38E59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204 051</w:t>
            </w:r>
          </w:p>
        </w:tc>
        <w:tc>
          <w:tcPr>
            <w:tcW w:w="794" w:type="dxa"/>
          </w:tcPr>
          <w:p w14:paraId="27CDA23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205 561</w:t>
            </w:r>
          </w:p>
        </w:tc>
        <w:tc>
          <w:tcPr>
            <w:tcW w:w="794" w:type="dxa"/>
          </w:tcPr>
          <w:p w14:paraId="16D4B3D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220 254</w:t>
            </w:r>
          </w:p>
        </w:tc>
        <w:tc>
          <w:tcPr>
            <w:tcW w:w="794" w:type="dxa"/>
          </w:tcPr>
          <w:p w14:paraId="7904A1E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239 497</w:t>
            </w:r>
          </w:p>
        </w:tc>
        <w:tc>
          <w:tcPr>
            <w:tcW w:w="794" w:type="dxa"/>
          </w:tcPr>
          <w:p w14:paraId="41C461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262 807</w:t>
            </w:r>
          </w:p>
        </w:tc>
      </w:tr>
      <w:tr w:rsidR="008D6F13" w14:paraId="4C1096EB"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bottom w:val="single" w:sz="6" w:space="0" w:color="auto"/>
            </w:tcBorders>
          </w:tcPr>
          <w:p w14:paraId="5B273AB9" w14:textId="77777777" w:rsidR="008D6F13" w:rsidRDefault="008D6F13" w:rsidP="0031078F">
            <w:r>
              <w:t>Other non</w:t>
            </w:r>
            <w:r>
              <w:noBreakHyphen/>
              <w:t>financial assets</w:t>
            </w:r>
          </w:p>
        </w:tc>
        <w:tc>
          <w:tcPr>
            <w:tcW w:w="567" w:type="dxa"/>
            <w:tcBorders>
              <w:bottom w:val="single" w:sz="6" w:space="0" w:color="auto"/>
            </w:tcBorders>
          </w:tcPr>
          <w:p w14:paraId="0B04BC94"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r>
              <w:t>4.4.4</w:t>
            </w:r>
          </w:p>
        </w:tc>
        <w:tc>
          <w:tcPr>
            <w:tcW w:w="794" w:type="dxa"/>
            <w:tcBorders>
              <w:bottom w:val="single" w:sz="6" w:space="0" w:color="auto"/>
            </w:tcBorders>
          </w:tcPr>
          <w:p w14:paraId="4FC3266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3 036</w:t>
            </w:r>
          </w:p>
        </w:tc>
        <w:tc>
          <w:tcPr>
            <w:tcW w:w="794" w:type="dxa"/>
            <w:tcBorders>
              <w:bottom w:val="single" w:sz="6" w:space="0" w:color="auto"/>
            </w:tcBorders>
          </w:tcPr>
          <w:p w14:paraId="0CA5E0F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3 298</w:t>
            </w:r>
          </w:p>
        </w:tc>
        <w:tc>
          <w:tcPr>
            <w:tcW w:w="794" w:type="dxa"/>
            <w:tcBorders>
              <w:bottom w:val="single" w:sz="6" w:space="0" w:color="auto"/>
            </w:tcBorders>
          </w:tcPr>
          <w:p w14:paraId="52B4348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3 058</w:t>
            </w:r>
          </w:p>
        </w:tc>
        <w:tc>
          <w:tcPr>
            <w:tcW w:w="794" w:type="dxa"/>
            <w:tcBorders>
              <w:bottom w:val="single" w:sz="6" w:space="0" w:color="auto"/>
            </w:tcBorders>
          </w:tcPr>
          <w:p w14:paraId="664F0B5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2 830</w:t>
            </w:r>
          </w:p>
        </w:tc>
        <w:tc>
          <w:tcPr>
            <w:tcW w:w="794" w:type="dxa"/>
            <w:tcBorders>
              <w:bottom w:val="single" w:sz="6" w:space="0" w:color="auto"/>
            </w:tcBorders>
          </w:tcPr>
          <w:p w14:paraId="0173A1B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2 600</w:t>
            </w:r>
          </w:p>
        </w:tc>
      </w:tr>
      <w:tr w:rsidR="008D6F13" w14:paraId="3D126F10"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bottom w:val="single" w:sz="6" w:space="0" w:color="auto"/>
            </w:tcBorders>
          </w:tcPr>
          <w:p w14:paraId="337A853F" w14:textId="77777777" w:rsidR="008D6F13" w:rsidRDefault="008D6F13" w:rsidP="0031078F">
            <w:r>
              <w:rPr>
                <w:b/>
              </w:rPr>
              <w:t>Total non</w:t>
            </w:r>
            <w:r>
              <w:rPr>
                <w:b/>
              </w:rPr>
              <w:noBreakHyphen/>
              <w:t>financial assets</w:t>
            </w:r>
          </w:p>
        </w:tc>
        <w:tc>
          <w:tcPr>
            <w:tcW w:w="567" w:type="dxa"/>
            <w:tcBorders>
              <w:top w:val="single" w:sz="6" w:space="0" w:color="auto"/>
              <w:bottom w:val="single" w:sz="6" w:space="0" w:color="auto"/>
            </w:tcBorders>
          </w:tcPr>
          <w:p w14:paraId="7E5698F3"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bottom w:val="single" w:sz="6" w:space="0" w:color="auto"/>
            </w:tcBorders>
          </w:tcPr>
          <w:p w14:paraId="5B36A50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207 869</w:t>
            </w:r>
          </w:p>
        </w:tc>
        <w:tc>
          <w:tcPr>
            <w:tcW w:w="794" w:type="dxa"/>
            <w:tcBorders>
              <w:top w:val="single" w:sz="6" w:space="0" w:color="auto"/>
              <w:bottom w:val="single" w:sz="6" w:space="0" w:color="auto"/>
            </w:tcBorders>
          </w:tcPr>
          <w:p w14:paraId="5A65D60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209 641</w:t>
            </w:r>
          </w:p>
        </w:tc>
        <w:tc>
          <w:tcPr>
            <w:tcW w:w="794" w:type="dxa"/>
            <w:tcBorders>
              <w:top w:val="single" w:sz="6" w:space="0" w:color="auto"/>
              <w:bottom w:val="single" w:sz="6" w:space="0" w:color="auto"/>
            </w:tcBorders>
          </w:tcPr>
          <w:p w14:paraId="0FD0DE9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223 701</w:t>
            </w:r>
          </w:p>
        </w:tc>
        <w:tc>
          <w:tcPr>
            <w:tcW w:w="794" w:type="dxa"/>
            <w:tcBorders>
              <w:top w:val="single" w:sz="6" w:space="0" w:color="auto"/>
              <w:bottom w:val="single" w:sz="6" w:space="0" w:color="auto"/>
            </w:tcBorders>
          </w:tcPr>
          <w:p w14:paraId="5AF890C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242 697</w:t>
            </w:r>
          </w:p>
        </w:tc>
        <w:tc>
          <w:tcPr>
            <w:tcW w:w="794" w:type="dxa"/>
            <w:tcBorders>
              <w:top w:val="single" w:sz="6" w:space="0" w:color="auto"/>
              <w:bottom w:val="single" w:sz="6" w:space="0" w:color="auto"/>
            </w:tcBorders>
          </w:tcPr>
          <w:p w14:paraId="0CD75CD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265 753</w:t>
            </w:r>
          </w:p>
        </w:tc>
      </w:tr>
      <w:tr w:rsidR="008D6F13" w14:paraId="6F31CB08"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tcBorders>
          </w:tcPr>
          <w:p w14:paraId="073B9E6B" w14:textId="77777777" w:rsidR="008D6F13" w:rsidRDefault="008D6F13" w:rsidP="0031078F">
            <w:r>
              <w:rPr>
                <w:b/>
              </w:rPr>
              <w:t>Total assets</w:t>
            </w:r>
          </w:p>
        </w:tc>
        <w:tc>
          <w:tcPr>
            <w:tcW w:w="567" w:type="dxa"/>
            <w:tcBorders>
              <w:top w:val="single" w:sz="6" w:space="0" w:color="auto"/>
            </w:tcBorders>
          </w:tcPr>
          <w:p w14:paraId="15392E0A"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r>
              <w:t>4.4.5</w:t>
            </w:r>
          </w:p>
        </w:tc>
        <w:tc>
          <w:tcPr>
            <w:tcW w:w="794" w:type="dxa"/>
            <w:tcBorders>
              <w:top w:val="single" w:sz="6" w:space="0" w:color="auto"/>
            </w:tcBorders>
          </w:tcPr>
          <w:p w14:paraId="4DA7EDD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313 715</w:t>
            </w:r>
          </w:p>
        </w:tc>
        <w:tc>
          <w:tcPr>
            <w:tcW w:w="794" w:type="dxa"/>
            <w:tcBorders>
              <w:top w:val="single" w:sz="6" w:space="0" w:color="auto"/>
            </w:tcBorders>
          </w:tcPr>
          <w:p w14:paraId="3E5BC0B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313 455</w:t>
            </w:r>
          </w:p>
        </w:tc>
        <w:tc>
          <w:tcPr>
            <w:tcW w:w="794" w:type="dxa"/>
            <w:tcBorders>
              <w:top w:val="single" w:sz="6" w:space="0" w:color="auto"/>
            </w:tcBorders>
          </w:tcPr>
          <w:p w14:paraId="60FC4EF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329 462</w:t>
            </w:r>
          </w:p>
        </w:tc>
        <w:tc>
          <w:tcPr>
            <w:tcW w:w="794" w:type="dxa"/>
            <w:tcBorders>
              <w:top w:val="single" w:sz="6" w:space="0" w:color="auto"/>
            </w:tcBorders>
          </w:tcPr>
          <w:p w14:paraId="4A6E65E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351 643</w:t>
            </w:r>
          </w:p>
        </w:tc>
        <w:tc>
          <w:tcPr>
            <w:tcW w:w="794" w:type="dxa"/>
            <w:tcBorders>
              <w:top w:val="single" w:sz="6" w:space="0" w:color="auto"/>
            </w:tcBorders>
          </w:tcPr>
          <w:p w14:paraId="0848E2C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378 335</w:t>
            </w:r>
          </w:p>
        </w:tc>
      </w:tr>
      <w:tr w:rsidR="008D6F13" w14:paraId="6243ABD8"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6446D5B5" w14:textId="77777777" w:rsidR="008D6F13" w:rsidRDefault="008D6F13" w:rsidP="0031078F">
            <w:r>
              <w:rPr>
                <w:b/>
              </w:rPr>
              <w:t>Liabilities</w:t>
            </w:r>
          </w:p>
        </w:tc>
        <w:tc>
          <w:tcPr>
            <w:tcW w:w="567" w:type="dxa"/>
          </w:tcPr>
          <w:p w14:paraId="0C817EDD"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5EEC8C4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3CF194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B0A62B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8799B6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C4AF27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066451F8"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592472BB" w14:textId="77777777" w:rsidR="008D6F13" w:rsidRDefault="008D6F13" w:rsidP="0031078F">
            <w:r>
              <w:t>Deposits held and advances received</w:t>
            </w:r>
          </w:p>
        </w:tc>
        <w:tc>
          <w:tcPr>
            <w:tcW w:w="567" w:type="dxa"/>
          </w:tcPr>
          <w:p w14:paraId="66525409"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7F6ED0E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1 657</w:t>
            </w:r>
          </w:p>
        </w:tc>
        <w:tc>
          <w:tcPr>
            <w:tcW w:w="794" w:type="dxa"/>
          </w:tcPr>
          <w:p w14:paraId="5950525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1 843</w:t>
            </w:r>
          </w:p>
        </w:tc>
        <w:tc>
          <w:tcPr>
            <w:tcW w:w="794" w:type="dxa"/>
          </w:tcPr>
          <w:p w14:paraId="7974486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1 592</w:t>
            </w:r>
          </w:p>
        </w:tc>
        <w:tc>
          <w:tcPr>
            <w:tcW w:w="794" w:type="dxa"/>
          </w:tcPr>
          <w:p w14:paraId="7D0A34A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1 593</w:t>
            </w:r>
          </w:p>
        </w:tc>
        <w:tc>
          <w:tcPr>
            <w:tcW w:w="794" w:type="dxa"/>
          </w:tcPr>
          <w:p w14:paraId="0B924B6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1 603</w:t>
            </w:r>
          </w:p>
        </w:tc>
      </w:tr>
      <w:tr w:rsidR="008D6F13" w14:paraId="57FA7178"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51A94181" w14:textId="77777777" w:rsidR="008D6F13" w:rsidRDefault="008D6F13" w:rsidP="0031078F">
            <w:r>
              <w:t>Payables</w:t>
            </w:r>
          </w:p>
        </w:tc>
        <w:tc>
          <w:tcPr>
            <w:tcW w:w="567" w:type="dxa"/>
          </w:tcPr>
          <w:p w14:paraId="6542C45B"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r>
              <w:t>4.6.2</w:t>
            </w:r>
          </w:p>
        </w:tc>
        <w:tc>
          <w:tcPr>
            <w:tcW w:w="794" w:type="dxa"/>
          </w:tcPr>
          <w:p w14:paraId="4D73D6B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19 576</w:t>
            </w:r>
          </w:p>
        </w:tc>
        <w:tc>
          <w:tcPr>
            <w:tcW w:w="794" w:type="dxa"/>
          </w:tcPr>
          <w:p w14:paraId="7001D7E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16 017</w:t>
            </w:r>
          </w:p>
        </w:tc>
        <w:tc>
          <w:tcPr>
            <w:tcW w:w="794" w:type="dxa"/>
          </w:tcPr>
          <w:p w14:paraId="11C5223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19 061</w:t>
            </w:r>
          </w:p>
        </w:tc>
        <w:tc>
          <w:tcPr>
            <w:tcW w:w="794" w:type="dxa"/>
          </w:tcPr>
          <w:p w14:paraId="52BF96A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19 014</w:t>
            </w:r>
          </w:p>
        </w:tc>
        <w:tc>
          <w:tcPr>
            <w:tcW w:w="794" w:type="dxa"/>
          </w:tcPr>
          <w:p w14:paraId="1B02DD8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18 354</w:t>
            </w:r>
          </w:p>
        </w:tc>
      </w:tr>
      <w:tr w:rsidR="008D6F13" w14:paraId="31550BF9"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3DDFDD1D" w14:textId="77777777" w:rsidR="008D6F13" w:rsidRDefault="008D6F13" w:rsidP="0031078F">
            <w:r>
              <w:t>Contract liabilities</w:t>
            </w:r>
          </w:p>
        </w:tc>
        <w:tc>
          <w:tcPr>
            <w:tcW w:w="567" w:type="dxa"/>
          </w:tcPr>
          <w:p w14:paraId="5032772D"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r>
              <w:t>4.6.2</w:t>
            </w:r>
          </w:p>
        </w:tc>
        <w:tc>
          <w:tcPr>
            <w:tcW w:w="794" w:type="dxa"/>
          </w:tcPr>
          <w:p w14:paraId="3B12EAC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214</w:t>
            </w:r>
          </w:p>
        </w:tc>
        <w:tc>
          <w:tcPr>
            <w:tcW w:w="794" w:type="dxa"/>
          </w:tcPr>
          <w:p w14:paraId="5FC6215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214</w:t>
            </w:r>
          </w:p>
        </w:tc>
        <w:tc>
          <w:tcPr>
            <w:tcW w:w="794" w:type="dxa"/>
          </w:tcPr>
          <w:p w14:paraId="4EFB191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214</w:t>
            </w:r>
          </w:p>
        </w:tc>
        <w:tc>
          <w:tcPr>
            <w:tcW w:w="794" w:type="dxa"/>
          </w:tcPr>
          <w:p w14:paraId="11FF8B6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214</w:t>
            </w:r>
          </w:p>
        </w:tc>
        <w:tc>
          <w:tcPr>
            <w:tcW w:w="794" w:type="dxa"/>
          </w:tcPr>
          <w:p w14:paraId="13940A1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214</w:t>
            </w:r>
          </w:p>
        </w:tc>
      </w:tr>
      <w:tr w:rsidR="008D6F13" w14:paraId="1A3762F1"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26B91897" w14:textId="77777777" w:rsidR="008D6F13" w:rsidRDefault="008D6F13" w:rsidP="0031078F">
            <w:r>
              <w:t>Borrowings</w:t>
            </w:r>
          </w:p>
        </w:tc>
        <w:tc>
          <w:tcPr>
            <w:tcW w:w="567" w:type="dxa"/>
          </w:tcPr>
          <w:p w14:paraId="25F1171F"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r>
              <w:t>4.5.1</w:t>
            </w:r>
          </w:p>
        </w:tc>
        <w:tc>
          <w:tcPr>
            <w:tcW w:w="794" w:type="dxa"/>
          </w:tcPr>
          <w:p w14:paraId="2D10D7E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118 238</w:t>
            </w:r>
          </w:p>
        </w:tc>
        <w:tc>
          <w:tcPr>
            <w:tcW w:w="794" w:type="dxa"/>
          </w:tcPr>
          <w:p w14:paraId="7A388CD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125 692</w:t>
            </w:r>
          </w:p>
        </w:tc>
        <w:tc>
          <w:tcPr>
            <w:tcW w:w="794" w:type="dxa"/>
          </w:tcPr>
          <w:p w14:paraId="6680FE7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143 006</w:t>
            </w:r>
          </w:p>
        </w:tc>
        <w:tc>
          <w:tcPr>
            <w:tcW w:w="794" w:type="dxa"/>
          </w:tcPr>
          <w:p w14:paraId="7DAEB83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165 492</w:t>
            </w:r>
          </w:p>
        </w:tc>
        <w:tc>
          <w:tcPr>
            <w:tcW w:w="794" w:type="dxa"/>
          </w:tcPr>
          <w:p w14:paraId="32DE6E3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187 177</w:t>
            </w:r>
          </w:p>
        </w:tc>
      </w:tr>
      <w:tr w:rsidR="008D6F13" w14:paraId="131E339D"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59DB700C" w14:textId="77777777" w:rsidR="008D6F13" w:rsidRDefault="008D6F13" w:rsidP="0031078F">
            <w:r>
              <w:t>Employee benefits</w:t>
            </w:r>
          </w:p>
        </w:tc>
        <w:tc>
          <w:tcPr>
            <w:tcW w:w="567" w:type="dxa"/>
          </w:tcPr>
          <w:p w14:paraId="5266548D"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r>
              <w:t>4.3.1</w:t>
            </w:r>
          </w:p>
        </w:tc>
        <w:tc>
          <w:tcPr>
            <w:tcW w:w="794" w:type="dxa"/>
          </w:tcPr>
          <w:p w14:paraId="3AC6770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9 697</w:t>
            </w:r>
          </w:p>
        </w:tc>
        <w:tc>
          <w:tcPr>
            <w:tcW w:w="794" w:type="dxa"/>
          </w:tcPr>
          <w:p w14:paraId="6AD1C85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9 699</w:t>
            </w:r>
          </w:p>
        </w:tc>
        <w:tc>
          <w:tcPr>
            <w:tcW w:w="794" w:type="dxa"/>
          </w:tcPr>
          <w:p w14:paraId="0CFEDE2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10 016</w:t>
            </w:r>
          </w:p>
        </w:tc>
        <w:tc>
          <w:tcPr>
            <w:tcW w:w="794" w:type="dxa"/>
          </w:tcPr>
          <w:p w14:paraId="289CB15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10 336</w:t>
            </w:r>
          </w:p>
        </w:tc>
        <w:tc>
          <w:tcPr>
            <w:tcW w:w="794" w:type="dxa"/>
          </w:tcPr>
          <w:p w14:paraId="1E4D360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10 661</w:t>
            </w:r>
          </w:p>
        </w:tc>
      </w:tr>
      <w:tr w:rsidR="008D6F13" w14:paraId="00D3EBF3"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08AEC0B1" w14:textId="77777777" w:rsidR="008D6F13" w:rsidRDefault="008D6F13" w:rsidP="0031078F">
            <w:r>
              <w:t>Superannuation</w:t>
            </w:r>
          </w:p>
        </w:tc>
        <w:tc>
          <w:tcPr>
            <w:tcW w:w="567" w:type="dxa"/>
          </w:tcPr>
          <w:p w14:paraId="3322F1AF"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r>
              <w:t>4.6.3</w:t>
            </w:r>
          </w:p>
        </w:tc>
        <w:tc>
          <w:tcPr>
            <w:tcW w:w="794" w:type="dxa"/>
          </w:tcPr>
          <w:p w14:paraId="5E9EA6E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26 439</w:t>
            </w:r>
          </w:p>
        </w:tc>
        <w:tc>
          <w:tcPr>
            <w:tcW w:w="794" w:type="dxa"/>
          </w:tcPr>
          <w:p w14:paraId="0776E8E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25 747</w:t>
            </w:r>
          </w:p>
        </w:tc>
        <w:tc>
          <w:tcPr>
            <w:tcW w:w="794" w:type="dxa"/>
          </w:tcPr>
          <w:p w14:paraId="77D2BE9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24 649</w:t>
            </w:r>
          </w:p>
        </w:tc>
        <w:tc>
          <w:tcPr>
            <w:tcW w:w="794" w:type="dxa"/>
          </w:tcPr>
          <w:p w14:paraId="6AE66F4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23 546</w:t>
            </w:r>
          </w:p>
        </w:tc>
        <w:tc>
          <w:tcPr>
            <w:tcW w:w="794" w:type="dxa"/>
          </w:tcPr>
          <w:p w14:paraId="25491C6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22 525</w:t>
            </w:r>
          </w:p>
        </w:tc>
      </w:tr>
      <w:tr w:rsidR="008D6F13" w14:paraId="23D50F61"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bottom w:val="single" w:sz="6" w:space="0" w:color="auto"/>
            </w:tcBorders>
          </w:tcPr>
          <w:p w14:paraId="5D0F69CB" w14:textId="77777777" w:rsidR="008D6F13" w:rsidRDefault="008D6F13" w:rsidP="0031078F">
            <w:r>
              <w:t>Other provisions</w:t>
            </w:r>
          </w:p>
        </w:tc>
        <w:tc>
          <w:tcPr>
            <w:tcW w:w="567" w:type="dxa"/>
            <w:tcBorders>
              <w:bottom w:val="single" w:sz="6" w:space="0" w:color="auto"/>
            </w:tcBorders>
          </w:tcPr>
          <w:p w14:paraId="335A8A82"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3380628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1 760</w:t>
            </w:r>
          </w:p>
        </w:tc>
        <w:tc>
          <w:tcPr>
            <w:tcW w:w="794" w:type="dxa"/>
            <w:tcBorders>
              <w:bottom w:val="single" w:sz="6" w:space="0" w:color="auto"/>
            </w:tcBorders>
          </w:tcPr>
          <w:p w14:paraId="5F50FC4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1 760</w:t>
            </w:r>
          </w:p>
        </w:tc>
        <w:tc>
          <w:tcPr>
            <w:tcW w:w="794" w:type="dxa"/>
            <w:tcBorders>
              <w:bottom w:val="single" w:sz="6" w:space="0" w:color="auto"/>
            </w:tcBorders>
          </w:tcPr>
          <w:p w14:paraId="40EB40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1 922</w:t>
            </w:r>
          </w:p>
        </w:tc>
        <w:tc>
          <w:tcPr>
            <w:tcW w:w="794" w:type="dxa"/>
            <w:tcBorders>
              <w:bottom w:val="single" w:sz="6" w:space="0" w:color="auto"/>
            </w:tcBorders>
          </w:tcPr>
          <w:p w14:paraId="1C09FF6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2 081</w:t>
            </w:r>
          </w:p>
        </w:tc>
        <w:tc>
          <w:tcPr>
            <w:tcW w:w="794" w:type="dxa"/>
            <w:tcBorders>
              <w:bottom w:val="single" w:sz="6" w:space="0" w:color="auto"/>
            </w:tcBorders>
          </w:tcPr>
          <w:p w14:paraId="4696D77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2 254</w:t>
            </w:r>
          </w:p>
        </w:tc>
      </w:tr>
      <w:tr w:rsidR="008D6F13" w14:paraId="658FC6A0"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bottom w:val="single" w:sz="6" w:space="0" w:color="auto"/>
            </w:tcBorders>
          </w:tcPr>
          <w:p w14:paraId="3FBBCE96" w14:textId="77777777" w:rsidR="008D6F13" w:rsidRDefault="008D6F13" w:rsidP="0031078F">
            <w:r>
              <w:rPr>
                <w:b/>
              </w:rPr>
              <w:t>Total liabilities</w:t>
            </w:r>
          </w:p>
        </w:tc>
        <w:tc>
          <w:tcPr>
            <w:tcW w:w="567" w:type="dxa"/>
            <w:tcBorders>
              <w:top w:val="single" w:sz="6" w:space="0" w:color="auto"/>
              <w:bottom w:val="single" w:sz="6" w:space="0" w:color="auto"/>
            </w:tcBorders>
          </w:tcPr>
          <w:p w14:paraId="22F11BDF"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bottom w:val="single" w:sz="6" w:space="0" w:color="auto"/>
            </w:tcBorders>
          </w:tcPr>
          <w:p w14:paraId="16C7098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177 580</w:t>
            </w:r>
          </w:p>
        </w:tc>
        <w:tc>
          <w:tcPr>
            <w:tcW w:w="794" w:type="dxa"/>
            <w:tcBorders>
              <w:top w:val="single" w:sz="6" w:space="0" w:color="auto"/>
              <w:bottom w:val="single" w:sz="6" w:space="0" w:color="auto"/>
            </w:tcBorders>
          </w:tcPr>
          <w:p w14:paraId="6CC4B5B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180 972</w:t>
            </w:r>
          </w:p>
        </w:tc>
        <w:tc>
          <w:tcPr>
            <w:tcW w:w="794" w:type="dxa"/>
            <w:tcBorders>
              <w:top w:val="single" w:sz="6" w:space="0" w:color="auto"/>
              <w:bottom w:val="single" w:sz="6" w:space="0" w:color="auto"/>
            </w:tcBorders>
          </w:tcPr>
          <w:p w14:paraId="517C002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200 460</w:t>
            </w:r>
          </w:p>
        </w:tc>
        <w:tc>
          <w:tcPr>
            <w:tcW w:w="794" w:type="dxa"/>
            <w:tcBorders>
              <w:top w:val="single" w:sz="6" w:space="0" w:color="auto"/>
              <w:bottom w:val="single" w:sz="6" w:space="0" w:color="auto"/>
            </w:tcBorders>
          </w:tcPr>
          <w:p w14:paraId="1D1DB2F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222 275</w:t>
            </w:r>
          </w:p>
        </w:tc>
        <w:tc>
          <w:tcPr>
            <w:tcW w:w="794" w:type="dxa"/>
            <w:tcBorders>
              <w:top w:val="single" w:sz="6" w:space="0" w:color="auto"/>
              <w:bottom w:val="single" w:sz="6" w:space="0" w:color="auto"/>
            </w:tcBorders>
          </w:tcPr>
          <w:p w14:paraId="176700A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242 788</w:t>
            </w:r>
          </w:p>
        </w:tc>
      </w:tr>
      <w:tr w:rsidR="008D6F13" w14:paraId="51A1929F"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bottom w:val="single" w:sz="12" w:space="0" w:color="auto"/>
            </w:tcBorders>
          </w:tcPr>
          <w:p w14:paraId="57C3D36C" w14:textId="77777777" w:rsidR="008D6F13" w:rsidRDefault="008D6F13" w:rsidP="0031078F">
            <w:r>
              <w:rPr>
                <w:b/>
              </w:rPr>
              <w:t>Net assets</w:t>
            </w:r>
          </w:p>
        </w:tc>
        <w:tc>
          <w:tcPr>
            <w:tcW w:w="567" w:type="dxa"/>
            <w:tcBorders>
              <w:top w:val="single" w:sz="6" w:space="0" w:color="auto"/>
              <w:bottom w:val="single" w:sz="12" w:space="0" w:color="auto"/>
            </w:tcBorders>
          </w:tcPr>
          <w:p w14:paraId="0E92B446"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bottom w:val="single" w:sz="12" w:space="0" w:color="auto"/>
            </w:tcBorders>
          </w:tcPr>
          <w:p w14:paraId="2D1A935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136 135</w:t>
            </w:r>
          </w:p>
        </w:tc>
        <w:tc>
          <w:tcPr>
            <w:tcW w:w="794" w:type="dxa"/>
            <w:tcBorders>
              <w:top w:val="single" w:sz="6" w:space="0" w:color="auto"/>
              <w:bottom w:val="single" w:sz="12" w:space="0" w:color="auto"/>
            </w:tcBorders>
          </w:tcPr>
          <w:p w14:paraId="6F92FCA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132 483</w:t>
            </w:r>
          </w:p>
        </w:tc>
        <w:tc>
          <w:tcPr>
            <w:tcW w:w="794" w:type="dxa"/>
            <w:tcBorders>
              <w:top w:val="single" w:sz="6" w:space="0" w:color="auto"/>
              <w:bottom w:val="single" w:sz="12" w:space="0" w:color="auto"/>
            </w:tcBorders>
          </w:tcPr>
          <w:p w14:paraId="74F40F5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129 002</w:t>
            </w:r>
          </w:p>
        </w:tc>
        <w:tc>
          <w:tcPr>
            <w:tcW w:w="794" w:type="dxa"/>
            <w:tcBorders>
              <w:top w:val="single" w:sz="6" w:space="0" w:color="auto"/>
              <w:bottom w:val="single" w:sz="12" w:space="0" w:color="auto"/>
            </w:tcBorders>
          </w:tcPr>
          <w:p w14:paraId="51FCCFD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129 368</w:t>
            </w:r>
          </w:p>
        </w:tc>
        <w:tc>
          <w:tcPr>
            <w:tcW w:w="794" w:type="dxa"/>
            <w:tcBorders>
              <w:top w:val="single" w:sz="6" w:space="0" w:color="auto"/>
              <w:bottom w:val="single" w:sz="12" w:space="0" w:color="auto"/>
            </w:tcBorders>
          </w:tcPr>
          <w:p w14:paraId="6ABF8D6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135 546</w:t>
            </w:r>
          </w:p>
        </w:tc>
      </w:tr>
      <w:tr w:rsidR="008D6F13" w14:paraId="67E9531D"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tcBorders>
          </w:tcPr>
          <w:p w14:paraId="3E82B98D" w14:textId="77777777" w:rsidR="008D6F13" w:rsidRDefault="008D6F13" w:rsidP="0031078F">
            <w:r>
              <w:t>Accumulated surplus/(deficit)</w:t>
            </w:r>
          </w:p>
        </w:tc>
        <w:tc>
          <w:tcPr>
            <w:tcW w:w="567" w:type="dxa"/>
            <w:tcBorders>
              <w:top w:val="single" w:sz="6" w:space="0" w:color="auto"/>
            </w:tcBorders>
          </w:tcPr>
          <w:p w14:paraId="38151D41"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D1027F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47 814</w:t>
            </w:r>
          </w:p>
        </w:tc>
        <w:tc>
          <w:tcPr>
            <w:tcW w:w="794" w:type="dxa"/>
            <w:tcBorders>
              <w:top w:val="single" w:sz="6" w:space="0" w:color="auto"/>
            </w:tcBorders>
          </w:tcPr>
          <w:p w14:paraId="0FD946E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40 465</w:t>
            </w:r>
          </w:p>
        </w:tc>
        <w:tc>
          <w:tcPr>
            <w:tcW w:w="794" w:type="dxa"/>
            <w:tcBorders>
              <w:top w:val="single" w:sz="6" w:space="0" w:color="auto"/>
            </w:tcBorders>
          </w:tcPr>
          <w:p w14:paraId="1D81090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36 144</w:t>
            </w:r>
          </w:p>
        </w:tc>
        <w:tc>
          <w:tcPr>
            <w:tcW w:w="794" w:type="dxa"/>
            <w:tcBorders>
              <w:top w:val="single" w:sz="6" w:space="0" w:color="auto"/>
            </w:tcBorders>
          </w:tcPr>
          <w:p w14:paraId="7A43D22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33 684</w:t>
            </w:r>
          </w:p>
        </w:tc>
        <w:tc>
          <w:tcPr>
            <w:tcW w:w="794" w:type="dxa"/>
            <w:tcBorders>
              <w:top w:val="single" w:sz="6" w:space="0" w:color="auto"/>
            </w:tcBorders>
          </w:tcPr>
          <w:p w14:paraId="16E19A4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32 637</w:t>
            </w:r>
          </w:p>
        </w:tc>
      </w:tr>
      <w:tr w:rsidR="008D6F13" w14:paraId="08D72E80"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bottom w:val="single" w:sz="6" w:space="0" w:color="auto"/>
            </w:tcBorders>
          </w:tcPr>
          <w:p w14:paraId="7D2662E3" w14:textId="77777777" w:rsidR="008D6F13" w:rsidRDefault="008D6F13" w:rsidP="0031078F">
            <w:r>
              <w:t>Reserves</w:t>
            </w:r>
          </w:p>
        </w:tc>
        <w:tc>
          <w:tcPr>
            <w:tcW w:w="567" w:type="dxa"/>
            <w:tcBorders>
              <w:bottom w:val="single" w:sz="6" w:space="0" w:color="auto"/>
            </w:tcBorders>
          </w:tcPr>
          <w:p w14:paraId="44AC991F"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2C7B217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88 320</w:t>
            </w:r>
          </w:p>
        </w:tc>
        <w:tc>
          <w:tcPr>
            <w:tcW w:w="794" w:type="dxa"/>
            <w:tcBorders>
              <w:bottom w:val="single" w:sz="6" w:space="0" w:color="auto"/>
            </w:tcBorders>
          </w:tcPr>
          <w:p w14:paraId="0ABEA41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92 018</w:t>
            </w:r>
          </w:p>
        </w:tc>
        <w:tc>
          <w:tcPr>
            <w:tcW w:w="794" w:type="dxa"/>
            <w:tcBorders>
              <w:bottom w:val="single" w:sz="6" w:space="0" w:color="auto"/>
            </w:tcBorders>
          </w:tcPr>
          <w:p w14:paraId="4EAA27D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92 858</w:t>
            </w:r>
          </w:p>
        </w:tc>
        <w:tc>
          <w:tcPr>
            <w:tcW w:w="794" w:type="dxa"/>
            <w:tcBorders>
              <w:bottom w:val="single" w:sz="6" w:space="0" w:color="auto"/>
            </w:tcBorders>
          </w:tcPr>
          <w:p w14:paraId="70C6B43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95 684</w:t>
            </w:r>
          </w:p>
        </w:tc>
        <w:tc>
          <w:tcPr>
            <w:tcW w:w="794" w:type="dxa"/>
            <w:tcBorders>
              <w:bottom w:val="single" w:sz="6" w:space="0" w:color="auto"/>
            </w:tcBorders>
          </w:tcPr>
          <w:p w14:paraId="11FBED9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102 909</w:t>
            </w:r>
          </w:p>
        </w:tc>
      </w:tr>
      <w:tr w:rsidR="008D6F13" w14:paraId="0E37418F"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bottom w:val="single" w:sz="12" w:space="0" w:color="auto"/>
            </w:tcBorders>
          </w:tcPr>
          <w:p w14:paraId="421F9A26" w14:textId="77777777" w:rsidR="008D6F13" w:rsidRDefault="008D6F13" w:rsidP="0031078F">
            <w:r>
              <w:rPr>
                <w:b/>
              </w:rPr>
              <w:t>Net worth</w:t>
            </w:r>
          </w:p>
        </w:tc>
        <w:tc>
          <w:tcPr>
            <w:tcW w:w="567" w:type="dxa"/>
            <w:tcBorders>
              <w:top w:val="single" w:sz="6" w:space="0" w:color="auto"/>
              <w:bottom w:val="single" w:sz="12" w:space="0" w:color="auto"/>
            </w:tcBorders>
          </w:tcPr>
          <w:p w14:paraId="51697FBE"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bottom w:val="single" w:sz="12" w:space="0" w:color="auto"/>
            </w:tcBorders>
          </w:tcPr>
          <w:p w14:paraId="575670F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136 135</w:t>
            </w:r>
          </w:p>
        </w:tc>
        <w:tc>
          <w:tcPr>
            <w:tcW w:w="794" w:type="dxa"/>
            <w:tcBorders>
              <w:top w:val="single" w:sz="6" w:space="0" w:color="auto"/>
              <w:bottom w:val="single" w:sz="12" w:space="0" w:color="auto"/>
            </w:tcBorders>
          </w:tcPr>
          <w:p w14:paraId="2A39995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132 483</w:t>
            </w:r>
          </w:p>
        </w:tc>
        <w:tc>
          <w:tcPr>
            <w:tcW w:w="794" w:type="dxa"/>
            <w:tcBorders>
              <w:top w:val="single" w:sz="6" w:space="0" w:color="auto"/>
              <w:bottom w:val="single" w:sz="12" w:space="0" w:color="auto"/>
            </w:tcBorders>
          </w:tcPr>
          <w:p w14:paraId="7EBD5D7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129 002</w:t>
            </w:r>
          </w:p>
        </w:tc>
        <w:tc>
          <w:tcPr>
            <w:tcW w:w="794" w:type="dxa"/>
            <w:tcBorders>
              <w:top w:val="single" w:sz="6" w:space="0" w:color="auto"/>
              <w:bottom w:val="single" w:sz="12" w:space="0" w:color="auto"/>
            </w:tcBorders>
          </w:tcPr>
          <w:p w14:paraId="41B8D3B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129 368</w:t>
            </w:r>
          </w:p>
        </w:tc>
        <w:tc>
          <w:tcPr>
            <w:tcW w:w="794" w:type="dxa"/>
            <w:tcBorders>
              <w:top w:val="single" w:sz="6" w:space="0" w:color="auto"/>
              <w:bottom w:val="single" w:sz="12" w:space="0" w:color="auto"/>
            </w:tcBorders>
          </w:tcPr>
          <w:p w14:paraId="6A9FC43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135 546</w:t>
            </w:r>
          </w:p>
        </w:tc>
      </w:tr>
      <w:tr w:rsidR="008D6F13" w14:paraId="5128F8DB" w14:textId="77777777" w:rsidTr="0031078F">
        <w:trPr>
          <w:trHeight w:hRule="exact" w:val="113"/>
        </w:trPr>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tcBorders>
          </w:tcPr>
          <w:p w14:paraId="78DABAAD" w14:textId="77777777" w:rsidR="008D6F13" w:rsidRDefault="008D6F13" w:rsidP="0031078F"/>
        </w:tc>
        <w:tc>
          <w:tcPr>
            <w:tcW w:w="567" w:type="dxa"/>
            <w:tcBorders>
              <w:top w:val="single" w:sz="6" w:space="0" w:color="auto"/>
            </w:tcBorders>
          </w:tcPr>
          <w:p w14:paraId="7A3873BC" w14:textId="77777777" w:rsidR="008D6F13" w:rsidRDefault="008D6F13" w:rsidP="0031078F">
            <w:pPr>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2BCDAE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22771A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E40701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919A47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7C8105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0E2AA4F0"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2BDFDC93" w14:textId="77777777" w:rsidR="008D6F13" w:rsidRDefault="008D6F13" w:rsidP="0031078F">
            <w:r>
              <w:rPr>
                <w:b/>
              </w:rPr>
              <w:t>FISCAL AGGREGATES</w:t>
            </w:r>
            <w:r>
              <w:rPr>
                <w:b/>
                <w:vertAlign w:val="superscript"/>
              </w:rPr>
              <w:t xml:space="preserve"> (b)</w:t>
            </w:r>
          </w:p>
        </w:tc>
        <w:tc>
          <w:tcPr>
            <w:tcW w:w="567" w:type="dxa"/>
          </w:tcPr>
          <w:p w14:paraId="461DC64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F4C413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B6F00B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C7B8AF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A8E930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AAA311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28EEE9D2"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150653A5" w14:textId="77777777" w:rsidR="008D6F13" w:rsidRDefault="008D6F13" w:rsidP="0031078F">
            <w:r>
              <w:t>Net financial worth</w:t>
            </w:r>
          </w:p>
        </w:tc>
        <w:tc>
          <w:tcPr>
            <w:tcW w:w="567" w:type="dxa"/>
          </w:tcPr>
          <w:p w14:paraId="2EC3AD3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3D913B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(71 735)</w:t>
            </w:r>
          </w:p>
        </w:tc>
        <w:tc>
          <w:tcPr>
            <w:tcW w:w="794" w:type="dxa"/>
          </w:tcPr>
          <w:p w14:paraId="59D6FDB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(77 158)</w:t>
            </w:r>
          </w:p>
        </w:tc>
        <w:tc>
          <w:tcPr>
            <w:tcW w:w="794" w:type="dxa"/>
          </w:tcPr>
          <w:p w14:paraId="27CF6CC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(94 699)</w:t>
            </w:r>
          </w:p>
        </w:tc>
        <w:tc>
          <w:tcPr>
            <w:tcW w:w="794" w:type="dxa"/>
          </w:tcPr>
          <w:p w14:paraId="5B8DFE3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(113 329)</w:t>
            </w:r>
          </w:p>
        </w:tc>
        <w:tc>
          <w:tcPr>
            <w:tcW w:w="794" w:type="dxa"/>
          </w:tcPr>
          <w:p w14:paraId="715D721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(130 207)</w:t>
            </w:r>
          </w:p>
        </w:tc>
      </w:tr>
      <w:tr w:rsidR="008D6F13" w14:paraId="0C60F448"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708CF4BA" w14:textId="77777777" w:rsidR="008D6F13" w:rsidRDefault="008D6F13" w:rsidP="0031078F">
            <w:r>
              <w:t>Net financial liabilities</w:t>
            </w:r>
          </w:p>
        </w:tc>
        <w:tc>
          <w:tcPr>
            <w:tcW w:w="567" w:type="dxa"/>
          </w:tcPr>
          <w:p w14:paraId="6A9582C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4C7B67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148 537</w:t>
            </w:r>
          </w:p>
        </w:tc>
        <w:tc>
          <w:tcPr>
            <w:tcW w:w="794" w:type="dxa"/>
          </w:tcPr>
          <w:p w14:paraId="7CAE907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150 700</w:t>
            </w:r>
          </w:p>
        </w:tc>
        <w:tc>
          <w:tcPr>
            <w:tcW w:w="794" w:type="dxa"/>
          </w:tcPr>
          <w:p w14:paraId="4FEA3F9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169 652</w:t>
            </w:r>
          </w:p>
        </w:tc>
        <w:tc>
          <w:tcPr>
            <w:tcW w:w="794" w:type="dxa"/>
          </w:tcPr>
          <w:p w14:paraId="68973E0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189 195</w:t>
            </w:r>
          </w:p>
        </w:tc>
        <w:tc>
          <w:tcPr>
            <w:tcW w:w="794" w:type="dxa"/>
          </w:tcPr>
          <w:p w14:paraId="0D33842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208 844</w:t>
            </w:r>
          </w:p>
        </w:tc>
      </w:tr>
      <w:tr w:rsidR="008D6F13" w14:paraId="1BE2A5E2"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7E881F28" w14:textId="77777777" w:rsidR="008D6F13" w:rsidRDefault="008D6F13" w:rsidP="0031078F">
            <w:r>
              <w:t>Net debt</w:t>
            </w:r>
          </w:p>
        </w:tc>
        <w:tc>
          <w:tcPr>
            <w:tcW w:w="567" w:type="dxa"/>
          </w:tcPr>
          <w:p w14:paraId="472039C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A55E8C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97 272</w:t>
            </w:r>
          </w:p>
        </w:tc>
        <w:tc>
          <w:tcPr>
            <w:tcW w:w="794" w:type="dxa"/>
          </w:tcPr>
          <w:p w14:paraId="0CCEFCF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104 464</w:t>
            </w:r>
          </w:p>
        </w:tc>
        <w:tc>
          <w:tcPr>
            <w:tcW w:w="794" w:type="dxa"/>
          </w:tcPr>
          <w:p w14:paraId="7BCA98A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121 118</w:t>
            </w:r>
          </w:p>
        </w:tc>
        <w:tc>
          <w:tcPr>
            <w:tcW w:w="794" w:type="dxa"/>
          </w:tcPr>
          <w:p w14:paraId="264FC04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141 561</w:t>
            </w:r>
          </w:p>
        </w:tc>
        <w:tc>
          <w:tcPr>
            <w:tcW w:w="794" w:type="dxa"/>
          </w:tcPr>
          <w:p w14:paraId="5C90037C" w14:textId="50E44371" w:rsidR="008D6F13" w:rsidRDefault="008D6F13" w:rsidP="0031078F">
            <w:pPr>
              <w:cnfStyle w:val="000000000000" w:firstRow="0" w:lastRow="0" w:firstColumn="0" w:lastColumn="0" w:oddVBand="0" w:evenVBand="0" w:oddHBand="0" w:evenHBand="0" w:firstRowFirstColumn="0" w:firstRowLastColumn="0" w:lastRowFirstColumn="0" w:lastRowLastColumn="0"/>
            </w:pPr>
            <w:r>
              <w:t>162 694</w:t>
            </w:r>
          </w:p>
        </w:tc>
      </w:tr>
    </w:tbl>
    <w:p w14:paraId="61028FEA" w14:textId="77777777" w:rsidR="008D6F13" w:rsidRDefault="008D6F13" w:rsidP="008D6F13">
      <w:pPr>
        <w:pStyle w:val="Source"/>
      </w:pPr>
      <w:r>
        <w:t>The accompanying notes form part of these Estimated Financial Statements.</w:t>
      </w:r>
    </w:p>
    <w:p w14:paraId="3A57E26B" w14:textId="77777777" w:rsidR="008D6F13" w:rsidRPr="00A7102E" w:rsidRDefault="008D6F13" w:rsidP="008D6F13">
      <w:pPr>
        <w:pStyle w:val="Note"/>
      </w:pPr>
      <w:r w:rsidRPr="00A7102E">
        <w:t>Notes:</w:t>
      </w:r>
    </w:p>
    <w:p w14:paraId="5895F79D" w14:textId="77777777" w:rsidR="008D6F13" w:rsidRPr="00A7102E" w:rsidRDefault="008D6F13" w:rsidP="008D6F13">
      <w:pPr>
        <w:pStyle w:val="Note"/>
      </w:pPr>
      <w:r w:rsidRPr="00A7102E">
        <w:t>(a)</w:t>
      </w:r>
      <w:r w:rsidRPr="00A7102E">
        <w:tab/>
        <w:t xml:space="preserve">Balances represent actual opening balances </w:t>
      </w:r>
      <w:proofErr w:type="gramStart"/>
      <w:r w:rsidRPr="00A7102E">
        <w:t>at</w:t>
      </w:r>
      <w:proofErr w:type="gramEnd"/>
      <w:r w:rsidRPr="00A7102E">
        <w:t xml:space="preserve"> 1 July 2021 plus 2021-22 budgeted movements.</w:t>
      </w:r>
    </w:p>
    <w:p w14:paraId="0C492C96" w14:textId="77777777" w:rsidR="008D6F13" w:rsidRPr="00A7102E" w:rsidRDefault="008D6F13" w:rsidP="008D6F13">
      <w:pPr>
        <w:pStyle w:val="Note"/>
      </w:pPr>
      <w:r w:rsidRPr="00A7102E">
        <w:t>(b)</w:t>
      </w:r>
      <w:r w:rsidRPr="00A7102E">
        <w:tab/>
        <w:t xml:space="preserve">The fiscal aggregates are defined in Note 9.9 of the </w:t>
      </w:r>
      <w:r w:rsidRPr="00C87705">
        <w:rPr>
          <w:i w:val="0"/>
          <w:iCs/>
        </w:rPr>
        <w:t>2020-21 Financial Report</w:t>
      </w:r>
      <w:r w:rsidRPr="00A7102E">
        <w:t>.</w:t>
      </w:r>
    </w:p>
    <w:p w14:paraId="30460D5E" w14:textId="77777777" w:rsidR="008D6F13" w:rsidRDefault="008D6F13" w:rsidP="008D6F13">
      <w:pPr>
        <w:pStyle w:val="Heading10"/>
      </w:pPr>
      <w:bookmarkStart w:id="67" w:name="_Toc89423590"/>
      <w:r>
        <w:lastRenderedPageBreak/>
        <w:t>Estimated general government sector</w:t>
      </w:r>
      <w:r>
        <w:br/>
        <w:t>cash flow statement</w:t>
      </w:r>
      <w:bookmarkEnd w:id="67"/>
    </w:p>
    <w:p w14:paraId="0A7BA432" w14:textId="77777777" w:rsidR="008D6F13" w:rsidRDefault="008D6F13" w:rsidP="008D6F13">
      <w:pPr>
        <w:pStyle w:val="TableHeading"/>
      </w:pPr>
      <w:r>
        <w:t>For the financial year ended 30 June</w:t>
      </w:r>
      <w:r>
        <w:tab/>
        <w:t>($ million)</w:t>
      </w:r>
    </w:p>
    <w:tbl>
      <w:tblPr>
        <w:tblStyle w:val="DTFTableNumeric"/>
        <w:tblW w:w="7710" w:type="dxa"/>
        <w:tblLayout w:type="fixed"/>
        <w:tblLook w:val="06A0" w:firstRow="1" w:lastRow="0" w:firstColumn="1" w:lastColumn="0" w:noHBand="1" w:noVBand="1"/>
      </w:tblPr>
      <w:tblGrid>
        <w:gridCol w:w="3173"/>
        <w:gridCol w:w="567"/>
        <w:gridCol w:w="794"/>
        <w:gridCol w:w="794"/>
        <w:gridCol w:w="794"/>
        <w:gridCol w:w="794"/>
        <w:gridCol w:w="794"/>
      </w:tblGrid>
      <w:tr w:rsidR="008D6F13" w14:paraId="2B6D60AE"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73" w:type="dxa"/>
          </w:tcPr>
          <w:p w14:paraId="4456CBDC" w14:textId="42D314D3" w:rsidR="008D6F13" w:rsidRDefault="008D6F13" w:rsidP="0031078F">
            <w:pPr>
              <w:spacing w:after="0"/>
            </w:pPr>
          </w:p>
        </w:tc>
        <w:tc>
          <w:tcPr>
            <w:tcW w:w="567" w:type="dxa"/>
          </w:tcPr>
          <w:p w14:paraId="50D78B84" w14:textId="77777777" w:rsidR="008D6F13" w:rsidRDefault="008D6F13" w:rsidP="0031078F">
            <w:pPr>
              <w:spacing w:after="0"/>
              <w:jc w:val="center"/>
              <w:cnfStyle w:val="100000000000" w:firstRow="1" w:lastRow="0" w:firstColumn="0" w:lastColumn="0" w:oddVBand="0" w:evenVBand="0" w:oddHBand="0" w:evenHBand="0" w:firstRowFirstColumn="0" w:firstRowLastColumn="0" w:lastRowFirstColumn="0" w:lastRowLastColumn="0"/>
            </w:pPr>
            <w:r>
              <w:t>Notes</w:t>
            </w:r>
          </w:p>
        </w:tc>
        <w:tc>
          <w:tcPr>
            <w:tcW w:w="794" w:type="dxa"/>
          </w:tcPr>
          <w:p w14:paraId="78102390" w14:textId="77777777" w:rsidR="008D6F13" w:rsidRDefault="008D6F13" w:rsidP="0031078F">
            <w:pPr>
              <w:spacing w:after="0"/>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1E3138A3" w14:textId="77777777" w:rsidR="008D6F13" w:rsidRDefault="008D6F13" w:rsidP="0031078F">
            <w:pPr>
              <w:spacing w:after="0"/>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6156794A" w14:textId="77777777" w:rsidR="008D6F13" w:rsidRDefault="008D6F13" w:rsidP="0031078F">
            <w:pPr>
              <w:spacing w:after="0"/>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4D77EEF0" w14:textId="77777777" w:rsidR="008D6F13" w:rsidRDefault="008D6F13" w:rsidP="0031078F">
            <w:pPr>
              <w:spacing w:after="0"/>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0D164BFA" w14:textId="77777777" w:rsidR="008D6F13" w:rsidRDefault="008D6F13" w:rsidP="0031078F">
            <w:pPr>
              <w:spacing w:after="0"/>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6C62E278"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1E22C928" w14:textId="77777777" w:rsidR="008D6F13" w:rsidRDefault="008D6F13" w:rsidP="0031078F">
            <w:pPr>
              <w:spacing w:after="0"/>
            </w:pPr>
            <w:r>
              <w:rPr>
                <w:b/>
              </w:rPr>
              <w:t>Cash flows from operating activities</w:t>
            </w:r>
          </w:p>
        </w:tc>
        <w:tc>
          <w:tcPr>
            <w:tcW w:w="567" w:type="dxa"/>
          </w:tcPr>
          <w:p w14:paraId="378BC41F"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07EFA2C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F441A5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2B2322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939BEE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75D967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r>
      <w:tr w:rsidR="008D6F13" w14:paraId="28B04172"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2897041D" w14:textId="77777777" w:rsidR="008D6F13" w:rsidRDefault="008D6F13" w:rsidP="0031078F">
            <w:pPr>
              <w:spacing w:after="0"/>
            </w:pPr>
            <w:r>
              <w:rPr>
                <w:b/>
              </w:rPr>
              <w:t>Receipts</w:t>
            </w:r>
          </w:p>
        </w:tc>
        <w:tc>
          <w:tcPr>
            <w:tcW w:w="567" w:type="dxa"/>
          </w:tcPr>
          <w:p w14:paraId="4485A361"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55D987B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53882A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33F7F35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A401C5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88B07A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r>
      <w:tr w:rsidR="008D6F13" w14:paraId="503DE828"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0CCB6E5C" w14:textId="77777777" w:rsidR="008D6F13" w:rsidRDefault="008D6F13" w:rsidP="0031078F">
            <w:pPr>
              <w:spacing w:after="0"/>
            </w:pPr>
            <w:r>
              <w:t>Taxes received</w:t>
            </w:r>
          </w:p>
        </w:tc>
        <w:tc>
          <w:tcPr>
            <w:tcW w:w="567" w:type="dxa"/>
          </w:tcPr>
          <w:p w14:paraId="73557EE2"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31F19E8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28 575</w:t>
            </w:r>
          </w:p>
        </w:tc>
        <w:tc>
          <w:tcPr>
            <w:tcW w:w="794" w:type="dxa"/>
          </w:tcPr>
          <w:p w14:paraId="1D5BC01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27 620</w:t>
            </w:r>
          </w:p>
        </w:tc>
        <w:tc>
          <w:tcPr>
            <w:tcW w:w="794" w:type="dxa"/>
          </w:tcPr>
          <w:p w14:paraId="63E60A4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29 761</w:t>
            </w:r>
          </w:p>
        </w:tc>
        <w:tc>
          <w:tcPr>
            <w:tcW w:w="794" w:type="dxa"/>
          </w:tcPr>
          <w:p w14:paraId="0B25154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30 798</w:t>
            </w:r>
          </w:p>
        </w:tc>
        <w:tc>
          <w:tcPr>
            <w:tcW w:w="794" w:type="dxa"/>
          </w:tcPr>
          <w:p w14:paraId="28AEAD5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31 978</w:t>
            </w:r>
          </w:p>
        </w:tc>
      </w:tr>
      <w:tr w:rsidR="008D6F13" w14:paraId="68D21214"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72002DC8" w14:textId="77777777" w:rsidR="008D6F13" w:rsidRDefault="008D6F13" w:rsidP="0031078F">
            <w:pPr>
              <w:spacing w:after="0"/>
            </w:pPr>
            <w:r>
              <w:t>Grants</w:t>
            </w:r>
          </w:p>
        </w:tc>
        <w:tc>
          <w:tcPr>
            <w:tcW w:w="567" w:type="dxa"/>
          </w:tcPr>
          <w:p w14:paraId="0BE9370A"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0CF124F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36 859</w:t>
            </w:r>
          </w:p>
        </w:tc>
        <w:tc>
          <w:tcPr>
            <w:tcW w:w="794" w:type="dxa"/>
          </w:tcPr>
          <w:p w14:paraId="1A2409A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41 124</w:t>
            </w:r>
          </w:p>
        </w:tc>
        <w:tc>
          <w:tcPr>
            <w:tcW w:w="794" w:type="dxa"/>
          </w:tcPr>
          <w:p w14:paraId="7391F63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39 261</w:t>
            </w:r>
          </w:p>
        </w:tc>
        <w:tc>
          <w:tcPr>
            <w:tcW w:w="794" w:type="dxa"/>
          </w:tcPr>
          <w:p w14:paraId="419EC96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39 963</w:t>
            </w:r>
          </w:p>
        </w:tc>
        <w:tc>
          <w:tcPr>
            <w:tcW w:w="794" w:type="dxa"/>
          </w:tcPr>
          <w:p w14:paraId="03A194B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41 350</w:t>
            </w:r>
          </w:p>
        </w:tc>
      </w:tr>
      <w:tr w:rsidR="008D6F13" w14:paraId="1AA09416"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5E0C89EA" w14:textId="77777777" w:rsidR="008D6F13" w:rsidRDefault="008D6F13" w:rsidP="0031078F">
            <w:pPr>
              <w:spacing w:after="0"/>
            </w:pPr>
            <w:r>
              <w:t>Sales of goods and services and other receipts</w:t>
            </w:r>
            <w:r>
              <w:rPr>
                <w:vertAlign w:val="superscript"/>
              </w:rPr>
              <w:t xml:space="preserve"> (a)</w:t>
            </w:r>
          </w:p>
        </w:tc>
        <w:tc>
          <w:tcPr>
            <w:tcW w:w="567" w:type="dxa"/>
          </w:tcPr>
          <w:p w14:paraId="2213D17E"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6D588F6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12 380</w:t>
            </w:r>
          </w:p>
        </w:tc>
        <w:tc>
          <w:tcPr>
            <w:tcW w:w="794" w:type="dxa"/>
          </w:tcPr>
          <w:p w14:paraId="79838C2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8 413</w:t>
            </w:r>
          </w:p>
        </w:tc>
        <w:tc>
          <w:tcPr>
            <w:tcW w:w="794" w:type="dxa"/>
          </w:tcPr>
          <w:p w14:paraId="46A4DE0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12 661</w:t>
            </w:r>
          </w:p>
        </w:tc>
        <w:tc>
          <w:tcPr>
            <w:tcW w:w="794" w:type="dxa"/>
          </w:tcPr>
          <w:p w14:paraId="3DE6AA5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9 416</w:t>
            </w:r>
          </w:p>
        </w:tc>
        <w:tc>
          <w:tcPr>
            <w:tcW w:w="794" w:type="dxa"/>
          </w:tcPr>
          <w:p w14:paraId="5522298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9 731</w:t>
            </w:r>
          </w:p>
        </w:tc>
      </w:tr>
      <w:tr w:rsidR="008D6F13" w14:paraId="3FDEF77D"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1D5DDAA0" w14:textId="77777777" w:rsidR="008D6F13" w:rsidRDefault="008D6F13" w:rsidP="0031078F">
            <w:pPr>
              <w:spacing w:after="0"/>
            </w:pPr>
            <w:r>
              <w:t>Interest received</w:t>
            </w:r>
          </w:p>
        </w:tc>
        <w:tc>
          <w:tcPr>
            <w:tcW w:w="567" w:type="dxa"/>
          </w:tcPr>
          <w:p w14:paraId="3498DC4E"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67486E4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620</w:t>
            </w:r>
          </w:p>
        </w:tc>
        <w:tc>
          <w:tcPr>
            <w:tcW w:w="794" w:type="dxa"/>
          </w:tcPr>
          <w:p w14:paraId="60BC9B9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601</w:t>
            </w:r>
          </w:p>
        </w:tc>
        <w:tc>
          <w:tcPr>
            <w:tcW w:w="794" w:type="dxa"/>
          </w:tcPr>
          <w:p w14:paraId="3EAA20B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599</w:t>
            </w:r>
          </w:p>
        </w:tc>
        <w:tc>
          <w:tcPr>
            <w:tcW w:w="794" w:type="dxa"/>
          </w:tcPr>
          <w:p w14:paraId="1FB4CD3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639</w:t>
            </w:r>
          </w:p>
        </w:tc>
        <w:tc>
          <w:tcPr>
            <w:tcW w:w="794" w:type="dxa"/>
          </w:tcPr>
          <w:p w14:paraId="76308EB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671</w:t>
            </w:r>
          </w:p>
        </w:tc>
      </w:tr>
      <w:tr w:rsidR="008D6F13" w14:paraId="2FA666C1"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bottom w:val="single" w:sz="6" w:space="0" w:color="auto"/>
            </w:tcBorders>
          </w:tcPr>
          <w:p w14:paraId="67C9527F" w14:textId="77777777" w:rsidR="008D6F13" w:rsidRDefault="008D6F13" w:rsidP="0031078F">
            <w:pPr>
              <w:spacing w:after="0"/>
            </w:pPr>
            <w:r>
              <w:t>Dividends, income tax equivalent and rate equivalent receipts</w:t>
            </w:r>
          </w:p>
        </w:tc>
        <w:tc>
          <w:tcPr>
            <w:tcW w:w="567" w:type="dxa"/>
            <w:tcBorders>
              <w:bottom w:val="single" w:sz="6" w:space="0" w:color="auto"/>
            </w:tcBorders>
          </w:tcPr>
          <w:p w14:paraId="316EB50B"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7F2437D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570</w:t>
            </w:r>
          </w:p>
        </w:tc>
        <w:tc>
          <w:tcPr>
            <w:tcW w:w="794" w:type="dxa"/>
            <w:tcBorders>
              <w:bottom w:val="single" w:sz="6" w:space="0" w:color="auto"/>
            </w:tcBorders>
          </w:tcPr>
          <w:p w14:paraId="2B7F32E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574</w:t>
            </w:r>
          </w:p>
        </w:tc>
        <w:tc>
          <w:tcPr>
            <w:tcW w:w="794" w:type="dxa"/>
            <w:tcBorders>
              <w:bottom w:val="single" w:sz="6" w:space="0" w:color="auto"/>
            </w:tcBorders>
          </w:tcPr>
          <w:p w14:paraId="49D1D02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470</w:t>
            </w:r>
          </w:p>
        </w:tc>
        <w:tc>
          <w:tcPr>
            <w:tcW w:w="794" w:type="dxa"/>
            <w:tcBorders>
              <w:bottom w:val="single" w:sz="6" w:space="0" w:color="auto"/>
            </w:tcBorders>
          </w:tcPr>
          <w:p w14:paraId="112BD73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564</w:t>
            </w:r>
          </w:p>
        </w:tc>
        <w:tc>
          <w:tcPr>
            <w:tcW w:w="794" w:type="dxa"/>
            <w:tcBorders>
              <w:bottom w:val="single" w:sz="6" w:space="0" w:color="auto"/>
            </w:tcBorders>
          </w:tcPr>
          <w:p w14:paraId="59EB36E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640</w:t>
            </w:r>
          </w:p>
        </w:tc>
      </w:tr>
      <w:tr w:rsidR="008D6F13" w14:paraId="76927EE2"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tcBorders>
          </w:tcPr>
          <w:p w14:paraId="1DC0D959" w14:textId="77777777" w:rsidR="008D6F13" w:rsidRDefault="008D6F13" w:rsidP="0031078F">
            <w:pPr>
              <w:spacing w:after="0"/>
            </w:pPr>
            <w:r>
              <w:rPr>
                <w:b/>
              </w:rPr>
              <w:t>Total receipts</w:t>
            </w:r>
          </w:p>
        </w:tc>
        <w:tc>
          <w:tcPr>
            <w:tcW w:w="567" w:type="dxa"/>
            <w:tcBorders>
              <w:top w:val="single" w:sz="6" w:space="0" w:color="auto"/>
            </w:tcBorders>
          </w:tcPr>
          <w:p w14:paraId="0A5F0001"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98FE39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79 004</w:t>
            </w:r>
          </w:p>
        </w:tc>
        <w:tc>
          <w:tcPr>
            <w:tcW w:w="794" w:type="dxa"/>
            <w:tcBorders>
              <w:top w:val="single" w:sz="6" w:space="0" w:color="auto"/>
            </w:tcBorders>
          </w:tcPr>
          <w:p w14:paraId="201A8DF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78 332</w:t>
            </w:r>
          </w:p>
        </w:tc>
        <w:tc>
          <w:tcPr>
            <w:tcW w:w="794" w:type="dxa"/>
            <w:tcBorders>
              <w:top w:val="single" w:sz="6" w:space="0" w:color="auto"/>
            </w:tcBorders>
          </w:tcPr>
          <w:p w14:paraId="35C5177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82 751</w:t>
            </w:r>
          </w:p>
        </w:tc>
        <w:tc>
          <w:tcPr>
            <w:tcW w:w="794" w:type="dxa"/>
            <w:tcBorders>
              <w:top w:val="single" w:sz="6" w:space="0" w:color="auto"/>
            </w:tcBorders>
          </w:tcPr>
          <w:p w14:paraId="65222F2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81 380</w:t>
            </w:r>
          </w:p>
        </w:tc>
        <w:tc>
          <w:tcPr>
            <w:tcW w:w="794" w:type="dxa"/>
            <w:tcBorders>
              <w:top w:val="single" w:sz="6" w:space="0" w:color="auto"/>
            </w:tcBorders>
          </w:tcPr>
          <w:p w14:paraId="6B78063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84 370</w:t>
            </w:r>
          </w:p>
        </w:tc>
      </w:tr>
      <w:tr w:rsidR="008D6F13" w14:paraId="0F9C9F53"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6D1A9252" w14:textId="77777777" w:rsidR="008D6F13" w:rsidRDefault="008D6F13" w:rsidP="0031078F">
            <w:pPr>
              <w:spacing w:after="0"/>
            </w:pPr>
            <w:r>
              <w:rPr>
                <w:b/>
              </w:rPr>
              <w:t>Payments</w:t>
            </w:r>
          </w:p>
        </w:tc>
        <w:tc>
          <w:tcPr>
            <w:tcW w:w="567" w:type="dxa"/>
          </w:tcPr>
          <w:p w14:paraId="2F6C351F"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653EBE4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33177A3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6B8A5E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4C1C73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6905691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r>
      <w:tr w:rsidR="008D6F13" w14:paraId="6F84D526"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0698E715" w14:textId="77777777" w:rsidR="008D6F13" w:rsidRDefault="008D6F13" w:rsidP="0031078F">
            <w:pPr>
              <w:spacing w:after="0"/>
            </w:pPr>
            <w:r>
              <w:t>Payments for employees</w:t>
            </w:r>
          </w:p>
        </w:tc>
        <w:tc>
          <w:tcPr>
            <w:tcW w:w="567" w:type="dxa"/>
          </w:tcPr>
          <w:p w14:paraId="32E5BF63"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32EBF9A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(31 418)</w:t>
            </w:r>
          </w:p>
        </w:tc>
        <w:tc>
          <w:tcPr>
            <w:tcW w:w="794" w:type="dxa"/>
          </w:tcPr>
          <w:p w14:paraId="21D465F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(32 471)</w:t>
            </w:r>
          </w:p>
        </w:tc>
        <w:tc>
          <w:tcPr>
            <w:tcW w:w="794" w:type="dxa"/>
          </w:tcPr>
          <w:p w14:paraId="6C586B5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(32 729)</w:t>
            </w:r>
          </w:p>
        </w:tc>
        <w:tc>
          <w:tcPr>
            <w:tcW w:w="794" w:type="dxa"/>
          </w:tcPr>
          <w:p w14:paraId="171B457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(33 482)</w:t>
            </w:r>
          </w:p>
        </w:tc>
        <w:tc>
          <w:tcPr>
            <w:tcW w:w="794" w:type="dxa"/>
          </w:tcPr>
          <w:p w14:paraId="0C45DEE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(34 228)</w:t>
            </w:r>
          </w:p>
        </w:tc>
      </w:tr>
      <w:tr w:rsidR="008D6F13" w14:paraId="7BC3197D"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55F20A77" w14:textId="77777777" w:rsidR="008D6F13" w:rsidRDefault="008D6F13" w:rsidP="0031078F">
            <w:pPr>
              <w:spacing w:after="0"/>
            </w:pPr>
            <w:r>
              <w:t>Superannuation</w:t>
            </w:r>
          </w:p>
        </w:tc>
        <w:tc>
          <w:tcPr>
            <w:tcW w:w="567" w:type="dxa"/>
          </w:tcPr>
          <w:p w14:paraId="41885437"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2613ABC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(3 785)</w:t>
            </w:r>
          </w:p>
        </w:tc>
        <w:tc>
          <w:tcPr>
            <w:tcW w:w="794" w:type="dxa"/>
          </w:tcPr>
          <w:p w14:paraId="5BB1DD6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(3 891)</w:t>
            </w:r>
          </w:p>
        </w:tc>
        <w:tc>
          <w:tcPr>
            <w:tcW w:w="794" w:type="dxa"/>
          </w:tcPr>
          <w:p w14:paraId="5188097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(3 841)</w:t>
            </w:r>
          </w:p>
        </w:tc>
        <w:tc>
          <w:tcPr>
            <w:tcW w:w="794" w:type="dxa"/>
          </w:tcPr>
          <w:p w14:paraId="6AE011E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(3 973)</w:t>
            </w:r>
          </w:p>
        </w:tc>
        <w:tc>
          <w:tcPr>
            <w:tcW w:w="794" w:type="dxa"/>
          </w:tcPr>
          <w:p w14:paraId="311B34B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(3 990)</w:t>
            </w:r>
          </w:p>
        </w:tc>
      </w:tr>
      <w:tr w:rsidR="008D6F13" w14:paraId="77D95CF8"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06B5C0A8" w14:textId="77777777" w:rsidR="008D6F13" w:rsidRDefault="008D6F13" w:rsidP="0031078F">
            <w:pPr>
              <w:spacing w:after="0"/>
            </w:pPr>
            <w:r>
              <w:t>Interest paid</w:t>
            </w:r>
          </w:p>
        </w:tc>
        <w:tc>
          <w:tcPr>
            <w:tcW w:w="567" w:type="dxa"/>
          </w:tcPr>
          <w:p w14:paraId="05ACA468"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4B2BE62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(2 714)</w:t>
            </w:r>
          </w:p>
        </w:tc>
        <w:tc>
          <w:tcPr>
            <w:tcW w:w="794" w:type="dxa"/>
          </w:tcPr>
          <w:p w14:paraId="6E2A0F4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(2 828)</w:t>
            </w:r>
          </w:p>
        </w:tc>
        <w:tc>
          <w:tcPr>
            <w:tcW w:w="794" w:type="dxa"/>
          </w:tcPr>
          <w:p w14:paraId="5E9838A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(3 444)</w:t>
            </w:r>
          </w:p>
        </w:tc>
        <w:tc>
          <w:tcPr>
            <w:tcW w:w="794" w:type="dxa"/>
          </w:tcPr>
          <w:p w14:paraId="10C3660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(4 105)</w:t>
            </w:r>
          </w:p>
        </w:tc>
        <w:tc>
          <w:tcPr>
            <w:tcW w:w="794" w:type="dxa"/>
          </w:tcPr>
          <w:p w14:paraId="332D9C7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(4 896)</w:t>
            </w:r>
          </w:p>
        </w:tc>
      </w:tr>
      <w:tr w:rsidR="008D6F13" w14:paraId="458B3F13"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68D09612" w14:textId="77777777" w:rsidR="008D6F13" w:rsidRDefault="008D6F13" w:rsidP="0031078F">
            <w:pPr>
              <w:spacing w:after="0"/>
            </w:pPr>
            <w:r>
              <w:t>Grants and subsidies</w:t>
            </w:r>
          </w:p>
        </w:tc>
        <w:tc>
          <w:tcPr>
            <w:tcW w:w="567" w:type="dxa"/>
          </w:tcPr>
          <w:p w14:paraId="251A13AC"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74716CD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(17 303)</w:t>
            </w:r>
          </w:p>
        </w:tc>
        <w:tc>
          <w:tcPr>
            <w:tcW w:w="794" w:type="dxa"/>
          </w:tcPr>
          <w:p w14:paraId="3E6A9A7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(24 698)</w:t>
            </w:r>
          </w:p>
        </w:tc>
        <w:tc>
          <w:tcPr>
            <w:tcW w:w="794" w:type="dxa"/>
          </w:tcPr>
          <w:p w14:paraId="1AB510B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(15 746)</w:t>
            </w:r>
          </w:p>
        </w:tc>
        <w:tc>
          <w:tcPr>
            <w:tcW w:w="794" w:type="dxa"/>
          </w:tcPr>
          <w:p w14:paraId="2F4F008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(15 204)</w:t>
            </w:r>
          </w:p>
        </w:tc>
        <w:tc>
          <w:tcPr>
            <w:tcW w:w="794" w:type="dxa"/>
          </w:tcPr>
          <w:p w14:paraId="04D39F1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(14 922)</w:t>
            </w:r>
          </w:p>
        </w:tc>
      </w:tr>
      <w:tr w:rsidR="008D6F13" w14:paraId="2C2DBC17"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09FF9033" w14:textId="77777777" w:rsidR="008D6F13" w:rsidRDefault="008D6F13" w:rsidP="0031078F">
            <w:pPr>
              <w:spacing w:after="0"/>
            </w:pPr>
            <w:r>
              <w:t>Goods and services</w:t>
            </w:r>
            <w:r>
              <w:rPr>
                <w:vertAlign w:val="superscript"/>
              </w:rPr>
              <w:t xml:space="preserve"> (a)</w:t>
            </w:r>
          </w:p>
        </w:tc>
        <w:tc>
          <w:tcPr>
            <w:tcW w:w="567" w:type="dxa"/>
          </w:tcPr>
          <w:p w14:paraId="2C4BB544"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6F75C92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(24 559)</w:t>
            </w:r>
          </w:p>
        </w:tc>
        <w:tc>
          <w:tcPr>
            <w:tcW w:w="794" w:type="dxa"/>
          </w:tcPr>
          <w:p w14:paraId="14B2694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(27 780)</w:t>
            </w:r>
          </w:p>
        </w:tc>
        <w:tc>
          <w:tcPr>
            <w:tcW w:w="794" w:type="dxa"/>
          </w:tcPr>
          <w:p w14:paraId="1B7EBFA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(23 188)</w:t>
            </w:r>
          </w:p>
        </w:tc>
        <w:tc>
          <w:tcPr>
            <w:tcW w:w="794" w:type="dxa"/>
          </w:tcPr>
          <w:p w14:paraId="688B869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(22 977)</w:t>
            </w:r>
          </w:p>
        </w:tc>
        <w:tc>
          <w:tcPr>
            <w:tcW w:w="794" w:type="dxa"/>
          </w:tcPr>
          <w:p w14:paraId="4BB6502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(22 875)</w:t>
            </w:r>
          </w:p>
        </w:tc>
      </w:tr>
      <w:tr w:rsidR="008D6F13" w14:paraId="18179B0B"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bottom w:val="single" w:sz="6" w:space="0" w:color="auto"/>
            </w:tcBorders>
          </w:tcPr>
          <w:p w14:paraId="7195829D" w14:textId="77777777" w:rsidR="008D6F13" w:rsidRDefault="008D6F13" w:rsidP="0031078F">
            <w:pPr>
              <w:spacing w:after="0"/>
            </w:pPr>
            <w:r>
              <w:t>Other payments</w:t>
            </w:r>
          </w:p>
        </w:tc>
        <w:tc>
          <w:tcPr>
            <w:tcW w:w="567" w:type="dxa"/>
            <w:tcBorders>
              <w:bottom w:val="single" w:sz="6" w:space="0" w:color="auto"/>
            </w:tcBorders>
          </w:tcPr>
          <w:p w14:paraId="0FC0AD16"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6DBCD5C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(1 273)</w:t>
            </w:r>
          </w:p>
        </w:tc>
        <w:tc>
          <w:tcPr>
            <w:tcW w:w="794" w:type="dxa"/>
            <w:tcBorders>
              <w:bottom w:val="single" w:sz="6" w:space="0" w:color="auto"/>
            </w:tcBorders>
          </w:tcPr>
          <w:p w14:paraId="0061C9E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(1 330)</w:t>
            </w:r>
          </w:p>
        </w:tc>
        <w:tc>
          <w:tcPr>
            <w:tcW w:w="794" w:type="dxa"/>
            <w:tcBorders>
              <w:bottom w:val="single" w:sz="6" w:space="0" w:color="auto"/>
            </w:tcBorders>
          </w:tcPr>
          <w:p w14:paraId="428C372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(1 353)</w:t>
            </w:r>
          </w:p>
        </w:tc>
        <w:tc>
          <w:tcPr>
            <w:tcW w:w="794" w:type="dxa"/>
            <w:tcBorders>
              <w:bottom w:val="single" w:sz="6" w:space="0" w:color="auto"/>
            </w:tcBorders>
          </w:tcPr>
          <w:p w14:paraId="182DAE6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(864)</w:t>
            </w:r>
          </w:p>
        </w:tc>
        <w:tc>
          <w:tcPr>
            <w:tcW w:w="794" w:type="dxa"/>
            <w:tcBorders>
              <w:bottom w:val="single" w:sz="6" w:space="0" w:color="auto"/>
            </w:tcBorders>
          </w:tcPr>
          <w:p w14:paraId="2B87E98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(911)</w:t>
            </w:r>
          </w:p>
        </w:tc>
      </w:tr>
      <w:tr w:rsidR="008D6F13" w14:paraId="393989C6"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bottom w:val="single" w:sz="6" w:space="0" w:color="auto"/>
            </w:tcBorders>
          </w:tcPr>
          <w:p w14:paraId="5CA3C026" w14:textId="77777777" w:rsidR="008D6F13" w:rsidRDefault="008D6F13" w:rsidP="0031078F">
            <w:pPr>
              <w:spacing w:after="0"/>
            </w:pPr>
            <w:r>
              <w:rPr>
                <w:b/>
              </w:rPr>
              <w:t>Total payments</w:t>
            </w:r>
          </w:p>
        </w:tc>
        <w:tc>
          <w:tcPr>
            <w:tcW w:w="567" w:type="dxa"/>
            <w:tcBorders>
              <w:top w:val="single" w:sz="6" w:space="0" w:color="auto"/>
              <w:bottom w:val="single" w:sz="6" w:space="0" w:color="auto"/>
            </w:tcBorders>
          </w:tcPr>
          <w:p w14:paraId="110F52C4"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bottom w:val="single" w:sz="6" w:space="0" w:color="auto"/>
            </w:tcBorders>
          </w:tcPr>
          <w:p w14:paraId="13E6DE5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(81 053)</w:t>
            </w:r>
          </w:p>
        </w:tc>
        <w:tc>
          <w:tcPr>
            <w:tcW w:w="794" w:type="dxa"/>
            <w:tcBorders>
              <w:top w:val="single" w:sz="6" w:space="0" w:color="auto"/>
              <w:bottom w:val="single" w:sz="6" w:space="0" w:color="auto"/>
            </w:tcBorders>
          </w:tcPr>
          <w:p w14:paraId="1AEC0E0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(92 998)</w:t>
            </w:r>
          </w:p>
        </w:tc>
        <w:tc>
          <w:tcPr>
            <w:tcW w:w="794" w:type="dxa"/>
            <w:tcBorders>
              <w:top w:val="single" w:sz="6" w:space="0" w:color="auto"/>
              <w:bottom w:val="single" w:sz="6" w:space="0" w:color="auto"/>
            </w:tcBorders>
          </w:tcPr>
          <w:p w14:paraId="6CE3611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(80 301)</w:t>
            </w:r>
          </w:p>
        </w:tc>
        <w:tc>
          <w:tcPr>
            <w:tcW w:w="794" w:type="dxa"/>
            <w:tcBorders>
              <w:top w:val="single" w:sz="6" w:space="0" w:color="auto"/>
              <w:bottom w:val="single" w:sz="6" w:space="0" w:color="auto"/>
            </w:tcBorders>
          </w:tcPr>
          <w:p w14:paraId="6A105F7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(80 604)</w:t>
            </w:r>
          </w:p>
        </w:tc>
        <w:tc>
          <w:tcPr>
            <w:tcW w:w="794" w:type="dxa"/>
            <w:tcBorders>
              <w:top w:val="single" w:sz="6" w:space="0" w:color="auto"/>
              <w:bottom w:val="single" w:sz="6" w:space="0" w:color="auto"/>
            </w:tcBorders>
          </w:tcPr>
          <w:p w14:paraId="112AFD0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(81 822)</w:t>
            </w:r>
          </w:p>
        </w:tc>
      </w:tr>
      <w:tr w:rsidR="008D6F13" w14:paraId="4054F6E0"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tcBorders>
          </w:tcPr>
          <w:p w14:paraId="6F674C6A" w14:textId="77777777" w:rsidR="008D6F13" w:rsidRDefault="008D6F13" w:rsidP="0031078F">
            <w:pPr>
              <w:spacing w:after="0"/>
            </w:pPr>
            <w:r>
              <w:rPr>
                <w:b/>
              </w:rPr>
              <w:t>Net cash flows from operating activities</w:t>
            </w:r>
          </w:p>
        </w:tc>
        <w:tc>
          <w:tcPr>
            <w:tcW w:w="567" w:type="dxa"/>
            <w:tcBorders>
              <w:top w:val="single" w:sz="6" w:space="0" w:color="auto"/>
            </w:tcBorders>
          </w:tcPr>
          <w:p w14:paraId="68EB7664"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C29CC2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(2 049)</w:t>
            </w:r>
          </w:p>
        </w:tc>
        <w:tc>
          <w:tcPr>
            <w:tcW w:w="794" w:type="dxa"/>
            <w:tcBorders>
              <w:top w:val="single" w:sz="6" w:space="0" w:color="auto"/>
            </w:tcBorders>
          </w:tcPr>
          <w:p w14:paraId="5A897DE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(14 666)</w:t>
            </w:r>
          </w:p>
        </w:tc>
        <w:tc>
          <w:tcPr>
            <w:tcW w:w="794" w:type="dxa"/>
            <w:tcBorders>
              <w:top w:val="single" w:sz="6" w:space="0" w:color="auto"/>
            </w:tcBorders>
          </w:tcPr>
          <w:p w14:paraId="67B01EA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2 450</w:t>
            </w:r>
          </w:p>
        </w:tc>
        <w:tc>
          <w:tcPr>
            <w:tcW w:w="794" w:type="dxa"/>
            <w:tcBorders>
              <w:top w:val="single" w:sz="6" w:space="0" w:color="auto"/>
            </w:tcBorders>
          </w:tcPr>
          <w:p w14:paraId="6A94995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776</w:t>
            </w:r>
          </w:p>
        </w:tc>
        <w:tc>
          <w:tcPr>
            <w:tcW w:w="794" w:type="dxa"/>
            <w:tcBorders>
              <w:top w:val="single" w:sz="6" w:space="0" w:color="auto"/>
            </w:tcBorders>
          </w:tcPr>
          <w:p w14:paraId="61CAE8E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2 547</w:t>
            </w:r>
          </w:p>
        </w:tc>
      </w:tr>
      <w:tr w:rsidR="008D6F13" w14:paraId="41537574"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168FC1E0" w14:textId="77777777" w:rsidR="008D6F13" w:rsidRDefault="008D6F13" w:rsidP="0031078F">
            <w:pPr>
              <w:spacing w:after="0"/>
            </w:pPr>
            <w:r>
              <w:rPr>
                <w:b/>
              </w:rPr>
              <w:t>Cash flows from investing activities</w:t>
            </w:r>
          </w:p>
        </w:tc>
        <w:tc>
          <w:tcPr>
            <w:tcW w:w="567" w:type="dxa"/>
          </w:tcPr>
          <w:p w14:paraId="240D6154"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305B9AC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54D6DC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67A437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5B7A041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72FBCF7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r>
      <w:tr w:rsidR="008D6F13" w14:paraId="00152800"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39CDBFFA" w14:textId="77777777" w:rsidR="008D6F13" w:rsidRDefault="008D6F13" w:rsidP="0031078F">
            <w:pPr>
              <w:spacing w:after="0"/>
            </w:pPr>
            <w:r>
              <w:rPr>
                <w:b/>
              </w:rPr>
              <w:t>Cash flows from investments in non</w:t>
            </w:r>
            <w:r>
              <w:rPr>
                <w:b/>
              </w:rPr>
              <w:noBreakHyphen/>
              <w:t>financial assets</w:t>
            </w:r>
          </w:p>
        </w:tc>
        <w:tc>
          <w:tcPr>
            <w:tcW w:w="567" w:type="dxa"/>
          </w:tcPr>
          <w:p w14:paraId="254AB5AF"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3E28C89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3DA38C9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6563B6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7530B1A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681B72E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r>
      <w:tr w:rsidR="008D6F13" w14:paraId="102C3C06"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46AC2E10" w14:textId="77777777" w:rsidR="008D6F13" w:rsidRDefault="008D6F13" w:rsidP="0031078F">
            <w:pPr>
              <w:spacing w:after="0"/>
            </w:pPr>
            <w:r>
              <w:t>Purchases of non</w:t>
            </w:r>
            <w:r>
              <w:noBreakHyphen/>
              <w:t>financial assets</w:t>
            </w:r>
          </w:p>
        </w:tc>
        <w:tc>
          <w:tcPr>
            <w:tcW w:w="567" w:type="dxa"/>
          </w:tcPr>
          <w:p w14:paraId="56700024"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r>
              <w:t>4.3.6</w:t>
            </w:r>
          </w:p>
        </w:tc>
        <w:tc>
          <w:tcPr>
            <w:tcW w:w="794" w:type="dxa"/>
          </w:tcPr>
          <w:p w14:paraId="21C254E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(19 833)</w:t>
            </w:r>
          </w:p>
        </w:tc>
        <w:tc>
          <w:tcPr>
            <w:tcW w:w="794" w:type="dxa"/>
          </w:tcPr>
          <w:p w14:paraId="373EC92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(13 566)</w:t>
            </w:r>
          </w:p>
        </w:tc>
        <w:tc>
          <w:tcPr>
            <w:tcW w:w="794" w:type="dxa"/>
          </w:tcPr>
          <w:p w14:paraId="7EB7A45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(17 338)</w:t>
            </w:r>
          </w:p>
        </w:tc>
        <w:tc>
          <w:tcPr>
            <w:tcW w:w="794" w:type="dxa"/>
          </w:tcPr>
          <w:p w14:paraId="6628D99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(20 269)</w:t>
            </w:r>
          </w:p>
        </w:tc>
        <w:tc>
          <w:tcPr>
            <w:tcW w:w="794" w:type="dxa"/>
          </w:tcPr>
          <w:p w14:paraId="4830B8B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(21 500)</w:t>
            </w:r>
          </w:p>
        </w:tc>
      </w:tr>
      <w:tr w:rsidR="008D6F13" w14:paraId="52EAC11D"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bottom w:val="single" w:sz="6" w:space="0" w:color="auto"/>
            </w:tcBorders>
          </w:tcPr>
          <w:p w14:paraId="0C077458" w14:textId="77777777" w:rsidR="008D6F13" w:rsidRDefault="008D6F13" w:rsidP="0031078F">
            <w:pPr>
              <w:spacing w:after="0"/>
            </w:pPr>
            <w:r>
              <w:t>Sales of non</w:t>
            </w:r>
            <w:r>
              <w:noBreakHyphen/>
              <w:t>financial assets</w:t>
            </w:r>
          </w:p>
        </w:tc>
        <w:tc>
          <w:tcPr>
            <w:tcW w:w="567" w:type="dxa"/>
            <w:tcBorders>
              <w:bottom w:val="single" w:sz="6" w:space="0" w:color="auto"/>
            </w:tcBorders>
          </w:tcPr>
          <w:p w14:paraId="1507165C"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4BF1785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570</w:t>
            </w:r>
          </w:p>
        </w:tc>
        <w:tc>
          <w:tcPr>
            <w:tcW w:w="794" w:type="dxa"/>
            <w:tcBorders>
              <w:bottom w:val="single" w:sz="6" w:space="0" w:color="auto"/>
            </w:tcBorders>
          </w:tcPr>
          <w:p w14:paraId="09A2DFA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293</w:t>
            </w:r>
          </w:p>
        </w:tc>
        <w:tc>
          <w:tcPr>
            <w:tcW w:w="794" w:type="dxa"/>
            <w:tcBorders>
              <w:bottom w:val="single" w:sz="6" w:space="0" w:color="auto"/>
            </w:tcBorders>
          </w:tcPr>
          <w:p w14:paraId="4869C92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654</w:t>
            </w:r>
          </w:p>
        </w:tc>
        <w:tc>
          <w:tcPr>
            <w:tcW w:w="794" w:type="dxa"/>
            <w:tcBorders>
              <w:bottom w:val="single" w:sz="6" w:space="0" w:color="auto"/>
            </w:tcBorders>
          </w:tcPr>
          <w:p w14:paraId="1D57AB3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552</w:t>
            </w:r>
          </w:p>
        </w:tc>
        <w:tc>
          <w:tcPr>
            <w:tcW w:w="794" w:type="dxa"/>
            <w:tcBorders>
              <w:bottom w:val="single" w:sz="6" w:space="0" w:color="auto"/>
            </w:tcBorders>
          </w:tcPr>
          <w:p w14:paraId="474F93E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449</w:t>
            </w:r>
          </w:p>
        </w:tc>
      </w:tr>
      <w:tr w:rsidR="008D6F13" w14:paraId="56C957AC"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tcBorders>
          </w:tcPr>
          <w:p w14:paraId="12FF6375" w14:textId="77777777" w:rsidR="008D6F13" w:rsidRDefault="008D6F13" w:rsidP="0031078F">
            <w:pPr>
              <w:spacing w:after="0"/>
            </w:pPr>
            <w:r>
              <w:rPr>
                <w:b/>
              </w:rPr>
              <w:t>Net cash flows from investments in non</w:t>
            </w:r>
            <w:r>
              <w:rPr>
                <w:b/>
              </w:rPr>
              <w:noBreakHyphen/>
              <w:t>financial assets</w:t>
            </w:r>
          </w:p>
        </w:tc>
        <w:tc>
          <w:tcPr>
            <w:tcW w:w="567" w:type="dxa"/>
            <w:tcBorders>
              <w:top w:val="single" w:sz="6" w:space="0" w:color="auto"/>
            </w:tcBorders>
          </w:tcPr>
          <w:p w14:paraId="6A9744E3"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83A99F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(19 263)</w:t>
            </w:r>
          </w:p>
        </w:tc>
        <w:tc>
          <w:tcPr>
            <w:tcW w:w="794" w:type="dxa"/>
            <w:tcBorders>
              <w:top w:val="single" w:sz="6" w:space="0" w:color="auto"/>
            </w:tcBorders>
          </w:tcPr>
          <w:p w14:paraId="0B30BED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(13 273)</w:t>
            </w:r>
          </w:p>
        </w:tc>
        <w:tc>
          <w:tcPr>
            <w:tcW w:w="794" w:type="dxa"/>
            <w:tcBorders>
              <w:top w:val="single" w:sz="6" w:space="0" w:color="auto"/>
            </w:tcBorders>
          </w:tcPr>
          <w:p w14:paraId="681532F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(16 684)</w:t>
            </w:r>
          </w:p>
        </w:tc>
        <w:tc>
          <w:tcPr>
            <w:tcW w:w="794" w:type="dxa"/>
            <w:tcBorders>
              <w:top w:val="single" w:sz="6" w:space="0" w:color="auto"/>
            </w:tcBorders>
          </w:tcPr>
          <w:p w14:paraId="1050FBC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(19 716)</w:t>
            </w:r>
          </w:p>
        </w:tc>
        <w:tc>
          <w:tcPr>
            <w:tcW w:w="794" w:type="dxa"/>
            <w:tcBorders>
              <w:top w:val="single" w:sz="6" w:space="0" w:color="auto"/>
            </w:tcBorders>
          </w:tcPr>
          <w:p w14:paraId="0DD8F20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(21 051)</w:t>
            </w:r>
          </w:p>
        </w:tc>
      </w:tr>
      <w:tr w:rsidR="008D6F13" w14:paraId="4A4165D4"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bottom w:val="single" w:sz="6" w:space="0" w:color="auto"/>
            </w:tcBorders>
          </w:tcPr>
          <w:p w14:paraId="0535419F" w14:textId="77777777" w:rsidR="008D6F13" w:rsidRDefault="008D6F13" w:rsidP="0031078F">
            <w:pPr>
              <w:spacing w:after="0"/>
            </w:pPr>
            <w:r>
              <w:t>Net cash flows from investments in financial assets for policy purposes</w:t>
            </w:r>
          </w:p>
        </w:tc>
        <w:tc>
          <w:tcPr>
            <w:tcW w:w="567" w:type="dxa"/>
            <w:tcBorders>
              <w:bottom w:val="single" w:sz="6" w:space="0" w:color="auto"/>
            </w:tcBorders>
          </w:tcPr>
          <w:p w14:paraId="672325F5"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4A7426D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570</w:t>
            </w:r>
          </w:p>
        </w:tc>
        <w:tc>
          <w:tcPr>
            <w:tcW w:w="794" w:type="dxa"/>
            <w:tcBorders>
              <w:bottom w:val="single" w:sz="6" w:space="0" w:color="auto"/>
            </w:tcBorders>
          </w:tcPr>
          <w:p w14:paraId="65038D4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(286)</w:t>
            </w:r>
          </w:p>
        </w:tc>
        <w:tc>
          <w:tcPr>
            <w:tcW w:w="794" w:type="dxa"/>
            <w:tcBorders>
              <w:bottom w:val="single" w:sz="6" w:space="0" w:color="auto"/>
            </w:tcBorders>
          </w:tcPr>
          <w:p w14:paraId="544ECD7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(583)</w:t>
            </w:r>
          </w:p>
        </w:tc>
        <w:tc>
          <w:tcPr>
            <w:tcW w:w="794" w:type="dxa"/>
            <w:tcBorders>
              <w:bottom w:val="single" w:sz="6" w:space="0" w:color="auto"/>
            </w:tcBorders>
          </w:tcPr>
          <w:p w14:paraId="6E2CC8F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(1 491)</w:t>
            </w:r>
          </w:p>
        </w:tc>
        <w:tc>
          <w:tcPr>
            <w:tcW w:w="794" w:type="dxa"/>
            <w:tcBorders>
              <w:bottom w:val="single" w:sz="6" w:space="0" w:color="auto"/>
            </w:tcBorders>
          </w:tcPr>
          <w:p w14:paraId="4727505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(2 163)</w:t>
            </w:r>
          </w:p>
        </w:tc>
      </w:tr>
      <w:tr w:rsidR="008D6F13" w14:paraId="5D02D16D"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tcBorders>
          </w:tcPr>
          <w:p w14:paraId="49EC6283" w14:textId="77777777" w:rsidR="008D6F13" w:rsidRDefault="008D6F13" w:rsidP="0031078F">
            <w:pPr>
              <w:spacing w:after="0"/>
            </w:pPr>
            <w:r>
              <w:rPr>
                <w:b/>
              </w:rPr>
              <w:t>Subtotal</w:t>
            </w:r>
          </w:p>
        </w:tc>
        <w:tc>
          <w:tcPr>
            <w:tcW w:w="567" w:type="dxa"/>
            <w:tcBorders>
              <w:top w:val="single" w:sz="6" w:space="0" w:color="auto"/>
            </w:tcBorders>
          </w:tcPr>
          <w:p w14:paraId="0C8C1608"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535ED9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(18 692)</w:t>
            </w:r>
          </w:p>
        </w:tc>
        <w:tc>
          <w:tcPr>
            <w:tcW w:w="794" w:type="dxa"/>
            <w:tcBorders>
              <w:top w:val="single" w:sz="6" w:space="0" w:color="auto"/>
            </w:tcBorders>
          </w:tcPr>
          <w:p w14:paraId="30E8E55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(13 559)</w:t>
            </w:r>
          </w:p>
        </w:tc>
        <w:tc>
          <w:tcPr>
            <w:tcW w:w="794" w:type="dxa"/>
            <w:tcBorders>
              <w:top w:val="single" w:sz="6" w:space="0" w:color="auto"/>
            </w:tcBorders>
          </w:tcPr>
          <w:p w14:paraId="71B4187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(17 267)</w:t>
            </w:r>
          </w:p>
        </w:tc>
        <w:tc>
          <w:tcPr>
            <w:tcW w:w="794" w:type="dxa"/>
            <w:tcBorders>
              <w:top w:val="single" w:sz="6" w:space="0" w:color="auto"/>
            </w:tcBorders>
          </w:tcPr>
          <w:p w14:paraId="251AAA5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(21 207)</w:t>
            </w:r>
          </w:p>
        </w:tc>
        <w:tc>
          <w:tcPr>
            <w:tcW w:w="794" w:type="dxa"/>
            <w:tcBorders>
              <w:top w:val="single" w:sz="6" w:space="0" w:color="auto"/>
            </w:tcBorders>
          </w:tcPr>
          <w:p w14:paraId="0B0514F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(23 214)</w:t>
            </w:r>
          </w:p>
        </w:tc>
      </w:tr>
      <w:tr w:rsidR="008D6F13" w14:paraId="6E25D8BF"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bottom w:val="single" w:sz="6" w:space="0" w:color="auto"/>
            </w:tcBorders>
          </w:tcPr>
          <w:p w14:paraId="5029202F" w14:textId="77777777" w:rsidR="008D6F13" w:rsidRDefault="008D6F13" w:rsidP="0031078F">
            <w:pPr>
              <w:spacing w:after="0"/>
            </w:pPr>
            <w:r>
              <w:t>Net cash flows from investment in financial assets for liquidity management purposes</w:t>
            </w:r>
          </w:p>
        </w:tc>
        <w:tc>
          <w:tcPr>
            <w:tcW w:w="567" w:type="dxa"/>
            <w:tcBorders>
              <w:bottom w:val="single" w:sz="6" w:space="0" w:color="auto"/>
            </w:tcBorders>
          </w:tcPr>
          <w:p w14:paraId="54C47FE4"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116B3F5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62</w:t>
            </w:r>
          </w:p>
        </w:tc>
        <w:tc>
          <w:tcPr>
            <w:tcW w:w="794" w:type="dxa"/>
            <w:tcBorders>
              <w:bottom w:val="single" w:sz="6" w:space="0" w:color="auto"/>
            </w:tcBorders>
          </w:tcPr>
          <w:p w14:paraId="5A69F3E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(582)</w:t>
            </w:r>
          </w:p>
        </w:tc>
        <w:tc>
          <w:tcPr>
            <w:tcW w:w="794" w:type="dxa"/>
            <w:tcBorders>
              <w:bottom w:val="single" w:sz="6" w:space="0" w:color="auto"/>
            </w:tcBorders>
          </w:tcPr>
          <w:p w14:paraId="2DBFA69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(200)</w:t>
            </w:r>
          </w:p>
        </w:tc>
        <w:tc>
          <w:tcPr>
            <w:tcW w:w="794" w:type="dxa"/>
            <w:tcBorders>
              <w:bottom w:val="single" w:sz="6" w:space="0" w:color="auto"/>
            </w:tcBorders>
          </w:tcPr>
          <w:p w14:paraId="2C669A0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(219)</w:t>
            </w:r>
          </w:p>
        </w:tc>
        <w:tc>
          <w:tcPr>
            <w:tcW w:w="794" w:type="dxa"/>
            <w:tcBorders>
              <w:bottom w:val="single" w:sz="6" w:space="0" w:color="auto"/>
            </w:tcBorders>
          </w:tcPr>
          <w:p w14:paraId="772F56E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(220)</w:t>
            </w:r>
          </w:p>
        </w:tc>
      </w:tr>
      <w:tr w:rsidR="008D6F13" w14:paraId="363DF0E4"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tcBorders>
          </w:tcPr>
          <w:p w14:paraId="3CF908E7" w14:textId="77777777" w:rsidR="008D6F13" w:rsidRDefault="008D6F13" w:rsidP="0031078F">
            <w:pPr>
              <w:spacing w:after="0"/>
            </w:pPr>
            <w:r>
              <w:rPr>
                <w:b/>
              </w:rPr>
              <w:t>Net cash flows from investing activities</w:t>
            </w:r>
          </w:p>
        </w:tc>
        <w:tc>
          <w:tcPr>
            <w:tcW w:w="567" w:type="dxa"/>
            <w:tcBorders>
              <w:top w:val="single" w:sz="6" w:space="0" w:color="auto"/>
            </w:tcBorders>
          </w:tcPr>
          <w:p w14:paraId="38D766F3"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A955AB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(18 630)</w:t>
            </w:r>
          </w:p>
        </w:tc>
        <w:tc>
          <w:tcPr>
            <w:tcW w:w="794" w:type="dxa"/>
            <w:tcBorders>
              <w:top w:val="single" w:sz="6" w:space="0" w:color="auto"/>
            </w:tcBorders>
          </w:tcPr>
          <w:p w14:paraId="0EC6ABB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(14 141)</w:t>
            </w:r>
          </w:p>
        </w:tc>
        <w:tc>
          <w:tcPr>
            <w:tcW w:w="794" w:type="dxa"/>
            <w:tcBorders>
              <w:top w:val="single" w:sz="6" w:space="0" w:color="auto"/>
            </w:tcBorders>
          </w:tcPr>
          <w:p w14:paraId="76B5BDD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(17 467)</w:t>
            </w:r>
          </w:p>
        </w:tc>
        <w:tc>
          <w:tcPr>
            <w:tcW w:w="794" w:type="dxa"/>
            <w:tcBorders>
              <w:top w:val="single" w:sz="6" w:space="0" w:color="auto"/>
            </w:tcBorders>
          </w:tcPr>
          <w:p w14:paraId="35414D8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(21 426)</w:t>
            </w:r>
          </w:p>
        </w:tc>
        <w:tc>
          <w:tcPr>
            <w:tcW w:w="794" w:type="dxa"/>
            <w:tcBorders>
              <w:top w:val="single" w:sz="6" w:space="0" w:color="auto"/>
            </w:tcBorders>
          </w:tcPr>
          <w:p w14:paraId="25472AB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(23 434)</w:t>
            </w:r>
          </w:p>
        </w:tc>
      </w:tr>
      <w:tr w:rsidR="008D6F13" w14:paraId="41A721E9"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014F28D5" w14:textId="77777777" w:rsidR="008D6F13" w:rsidRDefault="008D6F13" w:rsidP="0031078F">
            <w:pPr>
              <w:spacing w:after="0"/>
            </w:pPr>
            <w:r>
              <w:rPr>
                <w:b/>
              </w:rPr>
              <w:t>Cash flows from financing activities</w:t>
            </w:r>
          </w:p>
        </w:tc>
        <w:tc>
          <w:tcPr>
            <w:tcW w:w="567" w:type="dxa"/>
          </w:tcPr>
          <w:p w14:paraId="54DE2A3A"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6A06CB6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1B6665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6D81FB3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E8F495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9FE73A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r>
      <w:tr w:rsidR="008D6F13" w14:paraId="78FE4BA7"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43CCBE7D" w14:textId="77777777" w:rsidR="008D6F13" w:rsidRDefault="008D6F13" w:rsidP="0031078F">
            <w:pPr>
              <w:spacing w:after="0"/>
            </w:pPr>
            <w:r>
              <w:t>Advances received (net)</w:t>
            </w:r>
          </w:p>
        </w:tc>
        <w:tc>
          <w:tcPr>
            <w:tcW w:w="567" w:type="dxa"/>
          </w:tcPr>
          <w:p w14:paraId="20B488E5"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48F4779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(1 140)</w:t>
            </w:r>
          </w:p>
        </w:tc>
        <w:tc>
          <w:tcPr>
            <w:tcW w:w="794" w:type="dxa"/>
          </w:tcPr>
          <w:p w14:paraId="659D5AE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(947)</w:t>
            </w:r>
          </w:p>
        </w:tc>
        <w:tc>
          <w:tcPr>
            <w:tcW w:w="794" w:type="dxa"/>
          </w:tcPr>
          <w:p w14:paraId="60B5822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(252)</w:t>
            </w:r>
          </w:p>
        </w:tc>
        <w:tc>
          <w:tcPr>
            <w:tcW w:w="794" w:type="dxa"/>
          </w:tcPr>
          <w:p w14:paraId="2E4FB08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w:t>
            </w:r>
          </w:p>
        </w:tc>
        <w:tc>
          <w:tcPr>
            <w:tcW w:w="794" w:type="dxa"/>
          </w:tcPr>
          <w:p w14:paraId="4234A72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10</w:t>
            </w:r>
          </w:p>
        </w:tc>
      </w:tr>
      <w:tr w:rsidR="008D6F13" w14:paraId="79B6051F"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4EA92B7F" w14:textId="77777777" w:rsidR="008D6F13" w:rsidRDefault="008D6F13" w:rsidP="0031078F">
            <w:pPr>
              <w:spacing w:after="0"/>
            </w:pPr>
            <w:r>
              <w:t>Net borrowings</w:t>
            </w:r>
          </w:p>
        </w:tc>
        <w:tc>
          <w:tcPr>
            <w:tcW w:w="567" w:type="dxa"/>
          </w:tcPr>
          <w:p w14:paraId="4AF67B48"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6CE4525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22 103</w:t>
            </w:r>
          </w:p>
        </w:tc>
        <w:tc>
          <w:tcPr>
            <w:tcW w:w="794" w:type="dxa"/>
          </w:tcPr>
          <w:p w14:paraId="0E36F37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29 836</w:t>
            </w:r>
          </w:p>
        </w:tc>
        <w:tc>
          <w:tcPr>
            <w:tcW w:w="794" w:type="dxa"/>
          </w:tcPr>
          <w:p w14:paraId="6D27412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15 434</w:t>
            </w:r>
          </w:p>
        </w:tc>
        <w:tc>
          <w:tcPr>
            <w:tcW w:w="794" w:type="dxa"/>
          </w:tcPr>
          <w:p w14:paraId="15FB20A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20 883</w:t>
            </w:r>
          </w:p>
        </w:tc>
        <w:tc>
          <w:tcPr>
            <w:tcW w:w="794" w:type="dxa"/>
          </w:tcPr>
          <w:p w14:paraId="5E1F817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21 168</w:t>
            </w:r>
          </w:p>
        </w:tc>
      </w:tr>
      <w:tr w:rsidR="008D6F13" w14:paraId="6764DC1A"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56EF6920" w14:textId="77777777" w:rsidR="008D6F13" w:rsidRDefault="008D6F13" w:rsidP="0031078F">
            <w:pPr>
              <w:spacing w:after="0"/>
            </w:pPr>
            <w:r>
              <w:t>Deposits received (net)</w:t>
            </w:r>
          </w:p>
        </w:tc>
        <w:tc>
          <w:tcPr>
            <w:tcW w:w="567" w:type="dxa"/>
          </w:tcPr>
          <w:p w14:paraId="39A0DBFF"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6B24AAA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6</w:t>
            </w:r>
          </w:p>
        </w:tc>
        <w:tc>
          <w:tcPr>
            <w:tcW w:w="794" w:type="dxa"/>
          </w:tcPr>
          <w:p w14:paraId="78B329B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0C54777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1F77372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3B8B3B0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r>
      <w:tr w:rsidR="008D6F13" w14:paraId="492997DA"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bottom w:val="single" w:sz="6" w:space="0" w:color="auto"/>
            </w:tcBorders>
          </w:tcPr>
          <w:p w14:paraId="235CB9BF" w14:textId="77777777" w:rsidR="008D6F13" w:rsidRDefault="008D6F13" w:rsidP="0031078F">
            <w:pPr>
              <w:spacing w:after="0"/>
            </w:pPr>
            <w:r>
              <w:rPr>
                <w:b/>
              </w:rPr>
              <w:t>Net cash flows from financing activities</w:t>
            </w:r>
          </w:p>
        </w:tc>
        <w:tc>
          <w:tcPr>
            <w:tcW w:w="567" w:type="dxa"/>
            <w:tcBorders>
              <w:top w:val="single" w:sz="6" w:space="0" w:color="auto"/>
              <w:bottom w:val="single" w:sz="6" w:space="0" w:color="auto"/>
            </w:tcBorders>
          </w:tcPr>
          <w:p w14:paraId="374EA83B"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bottom w:val="single" w:sz="6" w:space="0" w:color="auto"/>
            </w:tcBorders>
          </w:tcPr>
          <w:p w14:paraId="5F98C31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20 969</w:t>
            </w:r>
          </w:p>
        </w:tc>
        <w:tc>
          <w:tcPr>
            <w:tcW w:w="794" w:type="dxa"/>
            <w:tcBorders>
              <w:top w:val="single" w:sz="6" w:space="0" w:color="auto"/>
              <w:bottom w:val="single" w:sz="6" w:space="0" w:color="auto"/>
            </w:tcBorders>
          </w:tcPr>
          <w:p w14:paraId="0281132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28 889</w:t>
            </w:r>
          </w:p>
        </w:tc>
        <w:tc>
          <w:tcPr>
            <w:tcW w:w="794" w:type="dxa"/>
            <w:tcBorders>
              <w:top w:val="single" w:sz="6" w:space="0" w:color="auto"/>
              <w:bottom w:val="single" w:sz="6" w:space="0" w:color="auto"/>
            </w:tcBorders>
          </w:tcPr>
          <w:p w14:paraId="2CC8E28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15 182</w:t>
            </w:r>
          </w:p>
        </w:tc>
        <w:tc>
          <w:tcPr>
            <w:tcW w:w="794" w:type="dxa"/>
            <w:tcBorders>
              <w:top w:val="single" w:sz="6" w:space="0" w:color="auto"/>
              <w:bottom w:val="single" w:sz="6" w:space="0" w:color="auto"/>
            </w:tcBorders>
          </w:tcPr>
          <w:p w14:paraId="31A6948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20 884</w:t>
            </w:r>
          </w:p>
        </w:tc>
        <w:tc>
          <w:tcPr>
            <w:tcW w:w="794" w:type="dxa"/>
            <w:tcBorders>
              <w:top w:val="single" w:sz="6" w:space="0" w:color="auto"/>
              <w:bottom w:val="single" w:sz="6" w:space="0" w:color="auto"/>
            </w:tcBorders>
          </w:tcPr>
          <w:p w14:paraId="5E9D073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21 178</w:t>
            </w:r>
          </w:p>
        </w:tc>
      </w:tr>
      <w:tr w:rsidR="008D6F13" w14:paraId="5F4C08D4"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tcBorders>
          </w:tcPr>
          <w:p w14:paraId="5BB350BF" w14:textId="77777777" w:rsidR="008D6F13" w:rsidRDefault="008D6F13" w:rsidP="0031078F">
            <w:pPr>
              <w:spacing w:after="0"/>
            </w:pPr>
            <w:r>
              <w:rPr>
                <w:b/>
              </w:rPr>
              <w:t>Net increase/(decrease) in cash and cash equivalents</w:t>
            </w:r>
          </w:p>
        </w:tc>
        <w:tc>
          <w:tcPr>
            <w:tcW w:w="567" w:type="dxa"/>
            <w:tcBorders>
              <w:top w:val="single" w:sz="6" w:space="0" w:color="auto"/>
            </w:tcBorders>
          </w:tcPr>
          <w:p w14:paraId="092DA554"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72C373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290</w:t>
            </w:r>
          </w:p>
        </w:tc>
        <w:tc>
          <w:tcPr>
            <w:tcW w:w="794" w:type="dxa"/>
            <w:tcBorders>
              <w:top w:val="single" w:sz="6" w:space="0" w:color="auto"/>
            </w:tcBorders>
          </w:tcPr>
          <w:p w14:paraId="36503A6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81</w:t>
            </w:r>
          </w:p>
        </w:tc>
        <w:tc>
          <w:tcPr>
            <w:tcW w:w="794" w:type="dxa"/>
            <w:tcBorders>
              <w:top w:val="single" w:sz="6" w:space="0" w:color="auto"/>
            </w:tcBorders>
          </w:tcPr>
          <w:p w14:paraId="3EDDB5C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165</w:t>
            </w:r>
          </w:p>
        </w:tc>
        <w:tc>
          <w:tcPr>
            <w:tcW w:w="794" w:type="dxa"/>
            <w:tcBorders>
              <w:top w:val="single" w:sz="6" w:space="0" w:color="auto"/>
            </w:tcBorders>
          </w:tcPr>
          <w:p w14:paraId="5A93286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234</w:t>
            </w:r>
          </w:p>
        </w:tc>
        <w:tc>
          <w:tcPr>
            <w:tcW w:w="794" w:type="dxa"/>
            <w:tcBorders>
              <w:top w:val="single" w:sz="6" w:space="0" w:color="auto"/>
            </w:tcBorders>
          </w:tcPr>
          <w:p w14:paraId="5A82999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291</w:t>
            </w:r>
          </w:p>
        </w:tc>
      </w:tr>
      <w:tr w:rsidR="008D6F13" w14:paraId="47181E61"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bottom w:val="single" w:sz="6" w:space="0" w:color="auto"/>
            </w:tcBorders>
          </w:tcPr>
          <w:p w14:paraId="02FBA355" w14:textId="77777777" w:rsidR="008D6F13" w:rsidRDefault="008D6F13" w:rsidP="0031078F">
            <w:pPr>
              <w:spacing w:after="0"/>
            </w:pPr>
            <w:r>
              <w:t>Cash and cash equivalents at beginning of reporting period</w:t>
            </w:r>
            <w:r>
              <w:rPr>
                <w:vertAlign w:val="superscript"/>
              </w:rPr>
              <w:t xml:space="preserve"> (b)</w:t>
            </w:r>
          </w:p>
        </w:tc>
        <w:tc>
          <w:tcPr>
            <w:tcW w:w="567" w:type="dxa"/>
            <w:tcBorders>
              <w:bottom w:val="single" w:sz="6" w:space="0" w:color="auto"/>
            </w:tcBorders>
          </w:tcPr>
          <w:p w14:paraId="0AB5A017"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74CB4C4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14 609</w:t>
            </w:r>
          </w:p>
        </w:tc>
        <w:tc>
          <w:tcPr>
            <w:tcW w:w="794" w:type="dxa"/>
            <w:tcBorders>
              <w:bottom w:val="single" w:sz="6" w:space="0" w:color="auto"/>
            </w:tcBorders>
          </w:tcPr>
          <w:p w14:paraId="363A19E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14 609</w:t>
            </w:r>
          </w:p>
        </w:tc>
        <w:tc>
          <w:tcPr>
            <w:tcW w:w="794" w:type="dxa"/>
            <w:tcBorders>
              <w:bottom w:val="single" w:sz="6" w:space="0" w:color="auto"/>
            </w:tcBorders>
          </w:tcPr>
          <w:p w14:paraId="6E01511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14 690</w:t>
            </w:r>
          </w:p>
        </w:tc>
        <w:tc>
          <w:tcPr>
            <w:tcW w:w="794" w:type="dxa"/>
            <w:tcBorders>
              <w:bottom w:val="single" w:sz="6" w:space="0" w:color="auto"/>
            </w:tcBorders>
          </w:tcPr>
          <w:p w14:paraId="438FED5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14 855</w:t>
            </w:r>
          </w:p>
        </w:tc>
        <w:tc>
          <w:tcPr>
            <w:tcW w:w="794" w:type="dxa"/>
            <w:tcBorders>
              <w:bottom w:val="single" w:sz="6" w:space="0" w:color="auto"/>
            </w:tcBorders>
          </w:tcPr>
          <w:p w14:paraId="039004E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15 089</w:t>
            </w:r>
          </w:p>
        </w:tc>
      </w:tr>
      <w:tr w:rsidR="008D6F13" w14:paraId="663DD2DE"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top w:val="single" w:sz="6" w:space="0" w:color="auto"/>
              <w:bottom w:val="single" w:sz="6" w:space="0" w:color="auto"/>
            </w:tcBorders>
          </w:tcPr>
          <w:p w14:paraId="035245A2" w14:textId="77777777" w:rsidR="008D6F13" w:rsidRDefault="008D6F13" w:rsidP="0031078F">
            <w:pPr>
              <w:spacing w:after="0"/>
            </w:pPr>
            <w:r>
              <w:rPr>
                <w:b/>
              </w:rPr>
              <w:t>Cash and cash equivalents at end of reporting period</w:t>
            </w:r>
            <w:r>
              <w:rPr>
                <w:b/>
                <w:vertAlign w:val="superscript"/>
              </w:rPr>
              <w:t xml:space="preserve"> (b)</w:t>
            </w:r>
          </w:p>
        </w:tc>
        <w:tc>
          <w:tcPr>
            <w:tcW w:w="567" w:type="dxa"/>
            <w:tcBorders>
              <w:top w:val="single" w:sz="6" w:space="0" w:color="auto"/>
              <w:bottom w:val="single" w:sz="6" w:space="0" w:color="auto"/>
            </w:tcBorders>
          </w:tcPr>
          <w:p w14:paraId="06461BE4"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bottom w:val="single" w:sz="6" w:space="0" w:color="auto"/>
            </w:tcBorders>
          </w:tcPr>
          <w:p w14:paraId="4AA8AA9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14 899</w:t>
            </w:r>
          </w:p>
        </w:tc>
        <w:tc>
          <w:tcPr>
            <w:tcW w:w="794" w:type="dxa"/>
            <w:tcBorders>
              <w:top w:val="single" w:sz="6" w:space="0" w:color="auto"/>
              <w:bottom w:val="single" w:sz="6" w:space="0" w:color="auto"/>
            </w:tcBorders>
          </w:tcPr>
          <w:p w14:paraId="43A5F6A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14 690</w:t>
            </w:r>
          </w:p>
        </w:tc>
        <w:tc>
          <w:tcPr>
            <w:tcW w:w="794" w:type="dxa"/>
            <w:tcBorders>
              <w:top w:val="single" w:sz="6" w:space="0" w:color="auto"/>
              <w:bottom w:val="single" w:sz="6" w:space="0" w:color="auto"/>
            </w:tcBorders>
          </w:tcPr>
          <w:p w14:paraId="50F46D5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14 855</w:t>
            </w:r>
          </w:p>
        </w:tc>
        <w:tc>
          <w:tcPr>
            <w:tcW w:w="794" w:type="dxa"/>
            <w:tcBorders>
              <w:top w:val="single" w:sz="6" w:space="0" w:color="auto"/>
              <w:bottom w:val="single" w:sz="6" w:space="0" w:color="auto"/>
            </w:tcBorders>
          </w:tcPr>
          <w:p w14:paraId="4C13621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15 089</w:t>
            </w:r>
          </w:p>
        </w:tc>
        <w:tc>
          <w:tcPr>
            <w:tcW w:w="794" w:type="dxa"/>
            <w:tcBorders>
              <w:top w:val="single" w:sz="6" w:space="0" w:color="auto"/>
              <w:bottom w:val="single" w:sz="6" w:space="0" w:color="auto"/>
            </w:tcBorders>
          </w:tcPr>
          <w:p w14:paraId="1EA6209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15 380</w:t>
            </w:r>
          </w:p>
        </w:tc>
      </w:tr>
    </w:tbl>
    <w:p w14:paraId="7C5E444F" w14:textId="476F7C71" w:rsidR="00D056BB" w:rsidRDefault="00D056BB"/>
    <w:p w14:paraId="483E1217" w14:textId="10EB0F9C" w:rsidR="00D056BB" w:rsidRDefault="00D056BB" w:rsidP="00CB5E47">
      <w:pPr>
        <w:pStyle w:val="Heading1Non-TOC"/>
      </w:pPr>
      <w:r>
        <w:lastRenderedPageBreak/>
        <w:t>Estimated general government sector</w:t>
      </w:r>
      <w:r>
        <w:br/>
        <w:t xml:space="preserve">cash flow statement </w:t>
      </w:r>
      <w:r w:rsidRPr="00D056BB">
        <w:rPr>
          <w:i/>
          <w:iCs/>
          <w:sz w:val="22"/>
          <w:szCs w:val="24"/>
        </w:rPr>
        <w:t>(continued)</w:t>
      </w:r>
    </w:p>
    <w:p w14:paraId="1048C6C3" w14:textId="77777777" w:rsidR="00D056BB" w:rsidRDefault="00D056BB" w:rsidP="00D056BB">
      <w:pPr>
        <w:pStyle w:val="TableHeading"/>
      </w:pPr>
      <w:r>
        <w:t>For the financial year ended 30 June</w:t>
      </w:r>
      <w:r>
        <w:tab/>
        <w:t>($ million)</w:t>
      </w:r>
    </w:p>
    <w:tbl>
      <w:tblPr>
        <w:tblStyle w:val="DTFTableNumeric"/>
        <w:tblW w:w="7710" w:type="dxa"/>
        <w:tblLayout w:type="fixed"/>
        <w:tblLook w:val="06A0" w:firstRow="1" w:lastRow="0" w:firstColumn="1" w:lastColumn="0" w:noHBand="1" w:noVBand="1"/>
      </w:tblPr>
      <w:tblGrid>
        <w:gridCol w:w="3173"/>
        <w:gridCol w:w="567"/>
        <w:gridCol w:w="794"/>
        <w:gridCol w:w="794"/>
        <w:gridCol w:w="794"/>
        <w:gridCol w:w="794"/>
        <w:gridCol w:w="794"/>
      </w:tblGrid>
      <w:tr w:rsidR="00D056BB" w14:paraId="750621E7"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73" w:type="dxa"/>
          </w:tcPr>
          <w:p w14:paraId="52FDE87A" w14:textId="77777777" w:rsidR="00D056BB" w:rsidRDefault="00D056BB" w:rsidP="0031078F">
            <w:pPr>
              <w:spacing w:after="0"/>
            </w:pPr>
          </w:p>
        </w:tc>
        <w:tc>
          <w:tcPr>
            <w:tcW w:w="567" w:type="dxa"/>
          </w:tcPr>
          <w:p w14:paraId="71CC6EA7" w14:textId="77777777" w:rsidR="00D056BB" w:rsidRDefault="00D056BB" w:rsidP="0031078F">
            <w:pPr>
              <w:spacing w:after="0"/>
              <w:jc w:val="center"/>
              <w:cnfStyle w:val="100000000000" w:firstRow="1" w:lastRow="0" w:firstColumn="0" w:lastColumn="0" w:oddVBand="0" w:evenVBand="0" w:oddHBand="0" w:evenHBand="0" w:firstRowFirstColumn="0" w:firstRowLastColumn="0" w:lastRowFirstColumn="0" w:lastRowLastColumn="0"/>
            </w:pPr>
            <w:r>
              <w:t>Notes</w:t>
            </w:r>
          </w:p>
        </w:tc>
        <w:tc>
          <w:tcPr>
            <w:tcW w:w="794" w:type="dxa"/>
          </w:tcPr>
          <w:p w14:paraId="4ABDF0CE" w14:textId="77777777" w:rsidR="00D056BB" w:rsidRDefault="00D056BB" w:rsidP="0031078F">
            <w:pPr>
              <w:spacing w:after="0"/>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73CBFDA7" w14:textId="77777777" w:rsidR="00D056BB" w:rsidRDefault="00D056BB" w:rsidP="0031078F">
            <w:pPr>
              <w:spacing w:after="0"/>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73CEE24E" w14:textId="77777777" w:rsidR="00D056BB" w:rsidRDefault="00D056BB" w:rsidP="0031078F">
            <w:pPr>
              <w:spacing w:after="0"/>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62CCC73D" w14:textId="77777777" w:rsidR="00D056BB" w:rsidRDefault="00D056BB" w:rsidP="0031078F">
            <w:pPr>
              <w:spacing w:after="0"/>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65046791" w14:textId="77777777" w:rsidR="00D056BB" w:rsidRDefault="00D056BB" w:rsidP="0031078F">
            <w:pPr>
              <w:spacing w:after="0"/>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59DE43B5"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6CCF7273" w14:textId="77777777" w:rsidR="008D6F13" w:rsidRDefault="008D6F13" w:rsidP="00D056BB">
            <w:pPr>
              <w:spacing w:after="0"/>
            </w:pPr>
            <w:r>
              <w:rPr>
                <w:b/>
              </w:rPr>
              <w:t>FISCAL AGGREGATES</w:t>
            </w:r>
          </w:p>
        </w:tc>
        <w:tc>
          <w:tcPr>
            <w:tcW w:w="567" w:type="dxa"/>
          </w:tcPr>
          <w:p w14:paraId="6D66A3E1"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15A9E38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318B78F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EAC159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3AC4F96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319FC89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r>
      <w:tr w:rsidR="008D6F13" w14:paraId="1E986009"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3ED85936" w14:textId="77777777" w:rsidR="008D6F13" w:rsidRDefault="008D6F13" w:rsidP="0031078F">
            <w:pPr>
              <w:spacing w:after="0"/>
            </w:pPr>
            <w:r>
              <w:t>Net cash flows from operating activities</w:t>
            </w:r>
          </w:p>
        </w:tc>
        <w:tc>
          <w:tcPr>
            <w:tcW w:w="567" w:type="dxa"/>
          </w:tcPr>
          <w:p w14:paraId="0CE33A06" w14:textId="77777777" w:rsidR="008D6F13" w:rsidRDefault="008D6F13" w:rsidP="0031078F">
            <w:pPr>
              <w:spacing w:after="0"/>
              <w:jc w:val="center"/>
              <w:cnfStyle w:val="000000000000" w:firstRow="0" w:lastRow="0" w:firstColumn="0" w:lastColumn="0" w:oddVBand="0" w:evenVBand="0" w:oddHBand="0" w:evenHBand="0" w:firstRowFirstColumn="0" w:firstRowLastColumn="0" w:lastRowFirstColumn="0" w:lastRowLastColumn="0"/>
            </w:pPr>
          </w:p>
        </w:tc>
        <w:tc>
          <w:tcPr>
            <w:tcW w:w="794" w:type="dxa"/>
          </w:tcPr>
          <w:p w14:paraId="04359DA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(2 049)</w:t>
            </w:r>
          </w:p>
        </w:tc>
        <w:tc>
          <w:tcPr>
            <w:tcW w:w="794" w:type="dxa"/>
          </w:tcPr>
          <w:p w14:paraId="17ED95E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(14 666)</w:t>
            </w:r>
          </w:p>
        </w:tc>
        <w:tc>
          <w:tcPr>
            <w:tcW w:w="794" w:type="dxa"/>
          </w:tcPr>
          <w:p w14:paraId="109C023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2 450</w:t>
            </w:r>
          </w:p>
        </w:tc>
        <w:tc>
          <w:tcPr>
            <w:tcW w:w="794" w:type="dxa"/>
          </w:tcPr>
          <w:p w14:paraId="4C0E3FF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776</w:t>
            </w:r>
          </w:p>
        </w:tc>
        <w:tc>
          <w:tcPr>
            <w:tcW w:w="794" w:type="dxa"/>
          </w:tcPr>
          <w:p w14:paraId="59B8B8D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2 547</w:t>
            </w:r>
          </w:p>
        </w:tc>
      </w:tr>
      <w:tr w:rsidR="008D6F13" w14:paraId="548E9AC7" w14:textId="77777777" w:rsidTr="0031078F">
        <w:tc>
          <w:tcPr>
            <w:cnfStyle w:val="001000000000" w:firstRow="0" w:lastRow="0" w:firstColumn="1" w:lastColumn="0" w:oddVBand="0" w:evenVBand="0" w:oddHBand="0" w:evenHBand="0" w:firstRowFirstColumn="0" w:firstRowLastColumn="0" w:lastRowFirstColumn="0" w:lastRowLastColumn="0"/>
            <w:tcW w:w="3173" w:type="dxa"/>
            <w:tcBorders>
              <w:bottom w:val="single" w:sz="6" w:space="0" w:color="auto"/>
            </w:tcBorders>
          </w:tcPr>
          <w:p w14:paraId="56A8EEC4" w14:textId="77777777" w:rsidR="008D6F13" w:rsidRDefault="008D6F13" w:rsidP="0031078F">
            <w:pPr>
              <w:spacing w:after="0"/>
            </w:pPr>
            <w:r>
              <w:t>Net cash flows from investments in non</w:t>
            </w:r>
            <w:r>
              <w:noBreakHyphen/>
              <w:t>financial assets</w:t>
            </w:r>
          </w:p>
        </w:tc>
        <w:tc>
          <w:tcPr>
            <w:tcW w:w="567" w:type="dxa"/>
            <w:tcBorders>
              <w:bottom w:val="single" w:sz="6" w:space="0" w:color="auto"/>
            </w:tcBorders>
          </w:tcPr>
          <w:p w14:paraId="29DCC99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162D9CE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(19 263)</w:t>
            </w:r>
          </w:p>
        </w:tc>
        <w:tc>
          <w:tcPr>
            <w:tcW w:w="794" w:type="dxa"/>
            <w:tcBorders>
              <w:bottom w:val="single" w:sz="6" w:space="0" w:color="auto"/>
            </w:tcBorders>
          </w:tcPr>
          <w:p w14:paraId="6EE888C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(13 273)</w:t>
            </w:r>
          </w:p>
        </w:tc>
        <w:tc>
          <w:tcPr>
            <w:tcW w:w="794" w:type="dxa"/>
            <w:tcBorders>
              <w:bottom w:val="single" w:sz="6" w:space="0" w:color="auto"/>
            </w:tcBorders>
          </w:tcPr>
          <w:p w14:paraId="69D5269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(16 684)</w:t>
            </w:r>
          </w:p>
        </w:tc>
        <w:tc>
          <w:tcPr>
            <w:tcW w:w="794" w:type="dxa"/>
            <w:tcBorders>
              <w:bottom w:val="single" w:sz="6" w:space="0" w:color="auto"/>
            </w:tcBorders>
          </w:tcPr>
          <w:p w14:paraId="3136747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(19 716)</w:t>
            </w:r>
          </w:p>
        </w:tc>
        <w:tc>
          <w:tcPr>
            <w:tcW w:w="794" w:type="dxa"/>
            <w:tcBorders>
              <w:bottom w:val="single" w:sz="6" w:space="0" w:color="auto"/>
            </w:tcBorders>
          </w:tcPr>
          <w:p w14:paraId="111E5AD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(21 051)</w:t>
            </w:r>
          </w:p>
        </w:tc>
      </w:tr>
      <w:tr w:rsidR="008D6F13" w14:paraId="1E67CA3B" w14:textId="77777777" w:rsidTr="0031078F">
        <w:tc>
          <w:tcPr>
            <w:cnfStyle w:val="001000000000" w:firstRow="0" w:lastRow="0" w:firstColumn="1" w:lastColumn="0" w:oddVBand="0" w:evenVBand="0" w:oddHBand="0" w:evenHBand="0" w:firstRowFirstColumn="0" w:firstRowLastColumn="0" w:lastRowFirstColumn="0" w:lastRowLastColumn="0"/>
            <w:tcW w:w="3173" w:type="dxa"/>
          </w:tcPr>
          <w:p w14:paraId="7DD4AD7D" w14:textId="77777777" w:rsidR="008D6F13" w:rsidRDefault="008D6F13" w:rsidP="0031078F">
            <w:pPr>
              <w:spacing w:after="0"/>
            </w:pPr>
            <w:r>
              <w:rPr>
                <w:b/>
              </w:rPr>
              <w:t>Cash surplus/(deficit)</w:t>
            </w:r>
          </w:p>
        </w:tc>
        <w:tc>
          <w:tcPr>
            <w:tcW w:w="567" w:type="dxa"/>
          </w:tcPr>
          <w:p w14:paraId="6310958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E449B3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(21 311)</w:t>
            </w:r>
          </w:p>
        </w:tc>
        <w:tc>
          <w:tcPr>
            <w:tcW w:w="794" w:type="dxa"/>
          </w:tcPr>
          <w:p w14:paraId="7903FBB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(27 939)</w:t>
            </w:r>
          </w:p>
        </w:tc>
        <w:tc>
          <w:tcPr>
            <w:tcW w:w="794" w:type="dxa"/>
          </w:tcPr>
          <w:p w14:paraId="28DBF6F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(14 234)</w:t>
            </w:r>
          </w:p>
        </w:tc>
        <w:tc>
          <w:tcPr>
            <w:tcW w:w="794" w:type="dxa"/>
          </w:tcPr>
          <w:p w14:paraId="199F369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(18 941)</w:t>
            </w:r>
          </w:p>
        </w:tc>
        <w:tc>
          <w:tcPr>
            <w:tcW w:w="794" w:type="dxa"/>
          </w:tcPr>
          <w:p w14:paraId="0BFDB079" w14:textId="670EEE26"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(18 503)</w:t>
            </w:r>
          </w:p>
        </w:tc>
      </w:tr>
    </w:tbl>
    <w:p w14:paraId="0EC5FCB9" w14:textId="77777777" w:rsidR="008D6F13" w:rsidRDefault="008D6F13" w:rsidP="008D6F13">
      <w:pPr>
        <w:pStyle w:val="Source"/>
      </w:pPr>
      <w:r>
        <w:t>The accompanying notes form part of these Estimated Financial Statements.</w:t>
      </w:r>
    </w:p>
    <w:p w14:paraId="5C7CFD07" w14:textId="77777777" w:rsidR="008D6F13" w:rsidRDefault="008D6F13" w:rsidP="008D6F13">
      <w:pPr>
        <w:pStyle w:val="Note"/>
      </w:pPr>
      <w:r>
        <w:t>Notes:</w:t>
      </w:r>
    </w:p>
    <w:p w14:paraId="4203DBBF" w14:textId="77777777" w:rsidR="008D6F13" w:rsidRDefault="008D6F13" w:rsidP="008D6F13">
      <w:pPr>
        <w:pStyle w:val="Note"/>
      </w:pPr>
      <w:r>
        <w:t>(a)</w:t>
      </w:r>
      <w:r>
        <w:tab/>
        <w:t>Inclusive of goods and services tax.</w:t>
      </w:r>
    </w:p>
    <w:p w14:paraId="2911FEF0" w14:textId="77777777" w:rsidR="008D6F13" w:rsidRPr="00A7102E" w:rsidRDefault="008D6F13" w:rsidP="008D6F13">
      <w:pPr>
        <w:pStyle w:val="Note"/>
      </w:pPr>
      <w:r w:rsidRPr="00A7102E">
        <w:t>(b)</w:t>
      </w:r>
      <w:r w:rsidRPr="00A7102E">
        <w:tab/>
      </w:r>
      <w:r w:rsidRPr="00C87705">
        <w:rPr>
          <w:i w:val="0"/>
          <w:iCs/>
        </w:rPr>
        <w:t>2021-22 Budget</w:t>
      </w:r>
      <w:r w:rsidRPr="00A7102E">
        <w:t xml:space="preserve"> figures have been restated to represent actual opening balances </w:t>
      </w:r>
      <w:proofErr w:type="gramStart"/>
      <w:r w:rsidRPr="00A7102E">
        <w:t>at</w:t>
      </w:r>
      <w:proofErr w:type="gramEnd"/>
      <w:r w:rsidRPr="00A7102E">
        <w:t xml:space="preserve"> 1 July 2021.</w:t>
      </w:r>
    </w:p>
    <w:p w14:paraId="326DFAC8" w14:textId="77777777" w:rsidR="008D6F13" w:rsidRDefault="008D6F13" w:rsidP="008D6F13">
      <w:pPr>
        <w:pStyle w:val="Heading10"/>
        <w:pageBreakBefore/>
      </w:pPr>
      <w:bookmarkStart w:id="68" w:name="_Toc89423591"/>
      <w:r>
        <w:lastRenderedPageBreak/>
        <w:t xml:space="preserve">Estimated general government sector </w:t>
      </w:r>
      <w:r>
        <w:br/>
        <w:t>statement of changes in equity</w:t>
      </w:r>
      <w:bookmarkEnd w:id="68"/>
    </w:p>
    <w:p w14:paraId="403A89F9" w14:textId="77777777" w:rsidR="008D6F13" w:rsidRDefault="008D6F13" w:rsidP="008D6F13">
      <w:pPr>
        <w:pStyle w:val="TableHeading"/>
      </w:pPr>
      <w:r>
        <w:t>For the financial year ended 30 June</w:t>
      </w:r>
      <w:r>
        <w:tab/>
        <w:t>($ million)</w:t>
      </w:r>
    </w:p>
    <w:tbl>
      <w:tblPr>
        <w:tblStyle w:val="DTFTableNumeric"/>
        <w:tblW w:w="7710" w:type="dxa"/>
        <w:tblLayout w:type="fixed"/>
        <w:tblLook w:val="06A0" w:firstRow="1" w:lastRow="0" w:firstColumn="1" w:lastColumn="0" w:noHBand="1" w:noVBand="1"/>
      </w:tblPr>
      <w:tblGrid>
        <w:gridCol w:w="2240"/>
        <w:gridCol w:w="1021"/>
        <w:gridCol w:w="1513"/>
        <w:gridCol w:w="1435"/>
        <w:gridCol w:w="737"/>
        <w:gridCol w:w="764"/>
      </w:tblGrid>
      <w:tr w:rsidR="008D6F13" w14:paraId="2E689BDE"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40" w:type="dxa"/>
          </w:tcPr>
          <w:p w14:paraId="20CBDB98" w14:textId="343967DE" w:rsidR="008D6F13" w:rsidRDefault="008D6F13" w:rsidP="0031078F"/>
        </w:tc>
        <w:tc>
          <w:tcPr>
            <w:tcW w:w="1021" w:type="dxa"/>
          </w:tcPr>
          <w:p w14:paraId="47B40A4B"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rPr>
                <w:i w:val="0"/>
                <w:sz w:val="16"/>
              </w:rPr>
            </w:pPr>
            <w:r>
              <w:rPr>
                <w:sz w:val="16"/>
              </w:rPr>
              <w:t>Accumulated surplus/</w:t>
            </w:r>
          </w:p>
          <w:p w14:paraId="60FBC24D"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rPr>
                <w:sz w:val="16"/>
              </w:rPr>
              <w:t>(deficit)</w:t>
            </w:r>
          </w:p>
        </w:tc>
        <w:tc>
          <w:tcPr>
            <w:tcW w:w="1513" w:type="dxa"/>
          </w:tcPr>
          <w:p w14:paraId="3559E2C2"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rPr>
                <w:sz w:val="16"/>
              </w:rPr>
              <w:t>Non</w:t>
            </w:r>
            <w:r>
              <w:rPr>
                <w:sz w:val="16"/>
              </w:rPr>
              <w:noBreakHyphen/>
              <w:t>financial assets revaluation surplus</w:t>
            </w:r>
          </w:p>
        </w:tc>
        <w:tc>
          <w:tcPr>
            <w:tcW w:w="1435" w:type="dxa"/>
          </w:tcPr>
          <w:p w14:paraId="545CFDB3"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rPr>
                <w:sz w:val="16"/>
              </w:rPr>
              <w:t>Investment in other sector entities revaluation surplus</w:t>
            </w:r>
          </w:p>
        </w:tc>
        <w:tc>
          <w:tcPr>
            <w:tcW w:w="737" w:type="dxa"/>
          </w:tcPr>
          <w:p w14:paraId="0E7D91F9"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rPr>
                <w:sz w:val="16"/>
              </w:rPr>
              <w:t>Other reserves</w:t>
            </w:r>
          </w:p>
        </w:tc>
        <w:tc>
          <w:tcPr>
            <w:tcW w:w="764" w:type="dxa"/>
          </w:tcPr>
          <w:p w14:paraId="0255BE0D"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rPr>
                <w:sz w:val="16"/>
              </w:rPr>
              <w:t>Total</w:t>
            </w:r>
          </w:p>
        </w:tc>
      </w:tr>
      <w:tr w:rsidR="008D6F13" w14:paraId="2EB4B45F" w14:textId="77777777" w:rsidTr="0031078F">
        <w:tc>
          <w:tcPr>
            <w:cnfStyle w:val="001000000000" w:firstRow="0" w:lastRow="0" w:firstColumn="1" w:lastColumn="0" w:oddVBand="0" w:evenVBand="0" w:oddHBand="0" w:evenHBand="0" w:firstRowFirstColumn="0" w:firstRowLastColumn="0" w:lastRowFirstColumn="0" w:lastRowLastColumn="0"/>
            <w:tcW w:w="2240" w:type="dxa"/>
          </w:tcPr>
          <w:p w14:paraId="7E304E64" w14:textId="77777777" w:rsidR="008D6F13" w:rsidRDefault="008D6F13" w:rsidP="0031078F">
            <w:r>
              <w:rPr>
                <w:b/>
                <w:sz w:val="16"/>
              </w:rPr>
              <w:t>2021</w:t>
            </w:r>
            <w:r>
              <w:rPr>
                <w:b/>
                <w:sz w:val="16"/>
              </w:rPr>
              <w:noBreakHyphen/>
              <w:t>22 budget</w:t>
            </w:r>
            <w:r>
              <w:rPr>
                <w:b/>
                <w:sz w:val="16"/>
                <w:vertAlign w:val="superscript"/>
              </w:rPr>
              <w:t xml:space="preserve"> (a)</w:t>
            </w:r>
          </w:p>
        </w:tc>
        <w:tc>
          <w:tcPr>
            <w:tcW w:w="1021" w:type="dxa"/>
          </w:tcPr>
          <w:p w14:paraId="1E3C52C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513" w:type="dxa"/>
          </w:tcPr>
          <w:p w14:paraId="0B3F9CD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435" w:type="dxa"/>
          </w:tcPr>
          <w:p w14:paraId="2270BF1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37" w:type="dxa"/>
          </w:tcPr>
          <w:p w14:paraId="5A5EDCA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64" w:type="dxa"/>
          </w:tcPr>
          <w:p w14:paraId="04438E3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12E02044" w14:textId="77777777" w:rsidTr="0031078F">
        <w:tc>
          <w:tcPr>
            <w:cnfStyle w:val="001000000000" w:firstRow="0" w:lastRow="0" w:firstColumn="1" w:lastColumn="0" w:oddVBand="0" w:evenVBand="0" w:oddHBand="0" w:evenHBand="0" w:firstRowFirstColumn="0" w:firstRowLastColumn="0" w:lastRowFirstColumn="0" w:lastRowLastColumn="0"/>
            <w:tcW w:w="2240" w:type="dxa"/>
          </w:tcPr>
          <w:p w14:paraId="65785DCD" w14:textId="77777777" w:rsidR="008D6F13" w:rsidRDefault="008D6F13" w:rsidP="0031078F">
            <w:r>
              <w:rPr>
                <w:sz w:val="16"/>
              </w:rPr>
              <w:t xml:space="preserve">Balance </w:t>
            </w:r>
            <w:proofErr w:type="gramStart"/>
            <w:r>
              <w:rPr>
                <w:sz w:val="16"/>
              </w:rPr>
              <w:t>at</w:t>
            </w:r>
            <w:proofErr w:type="gramEnd"/>
            <w:r>
              <w:rPr>
                <w:sz w:val="16"/>
              </w:rPr>
              <w:t xml:space="preserve"> 1 July 2021</w:t>
            </w:r>
          </w:p>
        </w:tc>
        <w:tc>
          <w:tcPr>
            <w:tcW w:w="1021" w:type="dxa"/>
          </w:tcPr>
          <w:p w14:paraId="55B371A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58 642</w:t>
            </w:r>
          </w:p>
        </w:tc>
        <w:tc>
          <w:tcPr>
            <w:tcW w:w="1513" w:type="dxa"/>
          </w:tcPr>
          <w:p w14:paraId="601B773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61 017</w:t>
            </w:r>
          </w:p>
        </w:tc>
        <w:tc>
          <w:tcPr>
            <w:tcW w:w="1435" w:type="dxa"/>
          </w:tcPr>
          <w:p w14:paraId="18B8921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32 981</w:t>
            </w:r>
          </w:p>
        </w:tc>
        <w:tc>
          <w:tcPr>
            <w:tcW w:w="737" w:type="dxa"/>
          </w:tcPr>
          <w:p w14:paraId="7BC9E09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1 159</w:t>
            </w:r>
          </w:p>
        </w:tc>
        <w:tc>
          <w:tcPr>
            <w:tcW w:w="764" w:type="dxa"/>
          </w:tcPr>
          <w:p w14:paraId="0AB9BEF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153 799</w:t>
            </w:r>
          </w:p>
        </w:tc>
      </w:tr>
      <w:tr w:rsidR="008D6F13" w14:paraId="6CC33E26" w14:textId="77777777" w:rsidTr="0031078F">
        <w:tc>
          <w:tcPr>
            <w:cnfStyle w:val="001000000000" w:firstRow="0" w:lastRow="0" w:firstColumn="1" w:lastColumn="0" w:oddVBand="0" w:evenVBand="0" w:oddHBand="0" w:evenHBand="0" w:firstRowFirstColumn="0" w:firstRowLastColumn="0" w:lastRowFirstColumn="0" w:lastRowLastColumn="0"/>
            <w:tcW w:w="2240" w:type="dxa"/>
          </w:tcPr>
          <w:p w14:paraId="3B4280F5" w14:textId="77777777" w:rsidR="008D6F13" w:rsidRDefault="008D6F13" w:rsidP="0031078F">
            <w:r>
              <w:rPr>
                <w:sz w:val="16"/>
              </w:rPr>
              <w:t>Net result for the year</w:t>
            </w:r>
          </w:p>
        </w:tc>
        <w:tc>
          <w:tcPr>
            <w:tcW w:w="1021" w:type="dxa"/>
          </w:tcPr>
          <w:p w14:paraId="015A0FF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(12 094)</w:t>
            </w:r>
          </w:p>
        </w:tc>
        <w:tc>
          <w:tcPr>
            <w:tcW w:w="1513" w:type="dxa"/>
          </w:tcPr>
          <w:p w14:paraId="772281B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1435" w:type="dxa"/>
          </w:tcPr>
          <w:p w14:paraId="01D647C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37" w:type="dxa"/>
          </w:tcPr>
          <w:p w14:paraId="148C990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64" w:type="dxa"/>
          </w:tcPr>
          <w:p w14:paraId="70D66A9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(12 094)</w:t>
            </w:r>
          </w:p>
        </w:tc>
      </w:tr>
      <w:tr w:rsidR="008D6F13" w14:paraId="022235C5" w14:textId="77777777" w:rsidTr="0031078F">
        <w:tc>
          <w:tcPr>
            <w:cnfStyle w:val="001000000000" w:firstRow="0" w:lastRow="0" w:firstColumn="1" w:lastColumn="0" w:oddVBand="0" w:evenVBand="0" w:oddHBand="0" w:evenHBand="0" w:firstRowFirstColumn="0" w:firstRowLastColumn="0" w:lastRowFirstColumn="0" w:lastRowLastColumn="0"/>
            <w:tcW w:w="2240" w:type="dxa"/>
          </w:tcPr>
          <w:p w14:paraId="19343337" w14:textId="77777777" w:rsidR="008D6F13" w:rsidRDefault="008D6F13" w:rsidP="0031078F">
            <w:r>
              <w:rPr>
                <w:sz w:val="16"/>
              </w:rPr>
              <w:t>Other comprehensive income for the year</w:t>
            </w:r>
          </w:p>
        </w:tc>
        <w:tc>
          <w:tcPr>
            <w:tcW w:w="1021" w:type="dxa"/>
          </w:tcPr>
          <w:p w14:paraId="029D7EC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1 267</w:t>
            </w:r>
          </w:p>
        </w:tc>
        <w:tc>
          <w:tcPr>
            <w:tcW w:w="1513" w:type="dxa"/>
          </w:tcPr>
          <w:p w14:paraId="6F14674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563</w:t>
            </w:r>
          </w:p>
        </w:tc>
        <w:tc>
          <w:tcPr>
            <w:tcW w:w="1435" w:type="dxa"/>
          </w:tcPr>
          <w:p w14:paraId="7CCC408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(7 403)</w:t>
            </w:r>
          </w:p>
        </w:tc>
        <w:tc>
          <w:tcPr>
            <w:tcW w:w="737" w:type="dxa"/>
          </w:tcPr>
          <w:p w14:paraId="42D565E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3</w:t>
            </w:r>
          </w:p>
        </w:tc>
        <w:tc>
          <w:tcPr>
            <w:tcW w:w="764" w:type="dxa"/>
          </w:tcPr>
          <w:p w14:paraId="0FB3DC9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(5 570)</w:t>
            </w:r>
          </w:p>
        </w:tc>
      </w:tr>
      <w:tr w:rsidR="008D6F13" w14:paraId="01FA8EE0" w14:textId="77777777" w:rsidTr="0031078F">
        <w:tc>
          <w:tcPr>
            <w:cnfStyle w:val="001000000000" w:firstRow="0" w:lastRow="0" w:firstColumn="1" w:lastColumn="0" w:oddVBand="0" w:evenVBand="0" w:oddHBand="0" w:evenHBand="0" w:firstRowFirstColumn="0" w:firstRowLastColumn="0" w:lastRowFirstColumn="0" w:lastRowLastColumn="0"/>
            <w:tcW w:w="2240" w:type="dxa"/>
            <w:tcBorders>
              <w:top w:val="single" w:sz="6" w:space="0" w:color="auto"/>
              <w:bottom w:val="single" w:sz="6" w:space="0" w:color="auto"/>
            </w:tcBorders>
          </w:tcPr>
          <w:p w14:paraId="757580C8" w14:textId="77777777" w:rsidR="008D6F13" w:rsidRDefault="008D6F13" w:rsidP="0031078F">
            <w:r>
              <w:rPr>
                <w:b/>
                <w:sz w:val="16"/>
              </w:rPr>
              <w:t xml:space="preserve">Total equity as </w:t>
            </w:r>
            <w:proofErr w:type="gramStart"/>
            <w:r>
              <w:rPr>
                <w:b/>
                <w:sz w:val="16"/>
              </w:rPr>
              <w:t>at</w:t>
            </w:r>
            <w:proofErr w:type="gramEnd"/>
            <w:r>
              <w:rPr>
                <w:b/>
                <w:sz w:val="16"/>
              </w:rPr>
              <w:t xml:space="preserve"> 30 June 2022</w:t>
            </w:r>
          </w:p>
        </w:tc>
        <w:tc>
          <w:tcPr>
            <w:tcW w:w="1021" w:type="dxa"/>
            <w:tcBorders>
              <w:top w:val="single" w:sz="6" w:space="0" w:color="auto"/>
              <w:bottom w:val="single" w:sz="6" w:space="0" w:color="auto"/>
            </w:tcBorders>
          </w:tcPr>
          <w:p w14:paraId="37DA7E0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47 814</w:t>
            </w:r>
          </w:p>
        </w:tc>
        <w:tc>
          <w:tcPr>
            <w:tcW w:w="1513" w:type="dxa"/>
            <w:tcBorders>
              <w:top w:val="single" w:sz="6" w:space="0" w:color="auto"/>
              <w:bottom w:val="single" w:sz="6" w:space="0" w:color="auto"/>
            </w:tcBorders>
          </w:tcPr>
          <w:p w14:paraId="5421CFB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61 580</w:t>
            </w:r>
          </w:p>
        </w:tc>
        <w:tc>
          <w:tcPr>
            <w:tcW w:w="1435" w:type="dxa"/>
            <w:tcBorders>
              <w:top w:val="single" w:sz="6" w:space="0" w:color="auto"/>
              <w:bottom w:val="single" w:sz="6" w:space="0" w:color="auto"/>
            </w:tcBorders>
          </w:tcPr>
          <w:p w14:paraId="302BC03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25 578</w:t>
            </w:r>
          </w:p>
        </w:tc>
        <w:tc>
          <w:tcPr>
            <w:tcW w:w="737" w:type="dxa"/>
            <w:tcBorders>
              <w:top w:val="single" w:sz="6" w:space="0" w:color="auto"/>
              <w:bottom w:val="single" w:sz="6" w:space="0" w:color="auto"/>
            </w:tcBorders>
          </w:tcPr>
          <w:p w14:paraId="197A7C3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1 162</w:t>
            </w:r>
          </w:p>
        </w:tc>
        <w:tc>
          <w:tcPr>
            <w:tcW w:w="764" w:type="dxa"/>
            <w:tcBorders>
              <w:top w:val="single" w:sz="6" w:space="0" w:color="auto"/>
              <w:bottom w:val="single" w:sz="6" w:space="0" w:color="auto"/>
            </w:tcBorders>
          </w:tcPr>
          <w:p w14:paraId="0AFC093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136 135</w:t>
            </w:r>
          </w:p>
        </w:tc>
      </w:tr>
      <w:tr w:rsidR="008D6F13" w14:paraId="2B671234" w14:textId="77777777" w:rsidTr="0031078F">
        <w:tc>
          <w:tcPr>
            <w:cnfStyle w:val="001000000000" w:firstRow="0" w:lastRow="0" w:firstColumn="1" w:lastColumn="0" w:oddVBand="0" w:evenVBand="0" w:oddHBand="0" w:evenHBand="0" w:firstRowFirstColumn="0" w:firstRowLastColumn="0" w:lastRowFirstColumn="0" w:lastRowLastColumn="0"/>
            <w:tcW w:w="2240" w:type="dxa"/>
            <w:tcBorders>
              <w:top w:val="single" w:sz="6" w:space="0" w:color="auto"/>
            </w:tcBorders>
          </w:tcPr>
          <w:p w14:paraId="0447DF93" w14:textId="77777777" w:rsidR="008D6F13" w:rsidRDefault="008D6F13" w:rsidP="0031078F">
            <w:r>
              <w:rPr>
                <w:b/>
                <w:sz w:val="16"/>
              </w:rPr>
              <w:t>2021</w:t>
            </w:r>
            <w:r>
              <w:rPr>
                <w:b/>
                <w:sz w:val="16"/>
              </w:rPr>
              <w:noBreakHyphen/>
              <w:t>22 revised</w:t>
            </w:r>
          </w:p>
        </w:tc>
        <w:tc>
          <w:tcPr>
            <w:tcW w:w="1021" w:type="dxa"/>
            <w:tcBorders>
              <w:top w:val="single" w:sz="6" w:space="0" w:color="auto"/>
            </w:tcBorders>
          </w:tcPr>
          <w:p w14:paraId="5458C6B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513" w:type="dxa"/>
            <w:tcBorders>
              <w:top w:val="single" w:sz="6" w:space="0" w:color="auto"/>
            </w:tcBorders>
          </w:tcPr>
          <w:p w14:paraId="6CCC7A2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435" w:type="dxa"/>
            <w:tcBorders>
              <w:top w:val="single" w:sz="6" w:space="0" w:color="auto"/>
            </w:tcBorders>
          </w:tcPr>
          <w:p w14:paraId="7B76AAE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37" w:type="dxa"/>
            <w:tcBorders>
              <w:top w:val="single" w:sz="6" w:space="0" w:color="auto"/>
            </w:tcBorders>
          </w:tcPr>
          <w:p w14:paraId="1287CC5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64" w:type="dxa"/>
            <w:tcBorders>
              <w:top w:val="single" w:sz="6" w:space="0" w:color="auto"/>
            </w:tcBorders>
          </w:tcPr>
          <w:p w14:paraId="7EB61C4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0D33706A" w14:textId="77777777" w:rsidTr="0031078F">
        <w:tc>
          <w:tcPr>
            <w:cnfStyle w:val="001000000000" w:firstRow="0" w:lastRow="0" w:firstColumn="1" w:lastColumn="0" w:oddVBand="0" w:evenVBand="0" w:oddHBand="0" w:evenHBand="0" w:firstRowFirstColumn="0" w:firstRowLastColumn="0" w:lastRowFirstColumn="0" w:lastRowLastColumn="0"/>
            <w:tcW w:w="2240" w:type="dxa"/>
          </w:tcPr>
          <w:p w14:paraId="2C32230B" w14:textId="77777777" w:rsidR="008D6F13" w:rsidRDefault="008D6F13" w:rsidP="0031078F">
            <w:r>
              <w:rPr>
                <w:sz w:val="16"/>
              </w:rPr>
              <w:t xml:space="preserve">Balance </w:t>
            </w:r>
            <w:proofErr w:type="gramStart"/>
            <w:r>
              <w:rPr>
                <w:sz w:val="16"/>
              </w:rPr>
              <w:t>at</w:t>
            </w:r>
            <w:proofErr w:type="gramEnd"/>
            <w:r>
              <w:rPr>
                <w:sz w:val="16"/>
              </w:rPr>
              <w:t xml:space="preserve"> 1 July 2021</w:t>
            </w:r>
          </w:p>
        </w:tc>
        <w:tc>
          <w:tcPr>
            <w:tcW w:w="1021" w:type="dxa"/>
          </w:tcPr>
          <w:p w14:paraId="1A7721C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58 642</w:t>
            </w:r>
          </w:p>
        </w:tc>
        <w:tc>
          <w:tcPr>
            <w:tcW w:w="1513" w:type="dxa"/>
          </w:tcPr>
          <w:p w14:paraId="6757C5C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61 017</w:t>
            </w:r>
          </w:p>
        </w:tc>
        <w:tc>
          <w:tcPr>
            <w:tcW w:w="1435" w:type="dxa"/>
          </w:tcPr>
          <w:p w14:paraId="2D4A5D9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32 981</w:t>
            </w:r>
          </w:p>
        </w:tc>
        <w:tc>
          <w:tcPr>
            <w:tcW w:w="737" w:type="dxa"/>
          </w:tcPr>
          <w:p w14:paraId="18F674C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1 159</w:t>
            </w:r>
          </w:p>
        </w:tc>
        <w:tc>
          <w:tcPr>
            <w:tcW w:w="764" w:type="dxa"/>
          </w:tcPr>
          <w:p w14:paraId="41EBC6B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153 799</w:t>
            </w:r>
          </w:p>
        </w:tc>
      </w:tr>
      <w:tr w:rsidR="008D6F13" w14:paraId="2E648276" w14:textId="77777777" w:rsidTr="0031078F">
        <w:tc>
          <w:tcPr>
            <w:cnfStyle w:val="001000000000" w:firstRow="0" w:lastRow="0" w:firstColumn="1" w:lastColumn="0" w:oddVBand="0" w:evenVBand="0" w:oddHBand="0" w:evenHBand="0" w:firstRowFirstColumn="0" w:firstRowLastColumn="0" w:lastRowFirstColumn="0" w:lastRowLastColumn="0"/>
            <w:tcW w:w="2240" w:type="dxa"/>
          </w:tcPr>
          <w:p w14:paraId="096C57BF" w14:textId="77777777" w:rsidR="008D6F13" w:rsidRDefault="008D6F13" w:rsidP="0031078F">
            <w:r>
              <w:rPr>
                <w:sz w:val="16"/>
              </w:rPr>
              <w:t>Net result for the year</w:t>
            </w:r>
          </w:p>
        </w:tc>
        <w:tc>
          <w:tcPr>
            <w:tcW w:w="1021" w:type="dxa"/>
          </w:tcPr>
          <w:p w14:paraId="1C6EE79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(19 876)</w:t>
            </w:r>
          </w:p>
        </w:tc>
        <w:tc>
          <w:tcPr>
            <w:tcW w:w="1513" w:type="dxa"/>
          </w:tcPr>
          <w:p w14:paraId="65B693D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1435" w:type="dxa"/>
          </w:tcPr>
          <w:p w14:paraId="2851B99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37" w:type="dxa"/>
          </w:tcPr>
          <w:p w14:paraId="624937E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64" w:type="dxa"/>
          </w:tcPr>
          <w:p w14:paraId="2DF1C02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(19 876)</w:t>
            </w:r>
          </w:p>
        </w:tc>
      </w:tr>
      <w:tr w:rsidR="008D6F13" w14:paraId="66B18247" w14:textId="77777777" w:rsidTr="0031078F">
        <w:tc>
          <w:tcPr>
            <w:cnfStyle w:val="001000000000" w:firstRow="0" w:lastRow="0" w:firstColumn="1" w:lastColumn="0" w:oddVBand="0" w:evenVBand="0" w:oddHBand="0" w:evenHBand="0" w:firstRowFirstColumn="0" w:firstRowLastColumn="0" w:lastRowFirstColumn="0" w:lastRowLastColumn="0"/>
            <w:tcW w:w="2240" w:type="dxa"/>
          </w:tcPr>
          <w:p w14:paraId="60EDC5DA" w14:textId="77777777" w:rsidR="008D6F13" w:rsidRDefault="008D6F13" w:rsidP="0031078F">
            <w:r>
              <w:rPr>
                <w:sz w:val="16"/>
              </w:rPr>
              <w:t>Other comprehensive income for the year</w:t>
            </w:r>
          </w:p>
        </w:tc>
        <w:tc>
          <w:tcPr>
            <w:tcW w:w="1021" w:type="dxa"/>
          </w:tcPr>
          <w:p w14:paraId="1CCC25F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1 699</w:t>
            </w:r>
          </w:p>
        </w:tc>
        <w:tc>
          <w:tcPr>
            <w:tcW w:w="1513" w:type="dxa"/>
          </w:tcPr>
          <w:p w14:paraId="5EDA6D6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548</w:t>
            </w:r>
          </w:p>
        </w:tc>
        <w:tc>
          <w:tcPr>
            <w:tcW w:w="1435" w:type="dxa"/>
          </w:tcPr>
          <w:p w14:paraId="7CA399A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(3 690)</w:t>
            </w:r>
          </w:p>
        </w:tc>
        <w:tc>
          <w:tcPr>
            <w:tcW w:w="737" w:type="dxa"/>
          </w:tcPr>
          <w:p w14:paraId="2B4A6CF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3</w:t>
            </w:r>
          </w:p>
        </w:tc>
        <w:tc>
          <w:tcPr>
            <w:tcW w:w="764" w:type="dxa"/>
          </w:tcPr>
          <w:p w14:paraId="61431CB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(1 440)</w:t>
            </w:r>
          </w:p>
        </w:tc>
      </w:tr>
      <w:tr w:rsidR="008D6F13" w14:paraId="47D0D3C0" w14:textId="77777777" w:rsidTr="0031078F">
        <w:tc>
          <w:tcPr>
            <w:cnfStyle w:val="001000000000" w:firstRow="0" w:lastRow="0" w:firstColumn="1" w:lastColumn="0" w:oddVBand="0" w:evenVBand="0" w:oddHBand="0" w:evenHBand="0" w:firstRowFirstColumn="0" w:firstRowLastColumn="0" w:lastRowFirstColumn="0" w:lastRowLastColumn="0"/>
            <w:tcW w:w="2240" w:type="dxa"/>
            <w:tcBorders>
              <w:top w:val="single" w:sz="6" w:space="0" w:color="auto"/>
              <w:bottom w:val="single" w:sz="6" w:space="0" w:color="auto"/>
            </w:tcBorders>
          </w:tcPr>
          <w:p w14:paraId="42DFC9EA" w14:textId="77777777" w:rsidR="008D6F13" w:rsidRDefault="008D6F13" w:rsidP="0031078F">
            <w:r>
              <w:rPr>
                <w:b/>
                <w:sz w:val="16"/>
              </w:rPr>
              <w:t xml:space="preserve">Total equity as </w:t>
            </w:r>
            <w:proofErr w:type="gramStart"/>
            <w:r>
              <w:rPr>
                <w:b/>
                <w:sz w:val="16"/>
              </w:rPr>
              <w:t>at</w:t>
            </w:r>
            <w:proofErr w:type="gramEnd"/>
            <w:r>
              <w:rPr>
                <w:b/>
                <w:sz w:val="16"/>
              </w:rPr>
              <w:t xml:space="preserve"> 30 June 2022</w:t>
            </w:r>
          </w:p>
        </w:tc>
        <w:tc>
          <w:tcPr>
            <w:tcW w:w="1021" w:type="dxa"/>
            <w:tcBorders>
              <w:top w:val="single" w:sz="6" w:space="0" w:color="auto"/>
              <w:bottom w:val="single" w:sz="6" w:space="0" w:color="auto"/>
            </w:tcBorders>
          </w:tcPr>
          <w:p w14:paraId="1E51F3F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40 465</w:t>
            </w:r>
          </w:p>
        </w:tc>
        <w:tc>
          <w:tcPr>
            <w:tcW w:w="1513" w:type="dxa"/>
            <w:tcBorders>
              <w:top w:val="single" w:sz="6" w:space="0" w:color="auto"/>
              <w:bottom w:val="single" w:sz="6" w:space="0" w:color="auto"/>
            </w:tcBorders>
          </w:tcPr>
          <w:p w14:paraId="4909426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61 565</w:t>
            </w:r>
          </w:p>
        </w:tc>
        <w:tc>
          <w:tcPr>
            <w:tcW w:w="1435" w:type="dxa"/>
            <w:tcBorders>
              <w:top w:val="single" w:sz="6" w:space="0" w:color="auto"/>
              <w:bottom w:val="single" w:sz="6" w:space="0" w:color="auto"/>
            </w:tcBorders>
          </w:tcPr>
          <w:p w14:paraId="0344D33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29 291</w:t>
            </w:r>
          </w:p>
        </w:tc>
        <w:tc>
          <w:tcPr>
            <w:tcW w:w="737" w:type="dxa"/>
            <w:tcBorders>
              <w:top w:val="single" w:sz="6" w:space="0" w:color="auto"/>
              <w:bottom w:val="single" w:sz="6" w:space="0" w:color="auto"/>
            </w:tcBorders>
          </w:tcPr>
          <w:p w14:paraId="0268ADF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1 162</w:t>
            </w:r>
          </w:p>
        </w:tc>
        <w:tc>
          <w:tcPr>
            <w:tcW w:w="764" w:type="dxa"/>
            <w:tcBorders>
              <w:top w:val="single" w:sz="6" w:space="0" w:color="auto"/>
              <w:bottom w:val="single" w:sz="6" w:space="0" w:color="auto"/>
            </w:tcBorders>
          </w:tcPr>
          <w:p w14:paraId="04E7B32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132 483</w:t>
            </w:r>
          </w:p>
        </w:tc>
      </w:tr>
      <w:tr w:rsidR="008D6F13" w14:paraId="1AAB25C8" w14:textId="77777777" w:rsidTr="0031078F">
        <w:tc>
          <w:tcPr>
            <w:cnfStyle w:val="001000000000" w:firstRow="0" w:lastRow="0" w:firstColumn="1" w:lastColumn="0" w:oddVBand="0" w:evenVBand="0" w:oddHBand="0" w:evenHBand="0" w:firstRowFirstColumn="0" w:firstRowLastColumn="0" w:lastRowFirstColumn="0" w:lastRowLastColumn="0"/>
            <w:tcW w:w="2240" w:type="dxa"/>
            <w:tcBorders>
              <w:top w:val="single" w:sz="6" w:space="0" w:color="auto"/>
            </w:tcBorders>
          </w:tcPr>
          <w:p w14:paraId="3158573D" w14:textId="77777777" w:rsidR="008D6F13" w:rsidRDefault="008D6F13" w:rsidP="0031078F">
            <w:r>
              <w:rPr>
                <w:b/>
                <w:sz w:val="16"/>
              </w:rPr>
              <w:t>2022</w:t>
            </w:r>
            <w:r>
              <w:rPr>
                <w:b/>
                <w:sz w:val="16"/>
              </w:rPr>
              <w:noBreakHyphen/>
              <w:t>23 estimate</w:t>
            </w:r>
          </w:p>
        </w:tc>
        <w:tc>
          <w:tcPr>
            <w:tcW w:w="1021" w:type="dxa"/>
            <w:tcBorders>
              <w:top w:val="single" w:sz="6" w:space="0" w:color="auto"/>
            </w:tcBorders>
          </w:tcPr>
          <w:p w14:paraId="25178DC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513" w:type="dxa"/>
            <w:tcBorders>
              <w:top w:val="single" w:sz="6" w:space="0" w:color="auto"/>
            </w:tcBorders>
          </w:tcPr>
          <w:p w14:paraId="13A63A1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435" w:type="dxa"/>
            <w:tcBorders>
              <w:top w:val="single" w:sz="6" w:space="0" w:color="auto"/>
            </w:tcBorders>
          </w:tcPr>
          <w:p w14:paraId="6B0EA24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37" w:type="dxa"/>
            <w:tcBorders>
              <w:top w:val="single" w:sz="6" w:space="0" w:color="auto"/>
            </w:tcBorders>
          </w:tcPr>
          <w:p w14:paraId="2B743A3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64" w:type="dxa"/>
            <w:tcBorders>
              <w:top w:val="single" w:sz="6" w:space="0" w:color="auto"/>
            </w:tcBorders>
          </w:tcPr>
          <w:p w14:paraId="24E9068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2DB8338A" w14:textId="77777777" w:rsidTr="0031078F">
        <w:tc>
          <w:tcPr>
            <w:cnfStyle w:val="001000000000" w:firstRow="0" w:lastRow="0" w:firstColumn="1" w:lastColumn="0" w:oddVBand="0" w:evenVBand="0" w:oddHBand="0" w:evenHBand="0" w:firstRowFirstColumn="0" w:firstRowLastColumn="0" w:lastRowFirstColumn="0" w:lastRowLastColumn="0"/>
            <w:tcW w:w="2240" w:type="dxa"/>
          </w:tcPr>
          <w:p w14:paraId="32D535DC" w14:textId="77777777" w:rsidR="008D6F13" w:rsidRDefault="008D6F13" w:rsidP="0031078F">
            <w:r>
              <w:rPr>
                <w:sz w:val="16"/>
              </w:rPr>
              <w:t xml:space="preserve">Balance </w:t>
            </w:r>
            <w:proofErr w:type="gramStart"/>
            <w:r>
              <w:rPr>
                <w:sz w:val="16"/>
              </w:rPr>
              <w:t>at</w:t>
            </w:r>
            <w:proofErr w:type="gramEnd"/>
            <w:r>
              <w:rPr>
                <w:sz w:val="16"/>
              </w:rPr>
              <w:t xml:space="preserve"> 1 July 2022</w:t>
            </w:r>
          </w:p>
        </w:tc>
        <w:tc>
          <w:tcPr>
            <w:tcW w:w="1021" w:type="dxa"/>
          </w:tcPr>
          <w:p w14:paraId="3880085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40 465</w:t>
            </w:r>
          </w:p>
        </w:tc>
        <w:tc>
          <w:tcPr>
            <w:tcW w:w="1513" w:type="dxa"/>
          </w:tcPr>
          <w:p w14:paraId="22CD067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61 565</w:t>
            </w:r>
          </w:p>
        </w:tc>
        <w:tc>
          <w:tcPr>
            <w:tcW w:w="1435" w:type="dxa"/>
          </w:tcPr>
          <w:p w14:paraId="2E7EC0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29 291</w:t>
            </w:r>
          </w:p>
        </w:tc>
        <w:tc>
          <w:tcPr>
            <w:tcW w:w="737" w:type="dxa"/>
          </w:tcPr>
          <w:p w14:paraId="4F9F653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1 162</w:t>
            </w:r>
          </w:p>
        </w:tc>
        <w:tc>
          <w:tcPr>
            <w:tcW w:w="764" w:type="dxa"/>
          </w:tcPr>
          <w:p w14:paraId="30FB249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132 483</w:t>
            </w:r>
          </w:p>
        </w:tc>
      </w:tr>
      <w:tr w:rsidR="008D6F13" w14:paraId="170448BA" w14:textId="77777777" w:rsidTr="0031078F">
        <w:tc>
          <w:tcPr>
            <w:cnfStyle w:val="001000000000" w:firstRow="0" w:lastRow="0" w:firstColumn="1" w:lastColumn="0" w:oddVBand="0" w:evenVBand="0" w:oddHBand="0" w:evenHBand="0" w:firstRowFirstColumn="0" w:firstRowLastColumn="0" w:lastRowFirstColumn="0" w:lastRowLastColumn="0"/>
            <w:tcW w:w="2240" w:type="dxa"/>
          </w:tcPr>
          <w:p w14:paraId="0E9DF7D3" w14:textId="77777777" w:rsidR="008D6F13" w:rsidRDefault="008D6F13" w:rsidP="0031078F">
            <w:r>
              <w:rPr>
                <w:sz w:val="16"/>
              </w:rPr>
              <w:t>Net result for the year</w:t>
            </w:r>
          </w:p>
        </w:tc>
        <w:tc>
          <w:tcPr>
            <w:tcW w:w="1021" w:type="dxa"/>
          </w:tcPr>
          <w:p w14:paraId="5D39001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(5 718)</w:t>
            </w:r>
          </w:p>
        </w:tc>
        <w:tc>
          <w:tcPr>
            <w:tcW w:w="1513" w:type="dxa"/>
          </w:tcPr>
          <w:p w14:paraId="6EC5532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1435" w:type="dxa"/>
          </w:tcPr>
          <w:p w14:paraId="23143FD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37" w:type="dxa"/>
          </w:tcPr>
          <w:p w14:paraId="5AE0C20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64" w:type="dxa"/>
          </w:tcPr>
          <w:p w14:paraId="7B80CB4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(5 718)</w:t>
            </w:r>
          </w:p>
        </w:tc>
      </w:tr>
      <w:tr w:rsidR="008D6F13" w14:paraId="1767D3A9" w14:textId="77777777" w:rsidTr="0031078F">
        <w:tc>
          <w:tcPr>
            <w:cnfStyle w:val="001000000000" w:firstRow="0" w:lastRow="0" w:firstColumn="1" w:lastColumn="0" w:oddVBand="0" w:evenVBand="0" w:oddHBand="0" w:evenHBand="0" w:firstRowFirstColumn="0" w:firstRowLastColumn="0" w:lastRowFirstColumn="0" w:lastRowLastColumn="0"/>
            <w:tcW w:w="2240" w:type="dxa"/>
          </w:tcPr>
          <w:p w14:paraId="1A66D5DF" w14:textId="77777777" w:rsidR="008D6F13" w:rsidRDefault="008D6F13" w:rsidP="0031078F">
            <w:r>
              <w:rPr>
                <w:sz w:val="16"/>
              </w:rPr>
              <w:t>Other comprehensive income for the year</w:t>
            </w:r>
          </w:p>
        </w:tc>
        <w:tc>
          <w:tcPr>
            <w:tcW w:w="1021" w:type="dxa"/>
          </w:tcPr>
          <w:p w14:paraId="76279EB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1 397</w:t>
            </w:r>
          </w:p>
        </w:tc>
        <w:tc>
          <w:tcPr>
            <w:tcW w:w="1513" w:type="dxa"/>
          </w:tcPr>
          <w:p w14:paraId="69015A2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7 035</w:t>
            </w:r>
          </w:p>
        </w:tc>
        <w:tc>
          <w:tcPr>
            <w:tcW w:w="1435" w:type="dxa"/>
          </w:tcPr>
          <w:p w14:paraId="73EC6B7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(6 198)</w:t>
            </w:r>
          </w:p>
        </w:tc>
        <w:tc>
          <w:tcPr>
            <w:tcW w:w="737" w:type="dxa"/>
          </w:tcPr>
          <w:p w14:paraId="4FE4E57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3</w:t>
            </w:r>
          </w:p>
        </w:tc>
        <w:tc>
          <w:tcPr>
            <w:tcW w:w="764" w:type="dxa"/>
          </w:tcPr>
          <w:p w14:paraId="1B43E9A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2 237</w:t>
            </w:r>
          </w:p>
        </w:tc>
      </w:tr>
      <w:tr w:rsidR="008D6F13" w14:paraId="1B7EC5DF" w14:textId="77777777" w:rsidTr="0031078F">
        <w:tc>
          <w:tcPr>
            <w:cnfStyle w:val="001000000000" w:firstRow="0" w:lastRow="0" w:firstColumn="1" w:lastColumn="0" w:oddVBand="0" w:evenVBand="0" w:oddHBand="0" w:evenHBand="0" w:firstRowFirstColumn="0" w:firstRowLastColumn="0" w:lastRowFirstColumn="0" w:lastRowLastColumn="0"/>
            <w:tcW w:w="2240" w:type="dxa"/>
            <w:tcBorders>
              <w:top w:val="single" w:sz="6" w:space="0" w:color="auto"/>
              <w:bottom w:val="single" w:sz="6" w:space="0" w:color="auto"/>
            </w:tcBorders>
          </w:tcPr>
          <w:p w14:paraId="052FB704" w14:textId="77777777" w:rsidR="008D6F13" w:rsidRDefault="008D6F13" w:rsidP="0031078F">
            <w:r>
              <w:rPr>
                <w:b/>
                <w:sz w:val="16"/>
              </w:rPr>
              <w:t xml:space="preserve">Total equity as </w:t>
            </w:r>
            <w:proofErr w:type="gramStart"/>
            <w:r>
              <w:rPr>
                <w:b/>
                <w:sz w:val="16"/>
              </w:rPr>
              <w:t>at</w:t>
            </w:r>
            <w:proofErr w:type="gramEnd"/>
            <w:r>
              <w:rPr>
                <w:b/>
                <w:sz w:val="16"/>
              </w:rPr>
              <w:t xml:space="preserve"> 30 June 2023</w:t>
            </w:r>
          </w:p>
        </w:tc>
        <w:tc>
          <w:tcPr>
            <w:tcW w:w="1021" w:type="dxa"/>
            <w:tcBorders>
              <w:top w:val="single" w:sz="6" w:space="0" w:color="auto"/>
              <w:bottom w:val="single" w:sz="6" w:space="0" w:color="auto"/>
            </w:tcBorders>
          </w:tcPr>
          <w:p w14:paraId="128CC5E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36 144</w:t>
            </w:r>
          </w:p>
        </w:tc>
        <w:tc>
          <w:tcPr>
            <w:tcW w:w="1513" w:type="dxa"/>
            <w:tcBorders>
              <w:top w:val="single" w:sz="6" w:space="0" w:color="auto"/>
              <w:bottom w:val="single" w:sz="6" w:space="0" w:color="auto"/>
            </w:tcBorders>
          </w:tcPr>
          <w:p w14:paraId="3D912AA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68 600</w:t>
            </w:r>
          </w:p>
        </w:tc>
        <w:tc>
          <w:tcPr>
            <w:tcW w:w="1435" w:type="dxa"/>
            <w:tcBorders>
              <w:top w:val="single" w:sz="6" w:space="0" w:color="auto"/>
              <w:bottom w:val="single" w:sz="6" w:space="0" w:color="auto"/>
            </w:tcBorders>
          </w:tcPr>
          <w:p w14:paraId="051D11B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23 093</w:t>
            </w:r>
          </w:p>
        </w:tc>
        <w:tc>
          <w:tcPr>
            <w:tcW w:w="737" w:type="dxa"/>
            <w:tcBorders>
              <w:top w:val="single" w:sz="6" w:space="0" w:color="auto"/>
              <w:bottom w:val="single" w:sz="6" w:space="0" w:color="auto"/>
            </w:tcBorders>
          </w:tcPr>
          <w:p w14:paraId="473C9DC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1 165</w:t>
            </w:r>
          </w:p>
        </w:tc>
        <w:tc>
          <w:tcPr>
            <w:tcW w:w="764" w:type="dxa"/>
            <w:tcBorders>
              <w:top w:val="single" w:sz="6" w:space="0" w:color="auto"/>
              <w:bottom w:val="single" w:sz="6" w:space="0" w:color="auto"/>
            </w:tcBorders>
          </w:tcPr>
          <w:p w14:paraId="7B7D930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129 002</w:t>
            </w:r>
          </w:p>
        </w:tc>
      </w:tr>
      <w:tr w:rsidR="008D6F13" w14:paraId="71050126" w14:textId="77777777" w:rsidTr="0031078F">
        <w:tc>
          <w:tcPr>
            <w:cnfStyle w:val="001000000000" w:firstRow="0" w:lastRow="0" w:firstColumn="1" w:lastColumn="0" w:oddVBand="0" w:evenVBand="0" w:oddHBand="0" w:evenHBand="0" w:firstRowFirstColumn="0" w:firstRowLastColumn="0" w:lastRowFirstColumn="0" w:lastRowLastColumn="0"/>
            <w:tcW w:w="2240" w:type="dxa"/>
            <w:tcBorders>
              <w:top w:val="single" w:sz="6" w:space="0" w:color="auto"/>
            </w:tcBorders>
          </w:tcPr>
          <w:p w14:paraId="6979AA64" w14:textId="77777777" w:rsidR="008D6F13" w:rsidRDefault="008D6F13" w:rsidP="0031078F">
            <w:r>
              <w:rPr>
                <w:b/>
                <w:sz w:val="16"/>
              </w:rPr>
              <w:t>2023</w:t>
            </w:r>
            <w:r>
              <w:rPr>
                <w:b/>
                <w:sz w:val="16"/>
              </w:rPr>
              <w:noBreakHyphen/>
              <w:t>24 estimate</w:t>
            </w:r>
          </w:p>
        </w:tc>
        <w:tc>
          <w:tcPr>
            <w:tcW w:w="1021" w:type="dxa"/>
            <w:tcBorders>
              <w:top w:val="single" w:sz="6" w:space="0" w:color="auto"/>
            </w:tcBorders>
          </w:tcPr>
          <w:p w14:paraId="7B8AA8D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513" w:type="dxa"/>
            <w:tcBorders>
              <w:top w:val="single" w:sz="6" w:space="0" w:color="auto"/>
            </w:tcBorders>
          </w:tcPr>
          <w:p w14:paraId="117D7E7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435" w:type="dxa"/>
            <w:tcBorders>
              <w:top w:val="single" w:sz="6" w:space="0" w:color="auto"/>
            </w:tcBorders>
          </w:tcPr>
          <w:p w14:paraId="1669035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37" w:type="dxa"/>
            <w:tcBorders>
              <w:top w:val="single" w:sz="6" w:space="0" w:color="auto"/>
            </w:tcBorders>
          </w:tcPr>
          <w:p w14:paraId="55B1898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64" w:type="dxa"/>
            <w:tcBorders>
              <w:top w:val="single" w:sz="6" w:space="0" w:color="auto"/>
            </w:tcBorders>
          </w:tcPr>
          <w:p w14:paraId="16F5DBF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5EA6A09E" w14:textId="77777777" w:rsidTr="0031078F">
        <w:tc>
          <w:tcPr>
            <w:cnfStyle w:val="001000000000" w:firstRow="0" w:lastRow="0" w:firstColumn="1" w:lastColumn="0" w:oddVBand="0" w:evenVBand="0" w:oddHBand="0" w:evenHBand="0" w:firstRowFirstColumn="0" w:firstRowLastColumn="0" w:lastRowFirstColumn="0" w:lastRowLastColumn="0"/>
            <w:tcW w:w="2240" w:type="dxa"/>
          </w:tcPr>
          <w:p w14:paraId="680A0E41" w14:textId="77777777" w:rsidR="008D6F13" w:rsidRDefault="008D6F13" w:rsidP="0031078F">
            <w:r>
              <w:rPr>
                <w:sz w:val="16"/>
              </w:rPr>
              <w:t xml:space="preserve">Balance </w:t>
            </w:r>
            <w:proofErr w:type="gramStart"/>
            <w:r>
              <w:rPr>
                <w:sz w:val="16"/>
              </w:rPr>
              <w:t>at</w:t>
            </w:r>
            <w:proofErr w:type="gramEnd"/>
            <w:r>
              <w:rPr>
                <w:sz w:val="16"/>
              </w:rPr>
              <w:t xml:space="preserve"> 1 July 2023</w:t>
            </w:r>
          </w:p>
        </w:tc>
        <w:tc>
          <w:tcPr>
            <w:tcW w:w="1021" w:type="dxa"/>
          </w:tcPr>
          <w:p w14:paraId="64D1D2C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36 144</w:t>
            </w:r>
          </w:p>
        </w:tc>
        <w:tc>
          <w:tcPr>
            <w:tcW w:w="1513" w:type="dxa"/>
          </w:tcPr>
          <w:p w14:paraId="608F8C6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68 600</w:t>
            </w:r>
          </w:p>
        </w:tc>
        <w:tc>
          <w:tcPr>
            <w:tcW w:w="1435" w:type="dxa"/>
          </w:tcPr>
          <w:p w14:paraId="7E0A5E8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23 093</w:t>
            </w:r>
          </w:p>
        </w:tc>
        <w:tc>
          <w:tcPr>
            <w:tcW w:w="737" w:type="dxa"/>
          </w:tcPr>
          <w:p w14:paraId="6ED843D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1 165</w:t>
            </w:r>
          </w:p>
        </w:tc>
        <w:tc>
          <w:tcPr>
            <w:tcW w:w="764" w:type="dxa"/>
          </w:tcPr>
          <w:p w14:paraId="79AF8C4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129 002</w:t>
            </w:r>
          </w:p>
        </w:tc>
      </w:tr>
      <w:tr w:rsidR="008D6F13" w14:paraId="71761245" w14:textId="77777777" w:rsidTr="0031078F">
        <w:tc>
          <w:tcPr>
            <w:cnfStyle w:val="001000000000" w:firstRow="0" w:lastRow="0" w:firstColumn="1" w:lastColumn="0" w:oddVBand="0" w:evenVBand="0" w:oddHBand="0" w:evenHBand="0" w:firstRowFirstColumn="0" w:firstRowLastColumn="0" w:lastRowFirstColumn="0" w:lastRowLastColumn="0"/>
            <w:tcW w:w="2240" w:type="dxa"/>
          </w:tcPr>
          <w:p w14:paraId="396CB939" w14:textId="77777777" w:rsidR="008D6F13" w:rsidRDefault="008D6F13" w:rsidP="0031078F">
            <w:r>
              <w:rPr>
                <w:sz w:val="16"/>
              </w:rPr>
              <w:t>Net result for the year</w:t>
            </w:r>
          </w:p>
        </w:tc>
        <w:tc>
          <w:tcPr>
            <w:tcW w:w="1021" w:type="dxa"/>
          </w:tcPr>
          <w:p w14:paraId="1B0A81C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(3 886)</w:t>
            </w:r>
          </w:p>
        </w:tc>
        <w:tc>
          <w:tcPr>
            <w:tcW w:w="1513" w:type="dxa"/>
          </w:tcPr>
          <w:p w14:paraId="7D222A8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1435" w:type="dxa"/>
          </w:tcPr>
          <w:p w14:paraId="22C6587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37" w:type="dxa"/>
          </w:tcPr>
          <w:p w14:paraId="2E3C4B0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64" w:type="dxa"/>
          </w:tcPr>
          <w:p w14:paraId="5A184E0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(3 886)</w:t>
            </w:r>
          </w:p>
        </w:tc>
      </w:tr>
      <w:tr w:rsidR="008D6F13" w14:paraId="3FDBC0A9" w14:textId="77777777" w:rsidTr="0031078F">
        <w:tc>
          <w:tcPr>
            <w:cnfStyle w:val="001000000000" w:firstRow="0" w:lastRow="0" w:firstColumn="1" w:lastColumn="0" w:oddVBand="0" w:evenVBand="0" w:oddHBand="0" w:evenHBand="0" w:firstRowFirstColumn="0" w:firstRowLastColumn="0" w:lastRowFirstColumn="0" w:lastRowLastColumn="0"/>
            <w:tcW w:w="2240" w:type="dxa"/>
          </w:tcPr>
          <w:p w14:paraId="59A7D5F4" w14:textId="77777777" w:rsidR="008D6F13" w:rsidRDefault="008D6F13" w:rsidP="0031078F">
            <w:r>
              <w:rPr>
                <w:sz w:val="16"/>
              </w:rPr>
              <w:t>Other comprehensive income for the year</w:t>
            </w:r>
          </w:p>
        </w:tc>
        <w:tc>
          <w:tcPr>
            <w:tcW w:w="1021" w:type="dxa"/>
          </w:tcPr>
          <w:p w14:paraId="16C7D94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1 426</w:t>
            </w:r>
          </w:p>
        </w:tc>
        <w:tc>
          <w:tcPr>
            <w:tcW w:w="1513" w:type="dxa"/>
          </w:tcPr>
          <w:p w14:paraId="0BE6E79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6 116</w:t>
            </w:r>
          </w:p>
        </w:tc>
        <w:tc>
          <w:tcPr>
            <w:tcW w:w="1435" w:type="dxa"/>
          </w:tcPr>
          <w:p w14:paraId="344E3B5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(3 294)</w:t>
            </w:r>
          </w:p>
        </w:tc>
        <w:tc>
          <w:tcPr>
            <w:tcW w:w="737" w:type="dxa"/>
          </w:tcPr>
          <w:p w14:paraId="3846F25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3</w:t>
            </w:r>
          </w:p>
        </w:tc>
        <w:tc>
          <w:tcPr>
            <w:tcW w:w="764" w:type="dxa"/>
          </w:tcPr>
          <w:p w14:paraId="14CAB70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4 252</w:t>
            </w:r>
          </w:p>
        </w:tc>
      </w:tr>
      <w:tr w:rsidR="008D6F13" w14:paraId="6A49340A" w14:textId="77777777" w:rsidTr="0031078F">
        <w:tc>
          <w:tcPr>
            <w:cnfStyle w:val="001000000000" w:firstRow="0" w:lastRow="0" w:firstColumn="1" w:lastColumn="0" w:oddVBand="0" w:evenVBand="0" w:oddHBand="0" w:evenHBand="0" w:firstRowFirstColumn="0" w:firstRowLastColumn="0" w:lastRowFirstColumn="0" w:lastRowLastColumn="0"/>
            <w:tcW w:w="2240" w:type="dxa"/>
            <w:tcBorders>
              <w:top w:val="single" w:sz="6" w:space="0" w:color="auto"/>
              <w:bottom w:val="single" w:sz="6" w:space="0" w:color="auto"/>
            </w:tcBorders>
          </w:tcPr>
          <w:p w14:paraId="6C7AF3AD" w14:textId="77777777" w:rsidR="008D6F13" w:rsidRDefault="008D6F13" w:rsidP="0031078F">
            <w:r>
              <w:rPr>
                <w:b/>
                <w:sz w:val="16"/>
              </w:rPr>
              <w:t xml:space="preserve">Total equity as </w:t>
            </w:r>
            <w:proofErr w:type="gramStart"/>
            <w:r>
              <w:rPr>
                <w:b/>
                <w:sz w:val="16"/>
              </w:rPr>
              <w:t>at</w:t>
            </w:r>
            <w:proofErr w:type="gramEnd"/>
            <w:r>
              <w:rPr>
                <w:b/>
                <w:sz w:val="16"/>
              </w:rPr>
              <w:t xml:space="preserve"> 30 June 2024</w:t>
            </w:r>
          </w:p>
        </w:tc>
        <w:tc>
          <w:tcPr>
            <w:tcW w:w="1021" w:type="dxa"/>
            <w:tcBorders>
              <w:top w:val="single" w:sz="6" w:space="0" w:color="auto"/>
              <w:bottom w:val="single" w:sz="6" w:space="0" w:color="auto"/>
            </w:tcBorders>
          </w:tcPr>
          <w:p w14:paraId="43E31D5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33 684</w:t>
            </w:r>
          </w:p>
        </w:tc>
        <w:tc>
          <w:tcPr>
            <w:tcW w:w="1513" w:type="dxa"/>
            <w:tcBorders>
              <w:top w:val="single" w:sz="6" w:space="0" w:color="auto"/>
              <w:bottom w:val="single" w:sz="6" w:space="0" w:color="auto"/>
            </w:tcBorders>
          </w:tcPr>
          <w:p w14:paraId="7AE9AF9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74 716</w:t>
            </w:r>
          </w:p>
        </w:tc>
        <w:tc>
          <w:tcPr>
            <w:tcW w:w="1435" w:type="dxa"/>
            <w:tcBorders>
              <w:top w:val="single" w:sz="6" w:space="0" w:color="auto"/>
              <w:bottom w:val="single" w:sz="6" w:space="0" w:color="auto"/>
            </w:tcBorders>
          </w:tcPr>
          <w:p w14:paraId="7201AF3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19 800</w:t>
            </w:r>
          </w:p>
        </w:tc>
        <w:tc>
          <w:tcPr>
            <w:tcW w:w="737" w:type="dxa"/>
            <w:tcBorders>
              <w:top w:val="single" w:sz="6" w:space="0" w:color="auto"/>
              <w:bottom w:val="single" w:sz="6" w:space="0" w:color="auto"/>
            </w:tcBorders>
          </w:tcPr>
          <w:p w14:paraId="45AB7A9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1 168</w:t>
            </w:r>
          </w:p>
        </w:tc>
        <w:tc>
          <w:tcPr>
            <w:tcW w:w="764" w:type="dxa"/>
            <w:tcBorders>
              <w:top w:val="single" w:sz="6" w:space="0" w:color="auto"/>
              <w:bottom w:val="single" w:sz="6" w:space="0" w:color="auto"/>
            </w:tcBorders>
          </w:tcPr>
          <w:p w14:paraId="5E89DF5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129 368</w:t>
            </w:r>
          </w:p>
        </w:tc>
      </w:tr>
      <w:tr w:rsidR="008D6F13" w14:paraId="3A51F0D9" w14:textId="77777777" w:rsidTr="0031078F">
        <w:tc>
          <w:tcPr>
            <w:cnfStyle w:val="001000000000" w:firstRow="0" w:lastRow="0" w:firstColumn="1" w:lastColumn="0" w:oddVBand="0" w:evenVBand="0" w:oddHBand="0" w:evenHBand="0" w:firstRowFirstColumn="0" w:firstRowLastColumn="0" w:lastRowFirstColumn="0" w:lastRowLastColumn="0"/>
            <w:tcW w:w="2240" w:type="dxa"/>
            <w:tcBorders>
              <w:top w:val="single" w:sz="6" w:space="0" w:color="auto"/>
            </w:tcBorders>
          </w:tcPr>
          <w:p w14:paraId="155E4904" w14:textId="77777777" w:rsidR="008D6F13" w:rsidRDefault="008D6F13" w:rsidP="0031078F">
            <w:r>
              <w:rPr>
                <w:b/>
                <w:sz w:val="16"/>
              </w:rPr>
              <w:t>2024</w:t>
            </w:r>
            <w:r>
              <w:rPr>
                <w:b/>
                <w:sz w:val="16"/>
              </w:rPr>
              <w:noBreakHyphen/>
              <w:t>25 estimate</w:t>
            </w:r>
          </w:p>
        </w:tc>
        <w:tc>
          <w:tcPr>
            <w:tcW w:w="1021" w:type="dxa"/>
            <w:tcBorders>
              <w:top w:val="single" w:sz="6" w:space="0" w:color="auto"/>
            </w:tcBorders>
          </w:tcPr>
          <w:p w14:paraId="5D23C8B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513" w:type="dxa"/>
            <w:tcBorders>
              <w:top w:val="single" w:sz="6" w:space="0" w:color="auto"/>
            </w:tcBorders>
          </w:tcPr>
          <w:p w14:paraId="40D7D90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435" w:type="dxa"/>
            <w:tcBorders>
              <w:top w:val="single" w:sz="6" w:space="0" w:color="auto"/>
            </w:tcBorders>
          </w:tcPr>
          <w:p w14:paraId="33AE363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37" w:type="dxa"/>
            <w:tcBorders>
              <w:top w:val="single" w:sz="6" w:space="0" w:color="auto"/>
            </w:tcBorders>
          </w:tcPr>
          <w:p w14:paraId="3D61BC4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64" w:type="dxa"/>
            <w:tcBorders>
              <w:top w:val="single" w:sz="6" w:space="0" w:color="auto"/>
            </w:tcBorders>
          </w:tcPr>
          <w:p w14:paraId="6981F99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4852DC9E" w14:textId="77777777" w:rsidTr="0031078F">
        <w:tc>
          <w:tcPr>
            <w:cnfStyle w:val="001000000000" w:firstRow="0" w:lastRow="0" w:firstColumn="1" w:lastColumn="0" w:oddVBand="0" w:evenVBand="0" w:oddHBand="0" w:evenHBand="0" w:firstRowFirstColumn="0" w:firstRowLastColumn="0" w:lastRowFirstColumn="0" w:lastRowLastColumn="0"/>
            <w:tcW w:w="2240" w:type="dxa"/>
          </w:tcPr>
          <w:p w14:paraId="7491957D" w14:textId="77777777" w:rsidR="008D6F13" w:rsidRDefault="008D6F13" w:rsidP="0031078F">
            <w:r>
              <w:rPr>
                <w:sz w:val="16"/>
              </w:rPr>
              <w:t xml:space="preserve">Balance </w:t>
            </w:r>
            <w:proofErr w:type="gramStart"/>
            <w:r>
              <w:rPr>
                <w:sz w:val="16"/>
              </w:rPr>
              <w:t>at</w:t>
            </w:r>
            <w:proofErr w:type="gramEnd"/>
            <w:r>
              <w:rPr>
                <w:sz w:val="16"/>
              </w:rPr>
              <w:t xml:space="preserve"> 1 July 2024</w:t>
            </w:r>
          </w:p>
        </w:tc>
        <w:tc>
          <w:tcPr>
            <w:tcW w:w="1021" w:type="dxa"/>
          </w:tcPr>
          <w:p w14:paraId="1020C26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33 684</w:t>
            </w:r>
          </w:p>
        </w:tc>
        <w:tc>
          <w:tcPr>
            <w:tcW w:w="1513" w:type="dxa"/>
          </w:tcPr>
          <w:p w14:paraId="53CE320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74 716</w:t>
            </w:r>
          </w:p>
        </w:tc>
        <w:tc>
          <w:tcPr>
            <w:tcW w:w="1435" w:type="dxa"/>
          </w:tcPr>
          <w:p w14:paraId="2862C74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19 800</w:t>
            </w:r>
          </w:p>
        </w:tc>
        <w:tc>
          <w:tcPr>
            <w:tcW w:w="737" w:type="dxa"/>
          </w:tcPr>
          <w:p w14:paraId="7083F59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1 168</w:t>
            </w:r>
          </w:p>
        </w:tc>
        <w:tc>
          <w:tcPr>
            <w:tcW w:w="764" w:type="dxa"/>
          </w:tcPr>
          <w:p w14:paraId="117172E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129 368</w:t>
            </w:r>
          </w:p>
        </w:tc>
      </w:tr>
      <w:tr w:rsidR="008D6F13" w14:paraId="295412DF" w14:textId="77777777" w:rsidTr="0031078F">
        <w:tc>
          <w:tcPr>
            <w:cnfStyle w:val="001000000000" w:firstRow="0" w:lastRow="0" w:firstColumn="1" w:lastColumn="0" w:oddVBand="0" w:evenVBand="0" w:oddHBand="0" w:evenHBand="0" w:firstRowFirstColumn="0" w:firstRowLastColumn="0" w:lastRowFirstColumn="0" w:lastRowLastColumn="0"/>
            <w:tcW w:w="2240" w:type="dxa"/>
            <w:tcBorders>
              <w:bottom w:val="nil"/>
            </w:tcBorders>
          </w:tcPr>
          <w:p w14:paraId="2DE6702B" w14:textId="77777777" w:rsidR="008D6F13" w:rsidRDefault="008D6F13" w:rsidP="0031078F">
            <w:r>
              <w:rPr>
                <w:sz w:val="16"/>
              </w:rPr>
              <w:t>Net result for the year</w:t>
            </w:r>
          </w:p>
        </w:tc>
        <w:tc>
          <w:tcPr>
            <w:tcW w:w="1021" w:type="dxa"/>
            <w:tcBorders>
              <w:bottom w:val="nil"/>
            </w:tcBorders>
          </w:tcPr>
          <w:p w14:paraId="7C69E22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(2 506)</w:t>
            </w:r>
          </w:p>
        </w:tc>
        <w:tc>
          <w:tcPr>
            <w:tcW w:w="1513" w:type="dxa"/>
            <w:tcBorders>
              <w:bottom w:val="nil"/>
            </w:tcBorders>
          </w:tcPr>
          <w:p w14:paraId="05151B4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1435" w:type="dxa"/>
            <w:tcBorders>
              <w:bottom w:val="nil"/>
            </w:tcBorders>
          </w:tcPr>
          <w:p w14:paraId="15C34B7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37" w:type="dxa"/>
            <w:tcBorders>
              <w:bottom w:val="nil"/>
            </w:tcBorders>
          </w:tcPr>
          <w:p w14:paraId="0033706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64" w:type="dxa"/>
            <w:tcBorders>
              <w:bottom w:val="nil"/>
            </w:tcBorders>
          </w:tcPr>
          <w:p w14:paraId="506AB95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(2 506)</w:t>
            </w:r>
          </w:p>
        </w:tc>
      </w:tr>
      <w:tr w:rsidR="008D6F13" w14:paraId="34435FDC" w14:textId="77777777" w:rsidTr="0031078F">
        <w:tc>
          <w:tcPr>
            <w:cnfStyle w:val="001000000000" w:firstRow="0" w:lastRow="0" w:firstColumn="1" w:lastColumn="0" w:oddVBand="0" w:evenVBand="0" w:oddHBand="0" w:evenHBand="0" w:firstRowFirstColumn="0" w:firstRowLastColumn="0" w:lastRowFirstColumn="0" w:lastRowLastColumn="0"/>
            <w:tcW w:w="2240" w:type="dxa"/>
            <w:tcBorders>
              <w:bottom w:val="single" w:sz="4" w:space="0" w:color="auto"/>
            </w:tcBorders>
          </w:tcPr>
          <w:p w14:paraId="1964D0F4" w14:textId="77777777" w:rsidR="008D6F13" w:rsidRDefault="008D6F13" w:rsidP="0031078F">
            <w:r>
              <w:rPr>
                <w:sz w:val="16"/>
              </w:rPr>
              <w:t>Other comprehensive income for the year</w:t>
            </w:r>
          </w:p>
        </w:tc>
        <w:tc>
          <w:tcPr>
            <w:tcW w:w="1021" w:type="dxa"/>
            <w:tcBorders>
              <w:bottom w:val="single" w:sz="4" w:space="0" w:color="auto"/>
            </w:tcBorders>
          </w:tcPr>
          <w:p w14:paraId="4BB0CF3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1 459</w:t>
            </w:r>
          </w:p>
        </w:tc>
        <w:tc>
          <w:tcPr>
            <w:tcW w:w="1513" w:type="dxa"/>
            <w:tcBorders>
              <w:bottom w:val="single" w:sz="4" w:space="0" w:color="auto"/>
            </w:tcBorders>
          </w:tcPr>
          <w:p w14:paraId="590B7CF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10 097</w:t>
            </w:r>
          </w:p>
        </w:tc>
        <w:tc>
          <w:tcPr>
            <w:tcW w:w="1435" w:type="dxa"/>
            <w:tcBorders>
              <w:bottom w:val="single" w:sz="4" w:space="0" w:color="auto"/>
            </w:tcBorders>
          </w:tcPr>
          <w:p w14:paraId="28C65B8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(2 875)</w:t>
            </w:r>
          </w:p>
        </w:tc>
        <w:tc>
          <w:tcPr>
            <w:tcW w:w="737" w:type="dxa"/>
            <w:tcBorders>
              <w:bottom w:val="single" w:sz="4" w:space="0" w:color="auto"/>
            </w:tcBorders>
          </w:tcPr>
          <w:p w14:paraId="5CB2730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3</w:t>
            </w:r>
          </w:p>
        </w:tc>
        <w:tc>
          <w:tcPr>
            <w:tcW w:w="764" w:type="dxa"/>
            <w:tcBorders>
              <w:bottom w:val="single" w:sz="4" w:space="0" w:color="auto"/>
            </w:tcBorders>
          </w:tcPr>
          <w:p w14:paraId="44F2DE3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8 684</w:t>
            </w:r>
          </w:p>
        </w:tc>
      </w:tr>
      <w:tr w:rsidR="008D6F13" w14:paraId="5C288A5B" w14:textId="77777777" w:rsidTr="0031078F">
        <w:tc>
          <w:tcPr>
            <w:cnfStyle w:val="001000000000" w:firstRow="0" w:lastRow="0" w:firstColumn="1" w:lastColumn="0" w:oddVBand="0" w:evenVBand="0" w:oddHBand="0" w:evenHBand="0" w:firstRowFirstColumn="0" w:firstRowLastColumn="0" w:lastRowFirstColumn="0" w:lastRowLastColumn="0"/>
            <w:tcW w:w="2240" w:type="dxa"/>
            <w:tcBorders>
              <w:top w:val="single" w:sz="4" w:space="0" w:color="auto"/>
            </w:tcBorders>
          </w:tcPr>
          <w:p w14:paraId="17C15523" w14:textId="77777777" w:rsidR="008D6F13" w:rsidRDefault="008D6F13" w:rsidP="0031078F">
            <w:r>
              <w:rPr>
                <w:b/>
                <w:sz w:val="16"/>
              </w:rPr>
              <w:t xml:space="preserve">Total equity as </w:t>
            </w:r>
            <w:proofErr w:type="gramStart"/>
            <w:r>
              <w:rPr>
                <w:b/>
                <w:sz w:val="16"/>
              </w:rPr>
              <w:t>at</w:t>
            </w:r>
            <w:proofErr w:type="gramEnd"/>
            <w:r>
              <w:rPr>
                <w:b/>
                <w:sz w:val="16"/>
              </w:rPr>
              <w:t xml:space="preserve"> 30 June 2025</w:t>
            </w:r>
          </w:p>
        </w:tc>
        <w:tc>
          <w:tcPr>
            <w:tcW w:w="1021" w:type="dxa"/>
            <w:tcBorders>
              <w:top w:val="single" w:sz="4" w:space="0" w:color="auto"/>
            </w:tcBorders>
          </w:tcPr>
          <w:p w14:paraId="6EEBEDD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32 637</w:t>
            </w:r>
          </w:p>
        </w:tc>
        <w:tc>
          <w:tcPr>
            <w:tcW w:w="1513" w:type="dxa"/>
            <w:tcBorders>
              <w:top w:val="single" w:sz="4" w:space="0" w:color="auto"/>
            </w:tcBorders>
          </w:tcPr>
          <w:p w14:paraId="6C11226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84 814</w:t>
            </w:r>
          </w:p>
        </w:tc>
        <w:tc>
          <w:tcPr>
            <w:tcW w:w="1435" w:type="dxa"/>
            <w:tcBorders>
              <w:top w:val="single" w:sz="4" w:space="0" w:color="auto"/>
            </w:tcBorders>
          </w:tcPr>
          <w:p w14:paraId="6862CC9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16 925</w:t>
            </w:r>
          </w:p>
        </w:tc>
        <w:tc>
          <w:tcPr>
            <w:tcW w:w="737" w:type="dxa"/>
            <w:tcBorders>
              <w:top w:val="single" w:sz="4" w:space="0" w:color="auto"/>
            </w:tcBorders>
          </w:tcPr>
          <w:p w14:paraId="314EEB8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1 171</w:t>
            </w:r>
          </w:p>
        </w:tc>
        <w:tc>
          <w:tcPr>
            <w:tcW w:w="764" w:type="dxa"/>
            <w:tcBorders>
              <w:top w:val="single" w:sz="4" w:space="0" w:color="auto"/>
            </w:tcBorders>
          </w:tcPr>
          <w:p w14:paraId="3BAFA3B7" w14:textId="60E45FBB"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135 546</w:t>
            </w:r>
          </w:p>
        </w:tc>
      </w:tr>
    </w:tbl>
    <w:p w14:paraId="1A50ADF6" w14:textId="77777777" w:rsidR="008D6F13" w:rsidRDefault="008D6F13" w:rsidP="008D6F13">
      <w:pPr>
        <w:pStyle w:val="Source"/>
      </w:pPr>
      <w:r>
        <w:t>The accompanying notes form part of these Estimated Financial Statements.</w:t>
      </w:r>
    </w:p>
    <w:p w14:paraId="242E753C" w14:textId="77777777" w:rsidR="008D6F13" w:rsidRPr="00C87705" w:rsidRDefault="008D6F13" w:rsidP="008D6F13">
      <w:pPr>
        <w:pStyle w:val="Note"/>
      </w:pPr>
      <w:r w:rsidRPr="00C87705">
        <w:t>Note:</w:t>
      </w:r>
    </w:p>
    <w:p w14:paraId="2554417C" w14:textId="77777777" w:rsidR="008D6F13" w:rsidRDefault="008D6F13" w:rsidP="008D6F13">
      <w:pPr>
        <w:pStyle w:val="Note"/>
      </w:pPr>
      <w:r w:rsidRPr="00C87705">
        <w:t>(a)</w:t>
      </w:r>
      <w:r w:rsidRPr="00C87705">
        <w:tab/>
        <w:t xml:space="preserve">Balances represent actual opening balances </w:t>
      </w:r>
      <w:proofErr w:type="gramStart"/>
      <w:r w:rsidRPr="00C87705">
        <w:t>at</w:t>
      </w:r>
      <w:proofErr w:type="gramEnd"/>
      <w:r w:rsidRPr="00C87705">
        <w:t xml:space="preserve"> 1 July 2021 plus 2021-22 budgeted movements.</w:t>
      </w:r>
    </w:p>
    <w:p w14:paraId="2C60FEDA" w14:textId="77777777" w:rsidR="008D6F13" w:rsidRPr="00CD5C55" w:rsidRDefault="008D6F13" w:rsidP="008D6F13">
      <w:pPr>
        <w:rPr>
          <w:rFonts w:asciiTheme="majorHAnsi" w:hAnsiTheme="majorHAnsi"/>
          <w:i/>
          <w:spacing w:val="-2"/>
          <w:sz w:val="14"/>
        </w:rPr>
      </w:pPr>
      <w:r>
        <w:br w:type="page"/>
      </w:r>
    </w:p>
    <w:p w14:paraId="201DABA4" w14:textId="77777777" w:rsidR="008D6F13" w:rsidRPr="000E511C" w:rsidRDefault="008D6F13" w:rsidP="008D6F13">
      <w:pPr>
        <w:pStyle w:val="Heading1"/>
        <w:rPr>
          <w:vanish/>
        </w:rPr>
      </w:pPr>
      <w:r w:rsidRPr="000E511C">
        <w:rPr>
          <w:vanish/>
          <w:color w:val="FF0000"/>
        </w:rPr>
        <w:lastRenderedPageBreak/>
        <w:t xml:space="preserve">do not delete </w:t>
      </w:r>
      <w:r w:rsidRPr="009E03FE">
        <w:rPr>
          <w:vanish/>
          <w:color w:val="FF0000"/>
        </w:rPr>
        <w:t>these paragraphs numbered 1–4</w:t>
      </w:r>
    </w:p>
    <w:p w14:paraId="2D4E8021" w14:textId="77777777" w:rsidR="008D6F13" w:rsidRPr="000E511C" w:rsidRDefault="008D6F13" w:rsidP="008D6F13">
      <w:pPr>
        <w:pStyle w:val="ListParagraph"/>
        <w:keepNext/>
        <w:numPr>
          <w:ilvl w:val="0"/>
          <w:numId w:val="4"/>
        </w:numPr>
        <w:spacing w:before="360"/>
        <w:contextualSpacing w:val="0"/>
        <w:outlineLvl w:val="0"/>
        <w:rPr>
          <w:rFonts w:asciiTheme="majorHAnsi" w:eastAsiaTheme="majorEastAsia" w:hAnsiTheme="majorHAnsi" w:cstheme="majorBidi"/>
          <w:b/>
          <w:caps/>
          <w:vanish/>
          <w:sz w:val="26"/>
          <w:szCs w:val="32"/>
        </w:rPr>
      </w:pPr>
      <w:r>
        <w:rPr>
          <w:rFonts w:asciiTheme="majorHAnsi" w:eastAsiaTheme="majorEastAsia" w:hAnsiTheme="majorHAnsi" w:cstheme="majorBidi"/>
          <w:b/>
          <w:caps/>
          <w:vanish/>
          <w:sz w:val="26"/>
          <w:szCs w:val="32"/>
        </w:rPr>
        <w:t>they are needed to start the numbering of following chapter headings from 4.1</w:t>
      </w:r>
    </w:p>
    <w:p w14:paraId="37964BC1" w14:textId="77777777" w:rsidR="008D6F13" w:rsidRPr="000E511C" w:rsidRDefault="008D6F13" w:rsidP="008D6F13">
      <w:pPr>
        <w:pStyle w:val="ListParagraph"/>
        <w:keepNext/>
        <w:numPr>
          <w:ilvl w:val="0"/>
          <w:numId w:val="4"/>
        </w:numPr>
        <w:spacing w:before="360"/>
        <w:contextualSpacing w:val="0"/>
        <w:outlineLvl w:val="0"/>
        <w:rPr>
          <w:rFonts w:asciiTheme="majorHAnsi" w:eastAsiaTheme="majorEastAsia" w:hAnsiTheme="majorHAnsi" w:cstheme="majorBidi"/>
          <w:b/>
          <w:caps/>
          <w:vanish/>
          <w:sz w:val="26"/>
          <w:szCs w:val="32"/>
        </w:rPr>
      </w:pPr>
      <w:r>
        <w:rPr>
          <w:rFonts w:asciiTheme="majorHAnsi" w:eastAsiaTheme="majorEastAsia" w:hAnsiTheme="majorHAnsi" w:cstheme="majorBidi"/>
          <w:b/>
          <w:caps/>
          <w:vanish/>
          <w:sz w:val="26"/>
          <w:szCs w:val="32"/>
        </w:rPr>
        <w:t>they are hidden paragraphs and will not be included in any drafts or reviews</w:t>
      </w:r>
    </w:p>
    <w:p w14:paraId="1BE4F5D2" w14:textId="77777777" w:rsidR="008D6F13" w:rsidRPr="000E511C" w:rsidRDefault="008D6F13" w:rsidP="008D6F13">
      <w:pPr>
        <w:pStyle w:val="ListParagraph"/>
        <w:keepNext/>
        <w:numPr>
          <w:ilvl w:val="0"/>
          <w:numId w:val="4"/>
        </w:numPr>
        <w:spacing w:before="360"/>
        <w:contextualSpacing w:val="0"/>
        <w:outlineLvl w:val="0"/>
        <w:rPr>
          <w:rFonts w:asciiTheme="majorHAnsi" w:eastAsiaTheme="majorEastAsia" w:hAnsiTheme="majorHAnsi" w:cstheme="majorBidi"/>
          <w:b/>
          <w:caps/>
          <w:vanish/>
          <w:sz w:val="26"/>
          <w:szCs w:val="32"/>
        </w:rPr>
      </w:pPr>
    </w:p>
    <w:p w14:paraId="39B73070" w14:textId="77777777" w:rsidR="008D6F13" w:rsidRDefault="008D6F13" w:rsidP="008D6F13">
      <w:pPr>
        <w:pStyle w:val="Heading2"/>
      </w:pPr>
      <w:r>
        <w:t>ABOUT THIS REPORT</w:t>
      </w:r>
    </w:p>
    <w:p w14:paraId="43CA068A" w14:textId="77777777" w:rsidR="008D6F13" w:rsidRPr="007E07F9" w:rsidRDefault="008D6F13" w:rsidP="008D6F13">
      <w:pPr>
        <w:pStyle w:val="Heading20"/>
      </w:pPr>
      <w:r w:rsidRPr="007E07F9">
        <w:t>Basis of preparation</w:t>
      </w:r>
    </w:p>
    <w:p w14:paraId="3869AB68" w14:textId="77777777" w:rsidR="008D6F13" w:rsidRPr="007E07F9" w:rsidRDefault="008D6F13" w:rsidP="008D6F13">
      <w:r w:rsidRPr="007E07F9">
        <w:t xml:space="preserve">This note summarises the basis applied in preparing and presenting these Estimated Financial Statements, which includes the budget year and the estimates for the three subsequent years. </w:t>
      </w:r>
    </w:p>
    <w:p w14:paraId="48E1955D" w14:textId="77777777" w:rsidR="008D6F13" w:rsidRPr="007E07F9" w:rsidRDefault="008D6F13" w:rsidP="008D6F13">
      <w:r w:rsidRPr="007E07F9">
        <w:t xml:space="preserve">The detailed accounting policies applied in preparing the Estimated Financial Statements are consistent with those in the </w:t>
      </w:r>
      <w:r w:rsidRPr="00204C87">
        <w:rPr>
          <w:i/>
          <w:iCs/>
        </w:rPr>
        <w:t>2020-21 Financial Report</w:t>
      </w:r>
      <w:r w:rsidRPr="007E07F9">
        <w:t xml:space="preserve"> for the State of Victoria as</w:t>
      </w:r>
      <w:r>
        <w:t xml:space="preserve"> </w:t>
      </w:r>
      <w:r w:rsidRPr="007E07F9">
        <w:t>presented to Parliament. The audited 30 June 2021 asset and liability balances, as reported in the</w:t>
      </w:r>
      <w:r w:rsidRPr="00204C87">
        <w:rPr>
          <w:i/>
          <w:iCs/>
        </w:rPr>
        <w:t xml:space="preserve"> 2020-21 Financial Report</w:t>
      </w:r>
      <w:r>
        <w:t>,</w:t>
      </w:r>
      <w:r w:rsidRPr="007E07F9">
        <w:t xml:space="preserve"> form the basis on which asset and liability balances are projected over the next four years.</w:t>
      </w:r>
    </w:p>
    <w:p w14:paraId="112BEFCC" w14:textId="77777777" w:rsidR="008D6F13" w:rsidRPr="007E07F9" w:rsidRDefault="008D6F13" w:rsidP="008D6F13">
      <w:r w:rsidRPr="007E07F9">
        <w:t>The Estimated Financial Statements for the 2021-22 budget year have been prepared in accordance with accounting policies expected to be used in preparing historically oriented general purpose financial statements for that year, and the same accounting policies have been used for the subsequent three years.</w:t>
      </w:r>
    </w:p>
    <w:p w14:paraId="5D9B24DF" w14:textId="77777777" w:rsidR="008D6F13" w:rsidRPr="007E07F9" w:rsidRDefault="008D6F13" w:rsidP="008D6F13">
      <w:r w:rsidRPr="007E07F9">
        <w:t xml:space="preserve">The accrual basis of accounting has been applied in preparing the Estimated Financial Statements whereby assets, liabilities, equity, </w:t>
      </w:r>
      <w:proofErr w:type="gramStart"/>
      <w:r w:rsidRPr="007E07F9">
        <w:t>income</w:t>
      </w:r>
      <w:proofErr w:type="gramEnd"/>
      <w:r w:rsidRPr="007E07F9">
        <w:t xml:space="preserve"> and expenses are recognised in the reporting period to which they relate, regardless of when cash is received or paid.</w:t>
      </w:r>
    </w:p>
    <w:p w14:paraId="23E26EF5" w14:textId="77777777" w:rsidR="008D6F13" w:rsidRPr="007E07F9" w:rsidRDefault="008D6F13" w:rsidP="008D6F13">
      <w:r w:rsidRPr="007E07F9">
        <w:t xml:space="preserve">The Estimated Financial Statements are presented in Australian dollars, which is also the functional currency of the Victorian general government sector. </w:t>
      </w:r>
    </w:p>
    <w:p w14:paraId="40C76EB7" w14:textId="77777777" w:rsidR="008D6F13" w:rsidRPr="007E07F9" w:rsidRDefault="008D6F13" w:rsidP="008D6F13">
      <w:pPr>
        <w:keepNext/>
      </w:pPr>
      <w:r w:rsidRPr="007E07F9">
        <w:t>The Estimated Financial Statements have been prepared in accordance with the historical cost convention. Historical cost is based on the fair value of the consideration given in exchange for assets. Exceptions to the historical cost convention include:</w:t>
      </w:r>
    </w:p>
    <w:p w14:paraId="3DEF47C9" w14:textId="77777777" w:rsidR="008D6F13" w:rsidRPr="007E07F9" w:rsidRDefault="008D6F13" w:rsidP="008D6F13">
      <w:pPr>
        <w:pStyle w:val="ListBullet"/>
        <w:keepNext/>
      </w:pPr>
      <w:r w:rsidRPr="007E07F9">
        <w:t>general government sector investments in other sector entities, which are measured at net asset value</w:t>
      </w:r>
    </w:p>
    <w:p w14:paraId="1FA1B3AD" w14:textId="77777777" w:rsidR="008D6F13" w:rsidRPr="007E07F9" w:rsidRDefault="008D6F13" w:rsidP="008D6F13">
      <w:pPr>
        <w:pStyle w:val="ListBullet"/>
      </w:pPr>
      <w:r w:rsidRPr="007E07F9">
        <w:t xml:space="preserve">non-financial physical assets including service concession arrangement </w:t>
      </w:r>
      <w:r>
        <w:t xml:space="preserve">assets </w:t>
      </w:r>
      <w:r w:rsidRPr="007E07F9">
        <w:t>and right</w:t>
      </w:r>
      <w:r>
        <w:noBreakHyphen/>
      </w:r>
      <w:r w:rsidRPr="007E07F9">
        <w:t>of</w:t>
      </w:r>
      <w:r>
        <w:noBreakHyphen/>
      </w:r>
      <w:r w:rsidRPr="007E07F9">
        <w:t xml:space="preserve">use assets which, </w:t>
      </w:r>
      <w:proofErr w:type="gramStart"/>
      <w:r w:rsidRPr="007E07F9">
        <w:t>subsequent to</w:t>
      </w:r>
      <w:proofErr w:type="gramEnd"/>
      <w:r w:rsidRPr="007E07F9">
        <w:t xml:space="preserve"> initial recognition, are measured at a revalued amount being their fair value at the date of revaluation less any subsequent accumulated depreciation and subsequent impairment losses. Revaluations are made with sufficient regularity to ensure the carrying amounts do not materially differ from their fair value</w:t>
      </w:r>
    </w:p>
    <w:p w14:paraId="1976BC88" w14:textId="77777777" w:rsidR="008D6F13" w:rsidRPr="007E07F9" w:rsidRDefault="008D6F13" w:rsidP="008D6F13">
      <w:pPr>
        <w:pStyle w:val="ListBullet"/>
      </w:pPr>
      <w:r w:rsidRPr="007E07F9">
        <w:t xml:space="preserve">intangible service concession arrangement assets which </w:t>
      </w:r>
      <w:proofErr w:type="gramStart"/>
      <w:r w:rsidRPr="007E07F9">
        <w:t>subsequent to</w:t>
      </w:r>
      <w:proofErr w:type="gramEnd"/>
      <w:r w:rsidRPr="007E07F9">
        <w:t xml:space="preserve"> acquisition are measured at a revalued amount being their fair value</w:t>
      </w:r>
    </w:p>
    <w:p w14:paraId="7B2B6839" w14:textId="77777777" w:rsidR="008D6F13" w:rsidRPr="007E07F9" w:rsidRDefault="008D6F13" w:rsidP="008D6F13">
      <w:pPr>
        <w:pStyle w:val="ListBullet"/>
      </w:pPr>
      <w:r w:rsidRPr="007E07F9">
        <w:t>productive trees in commercial native forests, which are measured at their fair value less costs to sell</w:t>
      </w:r>
    </w:p>
    <w:p w14:paraId="4B4A4319" w14:textId="77777777" w:rsidR="008D6F13" w:rsidRPr="007E07F9" w:rsidRDefault="008D6F13" w:rsidP="008D6F13">
      <w:pPr>
        <w:pStyle w:val="ListBullet"/>
      </w:pPr>
      <w:r w:rsidRPr="007E07F9">
        <w:t xml:space="preserve">derivative financial instruments, managed investment schemes, certain debt securities and investment properties after initial recognition, which are measured at fair value with movements reflected in other economic flows included in </w:t>
      </w:r>
      <w:r>
        <w:t xml:space="preserve">the </w:t>
      </w:r>
      <w:r w:rsidRPr="007E07F9">
        <w:t>net result</w:t>
      </w:r>
    </w:p>
    <w:p w14:paraId="7AFD019A" w14:textId="77777777" w:rsidR="008D6F13" w:rsidRPr="007E07F9" w:rsidRDefault="008D6F13" w:rsidP="008D6F13">
      <w:pPr>
        <w:pStyle w:val="ListBullet"/>
      </w:pPr>
      <w:r w:rsidRPr="007E07F9">
        <w:t xml:space="preserve">certain liabilities, most notably unfunded </w:t>
      </w:r>
      <w:proofErr w:type="gramStart"/>
      <w:r w:rsidRPr="007E07F9">
        <w:t>superannuation</w:t>
      </w:r>
      <w:proofErr w:type="gramEnd"/>
      <w:r w:rsidRPr="007E07F9">
        <w:t xml:space="preserve"> and insurance claim provisions, which are subject to an actuarial assessment</w:t>
      </w:r>
    </w:p>
    <w:p w14:paraId="573363E2" w14:textId="77777777" w:rsidR="008D6F13" w:rsidRPr="007E07F9" w:rsidRDefault="008D6F13" w:rsidP="00007ADD">
      <w:pPr>
        <w:pStyle w:val="ListBullet"/>
        <w:keepNext/>
      </w:pPr>
      <w:r w:rsidRPr="007E07F9">
        <w:lastRenderedPageBreak/>
        <w:t>financial assets measured at fair value through other comprehensive income, which are measured at fair value with movements reflected in other economic flows – other comprehensive income</w:t>
      </w:r>
    </w:p>
    <w:p w14:paraId="698BC784" w14:textId="77777777" w:rsidR="008D6F13" w:rsidRPr="007E07F9" w:rsidRDefault="008D6F13" w:rsidP="008D6F13">
      <w:pPr>
        <w:pStyle w:val="ListBullet"/>
      </w:pPr>
      <w:r w:rsidRPr="007E07F9">
        <w:t xml:space="preserve">financial assets classified as fair value through profit and loss, which are measured at fair value with movements reflected in other economic flows included in </w:t>
      </w:r>
      <w:r>
        <w:t xml:space="preserve">the </w:t>
      </w:r>
      <w:r w:rsidRPr="007E07F9">
        <w:t>net result.</w:t>
      </w:r>
    </w:p>
    <w:p w14:paraId="3271FACE" w14:textId="77777777" w:rsidR="008D6F13" w:rsidRPr="007E07F9" w:rsidRDefault="008D6F13" w:rsidP="008D6F13">
      <w:r w:rsidRPr="007E07F9">
        <w:t xml:space="preserve">Judgements, </w:t>
      </w:r>
      <w:proofErr w:type="gramStart"/>
      <w:r w:rsidRPr="007E07F9">
        <w:t>estimates</w:t>
      </w:r>
      <w:proofErr w:type="gramEnd"/>
      <w:r w:rsidRPr="007E07F9">
        <w:t xml:space="preserve"> and assumptions are required to be made about the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However, the uncertain nature of the COVID</w:t>
      </w:r>
      <w:r w:rsidRPr="007E07F9">
        <w:noBreakHyphen/>
        <w:t>19 pandemic,</w:t>
      </w:r>
      <w:r>
        <w:t xml:space="preserve"> </w:t>
      </w:r>
      <w:r w:rsidRPr="007E07F9">
        <w:t xml:space="preserve">and the associated impact on economic conditions means these estimates are subject to a higher degree of uncertainty when compared with forecasts prepared in recent years. Given the prospective nature of the Estimated Financial Statements, actual results are likely to differ from these estimates. Revisions to accounting estimates are recognised in the period in which the estimate is revised </w:t>
      </w:r>
      <w:proofErr w:type="gramStart"/>
      <w:r w:rsidRPr="007E07F9">
        <w:t>and also</w:t>
      </w:r>
      <w:proofErr w:type="gramEnd"/>
      <w:r w:rsidRPr="007E07F9">
        <w:t xml:space="preserve"> in future periods that are affected. </w:t>
      </w:r>
    </w:p>
    <w:p w14:paraId="59AF813C" w14:textId="77777777" w:rsidR="008D6F13" w:rsidRPr="007E07F9" w:rsidRDefault="008D6F13" w:rsidP="008D6F13">
      <w:r w:rsidRPr="007E07F9">
        <w:t xml:space="preserve">For assets and liabilities measured at fair value in the estimated balance sheet, the principles under AASB 13 </w:t>
      </w:r>
      <w:r w:rsidRPr="00204C87">
        <w:rPr>
          <w:i/>
          <w:iCs/>
        </w:rPr>
        <w:t>Fair Value Measurement</w:t>
      </w:r>
      <w:r w:rsidRPr="007E07F9">
        <w:t xml:space="preserve"> have been applied. </w:t>
      </w:r>
    </w:p>
    <w:p w14:paraId="3CFDB0D1" w14:textId="77777777" w:rsidR="008D6F13" w:rsidRPr="007E07F9" w:rsidRDefault="008D6F13" w:rsidP="008D6F13">
      <w:r w:rsidRPr="007E07F9">
        <w:t xml:space="preserve">As required by AASB 1049 </w:t>
      </w:r>
      <w:r w:rsidRPr="001E1256">
        <w:rPr>
          <w:i/>
          <w:iCs/>
        </w:rPr>
        <w:t>Wh</w:t>
      </w:r>
      <w:r w:rsidRPr="00204C87">
        <w:rPr>
          <w:i/>
          <w:iCs/>
        </w:rPr>
        <w:t>ole of Government and General Government Sector Financial Reporting</w:t>
      </w:r>
      <w:r w:rsidRPr="007E07F9">
        <w:t xml:space="preserve">, the estimated comprehensive operating statement distinguishes between transactions and other economic flows based on the principles in the Government Finance Statistics (GFS) Manual. Transactions are those economic flows that are considered to arise </w:t>
      </w:r>
      <w:proofErr w:type="gramStart"/>
      <w:r w:rsidRPr="007E07F9">
        <w:t>as a result of</w:t>
      </w:r>
      <w:proofErr w:type="gramEnd"/>
      <w:r w:rsidRPr="007E07F9">
        <w:t xml:space="preserve"> policy decisions, usually interactions between two entities by mutual agreement, and also flows within an entity, such as depreciation where the owner is simultaneously acting as the owner of the depreciating asset and as the consumer of the service provided by the asset. Taxation is regarded as mutually agreed interactions between the government and the taxpayer. Transactions may be </w:t>
      </w:r>
      <w:r>
        <w:t xml:space="preserve">settled in </w:t>
      </w:r>
      <w:r w:rsidRPr="007E07F9">
        <w:t>cash or settled in kind (</w:t>
      </w:r>
      <w:proofErr w:type="gramStart"/>
      <w:r w:rsidRPr="007E07F9">
        <w:t>e.g.</w:t>
      </w:r>
      <w:proofErr w:type="gramEnd"/>
      <w:r w:rsidRPr="007E07F9">
        <w:t xml:space="preserve"> assets provided/given free of charge or for nominal consideration). </w:t>
      </w:r>
    </w:p>
    <w:p w14:paraId="6B75097B" w14:textId="77777777" w:rsidR="008D6F13" w:rsidRPr="007E07F9" w:rsidRDefault="008D6F13" w:rsidP="008D6F13">
      <w:pPr>
        <w:keepNext/>
      </w:pPr>
      <w:r w:rsidRPr="007E07F9">
        <w:t>Other economic flows are changes arising from market remeasurements. They include:</w:t>
      </w:r>
    </w:p>
    <w:p w14:paraId="03F99F6F" w14:textId="77777777" w:rsidR="008D6F13" w:rsidRPr="007E07F9" w:rsidRDefault="008D6F13" w:rsidP="008D6F13">
      <w:pPr>
        <w:pStyle w:val="ListBullet"/>
      </w:pPr>
      <w:r w:rsidRPr="007E07F9">
        <w:t>gains and losses from disposals</w:t>
      </w:r>
    </w:p>
    <w:p w14:paraId="1A662098" w14:textId="77777777" w:rsidR="008D6F13" w:rsidRPr="007E07F9" w:rsidRDefault="008D6F13" w:rsidP="008D6F13">
      <w:pPr>
        <w:pStyle w:val="ListBullet"/>
      </w:pPr>
      <w:r w:rsidRPr="007E07F9">
        <w:t>revaluations and impairments of non-financial physical and intangible assets</w:t>
      </w:r>
    </w:p>
    <w:p w14:paraId="5AFD34B1" w14:textId="77777777" w:rsidR="008D6F13" w:rsidRPr="007E07F9" w:rsidRDefault="008D6F13" w:rsidP="008D6F13">
      <w:pPr>
        <w:pStyle w:val="ListBullet"/>
      </w:pPr>
      <w:r w:rsidRPr="007E07F9">
        <w:t>remeasurement arising from defined benefit superannuation plans</w:t>
      </w:r>
    </w:p>
    <w:p w14:paraId="3EDB6376" w14:textId="77777777" w:rsidR="008D6F13" w:rsidRPr="007E07F9" w:rsidRDefault="008D6F13" w:rsidP="008D6F13">
      <w:pPr>
        <w:pStyle w:val="ListBullet"/>
      </w:pPr>
      <w:r w:rsidRPr="007E07F9">
        <w:t>fair value changes of financial instruments and agricultural assets</w:t>
      </w:r>
    </w:p>
    <w:p w14:paraId="018374B2" w14:textId="77777777" w:rsidR="008D6F13" w:rsidRPr="007E07F9" w:rsidRDefault="008D6F13" w:rsidP="008D6F13">
      <w:pPr>
        <w:pStyle w:val="ListBullet"/>
      </w:pPr>
      <w:r w:rsidRPr="007E07F9">
        <w:t>depletion of natural assets (non-produced) from their use or removal.</w:t>
      </w:r>
    </w:p>
    <w:p w14:paraId="2B208770" w14:textId="77777777" w:rsidR="008D6F13" w:rsidRPr="007E07F9" w:rsidRDefault="008D6F13" w:rsidP="008D6F13">
      <w:r w:rsidRPr="007E07F9">
        <w:t>All amounts in the Estimated Financial Statements have been rounded to the nearest $1 million unless otherwise stated. The Estimated Financial Statements may not add due to rounding.</w:t>
      </w:r>
    </w:p>
    <w:p w14:paraId="19F8A510" w14:textId="77777777" w:rsidR="008D6F13" w:rsidRPr="007E07F9" w:rsidRDefault="008D6F13" w:rsidP="008D6F13">
      <w:pPr>
        <w:pStyle w:val="Heading20"/>
      </w:pPr>
      <w:r w:rsidRPr="007E07F9">
        <w:lastRenderedPageBreak/>
        <w:t>Reporting entity</w:t>
      </w:r>
    </w:p>
    <w:p w14:paraId="72E11FD4" w14:textId="77777777" w:rsidR="008D6F13" w:rsidRPr="007E07F9" w:rsidRDefault="008D6F13" w:rsidP="008D6F13">
      <w:r w:rsidRPr="007E07F9">
        <w:t>The Estimated Financial Statements are prepared for the general government sector, which includes all government departments, offices and other bodies engaged in providing services free of charge or at prices significantly below their cost. The primary function of entities within the general government sector is to provide public services (outputs), which are mainly non-market in nature, for the collective consumption of the community. These services are primarily funded through transferring or redistributing revenue that is collected mainly through taxes and other compulsory levies.</w:t>
      </w:r>
    </w:p>
    <w:p w14:paraId="418EF560" w14:textId="77777777" w:rsidR="008D6F13" w:rsidRPr="007E07F9" w:rsidRDefault="008D6F13" w:rsidP="008D6F13">
      <w:r w:rsidRPr="007E07F9">
        <w:t xml:space="preserve">The general government sector is not a separate entity but represents a sector within the State of Victoria reporting entity. </w:t>
      </w:r>
    </w:p>
    <w:p w14:paraId="24682E95" w14:textId="77777777" w:rsidR="008D6F13" w:rsidRPr="007E07F9" w:rsidRDefault="008D6F13" w:rsidP="008D6F13">
      <w:pPr>
        <w:pStyle w:val="Heading20"/>
      </w:pPr>
      <w:r w:rsidRPr="007E07F9">
        <w:t>Basis for consolidation</w:t>
      </w:r>
    </w:p>
    <w:p w14:paraId="4BCFC147" w14:textId="77777777" w:rsidR="008D6F13" w:rsidRPr="007E07F9" w:rsidRDefault="008D6F13" w:rsidP="008D6F13">
      <w:r w:rsidRPr="007E07F9">
        <w:t xml:space="preserve">The Estimated Financial Statements present the estimated consolidated results and position of all reporting entities in the general government sector that are controlled by the State, consistent with the principles of AASB 1049 and AASB 10 </w:t>
      </w:r>
      <w:r w:rsidRPr="00204C87">
        <w:rPr>
          <w:i/>
          <w:iCs/>
        </w:rPr>
        <w:t>Consolidated Financial Statements</w:t>
      </w:r>
      <w:r w:rsidRPr="007E07F9">
        <w:t>.</w:t>
      </w:r>
    </w:p>
    <w:p w14:paraId="7C368EA4" w14:textId="77777777" w:rsidR="008D6F13" w:rsidRPr="007E07F9" w:rsidRDefault="008D6F13" w:rsidP="008D6F13">
      <w:r w:rsidRPr="007E07F9">
        <w:t xml:space="preserve">Entities in the public non-financial corporations (PNFC) and public financial corporations (PFC) sectors are not consolidated into the financial statements of the general government </w:t>
      </w:r>
      <w:proofErr w:type="gramStart"/>
      <w:r w:rsidRPr="007E07F9">
        <w:t>sector</w:t>
      </w:r>
      <w:r>
        <w:t>,</w:t>
      </w:r>
      <w:r w:rsidRPr="007E07F9">
        <w:t xml:space="preserve"> but</w:t>
      </w:r>
      <w:proofErr w:type="gramEnd"/>
      <w:r w:rsidRPr="007E07F9">
        <w:t xml:space="preserve"> are accounted for as equity investments measured at the Government’s proportional share of the carrying amount of net assets of PNFC and PFC sector entities before consolidation eliminations. </w:t>
      </w:r>
    </w:p>
    <w:p w14:paraId="540B1F37" w14:textId="77777777" w:rsidR="008D6F13" w:rsidRPr="007E07F9" w:rsidRDefault="008D6F13" w:rsidP="008D6F13">
      <w:r w:rsidRPr="007E07F9">
        <w:t xml:space="preserve">Where the carrying amount of a PNFC or PFC entity’s net assets before consolidation eliminations is less than zero, the carrying amount is not included in the general government sector. Any change in the carrying amount of the investment from period to period is accounted for as if the change in carrying amount is a change in fair value and accounted for consistent with AASB 9 </w:t>
      </w:r>
      <w:r w:rsidRPr="00204C87">
        <w:rPr>
          <w:i/>
          <w:iCs/>
        </w:rPr>
        <w:t>Financial Instruments</w:t>
      </w:r>
      <w:r w:rsidRPr="007E07F9">
        <w:t xml:space="preserve"> and AASB 1049.</w:t>
      </w:r>
    </w:p>
    <w:p w14:paraId="49B961B6" w14:textId="77777777" w:rsidR="008D6F13" w:rsidRPr="007E07F9" w:rsidRDefault="008D6F13" w:rsidP="008D6F13">
      <w:r w:rsidRPr="007E07F9">
        <w:t>Where control of an entity is expected to be obtained during the reporting period, its results are included in the estimated comprehensive operating statement from the date on which control will commence. Where control is expected to cease during a reporting period, the entity’s results are included for that part of the period for which control would exist. Where entities adopt dissimilar accounting policies and their effect is considered material, adjustments are made to ensure consistent policies are adopted in the Estimated Financial Statements.</w:t>
      </w:r>
    </w:p>
    <w:p w14:paraId="67E67010" w14:textId="77777777" w:rsidR="008D6F13" w:rsidRPr="007E07F9" w:rsidRDefault="008D6F13" w:rsidP="008D6F13">
      <w:r w:rsidRPr="007E07F9">
        <w:t>All material transactions and balances between entities within the general government sector are eliminated.</w:t>
      </w:r>
    </w:p>
    <w:p w14:paraId="0E65F3B3" w14:textId="77777777" w:rsidR="008D6F13" w:rsidRPr="007E07F9" w:rsidRDefault="008D6F13" w:rsidP="008D6F13">
      <w:r w:rsidRPr="007E07F9">
        <w:t xml:space="preserve">Except as stated in Note 4.7.4, the significant entities consolidated within the sector comprise those general government sector entities listed in Note 9.8 of Chapter 4 of the </w:t>
      </w:r>
      <w:r w:rsidRPr="00204C87">
        <w:rPr>
          <w:i/>
          <w:iCs/>
        </w:rPr>
        <w:t>2020-21 Financial Report</w:t>
      </w:r>
      <w:r w:rsidRPr="007E07F9">
        <w:t xml:space="preserve"> for the State of Victoria. </w:t>
      </w:r>
    </w:p>
    <w:p w14:paraId="7842E45A" w14:textId="77777777" w:rsidR="008D6F13" w:rsidRPr="007E07F9" w:rsidRDefault="008D6F13" w:rsidP="008D6F13">
      <w:pPr>
        <w:pStyle w:val="Heading20"/>
      </w:pPr>
      <w:r w:rsidRPr="007E07F9">
        <w:lastRenderedPageBreak/>
        <w:t>Compliance</w:t>
      </w:r>
    </w:p>
    <w:p w14:paraId="393F5817" w14:textId="77777777" w:rsidR="008D6F13" w:rsidRPr="007E07F9" w:rsidRDefault="008D6F13" w:rsidP="008D6F13">
      <w:pPr>
        <w:keepNext/>
      </w:pPr>
      <w:r w:rsidRPr="007E07F9">
        <w:t xml:space="preserve">These Estimated Financial Statements have been prepared in accordance with Sections 23L-23N of the </w:t>
      </w:r>
      <w:r w:rsidRPr="00204C87">
        <w:rPr>
          <w:i/>
          <w:iCs/>
        </w:rPr>
        <w:t>Financial Management Act 1994</w:t>
      </w:r>
      <w:r w:rsidRPr="007E07F9">
        <w:t xml:space="preserve">, having regard to Australian Accounting Standards (AAS), which include Interpretations issued by the Australian Accounting Standards Board (AASB). </w:t>
      </w:r>
    </w:p>
    <w:p w14:paraId="4E234CE3" w14:textId="77777777" w:rsidR="008D6F13" w:rsidRPr="007E07F9" w:rsidRDefault="008D6F13" w:rsidP="008D6F13">
      <w:r w:rsidRPr="007E07F9">
        <w:t>The Estimated Financial Statements are presented in a manner consistent with the principles of AASB 1049 and other relevant AASs. However, the prospective nature of these Estimated Financial Statements means that some AAS disclosures are neither relevant nor practical and have been omitted. Where applicable, those AAS paragraphs relevant to not-for-profit entities have been applied. Because AAS do not prescribe requirements for preparing and presenting prospective financial statements, the Estimated Financial Statements have been prepared having regard to the principles set out in New</w:t>
      </w:r>
      <w:r>
        <w:t> </w:t>
      </w:r>
      <w:r w:rsidRPr="007E07F9">
        <w:t xml:space="preserve">Zealand Public Benefit Entity Financial Reporting Standard 42 </w:t>
      </w:r>
      <w:r w:rsidRPr="00204C87">
        <w:rPr>
          <w:i/>
          <w:iCs/>
        </w:rPr>
        <w:t>Prospective Financial Statements</w:t>
      </w:r>
      <w:r w:rsidRPr="007E07F9">
        <w:t>.</w:t>
      </w:r>
    </w:p>
    <w:p w14:paraId="3B4974D6" w14:textId="77777777" w:rsidR="008D6F13" w:rsidRPr="007E07F9" w:rsidRDefault="008D6F13" w:rsidP="008D6F13">
      <w:r w:rsidRPr="007E07F9">
        <w:t xml:space="preserve">The GFS information included in this report is based on the </w:t>
      </w:r>
      <w:r w:rsidRPr="00204C87">
        <w:rPr>
          <w:i/>
          <w:iCs/>
        </w:rPr>
        <w:t>Australian System of Government Finance Statistics: Concepts, Sources and Methods 2015 Cat. No. 5514.0</w:t>
      </w:r>
      <w:r w:rsidRPr="007E07F9">
        <w:t xml:space="preserve"> (ABS GFS). </w:t>
      </w:r>
    </w:p>
    <w:p w14:paraId="0C13FD74" w14:textId="77777777" w:rsidR="008D6F13" w:rsidRPr="007E07F9" w:rsidRDefault="008D6F13" w:rsidP="008D6F13">
      <w:r w:rsidRPr="007E07F9">
        <w:t>The information presented in the Estimated Financial Statements takes into account all policy decisions made by the Victorian Government, as well as known Commonwealth Government funding revisions and circumst</w:t>
      </w:r>
      <w:r w:rsidRPr="0038227E">
        <w:t xml:space="preserve">ances that may have a material effect on the Estimated Financial Statements as </w:t>
      </w:r>
      <w:proofErr w:type="gramStart"/>
      <w:r w:rsidRPr="0038227E">
        <w:t>at</w:t>
      </w:r>
      <w:proofErr w:type="gramEnd"/>
      <w:r w:rsidRPr="0038227E">
        <w:t xml:space="preserve"> 26 Nov</w:t>
      </w:r>
      <w:r w:rsidRPr="007E07F9">
        <w:t xml:space="preserve">ember 2021. </w:t>
      </w:r>
    </w:p>
    <w:p w14:paraId="75EEF818" w14:textId="77777777" w:rsidR="008D6F13" w:rsidRDefault="008D6F13" w:rsidP="008D6F13">
      <w:pPr>
        <w:pStyle w:val="Heading20"/>
        <w:pageBreakBefore/>
      </w:pPr>
      <w:r>
        <w:lastRenderedPageBreak/>
        <w:t xml:space="preserve">Material economic assumptions </w:t>
      </w:r>
    </w:p>
    <w:p w14:paraId="6BB0B052" w14:textId="77777777" w:rsidR="008D6F13" w:rsidRDefault="008D6F13" w:rsidP="008D6F13">
      <w:r>
        <w:t xml:space="preserve">The Estimated Financial Statements have been prepared using the material economic assumptions listed below. </w:t>
      </w:r>
    </w:p>
    <w:p w14:paraId="74692083" w14:textId="77777777" w:rsidR="008D6F13" w:rsidRPr="00FB7140" w:rsidRDefault="008D6F13" w:rsidP="008D6F13">
      <w:pPr>
        <w:pStyle w:val="TableHeading"/>
      </w:pPr>
      <w:r>
        <w:t xml:space="preserve">Key economic assumptions </w:t>
      </w:r>
      <w:r w:rsidRPr="00204C87">
        <w:rPr>
          <w:vertAlign w:val="superscript"/>
        </w:rPr>
        <w:t>(a)</w:t>
      </w:r>
      <w:r>
        <w:t xml:space="preserve"> </w:t>
      </w:r>
    </w:p>
    <w:tbl>
      <w:tblPr>
        <w:tblStyle w:val="DTFTableNumeric"/>
        <w:tblW w:w="7760" w:type="dxa"/>
        <w:tblLayout w:type="fixed"/>
        <w:tblLook w:val="06A0" w:firstRow="1" w:lastRow="0" w:firstColumn="1" w:lastColumn="0" w:noHBand="1" w:noVBand="1"/>
      </w:tblPr>
      <w:tblGrid>
        <w:gridCol w:w="2788"/>
        <w:gridCol w:w="1069"/>
        <w:gridCol w:w="8"/>
        <w:gridCol w:w="126"/>
        <w:gridCol w:w="784"/>
        <w:gridCol w:w="994"/>
        <w:gridCol w:w="994"/>
        <w:gridCol w:w="997"/>
      </w:tblGrid>
      <w:tr w:rsidR="008D6F13" w:rsidRPr="00515ABD" w14:paraId="7761AF59" w14:textId="77777777" w:rsidTr="0031078F">
        <w:trPr>
          <w:cnfStyle w:val="100000000000" w:firstRow="1" w:lastRow="0" w:firstColumn="0" w:lastColumn="0" w:oddVBand="0" w:evenVBand="0" w:oddHBand="0" w:evenHBand="0" w:firstRowFirstColumn="0" w:firstRowLastColumn="0" w:lastRowFirstColumn="0" w:lastRowLastColumn="0"/>
          <w:trHeight w:val="70"/>
          <w:tblHeader/>
        </w:trPr>
        <w:tc>
          <w:tcPr>
            <w:cnfStyle w:val="001000000000" w:firstRow="0" w:lastRow="0" w:firstColumn="1" w:lastColumn="0" w:oddVBand="0" w:evenVBand="0" w:oddHBand="0" w:evenHBand="0" w:firstRowFirstColumn="0" w:firstRowLastColumn="0" w:lastRowFirstColumn="0" w:lastRowLastColumn="0"/>
            <w:tcW w:w="2788" w:type="dxa"/>
          </w:tcPr>
          <w:p w14:paraId="001142FF" w14:textId="77777777" w:rsidR="008D6F13" w:rsidRPr="00515ABD" w:rsidRDefault="008D6F13" w:rsidP="0031078F">
            <w:pPr>
              <w:ind w:left="0" w:firstLine="0"/>
            </w:pPr>
          </w:p>
        </w:tc>
        <w:tc>
          <w:tcPr>
            <w:tcW w:w="1069" w:type="dxa"/>
          </w:tcPr>
          <w:p w14:paraId="3143D86D" w14:textId="77777777" w:rsidR="008D6F13" w:rsidRPr="00515ABD" w:rsidRDefault="008D6F13" w:rsidP="0031078F">
            <w:pPr>
              <w:cnfStyle w:val="100000000000" w:firstRow="1" w:lastRow="0" w:firstColumn="0" w:lastColumn="0" w:oddVBand="0" w:evenVBand="0" w:oddHBand="0" w:evenHBand="0" w:firstRowFirstColumn="0" w:firstRowLastColumn="0" w:lastRowFirstColumn="0" w:lastRowLastColumn="0"/>
            </w:pPr>
            <w:r w:rsidRPr="00515ABD">
              <w:t>20</w:t>
            </w:r>
            <w:r>
              <w:t>20-21</w:t>
            </w:r>
            <w:r w:rsidRPr="00515ABD">
              <w:t xml:space="preserve"> actual</w:t>
            </w:r>
          </w:p>
        </w:tc>
        <w:tc>
          <w:tcPr>
            <w:tcW w:w="918" w:type="dxa"/>
            <w:gridSpan w:val="3"/>
          </w:tcPr>
          <w:p w14:paraId="12D29263" w14:textId="77777777" w:rsidR="008D6F13" w:rsidRPr="00515ABD" w:rsidRDefault="008D6F13" w:rsidP="0031078F">
            <w:pPr>
              <w:cnfStyle w:val="100000000000" w:firstRow="1" w:lastRow="0" w:firstColumn="0" w:lastColumn="0" w:oddVBand="0" w:evenVBand="0" w:oddHBand="0" w:evenHBand="0" w:firstRowFirstColumn="0" w:firstRowLastColumn="0" w:lastRowFirstColumn="0" w:lastRowLastColumn="0"/>
            </w:pPr>
            <w:r w:rsidRPr="00515ABD">
              <w:t>20</w:t>
            </w:r>
            <w:r>
              <w:t>21-22</w:t>
            </w:r>
            <w:r w:rsidRPr="00515ABD">
              <w:t xml:space="preserve"> forecast</w:t>
            </w:r>
          </w:p>
        </w:tc>
        <w:tc>
          <w:tcPr>
            <w:tcW w:w="994" w:type="dxa"/>
          </w:tcPr>
          <w:p w14:paraId="33469757" w14:textId="77777777" w:rsidR="008D6F13" w:rsidRPr="00515ABD" w:rsidRDefault="008D6F13" w:rsidP="0031078F">
            <w:pPr>
              <w:cnfStyle w:val="100000000000" w:firstRow="1" w:lastRow="0" w:firstColumn="0" w:lastColumn="0" w:oddVBand="0" w:evenVBand="0" w:oddHBand="0" w:evenHBand="0" w:firstRowFirstColumn="0" w:firstRowLastColumn="0" w:lastRowFirstColumn="0" w:lastRowLastColumn="0"/>
            </w:pPr>
            <w:r w:rsidRPr="00515ABD">
              <w:t>202</w:t>
            </w:r>
            <w:r>
              <w:t>2-23</w:t>
            </w:r>
            <w:r w:rsidRPr="00515ABD">
              <w:t xml:space="preserve"> forecast</w:t>
            </w:r>
          </w:p>
        </w:tc>
        <w:tc>
          <w:tcPr>
            <w:tcW w:w="994" w:type="dxa"/>
          </w:tcPr>
          <w:p w14:paraId="3628A100" w14:textId="77777777" w:rsidR="008D6F13" w:rsidRPr="00515ABD" w:rsidRDefault="008D6F13" w:rsidP="0031078F">
            <w:pPr>
              <w:cnfStyle w:val="100000000000" w:firstRow="1" w:lastRow="0" w:firstColumn="0" w:lastColumn="0" w:oddVBand="0" w:evenVBand="0" w:oddHBand="0" w:evenHBand="0" w:firstRowFirstColumn="0" w:firstRowLastColumn="0" w:lastRowFirstColumn="0" w:lastRowLastColumn="0"/>
            </w:pPr>
            <w:r w:rsidRPr="00515ABD">
              <w:t>202</w:t>
            </w:r>
            <w:r>
              <w:t>3-24</w:t>
            </w:r>
            <w:r w:rsidRPr="00515ABD">
              <w:t xml:space="preserve"> projection</w:t>
            </w:r>
          </w:p>
        </w:tc>
        <w:tc>
          <w:tcPr>
            <w:tcW w:w="997" w:type="dxa"/>
          </w:tcPr>
          <w:p w14:paraId="4FB53FE9" w14:textId="77777777" w:rsidR="008D6F13" w:rsidRPr="00515ABD" w:rsidRDefault="008D6F13" w:rsidP="0031078F">
            <w:pPr>
              <w:cnfStyle w:val="100000000000" w:firstRow="1" w:lastRow="0" w:firstColumn="0" w:lastColumn="0" w:oddVBand="0" w:evenVBand="0" w:oddHBand="0" w:evenHBand="0" w:firstRowFirstColumn="0" w:firstRowLastColumn="0" w:lastRowFirstColumn="0" w:lastRowLastColumn="0"/>
            </w:pPr>
            <w:r w:rsidRPr="00515ABD">
              <w:t>202</w:t>
            </w:r>
            <w:r>
              <w:t>4-25</w:t>
            </w:r>
            <w:r w:rsidRPr="00515ABD">
              <w:t xml:space="preserve"> projection</w:t>
            </w:r>
          </w:p>
        </w:tc>
      </w:tr>
      <w:tr w:rsidR="008D6F13" w:rsidRPr="00515ABD" w14:paraId="2B722642" w14:textId="77777777" w:rsidTr="0031078F">
        <w:tc>
          <w:tcPr>
            <w:cnfStyle w:val="001000000000" w:firstRow="0" w:lastRow="0" w:firstColumn="1" w:lastColumn="0" w:oddVBand="0" w:evenVBand="0" w:oddHBand="0" w:evenHBand="0" w:firstRowFirstColumn="0" w:firstRowLastColumn="0" w:lastRowFirstColumn="0" w:lastRowLastColumn="0"/>
            <w:tcW w:w="2788" w:type="dxa"/>
          </w:tcPr>
          <w:p w14:paraId="7990E423" w14:textId="77777777" w:rsidR="008D6F13" w:rsidRPr="00515ABD" w:rsidRDefault="008D6F13" w:rsidP="0031078F">
            <w:pPr>
              <w:ind w:left="0" w:firstLine="0"/>
            </w:pPr>
          </w:p>
        </w:tc>
        <w:tc>
          <w:tcPr>
            <w:tcW w:w="4972" w:type="dxa"/>
            <w:gridSpan w:val="7"/>
          </w:tcPr>
          <w:p w14:paraId="468D07D4" w14:textId="77777777" w:rsidR="008D6F13" w:rsidRPr="00515ABD" w:rsidRDefault="008D6F13" w:rsidP="0031078F">
            <w:pPr>
              <w:pStyle w:val="TableUnits"/>
              <w:spacing w:after="20"/>
              <w:cnfStyle w:val="000000000000" w:firstRow="0" w:lastRow="0" w:firstColumn="0" w:lastColumn="0" w:oddVBand="0" w:evenVBand="0" w:oddHBand="0" w:evenHBand="0" w:firstRowFirstColumn="0" w:firstRowLastColumn="0" w:lastRowFirstColumn="0" w:lastRowLastColumn="0"/>
            </w:pPr>
            <w:r w:rsidRPr="00515ABD">
              <w:t xml:space="preserve">($ </w:t>
            </w:r>
            <w:r w:rsidRPr="000F2B74">
              <w:t>billion</w:t>
            </w:r>
            <w:r w:rsidRPr="00515ABD">
              <w:t>)</w:t>
            </w:r>
          </w:p>
        </w:tc>
      </w:tr>
      <w:tr w:rsidR="008D6F13" w:rsidRPr="00515ABD" w14:paraId="12CD84CE" w14:textId="77777777" w:rsidTr="0031078F">
        <w:tc>
          <w:tcPr>
            <w:cnfStyle w:val="001000000000" w:firstRow="0" w:lastRow="0" w:firstColumn="1" w:lastColumn="0" w:oddVBand="0" w:evenVBand="0" w:oddHBand="0" w:evenHBand="0" w:firstRowFirstColumn="0" w:firstRowLastColumn="0" w:lastRowFirstColumn="0" w:lastRowLastColumn="0"/>
            <w:tcW w:w="2788" w:type="dxa"/>
          </w:tcPr>
          <w:p w14:paraId="55328E70" w14:textId="77777777" w:rsidR="008D6F13" w:rsidRPr="00E814B9" w:rsidRDefault="008D6F13" w:rsidP="0031078F">
            <w:pPr>
              <w:ind w:left="0" w:firstLine="0"/>
            </w:pPr>
            <w:r w:rsidRPr="00E814B9">
              <w:t>Nominal gross state product</w:t>
            </w:r>
          </w:p>
        </w:tc>
        <w:tc>
          <w:tcPr>
            <w:tcW w:w="1077" w:type="dxa"/>
            <w:gridSpan w:val="2"/>
          </w:tcPr>
          <w:p w14:paraId="0F8F3E13" w14:textId="77777777" w:rsidR="008D6F13" w:rsidRPr="00E814B9" w:rsidRDefault="008D6F13" w:rsidP="0031078F">
            <w:pPr>
              <w:cnfStyle w:val="000000000000" w:firstRow="0" w:lastRow="0" w:firstColumn="0" w:lastColumn="0" w:oddVBand="0" w:evenVBand="0" w:oddHBand="0" w:evenHBand="0" w:firstRowFirstColumn="0" w:firstRowLastColumn="0" w:lastRowFirstColumn="0" w:lastRowLastColumn="0"/>
            </w:pPr>
            <w:r w:rsidRPr="00E814B9">
              <w:t>4</w:t>
            </w:r>
            <w:r>
              <w:t>74.2</w:t>
            </w:r>
          </w:p>
        </w:tc>
        <w:tc>
          <w:tcPr>
            <w:tcW w:w="910" w:type="dxa"/>
            <w:gridSpan w:val="2"/>
          </w:tcPr>
          <w:p w14:paraId="054D1B26" w14:textId="77777777" w:rsidR="008D6F13" w:rsidRPr="00E814B9" w:rsidRDefault="008D6F13" w:rsidP="0031078F">
            <w:pPr>
              <w:cnfStyle w:val="000000000000" w:firstRow="0" w:lastRow="0" w:firstColumn="0" w:lastColumn="0" w:oddVBand="0" w:evenVBand="0" w:oddHBand="0" w:evenHBand="0" w:firstRowFirstColumn="0" w:firstRowLastColumn="0" w:lastRowFirstColumn="0" w:lastRowLastColumn="0"/>
            </w:pPr>
            <w:r w:rsidRPr="00E814B9">
              <w:t>49</w:t>
            </w:r>
            <w:r>
              <w:t>5.1</w:t>
            </w:r>
          </w:p>
        </w:tc>
        <w:tc>
          <w:tcPr>
            <w:tcW w:w="994" w:type="dxa"/>
          </w:tcPr>
          <w:p w14:paraId="7A1735C7" w14:textId="77777777" w:rsidR="008D6F13" w:rsidRPr="00E814B9" w:rsidRDefault="008D6F13" w:rsidP="0031078F">
            <w:pPr>
              <w:cnfStyle w:val="000000000000" w:firstRow="0" w:lastRow="0" w:firstColumn="0" w:lastColumn="0" w:oddVBand="0" w:evenVBand="0" w:oddHBand="0" w:evenHBand="0" w:firstRowFirstColumn="0" w:firstRowLastColumn="0" w:lastRowFirstColumn="0" w:lastRowLastColumn="0"/>
            </w:pPr>
            <w:r w:rsidRPr="00E814B9">
              <w:t>52</w:t>
            </w:r>
            <w:r>
              <w:t>6.5</w:t>
            </w:r>
          </w:p>
        </w:tc>
        <w:tc>
          <w:tcPr>
            <w:tcW w:w="994" w:type="dxa"/>
          </w:tcPr>
          <w:p w14:paraId="6776FD3D" w14:textId="77777777" w:rsidR="008D6F13" w:rsidRPr="00E814B9" w:rsidRDefault="008D6F13" w:rsidP="0031078F">
            <w:pPr>
              <w:cnfStyle w:val="000000000000" w:firstRow="0" w:lastRow="0" w:firstColumn="0" w:lastColumn="0" w:oddVBand="0" w:evenVBand="0" w:oddHBand="0" w:evenHBand="0" w:firstRowFirstColumn="0" w:firstRowLastColumn="0" w:lastRowFirstColumn="0" w:lastRowLastColumn="0"/>
            </w:pPr>
            <w:r w:rsidRPr="00E814B9">
              <w:t>55</w:t>
            </w:r>
            <w:r>
              <w:t>3.0</w:t>
            </w:r>
          </w:p>
        </w:tc>
        <w:tc>
          <w:tcPr>
            <w:tcW w:w="997" w:type="dxa"/>
          </w:tcPr>
          <w:p w14:paraId="5ADE075E" w14:textId="77777777" w:rsidR="008D6F13" w:rsidRPr="00E814B9" w:rsidRDefault="008D6F13" w:rsidP="0031078F">
            <w:pPr>
              <w:cnfStyle w:val="000000000000" w:firstRow="0" w:lastRow="0" w:firstColumn="0" w:lastColumn="0" w:oddVBand="0" w:evenVBand="0" w:oddHBand="0" w:evenHBand="0" w:firstRowFirstColumn="0" w:firstRowLastColumn="0" w:lastRowFirstColumn="0" w:lastRowLastColumn="0"/>
            </w:pPr>
            <w:r w:rsidRPr="00E814B9">
              <w:t>58</w:t>
            </w:r>
            <w:r>
              <w:t>2.5</w:t>
            </w:r>
          </w:p>
        </w:tc>
      </w:tr>
      <w:tr w:rsidR="008D6F13" w:rsidRPr="00515ABD" w14:paraId="26DA551B" w14:textId="77777777" w:rsidTr="0031078F">
        <w:tc>
          <w:tcPr>
            <w:cnfStyle w:val="001000000000" w:firstRow="0" w:lastRow="0" w:firstColumn="1" w:lastColumn="0" w:oddVBand="0" w:evenVBand="0" w:oddHBand="0" w:evenHBand="0" w:firstRowFirstColumn="0" w:firstRowLastColumn="0" w:lastRowFirstColumn="0" w:lastRowLastColumn="0"/>
            <w:tcW w:w="2788" w:type="dxa"/>
          </w:tcPr>
          <w:p w14:paraId="716C9CA3" w14:textId="77777777" w:rsidR="008D6F13" w:rsidRPr="00E814B9" w:rsidRDefault="008D6F13" w:rsidP="0031078F">
            <w:pPr>
              <w:pStyle w:val="TableHeading"/>
            </w:pPr>
          </w:p>
        </w:tc>
        <w:tc>
          <w:tcPr>
            <w:tcW w:w="4972" w:type="dxa"/>
            <w:gridSpan w:val="7"/>
          </w:tcPr>
          <w:p w14:paraId="6EC21631" w14:textId="77777777" w:rsidR="008D6F13" w:rsidRPr="00E814B9" w:rsidRDefault="008D6F13" w:rsidP="0031078F">
            <w:pPr>
              <w:pStyle w:val="TableHeading"/>
              <w:cnfStyle w:val="000000000000" w:firstRow="0" w:lastRow="0" w:firstColumn="0" w:lastColumn="0" w:oddVBand="0" w:evenVBand="0" w:oddHBand="0" w:evenHBand="0" w:firstRowFirstColumn="0" w:firstRowLastColumn="0" w:lastRowFirstColumn="0" w:lastRowLastColumn="0"/>
            </w:pPr>
            <w:r w:rsidRPr="00E814B9">
              <w:t>(percentage change)</w:t>
            </w:r>
          </w:p>
        </w:tc>
      </w:tr>
      <w:tr w:rsidR="008D6F13" w:rsidRPr="00515ABD" w14:paraId="0A3C2F92" w14:textId="77777777" w:rsidTr="0031078F">
        <w:tc>
          <w:tcPr>
            <w:cnfStyle w:val="001000000000" w:firstRow="0" w:lastRow="0" w:firstColumn="1" w:lastColumn="0" w:oddVBand="0" w:evenVBand="0" w:oddHBand="0" w:evenHBand="0" w:firstRowFirstColumn="0" w:firstRowLastColumn="0" w:lastRowFirstColumn="0" w:lastRowLastColumn="0"/>
            <w:tcW w:w="2788" w:type="dxa"/>
          </w:tcPr>
          <w:p w14:paraId="20FFB7AA" w14:textId="77777777" w:rsidR="008D6F13" w:rsidRPr="00E814B9" w:rsidRDefault="008D6F13" w:rsidP="0031078F">
            <w:pPr>
              <w:ind w:left="0" w:firstLine="0"/>
            </w:pPr>
            <w:r w:rsidRPr="00E814B9">
              <w:t>Real gross state product</w:t>
            </w:r>
          </w:p>
        </w:tc>
        <w:tc>
          <w:tcPr>
            <w:tcW w:w="1069" w:type="dxa"/>
          </w:tcPr>
          <w:p w14:paraId="0D35B9D8" w14:textId="77777777" w:rsidR="008D6F13" w:rsidRPr="00961930" w:rsidRDefault="008D6F13" w:rsidP="0031078F">
            <w:pPr>
              <w:cnfStyle w:val="000000000000" w:firstRow="0" w:lastRow="0" w:firstColumn="0" w:lastColumn="0" w:oddVBand="0" w:evenVBand="0" w:oddHBand="0" w:evenHBand="0" w:firstRowFirstColumn="0" w:firstRowLastColumn="0" w:lastRowFirstColumn="0" w:lastRowLastColumn="0"/>
            </w:pPr>
            <w:r w:rsidRPr="00961930">
              <w:rPr>
                <w:rFonts w:eastAsiaTheme="minorEastAsia" w:cstheme="majorHAnsi"/>
                <w:szCs w:val="17"/>
              </w:rPr>
              <w:t>(0.4)</w:t>
            </w:r>
          </w:p>
        </w:tc>
        <w:tc>
          <w:tcPr>
            <w:tcW w:w="918" w:type="dxa"/>
            <w:gridSpan w:val="3"/>
          </w:tcPr>
          <w:p w14:paraId="61275913" w14:textId="77777777" w:rsidR="008D6F13" w:rsidRPr="00FB7140" w:rsidRDefault="008D6F13" w:rsidP="0031078F">
            <w:pPr>
              <w:cnfStyle w:val="000000000000" w:firstRow="0" w:lastRow="0" w:firstColumn="0" w:lastColumn="0" w:oddVBand="0" w:evenVBand="0" w:oddHBand="0" w:evenHBand="0" w:firstRowFirstColumn="0" w:firstRowLastColumn="0" w:lastRowFirstColumn="0" w:lastRowLastColumn="0"/>
            </w:pPr>
            <w:r w:rsidRPr="00FB7140">
              <w:rPr>
                <w:rFonts w:eastAsiaTheme="minorEastAsia" w:cstheme="majorHAnsi"/>
                <w:szCs w:val="17"/>
              </w:rPr>
              <w:t>2.25</w:t>
            </w:r>
          </w:p>
        </w:tc>
        <w:tc>
          <w:tcPr>
            <w:tcW w:w="994" w:type="dxa"/>
          </w:tcPr>
          <w:p w14:paraId="3D91244A" w14:textId="77777777" w:rsidR="008D6F13" w:rsidRPr="00FB7140" w:rsidRDefault="008D6F13" w:rsidP="0031078F">
            <w:pPr>
              <w:cnfStyle w:val="000000000000" w:firstRow="0" w:lastRow="0" w:firstColumn="0" w:lastColumn="0" w:oddVBand="0" w:evenVBand="0" w:oddHBand="0" w:evenHBand="0" w:firstRowFirstColumn="0" w:firstRowLastColumn="0" w:lastRowFirstColumn="0" w:lastRowLastColumn="0"/>
            </w:pPr>
            <w:r w:rsidRPr="00FB7140">
              <w:rPr>
                <w:rFonts w:eastAsia="Garamond" w:cs="Calibri"/>
              </w:rPr>
              <w:t>4.50</w:t>
            </w:r>
          </w:p>
        </w:tc>
        <w:tc>
          <w:tcPr>
            <w:tcW w:w="994" w:type="dxa"/>
          </w:tcPr>
          <w:p w14:paraId="042A046D" w14:textId="77777777" w:rsidR="008D6F13" w:rsidRPr="00FB7140" w:rsidRDefault="008D6F13" w:rsidP="0031078F">
            <w:pPr>
              <w:cnfStyle w:val="000000000000" w:firstRow="0" w:lastRow="0" w:firstColumn="0" w:lastColumn="0" w:oddVBand="0" w:evenVBand="0" w:oddHBand="0" w:evenHBand="0" w:firstRowFirstColumn="0" w:firstRowLastColumn="0" w:lastRowFirstColumn="0" w:lastRowLastColumn="0"/>
            </w:pPr>
            <w:r w:rsidRPr="00FB7140">
              <w:rPr>
                <w:rFonts w:eastAsia="Garamond" w:cs="Calibri"/>
              </w:rPr>
              <w:t>2.75</w:t>
            </w:r>
          </w:p>
        </w:tc>
        <w:tc>
          <w:tcPr>
            <w:tcW w:w="997" w:type="dxa"/>
          </w:tcPr>
          <w:p w14:paraId="5AF87F65" w14:textId="77777777" w:rsidR="008D6F13" w:rsidRPr="00FB7140" w:rsidRDefault="008D6F13" w:rsidP="0031078F">
            <w:pPr>
              <w:cnfStyle w:val="000000000000" w:firstRow="0" w:lastRow="0" w:firstColumn="0" w:lastColumn="0" w:oddVBand="0" w:evenVBand="0" w:oddHBand="0" w:evenHBand="0" w:firstRowFirstColumn="0" w:firstRowLastColumn="0" w:lastRowFirstColumn="0" w:lastRowLastColumn="0"/>
            </w:pPr>
            <w:r w:rsidRPr="00FB7140">
              <w:rPr>
                <w:rFonts w:eastAsia="Garamond" w:cs="Calibri"/>
              </w:rPr>
              <w:t>2.75</w:t>
            </w:r>
          </w:p>
        </w:tc>
      </w:tr>
      <w:tr w:rsidR="008D6F13" w:rsidRPr="00515ABD" w14:paraId="09B4492F" w14:textId="77777777" w:rsidTr="0031078F">
        <w:tc>
          <w:tcPr>
            <w:cnfStyle w:val="001000000000" w:firstRow="0" w:lastRow="0" w:firstColumn="1" w:lastColumn="0" w:oddVBand="0" w:evenVBand="0" w:oddHBand="0" w:evenHBand="0" w:firstRowFirstColumn="0" w:firstRowLastColumn="0" w:lastRowFirstColumn="0" w:lastRowLastColumn="0"/>
            <w:tcW w:w="2788" w:type="dxa"/>
          </w:tcPr>
          <w:p w14:paraId="41F99A67" w14:textId="77777777" w:rsidR="008D6F13" w:rsidRPr="00E814B9" w:rsidRDefault="008D6F13" w:rsidP="0031078F">
            <w:pPr>
              <w:ind w:left="0" w:firstLine="0"/>
            </w:pPr>
            <w:r w:rsidRPr="00E814B9">
              <w:t>Employment</w:t>
            </w:r>
          </w:p>
        </w:tc>
        <w:tc>
          <w:tcPr>
            <w:tcW w:w="1069" w:type="dxa"/>
          </w:tcPr>
          <w:p w14:paraId="1FA53B42" w14:textId="77777777" w:rsidR="008D6F13" w:rsidRPr="00E814B9" w:rsidRDefault="008D6F13" w:rsidP="0031078F">
            <w:pPr>
              <w:cnfStyle w:val="000000000000" w:firstRow="0" w:lastRow="0" w:firstColumn="0" w:lastColumn="0" w:oddVBand="0" w:evenVBand="0" w:oddHBand="0" w:evenHBand="0" w:firstRowFirstColumn="0" w:firstRowLastColumn="0" w:lastRowFirstColumn="0" w:lastRowLastColumn="0"/>
            </w:pPr>
            <w:r w:rsidRPr="00E814B9">
              <w:rPr>
                <w:rFonts w:eastAsiaTheme="minorEastAsia" w:cstheme="majorHAnsi"/>
                <w:szCs w:val="17"/>
              </w:rPr>
              <w:t>(1.1)</w:t>
            </w:r>
          </w:p>
        </w:tc>
        <w:tc>
          <w:tcPr>
            <w:tcW w:w="918" w:type="dxa"/>
            <w:gridSpan w:val="3"/>
          </w:tcPr>
          <w:p w14:paraId="20DF24A7" w14:textId="77777777" w:rsidR="008D6F13" w:rsidRPr="00E814B9" w:rsidRDefault="008D6F13" w:rsidP="0031078F">
            <w:pPr>
              <w:cnfStyle w:val="000000000000" w:firstRow="0" w:lastRow="0" w:firstColumn="0" w:lastColumn="0" w:oddVBand="0" w:evenVBand="0" w:oddHBand="0" w:evenHBand="0" w:firstRowFirstColumn="0" w:firstRowLastColumn="0" w:lastRowFirstColumn="0" w:lastRowLastColumn="0"/>
            </w:pPr>
            <w:r w:rsidRPr="00E814B9">
              <w:rPr>
                <w:rFonts w:eastAsiaTheme="minorEastAsia" w:cstheme="majorHAnsi"/>
                <w:szCs w:val="17"/>
              </w:rPr>
              <w:t>2.50</w:t>
            </w:r>
          </w:p>
        </w:tc>
        <w:tc>
          <w:tcPr>
            <w:tcW w:w="994" w:type="dxa"/>
          </w:tcPr>
          <w:p w14:paraId="2B8DCDB2" w14:textId="77777777" w:rsidR="008D6F13" w:rsidRPr="00E814B9" w:rsidRDefault="008D6F13" w:rsidP="0031078F">
            <w:pPr>
              <w:cnfStyle w:val="000000000000" w:firstRow="0" w:lastRow="0" w:firstColumn="0" w:lastColumn="0" w:oddVBand="0" w:evenVBand="0" w:oddHBand="0" w:evenHBand="0" w:firstRowFirstColumn="0" w:firstRowLastColumn="0" w:lastRowFirstColumn="0" w:lastRowLastColumn="0"/>
            </w:pPr>
            <w:r w:rsidRPr="00E814B9">
              <w:rPr>
                <w:rFonts w:eastAsiaTheme="minorEastAsia" w:cstheme="majorHAnsi"/>
                <w:szCs w:val="17"/>
              </w:rPr>
              <w:t>1.50</w:t>
            </w:r>
          </w:p>
        </w:tc>
        <w:tc>
          <w:tcPr>
            <w:tcW w:w="994" w:type="dxa"/>
          </w:tcPr>
          <w:p w14:paraId="7A18F3E3" w14:textId="77777777" w:rsidR="008D6F13" w:rsidRPr="00E814B9" w:rsidRDefault="008D6F13" w:rsidP="0031078F">
            <w:pPr>
              <w:cnfStyle w:val="000000000000" w:firstRow="0" w:lastRow="0" w:firstColumn="0" w:lastColumn="0" w:oddVBand="0" w:evenVBand="0" w:oddHBand="0" w:evenHBand="0" w:firstRowFirstColumn="0" w:firstRowLastColumn="0" w:lastRowFirstColumn="0" w:lastRowLastColumn="0"/>
            </w:pPr>
            <w:r w:rsidRPr="00E814B9">
              <w:rPr>
                <w:rFonts w:eastAsiaTheme="minorEastAsia" w:cstheme="majorHAnsi"/>
                <w:szCs w:val="17"/>
              </w:rPr>
              <w:t>1.50</w:t>
            </w:r>
          </w:p>
        </w:tc>
        <w:tc>
          <w:tcPr>
            <w:tcW w:w="997" w:type="dxa"/>
          </w:tcPr>
          <w:p w14:paraId="2A513D95" w14:textId="77777777" w:rsidR="008D6F13" w:rsidRPr="00E814B9" w:rsidRDefault="008D6F13" w:rsidP="0031078F">
            <w:pPr>
              <w:cnfStyle w:val="000000000000" w:firstRow="0" w:lastRow="0" w:firstColumn="0" w:lastColumn="0" w:oddVBand="0" w:evenVBand="0" w:oddHBand="0" w:evenHBand="0" w:firstRowFirstColumn="0" w:firstRowLastColumn="0" w:lastRowFirstColumn="0" w:lastRowLastColumn="0"/>
            </w:pPr>
            <w:r w:rsidRPr="00E814B9">
              <w:rPr>
                <w:rFonts w:eastAsiaTheme="minorEastAsia" w:cstheme="majorHAnsi"/>
                <w:szCs w:val="17"/>
              </w:rPr>
              <w:t>1.75</w:t>
            </w:r>
          </w:p>
        </w:tc>
      </w:tr>
      <w:tr w:rsidR="008D6F13" w:rsidRPr="00515ABD" w14:paraId="0D534DA5" w14:textId="77777777" w:rsidTr="0031078F">
        <w:tc>
          <w:tcPr>
            <w:cnfStyle w:val="001000000000" w:firstRow="0" w:lastRow="0" w:firstColumn="1" w:lastColumn="0" w:oddVBand="0" w:evenVBand="0" w:oddHBand="0" w:evenHBand="0" w:firstRowFirstColumn="0" w:firstRowLastColumn="0" w:lastRowFirstColumn="0" w:lastRowLastColumn="0"/>
            <w:tcW w:w="2788" w:type="dxa"/>
          </w:tcPr>
          <w:p w14:paraId="6468518F" w14:textId="77777777" w:rsidR="008D6F13" w:rsidRPr="00E814B9" w:rsidRDefault="008D6F13" w:rsidP="0031078F">
            <w:pPr>
              <w:ind w:left="0" w:firstLine="0"/>
            </w:pPr>
            <w:r w:rsidRPr="00E814B9">
              <w:t xml:space="preserve">Unemployment rate </w:t>
            </w:r>
            <w:r w:rsidRPr="00E814B9">
              <w:rPr>
                <w:vertAlign w:val="superscript"/>
              </w:rPr>
              <w:t>(b)</w:t>
            </w:r>
          </w:p>
        </w:tc>
        <w:tc>
          <w:tcPr>
            <w:tcW w:w="1069" w:type="dxa"/>
          </w:tcPr>
          <w:p w14:paraId="110DD1B7" w14:textId="77777777" w:rsidR="008D6F13" w:rsidRPr="00E814B9" w:rsidRDefault="008D6F13" w:rsidP="0031078F">
            <w:pPr>
              <w:cnfStyle w:val="000000000000" w:firstRow="0" w:lastRow="0" w:firstColumn="0" w:lastColumn="0" w:oddVBand="0" w:evenVBand="0" w:oddHBand="0" w:evenHBand="0" w:firstRowFirstColumn="0" w:firstRowLastColumn="0" w:lastRowFirstColumn="0" w:lastRowLastColumn="0"/>
            </w:pPr>
            <w:r w:rsidRPr="00E814B9">
              <w:rPr>
                <w:rFonts w:eastAsiaTheme="minorEastAsia" w:cstheme="majorHAnsi"/>
                <w:szCs w:val="17"/>
              </w:rPr>
              <w:t>6.2</w:t>
            </w:r>
          </w:p>
        </w:tc>
        <w:tc>
          <w:tcPr>
            <w:tcW w:w="918" w:type="dxa"/>
            <w:gridSpan w:val="3"/>
          </w:tcPr>
          <w:p w14:paraId="5A330922" w14:textId="77777777" w:rsidR="008D6F13" w:rsidRPr="00E814B9" w:rsidRDefault="008D6F13" w:rsidP="0031078F">
            <w:pPr>
              <w:cnfStyle w:val="000000000000" w:firstRow="0" w:lastRow="0" w:firstColumn="0" w:lastColumn="0" w:oddVBand="0" w:evenVBand="0" w:oddHBand="0" w:evenHBand="0" w:firstRowFirstColumn="0" w:firstRowLastColumn="0" w:lastRowFirstColumn="0" w:lastRowLastColumn="0"/>
            </w:pPr>
            <w:r w:rsidRPr="00E814B9">
              <w:rPr>
                <w:rFonts w:eastAsiaTheme="minorEastAsia" w:cstheme="majorHAnsi"/>
                <w:szCs w:val="17"/>
              </w:rPr>
              <w:t>4.50</w:t>
            </w:r>
          </w:p>
        </w:tc>
        <w:tc>
          <w:tcPr>
            <w:tcW w:w="994" w:type="dxa"/>
          </w:tcPr>
          <w:p w14:paraId="72F24B45" w14:textId="77777777" w:rsidR="008D6F13" w:rsidRPr="00E814B9" w:rsidRDefault="008D6F13" w:rsidP="0031078F">
            <w:pPr>
              <w:cnfStyle w:val="000000000000" w:firstRow="0" w:lastRow="0" w:firstColumn="0" w:lastColumn="0" w:oddVBand="0" w:evenVBand="0" w:oddHBand="0" w:evenHBand="0" w:firstRowFirstColumn="0" w:firstRowLastColumn="0" w:lastRowFirstColumn="0" w:lastRowLastColumn="0"/>
            </w:pPr>
            <w:r w:rsidRPr="00E814B9">
              <w:rPr>
                <w:rFonts w:eastAsiaTheme="minorEastAsia" w:cstheme="majorHAnsi"/>
                <w:szCs w:val="17"/>
              </w:rPr>
              <w:t>4.50</w:t>
            </w:r>
          </w:p>
        </w:tc>
        <w:tc>
          <w:tcPr>
            <w:tcW w:w="994" w:type="dxa"/>
          </w:tcPr>
          <w:p w14:paraId="543E81D0" w14:textId="77777777" w:rsidR="008D6F13" w:rsidRPr="00E814B9" w:rsidRDefault="008D6F13" w:rsidP="0031078F">
            <w:pPr>
              <w:cnfStyle w:val="000000000000" w:firstRow="0" w:lastRow="0" w:firstColumn="0" w:lastColumn="0" w:oddVBand="0" w:evenVBand="0" w:oddHBand="0" w:evenHBand="0" w:firstRowFirstColumn="0" w:firstRowLastColumn="0" w:lastRowFirstColumn="0" w:lastRowLastColumn="0"/>
            </w:pPr>
            <w:r w:rsidRPr="00E814B9">
              <w:rPr>
                <w:rFonts w:eastAsiaTheme="minorEastAsia" w:cstheme="majorHAnsi"/>
                <w:szCs w:val="17"/>
              </w:rPr>
              <w:t>5.00</w:t>
            </w:r>
          </w:p>
        </w:tc>
        <w:tc>
          <w:tcPr>
            <w:tcW w:w="997" w:type="dxa"/>
          </w:tcPr>
          <w:p w14:paraId="7D06EA31" w14:textId="77777777" w:rsidR="008D6F13" w:rsidRPr="00E814B9" w:rsidRDefault="008D6F13" w:rsidP="0031078F">
            <w:pPr>
              <w:cnfStyle w:val="000000000000" w:firstRow="0" w:lastRow="0" w:firstColumn="0" w:lastColumn="0" w:oddVBand="0" w:evenVBand="0" w:oddHBand="0" w:evenHBand="0" w:firstRowFirstColumn="0" w:firstRowLastColumn="0" w:lastRowFirstColumn="0" w:lastRowLastColumn="0"/>
            </w:pPr>
            <w:r w:rsidRPr="00E814B9">
              <w:rPr>
                <w:rFonts w:eastAsiaTheme="minorEastAsia" w:cstheme="majorHAnsi"/>
                <w:szCs w:val="17"/>
              </w:rPr>
              <w:t>5.00</w:t>
            </w:r>
          </w:p>
        </w:tc>
      </w:tr>
      <w:tr w:rsidR="008D6F13" w:rsidRPr="00515ABD" w14:paraId="6C683AAF" w14:textId="77777777" w:rsidTr="0031078F">
        <w:tc>
          <w:tcPr>
            <w:cnfStyle w:val="001000000000" w:firstRow="0" w:lastRow="0" w:firstColumn="1" w:lastColumn="0" w:oddVBand="0" w:evenVBand="0" w:oddHBand="0" w:evenHBand="0" w:firstRowFirstColumn="0" w:firstRowLastColumn="0" w:lastRowFirstColumn="0" w:lastRowLastColumn="0"/>
            <w:tcW w:w="2788" w:type="dxa"/>
          </w:tcPr>
          <w:p w14:paraId="4FD65F86" w14:textId="77777777" w:rsidR="008D6F13" w:rsidRPr="00E814B9" w:rsidRDefault="008D6F13" w:rsidP="0031078F">
            <w:pPr>
              <w:ind w:left="0" w:firstLine="0"/>
            </w:pPr>
            <w:r w:rsidRPr="00E814B9">
              <w:t xml:space="preserve">Consumer price index </w:t>
            </w:r>
            <w:r w:rsidRPr="00E814B9">
              <w:rPr>
                <w:vertAlign w:val="superscript"/>
              </w:rPr>
              <w:t>(c)</w:t>
            </w:r>
          </w:p>
        </w:tc>
        <w:tc>
          <w:tcPr>
            <w:tcW w:w="1069" w:type="dxa"/>
          </w:tcPr>
          <w:p w14:paraId="6E1B7470" w14:textId="77777777" w:rsidR="008D6F13" w:rsidRPr="00E814B9" w:rsidRDefault="008D6F13" w:rsidP="0031078F">
            <w:pPr>
              <w:cnfStyle w:val="000000000000" w:firstRow="0" w:lastRow="0" w:firstColumn="0" w:lastColumn="0" w:oddVBand="0" w:evenVBand="0" w:oddHBand="0" w:evenHBand="0" w:firstRowFirstColumn="0" w:firstRowLastColumn="0" w:lastRowFirstColumn="0" w:lastRowLastColumn="0"/>
            </w:pPr>
            <w:r w:rsidRPr="00E814B9">
              <w:rPr>
                <w:rFonts w:eastAsiaTheme="minorEastAsia" w:cstheme="majorHAnsi"/>
                <w:szCs w:val="17"/>
              </w:rPr>
              <w:t>1.4</w:t>
            </w:r>
          </w:p>
        </w:tc>
        <w:tc>
          <w:tcPr>
            <w:tcW w:w="918" w:type="dxa"/>
            <w:gridSpan w:val="3"/>
          </w:tcPr>
          <w:p w14:paraId="2E4EE7F2" w14:textId="77777777" w:rsidR="008D6F13" w:rsidRPr="00E814B9" w:rsidRDefault="008D6F13" w:rsidP="0031078F">
            <w:pPr>
              <w:cnfStyle w:val="000000000000" w:firstRow="0" w:lastRow="0" w:firstColumn="0" w:lastColumn="0" w:oddVBand="0" w:evenVBand="0" w:oddHBand="0" w:evenHBand="0" w:firstRowFirstColumn="0" w:firstRowLastColumn="0" w:lastRowFirstColumn="0" w:lastRowLastColumn="0"/>
            </w:pPr>
            <w:r w:rsidRPr="00E814B9">
              <w:rPr>
                <w:rFonts w:eastAsiaTheme="minorEastAsia" w:cstheme="majorHAnsi"/>
                <w:szCs w:val="17"/>
              </w:rPr>
              <w:t>2.00</w:t>
            </w:r>
          </w:p>
        </w:tc>
        <w:tc>
          <w:tcPr>
            <w:tcW w:w="994" w:type="dxa"/>
          </w:tcPr>
          <w:p w14:paraId="2425011D" w14:textId="77777777" w:rsidR="008D6F13" w:rsidRPr="00E814B9" w:rsidRDefault="008D6F13" w:rsidP="0031078F">
            <w:pPr>
              <w:cnfStyle w:val="000000000000" w:firstRow="0" w:lastRow="0" w:firstColumn="0" w:lastColumn="0" w:oddVBand="0" w:evenVBand="0" w:oddHBand="0" w:evenHBand="0" w:firstRowFirstColumn="0" w:firstRowLastColumn="0" w:lastRowFirstColumn="0" w:lastRowLastColumn="0"/>
            </w:pPr>
            <w:r w:rsidRPr="00E814B9">
              <w:rPr>
                <w:rFonts w:eastAsiaTheme="minorEastAsia" w:cstheme="majorHAnsi"/>
                <w:szCs w:val="17"/>
              </w:rPr>
              <w:t>1.75</w:t>
            </w:r>
          </w:p>
        </w:tc>
        <w:tc>
          <w:tcPr>
            <w:tcW w:w="994" w:type="dxa"/>
          </w:tcPr>
          <w:p w14:paraId="3AA872FA" w14:textId="77777777" w:rsidR="008D6F13" w:rsidRPr="00E814B9" w:rsidRDefault="008D6F13" w:rsidP="0031078F">
            <w:pPr>
              <w:cnfStyle w:val="000000000000" w:firstRow="0" w:lastRow="0" w:firstColumn="0" w:lastColumn="0" w:oddVBand="0" w:evenVBand="0" w:oddHBand="0" w:evenHBand="0" w:firstRowFirstColumn="0" w:firstRowLastColumn="0" w:lastRowFirstColumn="0" w:lastRowLastColumn="0"/>
            </w:pPr>
            <w:r w:rsidRPr="00E814B9">
              <w:rPr>
                <w:rFonts w:eastAsiaTheme="minorEastAsia" w:cstheme="majorHAnsi"/>
                <w:szCs w:val="17"/>
              </w:rPr>
              <w:t>2.25</w:t>
            </w:r>
          </w:p>
        </w:tc>
        <w:tc>
          <w:tcPr>
            <w:tcW w:w="997" w:type="dxa"/>
          </w:tcPr>
          <w:p w14:paraId="6B4FB88F" w14:textId="77777777" w:rsidR="008D6F13" w:rsidRPr="00E814B9" w:rsidRDefault="008D6F13" w:rsidP="0031078F">
            <w:pPr>
              <w:cnfStyle w:val="000000000000" w:firstRow="0" w:lastRow="0" w:firstColumn="0" w:lastColumn="0" w:oddVBand="0" w:evenVBand="0" w:oddHBand="0" w:evenHBand="0" w:firstRowFirstColumn="0" w:firstRowLastColumn="0" w:lastRowFirstColumn="0" w:lastRowLastColumn="0"/>
            </w:pPr>
            <w:r w:rsidRPr="00E814B9">
              <w:rPr>
                <w:rFonts w:eastAsiaTheme="minorEastAsia" w:cstheme="majorHAnsi"/>
                <w:szCs w:val="17"/>
              </w:rPr>
              <w:t>2.50</w:t>
            </w:r>
          </w:p>
        </w:tc>
      </w:tr>
      <w:tr w:rsidR="008D6F13" w:rsidRPr="00515ABD" w14:paraId="04030CBD" w14:textId="77777777" w:rsidTr="0031078F">
        <w:tc>
          <w:tcPr>
            <w:cnfStyle w:val="001000000000" w:firstRow="0" w:lastRow="0" w:firstColumn="1" w:lastColumn="0" w:oddVBand="0" w:evenVBand="0" w:oddHBand="0" w:evenHBand="0" w:firstRowFirstColumn="0" w:firstRowLastColumn="0" w:lastRowFirstColumn="0" w:lastRowLastColumn="0"/>
            <w:tcW w:w="2788" w:type="dxa"/>
          </w:tcPr>
          <w:p w14:paraId="75A04BC6" w14:textId="77777777" w:rsidR="008D6F13" w:rsidRPr="00E814B9" w:rsidRDefault="008D6F13" w:rsidP="0031078F">
            <w:pPr>
              <w:ind w:left="0" w:firstLine="0"/>
            </w:pPr>
            <w:r w:rsidRPr="00E814B9">
              <w:t xml:space="preserve">Wage price index </w:t>
            </w:r>
            <w:r w:rsidRPr="00E814B9">
              <w:rPr>
                <w:vertAlign w:val="superscript"/>
              </w:rPr>
              <w:t>(d)</w:t>
            </w:r>
          </w:p>
        </w:tc>
        <w:tc>
          <w:tcPr>
            <w:tcW w:w="1069" w:type="dxa"/>
          </w:tcPr>
          <w:p w14:paraId="2187E30B" w14:textId="77777777" w:rsidR="008D6F13" w:rsidRPr="00961930" w:rsidRDefault="008D6F13" w:rsidP="0031078F">
            <w:pPr>
              <w:cnfStyle w:val="000000000000" w:firstRow="0" w:lastRow="0" w:firstColumn="0" w:lastColumn="0" w:oddVBand="0" w:evenVBand="0" w:oddHBand="0" w:evenHBand="0" w:firstRowFirstColumn="0" w:firstRowLastColumn="0" w:lastRowFirstColumn="0" w:lastRowLastColumn="0"/>
            </w:pPr>
            <w:r w:rsidRPr="00961930">
              <w:rPr>
                <w:rFonts w:eastAsiaTheme="minorEastAsia" w:cstheme="majorHAnsi"/>
                <w:szCs w:val="17"/>
              </w:rPr>
              <w:t>1.4</w:t>
            </w:r>
          </w:p>
        </w:tc>
        <w:tc>
          <w:tcPr>
            <w:tcW w:w="918" w:type="dxa"/>
            <w:gridSpan w:val="3"/>
          </w:tcPr>
          <w:p w14:paraId="751DD710" w14:textId="77777777" w:rsidR="008D6F13" w:rsidRPr="00961930" w:rsidRDefault="008D6F13" w:rsidP="0031078F">
            <w:pPr>
              <w:cnfStyle w:val="000000000000" w:firstRow="0" w:lastRow="0" w:firstColumn="0" w:lastColumn="0" w:oddVBand="0" w:evenVBand="0" w:oddHBand="0" w:evenHBand="0" w:firstRowFirstColumn="0" w:firstRowLastColumn="0" w:lastRowFirstColumn="0" w:lastRowLastColumn="0"/>
            </w:pPr>
            <w:r w:rsidRPr="00961930">
              <w:rPr>
                <w:rFonts w:eastAsiaTheme="minorEastAsia" w:cstheme="majorHAnsi"/>
                <w:szCs w:val="17"/>
              </w:rPr>
              <w:t>2.25</w:t>
            </w:r>
          </w:p>
        </w:tc>
        <w:tc>
          <w:tcPr>
            <w:tcW w:w="994" w:type="dxa"/>
          </w:tcPr>
          <w:p w14:paraId="14D07840" w14:textId="77777777" w:rsidR="008D6F13" w:rsidRPr="00E814B9" w:rsidRDefault="008D6F13" w:rsidP="0031078F">
            <w:pPr>
              <w:cnfStyle w:val="000000000000" w:firstRow="0" w:lastRow="0" w:firstColumn="0" w:lastColumn="0" w:oddVBand="0" w:evenVBand="0" w:oddHBand="0" w:evenHBand="0" w:firstRowFirstColumn="0" w:firstRowLastColumn="0" w:lastRowFirstColumn="0" w:lastRowLastColumn="0"/>
            </w:pPr>
            <w:r w:rsidRPr="00E814B9">
              <w:rPr>
                <w:rFonts w:eastAsiaTheme="minorEastAsia" w:cstheme="majorHAnsi"/>
                <w:szCs w:val="17"/>
              </w:rPr>
              <w:t>2.50</w:t>
            </w:r>
          </w:p>
        </w:tc>
        <w:tc>
          <w:tcPr>
            <w:tcW w:w="994" w:type="dxa"/>
          </w:tcPr>
          <w:p w14:paraId="1CA1F769" w14:textId="77777777" w:rsidR="008D6F13" w:rsidRPr="00E814B9" w:rsidRDefault="008D6F13" w:rsidP="0031078F">
            <w:pPr>
              <w:cnfStyle w:val="000000000000" w:firstRow="0" w:lastRow="0" w:firstColumn="0" w:lastColumn="0" w:oddVBand="0" w:evenVBand="0" w:oddHBand="0" w:evenHBand="0" w:firstRowFirstColumn="0" w:firstRowLastColumn="0" w:lastRowFirstColumn="0" w:lastRowLastColumn="0"/>
            </w:pPr>
            <w:r w:rsidRPr="00E814B9">
              <w:rPr>
                <w:rFonts w:eastAsiaTheme="minorEastAsia" w:cstheme="majorHAnsi"/>
                <w:szCs w:val="17"/>
              </w:rPr>
              <w:t>2.75</w:t>
            </w:r>
          </w:p>
        </w:tc>
        <w:tc>
          <w:tcPr>
            <w:tcW w:w="997" w:type="dxa"/>
          </w:tcPr>
          <w:p w14:paraId="0C9D278D" w14:textId="77777777" w:rsidR="008D6F13" w:rsidRPr="00E814B9" w:rsidRDefault="008D6F13" w:rsidP="0031078F">
            <w:pPr>
              <w:cnfStyle w:val="000000000000" w:firstRow="0" w:lastRow="0" w:firstColumn="0" w:lastColumn="0" w:oddVBand="0" w:evenVBand="0" w:oddHBand="0" w:evenHBand="0" w:firstRowFirstColumn="0" w:firstRowLastColumn="0" w:lastRowFirstColumn="0" w:lastRowLastColumn="0"/>
            </w:pPr>
            <w:r w:rsidRPr="00E814B9">
              <w:rPr>
                <w:rFonts w:eastAsiaTheme="minorEastAsia" w:cstheme="majorHAnsi"/>
                <w:szCs w:val="17"/>
              </w:rPr>
              <w:t>3.00</w:t>
            </w:r>
          </w:p>
        </w:tc>
      </w:tr>
      <w:tr w:rsidR="008D6F13" w:rsidRPr="00515ABD" w14:paraId="2AD78D1E" w14:textId="77777777" w:rsidTr="0031078F">
        <w:tc>
          <w:tcPr>
            <w:cnfStyle w:val="001000000000" w:firstRow="0" w:lastRow="0" w:firstColumn="1" w:lastColumn="0" w:oddVBand="0" w:evenVBand="0" w:oddHBand="0" w:evenHBand="0" w:firstRowFirstColumn="0" w:firstRowLastColumn="0" w:lastRowFirstColumn="0" w:lastRowLastColumn="0"/>
            <w:tcW w:w="2788" w:type="dxa"/>
          </w:tcPr>
          <w:p w14:paraId="040C7133" w14:textId="77777777" w:rsidR="008D6F13" w:rsidRPr="00E814B9" w:rsidRDefault="008D6F13" w:rsidP="0031078F">
            <w:pPr>
              <w:ind w:left="0" w:firstLine="0"/>
            </w:pPr>
            <w:r w:rsidRPr="00E814B9">
              <w:t xml:space="preserve">Population </w:t>
            </w:r>
            <w:r w:rsidRPr="00E814B9">
              <w:rPr>
                <w:vertAlign w:val="superscript"/>
              </w:rPr>
              <w:t>(e)</w:t>
            </w:r>
          </w:p>
        </w:tc>
        <w:tc>
          <w:tcPr>
            <w:tcW w:w="1203" w:type="dxa"/>
            <w:gridSpan w:val="3"/>
          </w:tcPr>
          <w:p w14:paraId="6C5F7064" w14:textId="77777777" w:rsidR="008D6F13" w:rsidRPr="00E814B9" w:rsidRDefault="008D6F13" w:rsidP="0031078F">
            <w:pPr>
              <w:cnfStyle w:val="000000000000" w:firstRow="0" w:lastRow="0" w:firstColumn="0" w:lastColumn="0" w:oddVBand="0" w:evenVBand="0" w:oddHBand="0" w:evenHBand="0" w:firstRowFirstColumn="0" w:firstRowLastColumn="0" w:lastRowFirstColumn="0" w:lastRowLastColumn="0"/>
            </w:pPr>
            <w:r w:rsidRPr="00E814B9">
              <w:rPr>
                <w:rFonts w:eastAsiaTheme="minorEastAsia" w:cstheme="majorHAnsi"/>
                <w:szCs w:val="17"/>
              </w:rPr>
              <w:t xml:space="preserve">(0.7) </w:t>
            </w:r>
            <w:r w:rsidRPr="00E814B9">
              <w:rPr>
                <w:rFonts w:eastAsiaTheme="minorEastAsia" w:cstheme="majorHAnsi"/>
                <w:szCs w:val="17"/>
                <w:vertAlign w:val="superscript"/>
              </w:rPr>
              <w:t>(f)</w:t>
            </w:r>
          </w:p>
        </w:tc>
        <w:tc>
          <w:tcPr>
            <w:tcW w:w="784" w:type="dxa"/>
          </w:tcPr>
          <w:p w14:paraId="24679561" w14:textId="77777777" w:rsidR="008D6F13" w:rsidRPr="00E814B9" w:rsidRDefault="008D6F13" w:rsidP="0031078F">
            <w:pPr>
              <w:cnfStyle w:val="000000000000" w:firstRow="0" w:lastRow="0" w:firstColumn="0" w:lastColumn="0" w:oddVBand="0" w:evenVBand="0" w:oddHBand="0" w:evenHBand="0" w:firstRowFirstColumn="0" w:firstRowLastColumn="0" w:lastRowFirstColumn="0" w:lastRowLastColumn="0"/>
            </w:pPr>
            <w:r w:rsidRPr="00E814B9">
              <w:rPr>
                <w:rFonts w:eastAsiaTheme="minorEastAsia" w:cstheme="majorHAnsi"/>
                <w:szCs w:val="17"/>
              </w:rPr>
              <w:t>0.20</w:t>
            </w:r>
          </w:p>
        </w:tc>
        <w:tc>
          <w:tcPr>
            <w:tcW w:w="994" w:type="dxa"/>
          </w:tcPr>
          <w:p w14:paraId="34DA7731" w14:textId="77777777" w:rsidR="008D6F13" w:rsidRPr="00E814B9" w:rsidRDefault="008D6F13" w:rsidP="0031078F">
            <w:pPr>
              <w:cnfStyle w:val="000000000000" w:firstRow="0" w:lastRow="0" w:firstColumn="0" w:lastColumn="0" w:oddVBand="0" w:evenVBand="0" w:oddHBand="0" w:evenHBand="0" w:firstRowFirstColumn="0" w:firstRowLastColumn="0" w:lastRowFirstColumn="0" w:lastRowLastColumn="0"/>
            </w:pPr>
            <w:r w:rsidRPr="00E814B9">
              <w:rPr>
                <w:rFonts w:eastAsiaTheme="minorEastAsia" w:cstheme="majorHAnsi"/>
                <w:szCs w:val="17"/>
              </w:rPr>
              <w:t>1.20</w:t>
            </w:r>
          </w:p>
        </w:tc>
        <w:tc>
          <w:tcPr>
            <w:tcW w:w="994" w:type="dxa"/>
          </w:tcPr>
          <w:p w14:paraId="3C1B5B2F" w14:textId="77777777" w:rsidR="008D6F13" w:rsidRPr="00E814B9" w:rsidRDefault="008D6F13" w:rsidP="0031078F">
            <w:pPr>
              <w:cnfStyle w:val="000000000000" w:firstRow="0" w:lastRow="0" w:firstColumn="0" w:lastColumn="0" w:oddVBand="0" w:evenVBand="0" w:oddHBand="0" w:evenHBand="0" w:firstRowFirstColumn="0" w:firstRowLastColumn="0" w:lastRowFirstColumn="0" w:lastRowLastColumn="0"/>
            </w:pPr>
            <w:r w:rsidRPr="00E814B9">
              <w:rPr>
                <w:rFonts w:eastAsiaTheme="minorEastAsia" w:cstheme="majorHAnsi"/>
                <w:szCs w:val="17"/>
              </w:rPr>
              <w:t>1.70</w:t>
            </w:r>
          </w:p>
        </w:tc>
        <w:tc>
          <w:tcPr>
            <w:tcW w:w="997" w:type="dxa"/>
          </w:tcPr>
          <w:p w14:paraId="0085DF63" w14:textId="77777777" w:rsidR="008D6F13" w:rsidRPr="00E814B9" w:rsidRDefault="008D6F13" w:rsidP="0031078F">
            <w:pPr>
              <w:cnfStyle w:val="000000000000" w:firstRow="0" w:lastRow="0" w:firstColumn="0" w:lastColumn="0" w:oddVBand="0" w:evenVBand="0" w:oddHBand="0" w:evenHBand="0" w:firstRowFirstColumn="0" w:firstRowLastColumn="0" w:lastRowFirstColumn="0" w:lastRowLastColumn="0"/>
            </w:pPr>
            <w:r w:rsidRPr="00E814B9">
              <w:rPr>
                <w:rFonts w:eastAsiaTheme="minorEastAsia" w:cstheme="majorHAnsi"/>
                <w:szCs w:val="17"/>
              </w:rPr>
              <w:t>1.70</w:t>
            </w:r>
          </w:p>
        </w:tc>
      </w:tr>
    </w:tbl>
    <w:p w14:paraId="2A4D7B90" w14:textId="77777777" w:rsidR="008D6F13" w:rsidRPr="000E2E6A" w:rsidRDefault="008D6F13" w:rsidP="008D6F13">
      <w:pPr>
        <w:pStyle w:val="Note"/>
      </w:pPr>
      <w:r w:rsidRPr="000E2E6A">
        <w:t xml:space="preserve">Notes: </w:t>
      </w:r>
    </w:p>
    <w:p w14:paraId="798A031C" w14:textId="77777777" w:rsidR="008D6F13" w:rsidRPr="000E2E6A" w:rsidRDefault="008D6F13" w:rsidP="008D6F13">
      <w:pPr>
        <w:pStyle w:val="Note"/>
      </w:pPr>
      <w:r w:rsidRPr="000E2E6A">
        <w:t>(a)</w:t>
      </w:r>
      <w:r w:rsidRPr="000E2E6A">
        <w:tab/>
        <w:t>Percentage change in year average terms compared with previous year, except for the unemployment rate (see note (b)) and population (see note (e)). Forecasts are rounded to the nearest 0.25 percentage points, except for population (see note (e)).</w:t>
      </w:r>
    </w:p>
    <w:p w14:paraId="3EA64FC8" w14:textId="77777777" w:rsidR="008D6F13" w:rsidRPr="000E2E6A" w:rsidRDefault="008D6F13" w:rsidP="008D6F13">
      <w:pPr>
        <w:pStyle w:val="Note"/>
      </w:pPr>
      <w:r w:rsidRPr="000E2E6A">
        <w:tab/>
        <w:t xml:space="preserve">The key assumptions underlying the economic forecasts </w:t>
      </w:r>
      <w:proofErr w:type="gramStart"/>
      <w:r w:rsidRPr="000E2E6A">
        <w:t>include</w:t>
      </w:r>
      <w:r>
        <w:t>:</w:t>
      </w:r>
      <w:proofErr w:type="gramEnd"/>
      <w:r w:rsidRPr="000E2E6A">
        <w:t xml:space="preserve"> </w:t>
      </w:r>
      <w:r w:rsidRPr="002304A0">
        <w:t>interest rates that broadly follow market economists’ expectations</w:t>
      </w:r>
      <w:r>
        <w:t xml:space="preserve">; </w:t>
      </w:r>
      <w:r w:rsidRPr="007D297B">
        <w:t xml:space="preserve">an Australian dollar trade-weighted index of </w:t>
      </w:r>
      <w:r w:rsidRPr="00E431E4">
        <w:t>61.2</w:t>
      </w:r>
      <w:r w:rsidRPr="000E2E6A">
        <w:t xml:space="preserve">; and oil prices that follow the path suggested by </w:t>
      </w:r>
      <w:r>
        <w:t xml:space="preserve">oil </w:t>
      </w:r>
      <w:r w:rsidRPr="000E2E6A">
        <w:t xml:space="preserve">futures. </w:t>
      </w:r>
    </w:p>
    <w:p w14:paraId="0D4F7E9B" w14:textId="77777777" w:rsidR="008D6F13" w:rsidRPr="000E2E6A" w:rsidRDefault="008D6F13" w:rsidP="008D6F13">
      <w:pPr>
        <w:pStyle w:val="Note"/>
      </w:pPr>
      <w:r w:rsidRPr="000E2E6A">
        <w:t>(b)</w:t>
      </w:r>
      <w:r w:rsidRPr="000E2E6A">
        <w:tab/>
        <w:t>Year average</w:t>
      </w:r>
      <w:r>
        <w:t>.</w:t>
      </w:r>
    </w:p>
    <w:p w14:paraId="3DB8B6B5" w14:textId="77777777" w:rsidR="008D6F13" w:rsidRPr="000E2E6A" w:rsidRDefault="008D6F13" w:rsidP="008D6F13">
      <w:pPr>
        <w:pStyle w:val="Note"/>
      </w:pPr>
      <w:r w:rsidRPr="000E2E6A">
        <w:t>(c)</w:t>
      </w:r>
      <w:r w:rsidRPr="000E2E6A">
        <w:tab/>
        <w:t>Melbourne consumer price index.</w:t>
      </w:r>
    </w:p>
    <w:p w14:paraId="724612A5" w14:textId="77777777" w:rsidR="008D6F13" w:rsidRPr="000E2E6A" w:rsidRDefault="008D6F13" w:rsidP="008D6F13">
      <w:pPr>
        <w:pStyle w:val="Note"/>
      </w:pPr>
      <w:r w:rsidRPr="000E2E6A">
        <w:t>(d)</w:t>
      </w:r>
      <w:r w:rsidRPr="000E2E6A">
        <w:tab/>
        <w:t>Wage price index, Victoria (based on total hourly rates of pay, excluding bonuses).</w:t>
      </w:r>
    </w:p>
    <w:p w14:paraId="05463C6E" w14:textId="77777777" w:rsidR="008D6F13" w:rsidRPr="000E2E6A" w:rsidRDefault="008D6F13" w:rsidP="008D6F13">
      <w:pPr>
        <w:pStyle w:val="Note"/>
      </w:pPr>
      <w:r w:rsidRPr="000E2E6A">
        <w:t>(e)</w:t>
      </w:r>
      <w:r w:rsidRPr="000E2E6A">
        <w:tab/>
        <w:t>Percentage change over the year to 30 June. Forecasts are rounded to the nearest 0.1 percentage point.</w:t>
      </w:r>
    </w:p>
    <w:p w14:paraId="7288FE6E" w14:textId="77777777" w:rsidR="008D6F13" w:rsidRPr="000E2E6A" w:rsidRDefault="008D6F13" w:rsidP="008D6F13">
      <w:pPr>
        <w:pStyle w:val="Note"/>
      </w:pPr>
      <w:r w:rsidRPr="000E2E6A">
        <w:t>(f)</w:t>
      </w:r>
      <w:r w:rsidRPr="000E2E6A">
        <w:tab/>
        <w:t>Estimate, actual not yet available.</w:t>
      </w:r>
    </w:p>
    <w:p w14:paraId="0C95C431" w14:textId="77777777" w:rsidR="008D6F13" w:rsidRPr="00350540" w:rsidRDefault="008D6F13" w:rsidP="008D6F13">
      <w:pPr>
        <w:pStyle w:val="Note"/>
      </w:pPr>
    </w:p>
    <w:p w14:paraId="68943396" w14:textId="77777777" w:rsidR="008D6F13" w:rsidRDefault="008D6F13" w:rsidP="008D6F13"/>
    <w:p w14:paraId="188BECA4" w14:textId="77777777" w:rsidR="008D6F13" w:rsidRDefault="008D6F13" w:rsidP="008D6F13"/>
    <w:p w14:paraId="4B021FAD" w14:textId="77777777" w:rsidR="008D6F13" w:rsidRPr="00F84458" w:rsidRDefault="008D6F13" w:rsidP="008D6F13"/>
    <w:p w14:paraId="2B86105B" w14:textId="77777777" w:rsidR="008D6F13" w:rsidRDefault="008D6F13" w:rsidP="008D6F13">
      <w:pPr>
        <w:sectPr w:rsidR="008D6F13" w:rsidSect="00CB5E47">
          <w:footerReference w:type="even" r:id="rId42"/>
          <w:footerReference w:type="default" r:id="rId43"/>
          <w:pgSz w:w="9979" w:h="14175" w:code="9"/>
          <w:pgMar w:top="1134" w:right="1134" w:bottom="1134" w:left="1134" w:header="624" w:footer="567" w:gutter="0"/>
          <w:cols w:sep="1" w:space="567"/>
          <w:docGrid w:linePitch="360"/>
        </w:sectPr>
      </w:pPr>
    </w:p>
    <w:p w14:paraId="512E4B19" w14:textId="77777777" w:rsidR="008D6F13" w:rsidRDefault="008D6F13" w:rsidP="008D6F13">
      <w:pPr>
        <w:pStyle w:val="Heading2"/>
      </w:pPr>
      <w:r>
        <w:lastRenderedPageBreak/>
        <w:t>HOW FUNDS ARE RAISED</w:t>
      </w:r>
    </w:p>
    <w:p w14:paraId="7803E854" w14:textId="77777777" w:rsidR="008D6F13" w:rsidRDefault="008D6F13" w:rsidP="008D6F13">
      <w:pPr>
        <w:sectPr w:rsidR="008D6F13" w:rsidSect="00CD78F6">
          <w:footerReference w:type="first" r:id="rId44"/>
          <w:pgSz w:w="9979" w:h="14175" w:code="9"/>
          <w:pgMar w:top="1134" w:right="1134" w:bottom="1134" w:left="1134" w:header="624" w:footer="567" w:gutter="0"/>
          <w:cols w:space="708"/>
          <w:titlePg/>
          <w:docGrid w:linePitch="360"/>
        </w:sectPr>
      </w:pPr>
    </w:p>
    <w:p w14:paraId="48F4CE15" w14:textId="77777777" w:rsidR="008D6F13" w:rsidRDefault="008D6F13" w:rsidP="008D6F13">
      <w:pPr>
        <w:pStyle w:val="Heading30"/>
      </w:pPr>
      <w:r>
        <w:t>Introduction</w:t>
      </w:r>
    </w:p>
    <w:p w14:paraId="7292E74C" w14:textId="77777777" w:rsidR="008D6F13" w:rsidRDefault="008D6F13" w:rsidP="008D6F13">
      <w:r>
        <w:t>This section presents the sources and amounts of revenue and income forecast for the general government sector.</w:t>
      </w:r>
    </w:p>
    <w:p w14:paraId="08C04F7D" w14:textId="77777777" w:rsidR="008D6F13" w:rsidRDefault="008D6F13" w:rsidP="008D6F13">
      <w:r>
        <w:t xml:space="preserve">The income and revenue recognition are determined by the State based on the substance of the relevant arrangement in accordance with the requirements of AASB 15 </w:t>
      </w:r>
      <w:r w:rsidRPr="001E2136">
        <w:rPr>
          <w:i/>
          <w:iCs/>
        </w:rPr>
        <w:t>Revenue from Contracts with Customers</w:t>
      </w:r>
      <w:r>
        <w:t xml:space="preserve"> and AASB 1058 </w:t>
      </w:r>
      <w:r w:rsidRPr="001E2136">
        <w:rPr>
          <w:i/>
          <w:iCs/>
        </w:rPr>
        <w:t xml:space="preserve">Income of </w:t>
      </w:r>
      <w:r>
        <w:rPr>
          <w:i/>
          <w:iCs/>
        </w:rPr>
        <w:br/>
      </w:r>
      <w:r w:rsidRPr="001E2136">
        <w:rPr>
          <w:i/>
          <w:iCs/>
        </w:rPr>
        <w:t>Not-for-Profit Entities</w:t>
      </w:r>
      <w:r w:rsidRPr="00E93937">
        <w:t>.</w:t>
      </w:r>
    </w:p>
    <w:p w14:paraId="54B63212" w14:textId="77777777" w:rsidR="008D6F13" w:rsidRDefault="008D6F13" w:rsidP="008D6F13">
      <w:pPr>
        <w:pStyle w:val="Heading30"/>
      </w:pPr>
      <w:r w:rsidRPr="007F4217">
        <w:br w:type="column"/>
      </w:r>
      <w:r>
        <w:t>Structure</w:t>
      </w:r>
    </w:p>
    <w:p w14:paraId="6CABB733" w14:textId="3AC2EB0C" w:rsidR="008D6F13" w:rsidRDefault="008D6F13" w:rsidP="008D6F13">
      <w:pPr>
        <w:pStyle w:val="TOC9"/>
        <w:rPr>
          <w:rFonts w:eastAsiaTheme="minorEastAsia"/>
          <w:noProof/>
          <w:spacing w:val="0"/>
          <w:lang w:eastAsia="en-AU"/>
        </w:rPr>
      </w:pPr>
      <w:r>
        <w:fldChar w:fldCharType="begin"/>
      </w:r>
      <w:r>
        <w:instrText xml:space="preserve"> TOC \h \z \t "Heading 3 (#),9" \b Section_2 \* MERGEFORMAT </w:instrText>
      </w:r>
      <w:r>
        <w:fldChar w:fldCharType="separate"/>
      </w:r>
      <w:hyperlink w:anchor="_Toc86047048" w:history="1">
        <w:r w:rsidRPr="00F73FC7">
          <w:rPr>
            <w:rStyle w:val="Hyperlink"/>
            <w:noProof/>
          </w:rPr>
          <w:t>4.2.1</w:t>
        </w:r>
        <w:r>
          <w:rPr>
            <w:rFonts w:eastAsiaTheme="minorEastAsia"/>
            <w:noProof/>
            <w:spacing w:val="0"/>
            <w:lang w:eastAsia="en-AU"/>
          </w:rPr>
          <w:tab/>
        </w:r>
        <w:r w:rsidRPr="00F73FC7">
          <w:rPr>
            <w:rStyle w:val="Hyperlink"/>
            <w:noProof/>
          </w:rPr>
          <w:t xml:space="preserve">Taxation  </w:t>
        </w:r>
        <w:r>
          <w:rPr>
            <w:noProof/>
            <w:webHidden/>
          </w:rPr>
          <w:tab/>
        </w:r>
        <w:r>
          <w:rPr>
            <w:noProof/>
            <w:webHidden/>
          </w:rPr>
          <w:fldChar w:fldCharType="begin"/>
        </w:r>
        <w:r>
          <w:rPr>
            <w:noProof/>
            <w:webHidden/>
          </w:rPr>
          <w:instrText xml:space="preserve"> PAGEREF _Toc86047048 \h </w:instrText>
        </w:r>
        <w:r>
          <w:rPr>
            <w:noProof/>
            <w:webHidden/>
          </w:rPr>
        </w:r>
        <w:r>
          <w:rPr>
            <w:noProof/>
            <w:webHidden/>
          </w:rPr>
          <w:fldChar w:fldCharType="separate"/>
        </w:r>
        <w:r w:rsidR="00104E8F">
          <w:rPr>
            <w:noProof/>
            <w:webHidden/>
          </w:rPr>
          <w:t>59</w:t>
        </w:r>
        <w:r>
          <w:rPr>
            <w:noProof/>
            <w:webHidden/>
          </w:rPr>
          <w:fldChar w:fldCharType="end"/>
        </w:r>
      </w:hyperlink>
    </w:p>
    <w:p w14:paraId="12A0177E" w14:textId="7A2457C0" w:rsidR="008D6F13" w:rsidRDefault="005D5407" w:rsidP="008D6F13">
      <w:pPr>
        <w:pStyle w:val="TOC9"/>
        <w:rPr>
          <w:rFonts w:eastAsiaTheme="minorEastAsia"/>
          <w:noProof/>
          <w:spacing w:val="0"/>
          <w:lang w:eastAsia="en-AU"/>
        </w:rPr>
      </w:pPr>
      <w:hyperlink w:anchor="_Toc86047049" w:history="1">
        <w:r w:rsidR="008D6F13" w:rsidRPr="00F73FC7">
          <w:rPr>
            <w:rStyle w:val="Hyperlink"/>
            <w:noProof/>
          </w:rPr>
          <w:t>4.2.2</w:t>
        </w:r>
        <w:r w:rsidR="008D6F13">
          <w:rPr>
            <w:rFonts w:eastAsiaTheme="minorEastAsia"/>
            <w:noProof/>
            <w:spacing w:val="0"/>
            <w:lang w:eastAsia="en-AU"/>
          </w:rPr>
          <w:tab/>
        </w:r>
        <w:r w:rsidR="008D6F13" w:rsidRPr="00F73FC7">
          <w:rPr>
            <w:rStyle w:val="Hyperlink"/>
            <w:noProof/>
          </w:rPr>
          <w:t xml:space="preserve">Dividends, income tax equivalent </w:t>
        </w:r>
        <w:r w:rsidR="0031078F">
          <w:rPr>
            <w:rStyle w:val="Hyperlink"/>
            <w:noProof/>
          </w:rPr>
          <w:br/>
        </w:r>
        <w:r w:rsidR="008D6F13" w:rsidRPr="00F73FC7">
          <w:rPr>
            <w:rStyle w:val="Hyperlink"/>
            <w:noProof/>
          </w:rPr>
          <w:t>and rate equivalent income</w:t>
        </w:r>
        <w:r w:rsidR="008D6F13">
          <w:rPr>
            <w:noProof/>
            <w:webHidden/>
          </w:rPr>
          <w:tab/>
        </w:r>
        <w:r w:rsidR="008D6F13">
          <w:rPr>
            <w:noProof/>
            <w:webHidden/>
          </w:rPr>
          <w:fldChar w:fldCharType="begin"/>
        </w:r>
        <w:r w:rsidR="008D6F13">
          <w:rPr>
            <w:noProof/>
            <w:webHidden/>
          </w:rPr>
          <w:instrText xml:space="preserve"> PAGEREF _Toc86047049 \h </w:instrText>
        </w:r>
        <w:r w:rsidR="008D6F13">
          <w:rPr>
            <w:noProof/>
            <w:webHidden/>
          </w:rPr>
        </w:r>
        <w:r w:rsidR="008D6F13">
          <w:rPr>
            <w:noProof/>
            <w:webHidden/>
          </w:rPr>
          <w:fldChar w:fldCharType="separate"/>
        </w:r>
        <w:r w:rsidR="00104E8F">
          <w:rPr>
            <w:noProof/>
            <w:webHidden/>
          </w:rPr>
          <w:t>60</w:t>
        </w:r>
        <w:r w:rsidR="008D6F13">
          <w:rPr>
            <w:noProof/>
            <w:webHidden/>
          </w:rPr>
          <w:fldChar w:fldCharType="end"/>
        </w:r>
      </w:hyperlink>
    </w:p>
    <w:p w14:paraId="22B1E8E9" w14:textId="4EDE13B7" w:rsidR="008D6F13" w:rsidRDefault="005D5407" w:rsidP="008D6F13">
      <w:pPr>
        <w:pStyle w:val="TOC9"/>
        <w:rPr>
          <w:rFonts w:eastAsiaTheme="minorEastAsia"/>
          <w:noProof/>
          <w:spacing w:val="0"/>
          <w:lang w:eastAsia="en-AU"/>
        </w:rPr>
      </w:pPr>
      <w:hyperlink w:anchor="_Toc86047050" w:history="1">
        <w:r w:rsidR="008D6F13" w:rsidRPr="00F73FC7">
          <w:rPr>
            <w:rStyle w:val="Hyperlink"/>
            <w:noProof/>
          </w:rPr>
          <w:t>4.2.3</w:t>
        </w:r>
        <w:r w:rsidR="008D6F13">
          <w:rPr>
            <w:rFonts w:eastAsiaTheme="minorEastAsia"/>
            <w:noProof/>
            <w:spacing w:val="0"/>
            <w:lang w:eastAsia="en-AU"/>
          </w:rPr>
          <w:tab/>
        </w:r>
        <w:r w:rsidR="008D6F13" w:rsidRPr="00F73FC7">
          <w:rPr>
            <w:rStyle w:val="Hyperlink"/>
            <w:noProof/>
          </w:rPr>
          <w:t>Sales of goods and services</w:t>
        </w:r>
        <w:r w:rsidR="008D6F13">
          <w:rPr>
            <w:noProof/>
            <w:webHidden/>
          </w:rPr>
          <w:tab/>
        </w:r>
        <w:r w:rsidR="008D6F13">
          <w:rPr>
            <w:noProof/>
            <w:webHidden/>
          </w:rPr>
          <w:fldChar w:fldCharType="begin"/>
        </w:r>
        <w:r w:rsidR="008D6F13">
          <w:rPr>
            <w:noProof/>
            <w:webHidden/>
          </w:rPr>
          <w:instrText xml:space="preserve"> PAGEREF _Toc86047050 \h </w:instrText>
        </w:r>
        <w:r w:rsidR="008D6F13">
          <w:rPr>
            <w:noProof/>
            <w:webHidden/>
          </w:rPr>
        </w:r>
        <w:r w:rsidR="008D6F13">
          <w:rPr>
            <w:noProof/>
            <w:webHidden/>
          </w:rPr>
          <w:fldChar w:fldCharType="separate"/>
        </w:r>
        <w:r w:rsidR="00104E8F">
          <w:rPr>
            <w:noProof/>
            <w:webHidden/>
          </w:rPr>
          <w:t>61</w:t>
        </w:r>
        <w:r w:rsidR="008D6F13">
          <w:rPr>
            <w:noProof/>
            <w:webHidden/>
          </w:rPr>
          <w:fldChar w:fldCharType="end"/>
        </w:r>
      </w:hyperlink>
    </w:p>
    <w:p w14:paraId="1E40E599" w14:textId="03C12F17" w:rsidR="008D6F13" w:rsidRDefault="005D5407" w:rsidP="008D6F13">
      <w:pPr>
        <w:pStyle w:val="TOC9"/>
        <w:rPr>
          <w:rFonts w:eastAsiaTheme="minorEastAsia"/>
          <w:noProof/>
          <w:spacing w:val="0"/>
          <w:lang w:eastAsia="en-AU"/>
        </w:rPr>
      </w:pPr>
      <w:hyperlink w:anchor="_Toc86047051" w:history="1">
        <w:r w:rsidR="008D6F13" w:rsidRPr="00F73FC7">
          <w:rPr>
            <w:rStyle w:val="Hyperlink"/>
            <w:noProof/>
          </w:rPr>
          <w:t>4.2.4</w:t>
        </w:r>
        <w:r w:rsidR="008D6F13">
          <w:rPr>
            <w:rFonts w:eastAsiaTheme="minorEastAsia"/>
            <w:noProof/>
            <w:spacing w:val="0"/>
            <w:lang w:eastAsia="en-AU"/>
          </w:rPr>
          <w:tab/>
        </w:r>
        <w:r w:rsidR="008D6F13" w:rsidRPr="00F73FC7">
          <w:rPr>
            <w:rStyle w:val="Hyperlink"/>
            <w:noProof/>
          </w:rPr>
          <w:t>Grants</w:t>
        </w:r>
        <w:r w:rsidR="008D6F13">
          <w:rPr>
            <w:noProof/>
            <w:webHidden/>
          </w:rPr>
          <w:tab/>
        </w:r>
        <w:r w:rsidR="008D6F13">
          <w:rPr>
            <w:noProof/>
            <w:webHidden/>
          </w:rPr>
          <w:fldChar w:fldCharType="begin"/>
        </w:r>
        <w:r w:rsidR="008D6F13">
          <w:rPr>
            <w:noProof/>
            <w:webHidden/>
          </w:rPr>
          <w:instrText xml:space="preserve"> PAGEREF _Toc86047051 \h </w:instrText>
        </w:r>
        <w:r w:rsidR="008D6F13">
          <w:rPr>
            <w:noProof/>
            <w:webHidden/>
          </w:rPr>
        </w:r>
        <w:r w:rsidR="008D6F13">
          <w:rPr>
            <w:noProof/>
            <w:webHidden/>
          </w:rPr>
          <w:fldChar w:fldCharType="separate"/>
        </w:r>
        <w:r w:rsidR="00104E8F">
          <w:rPr>
            <w:noProof/>
            <w:webHidden/>
          </w:rPr>
          <w:t>61</w:t>
        </w:r>
        <w:r w:rsidR="008D6F13">
          <w:rPr>
            <w:noProof/>
            <w:webHidden/>
          </w:rPr>
          <w:fldChar w:fldCharType="end"/>
        </w:r>
      </w:hyperlink>
    </w:p>
    <w:p w14:paraId="3AB4E5D7" w14:textId="7895B8CC" w:rsidR="008D6F13" w:rsidRDefault="005D5407" w:rsidP="008D6F13">
      <w:pPr>
        <w:pStyle w:val="TOC9"/>
        <w:rPr>
          <w:rFonts w:eastAsiaTheme="minorEastAsia"/>
          <w:noProof/>
          <w:spacing w:val="0"/>
          <w:lang w:eastAsia="en-AU"/>
        </w:rPr>
      </w:pPr>
      <w:hyperlink w:anchor="_Toc86047052" w:history="1">
        <w:r w:rsidR="008D6F13" w:rsidRPr="00F73FC7">
          <w:rPr>
            <w:rStyle w:val="Hyperlink"/>
            <w:noProof/>
          </w:rPr>
          <w:t>4.2.5</w:t>
        </w:r>
        <w:r w:rsidR="008D6F13">
          <w:rPr>
            <w:rFonts w:eastAsiaTheme="minorEastAsia"/>
            <w:noProof/>
            <w:spacing w:val="0"/>
            <w:lang w:eastAsia="en-AU"/>
          </w:rPr>
          <w:tab/>
        </w:r>
        <w:r w:rsidR="008D6F13" w:rsidRPr="00F73FC7">
          <w:rPr>
            <w:rStyle w:val="Hyperlink"/>
            <w:noProof/>
          </w:rPr>
          <w:t>Other revenue and income</w:t>
        </w:r>
        <w:r w:rsidR="008D6F13">
          <w:rPr>
            <w:noProof/>
            <w:webHidden/>
          </w:rPr>
          <w:tab/>
        </w:r>
        <w:r w:rsidR="008D6F13">
          <w:rPr>
            <w:noProof/>
            <w:webHidden/>
          </w:rPr>
          <w:fldChar w:fldCharType="begin"/>
        </w:r>
        <w:r w:rsidR="008D6F13">
          <w:rPr>
            <w:noProof/>
            <w:webHidden/>
          </w:rPr>
          <w:instrText xml:space="preserve"> PAGEREF _Toc86047052 \h </w:instrText>
        </w:r>
        <w:r w:rsidR="008D6F13">
          <w:rPr>
            <w:noProof/>
            <w:webHidden/>
          </w:rPr>
        </w:r>
        <w:r w:rsidR="008D6F13">
          <w:rPr>
            <w:noProof/>
            <w:webHidden/>
          </w:rPr>
          <w:fldChar w:fldCharType="separate"/>
        </w:r>
        <w:r w:rsidR="00104E8F">
          <w:rPr>
            <w:noProof/>
            <w:webHidden/>
          </w:rPr>
          <w:t>62</w:t>
        </w:r>
        <w:r w:rsidR="008D6F13">
          <w:rPr>
            <w:noProof/>
            <w:webHidden/>
          </w:rPr>
          <w:fldChar w:fldCharType="end"/>
        </w:r>
      </w:hyperlink>
    </w:p>
    <w:p w14:paraId="48E238FB" w14:textId="77777777" w:rsidR="008D6F13" w:rsidRDefault="008D6F13" w:rsidP="008D6F13">
      <w:r>
        <w:rPr>
          <w:b/>
          <w:bCs/>
          <w:noProof/>
          <w:lang w:val="en-US"/>
        </w:rPr>
        <w:fldChar w:fldCharType="end"/>
      </w:r>
    </w:p>
    <w:p w14:paraId="29B0C0CA" w14:textId="77777777" w:rsidR="008D6F13" w:rsidRDefault="008D6F13" w:rsidP="008D6F13">
      <w:r>
        <w:br w:type="page"/>
      </w:r>
    </w:p>
    <w:p w14:paraId="7CE0C36C" w14:textId="77777777" w:rsidR="008D6F13" w:rsidRDefault="008D6F13" w:rsidP="008D6F13">
      <w:pPr>
        <w:sectPr w:rsidR="008D6F13" w:rsidSect="0031078F">
          <w:type w:val="continuous"/>
          <w:pgSz w:w="9979" w:h="14175" w:code="9"/>
          <w:pgMar w:top="1134" w:right="1134" w:bottom="1134" w:left="1134" w:header="624" w:footer="567" w:gutter="0"/>
          <w:cols w:num="2" w:space="708"/>
          <w:titlePg/>
          <w:docGrid w:linePitch="360"/>
        </w:sectPr>
      </w:pPr>
    </w:p>
    <w:p w14:paraId="55B5EF5C" w14:textId="77777777" w:rsidR="008D6F13" w:rsidRPr="00CF32F9" w:rsidRDefault="008D6F13" w:rsidP="008D6F13">
      <w:pPr>
        <w:pStyle w:val="Heading3"/>
        <w:spacing w:before="0" w:after="60"/>
        <w:rPr>
          <w:sz w:val="20"/>
          <w:szCs w:val="20"/>
        </w:rPr>
      </w:pPr>
      <w:bookmarkStart w:id="69" w:name="_Toc85010020"/>
      <w:bookmarkStart w:id="70" w:name="_Toc86047048"/>
      <w:bookmarkStart w:id="71" w:name="Section_2"/>
      <w:r w:rsidRPr="00953777">
        <w:rPr>
          <w:sz w:val="21"/>
          <w:szCs w:val="21"/>
        </w:rPr>
        <w:lastRenderedPageBreak/>
        <w:t xml:space="preserve">Taxation </w:t>
      </w:r>
      <w:r w:rsidRPr="00FF6C61">
        <w:rPr>
          <w:sz w:val="20"/>
          <w:szCs w:val="20"/>
        </w:rPr>
        <w:tab/>
        <w:t>($ million)</w:t>
      </w:r>
      <w:bookmarkEnd w:id="69"/>
      <w:bookmarkEnd w:id="70"/>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6213F86E"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3FAC7044" w14:textId="6864D170" w:rsidR="008D6F13" w:rsidRDefault="008D6F13" w:rsidP="0031078F"/>
        </w:tc>
        <w:tc>
          <w:tcPr>
            <w:tcW w:w="794" w:type="dxa"/>
          </w:tcPr>
          <w:p w14:paraId="555BC45B"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3C88C73A"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664FD2AF"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1F5282E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3B73BC84"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17263F24"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32E840E" w14:textId="77777777" w:rsidR="008D6F13" w:rsidRDefault="008D6F13" w:rsidP="0031078F">
            <w:r>
              <w:rPr>
                <w:b/>
              </w:rPr>
              <w:t>Taxes on employers’ payroll and labour force</w:t>
            </w:r>
          </w:p>
        </w:tc>
        <w:tc>
          <w:tcPr>
            <w:tcW w:w="794" w:type="dxa"/>
          </w:tcPr>
          <w:p w14:paraId="1A8CDCB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8FCF55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B5D94D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0234AA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4F3C70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4A6DA40D"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1511063" w14:textId="77777777" w:rsidR="008D6F13" w:rsidRDefault="008D6F13" w:rsidP="0031078F">
            <w:r>
              <w:t>Payroll tax</w:t>
            </w:r>
            <w:r>
              <w:rPr>
                <w:vertAlign w:val="superscript"/>
              </w:rPr>
              <w:t xml:space="preserve"> (a)</w:t>
            </w:r>
          </w:p>
        </w:tc>
        <w:tc>
          <w:tcPr>
            <w:tcW w:w="794" w:type="dxa"/>
          </w:tcPr>
          <w:p w14:paraId="0DEE644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6 138</w:t>
            </w:r>
          </w:p>
        </w:tc>
        <w:tc>
          <w:tcPr>
            <w:tcW w:w="794" w:type="dxa"/>
          </w:tcPr>
          <w:p w14:paraId="0D8AE2F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6 130</w:t>
            </w:r>
          </w:p>
        </w:tc>
        <w:tc>
          <w:tcPr>
            <w:tcW w:w="794" w:type="dxa"/>
          </w:tcPr>
          <w:p w14:paraId="24322DB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6 715</w:t>
            </w:r>
          </w:p>
        </w:tc>
        <w:tc>
          <w:tcPr>
            <w:tcW w:w="794" w:type="dxa"/>
          </w:tcPr>
          <w:p w14:paraId="3411B03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7 305</w:t>
            </w:r>
          </w:p>
        </w:tc>
        <w:tc>
          <w:tcPr>
            <w:tcW w:w="794" w:type="dxa"/>
          </w:tcPr>
          <w:p w14:paraId="25A1C77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7 655</w:t>
            </w:r>
          </w:p>
        </w:tc>
      </w:tr>
      <w:tr w:rsidR="008D6F13" w14:paraId="3C76A288"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6B3B6AAD" w14:textId="77777777" w:rsidR="008D6F13" w:rsidRDefault="008D6F13" w:rsidP="0031078F">
            <w:r>
              <w:t>Mental Health and Wellbeing Levy</w:t>
            </w:r>
            <w:r>
              <w:rPr>
                <w:vertAlign w:val="superscript"/>
              </w:rPr>
              <w:t xml:space="preserve"> (b)</w:t>
            </w:r>
          </w:p>
        </w:tc>
        <w:tc>
          <w:tcPr>
            <w:tcW w:w="794" w:type="dxa"/>
            <w:tcBorders>
              <w:bottom w:val="single" w:sz="6" w:space="0" w:color="auto"/>
            </w:tcBorders>
          </w:tcPr>
          <w:p w14:paraId="6178548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387</w:t>
            </w:r>
          </w:p>
        </w:tc>
        <w:tc>
          <w:tcPr>
            <w:tcW w:w="794" w:type="dxa"/>
            <w:tcBorders>
              <w:bottom w:val="single" w:sz="6" w:space="0" w:color="auto"/>
            </w:tcBorders>
          </w:tcPr>
          <w:p w14:paraId="604F854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319</w:t>
            </w:r>
          </w:p>
        </w:tc>
        <w:tc>
          <w:tcPr>
            <w:tcW w:w="794" w:type="dxa"/>
            <w:tcBorders>
              <w:bottom w:val="single" w:sz="6" w:space="0" w:color="auto"/>
            </w:tcBorders>
          </w:tcPr>
          <w:p w14:paraId="65B7C9A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788</w:t>
            </w:r>
          </w:p>
        </w:tc>
        <w:tc>
          <w:tcPr>
            <w:tcW w:w="794" w:type="dxa"/>
            <w:tcBorders>
              <w:bottom w:val="single" w:sz="6" w:space="0" w:color="auto"/>
            </w:tcBorders>
          </w:tcPr>
          <w:p w14:paraId="56C010F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824</w:t>
            </w:r>
          </w:p>
        </w:tc>
        <w:tc>
          <w:tcPr>
            <w:tcW w:w="794" w:type="dxa"/>
            <w:tcBorders>
              <w:bottom w:val="single" w:sz="6" w:space="0" w:color="auto"/>
            </w:tcBorders>
          </w:tcPr>
          <w:p w14:paraId="2157B2E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869</w:t>
            </w:r>
          </w:p>
        </w:tc>
      </w:tr>
      <w:tr w:rsidR="008D6F13" w14:paraId="2827D8E4"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2E45FCBF" w14:textId="77777777" w:rsidR="008D6F13" w:rsidRDefault="008D6F13" w:rsidP="0031078F">
            <w:r>
              <w:rPr>
                <w:b/>
              </w:rPr>
              <w:t>Total taxes on employers’ payroll and labour force</w:t>
            </w:r>
          </w:p>
        </w:tc>
        <w:tc>
          <w:tcPr>
            <w:tcW w:w="794" w:type="dxa"/>
            <w:tcBorders>
              <w:top w:val="single" w:sz="6" w:space="0" w:color="auto"/>
              <w:bottom w:val="single" w:sz="6" w:space="0" w:color="auto"/>
            </w:tcBorders>
          </w:tcPr>
          <w:p w14:paraId="4DFDEDD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6 525</w:t>
            </w:r>
          </w:p>
        </w:tc>
        <w:tc>
          <w:tcPr>
            <w:tcW w:w="794" w:type="dxa"/>
            <w:tcBorders>
              <w:top w:val="single" w:sz="6" w:space="0" w:color="auto"/>
              <w:bottom w:val="single" w:sz="6" w:space="0" w:color="auto"/>
            </w:tcBorders>
          </w:tcPr>
          <w:p w14:paraId="219A7C1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6 450</w:t>
            </w:r>
          </w:p>
        </w:tc>
        <w:tc>
          <w:tcPr>
            <w:tcW w:w="794" w:type="dxa"/>
            <w:tcBorders>
              <w:top w:val="single" w:sz="6" w:space="0" w:color="auto"/>
              <w:bottom w:val="single" w:sz="6" w:space="0" w:color="auto"/>
            </w:tcBorders>
          </w:tcPr>
          <w:p w14:paraId="3E976B8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7 503</w:t>
            </w:r>
          </w:p>
        </w:tc>
        <w:tc>
          <w:tcPr>
            <w:tcW w:w="794" w:type="dxa"/>
            <w:tcBorders>
              <w:top w:val="single" w:sz="6" w:space="0" w:color="auto"/>
              <w:bottom w:val="single" w:sz="6" w:space="0" w:color="auto"/>
            </w:tcBorders>
          </w:tcPr>
          <w:p w14:paraId="5204E67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8 129</w:t>
            </w:r>
          </w:p>
        </w:tc>
        <w:tc>
          <w:tcPr>
            <w:tcW w:w="794" w:type="dxa"/>
            <w:tcBorders>
              <w:top w:val="single" w:sz="6" w:space="0" w:color="auto"/>
              <w:bottom w:val="single" w:sz="6" w:space="0" w:color="auto"/>
            </w:tcBorders>
          </w:tcPr>
          <w:p w14:paraId="210A6DE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8 525</w:t>
            </w:r>
          </w:p>
        </w:tc>
      </w:tr>
      <w:tr w:rsidR="008D6F13" w14:paraId="2B6D5495"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1BB87AB9" w14:textId="77777777" w:rsidR="008D6F13" w:rsidRDefault="008D6F13" w:rsidP="0031078F">
            <w:r>
              <w:rPr>
                <w:b/>
              </w:rPr>
              <w:t>Taxes on immovable property</w:t>
            </w:r>
          </w:p>
        </w:tc>
        <w:tc>
          <w:tcPr>
            <w:tcW w:w="794" w:type="dxa"/>
            <w:tcBorders>
              <w:top w:val="single" w:sz="6" w:space="0" w:color="auto"/>
            </w:tcBorders>
          </w:tcPr>
          <w:p w14:paraId="0F48C12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526ECF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15E1DA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2A503D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F91E79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182F524C"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C52A6BB" w14:textId="77777777" w:rsidR="008D6F13" w:rsidRDefault="008D6F13" w:rsidP="0031078F">
            <w:r>
              <w:t>Land tax</w:t>
            </w:r>
          </w:p>
        </w:tc>
        <w:tc>
          <w:tcPr>
            <w:tcW w:w="794" w:type="dxa"/>
          </w:tcPr>
          <w:p w14:paraId="29D31C2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4 233</w:t>
            </w:r>
          </w:p>
        </w:tc>
        <w:tc>
          <w:tcPr>
            <w:tcW w:w="794" w:type="dxa"/>
          </w:tcPr>
          <w:p w14:paraId="22EC54F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4 288</w:t>
            </w:r>
          </w:p>
        </w:tc>
        <w:tc>
          <w:tcPr>
            <w:tcW w:w="794" w:type="dxa"/>
          </w:tcPr>
          <w:p w14:paraId="5F85770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4 598</w:t>
            </w:r>
          </w:p>
        </w:tc>
        <w:tc>
          <w:tcPr>
            <w:tcW w:w="794" w:type="dxa"/>
          </w:tcPr>
          <w:p w14:paraId="1E3430D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4 917</w:t>
            </w:r>
          </w:p>
        </w:tc>
        <w:tc>
          <w:tcPr>
            <w:tcW w:w="794" w:type="dxa"/>
          </w:tcPr>
          <w:p w14:paraId="5341A3A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5 313</w:t>
            </w:r>
          </w:p>
        </w:tc>
      </w:tr>
      <w:tr w:rsidR="008D6F13" w14:paraId="7542A538"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A74FC48" w14:textId="77777777" w:rsidR="008D6F13" w:rsidRDefault="008D6F13" w:rsidP="0031078F">
            <w:r>
              <w:t>Fire Services Property Levy</w:t>
            </w:r>
            <w:r>
              <w:rPr>
                <w:vertAlign w:val="superscript"/>
              </w:rPr>
              <w:t xml:space="preserve"> (c)</w:t>
            </w:r>
          </w:p>
        </w:tc>
        <w:tc>
          <w:tcPr>
            <w:tcW w:w="794" w:type="dxa"/>
          </w:tcPr>
          <w:p w14:paraId="24FF4BB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770</w:t>
            </w:r>
          </w:p>
        </w:tc>
        <w:tc>
          <w:tcPr>
            <w:tcW w:w="794" w:type="dxa"/>
          </w:tcPr>
          <w:p w14:paraId="7108AB7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745</w:t>
            </w:r>
          </w:p>
        </w:tc>
        <w:tc>
          <w:tcPr>
            <w:tcW w:w="794" w:type="dxa"/>
          </w:tcPr>
          <w:p w14:paraId="74A68AA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798</w:t>
            </w:r>
          </w:p>
        </w:tc>
        <w:tc>
          <w:tcPr>
            <w:tcW w:w="794" w:type="dxa"/>
          </w:tcPr>
          <w:p w14:paraId="34214EA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805</w:t>
            </w:r>
          </w:p>
        </w:tc>
        <w:tc>
          <w:tcPr>
            <w:tcW w:w="794" w:type="dxa"/>
          </w:tcPr>
          <w:p w14:paraId="7CD43D5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807</w:t>
            </w:r>
          </w:p>
        </w:tc>
      </w:tr>
      <w:tr w:rsidR="008D6F13" w14:paraId="627B7C7A"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8C95B8B" w14:textId="77777777" w:rsidR="008D6F13" w:rsidRDefault="008D6F13" w:rsidP="0031078F">
            <w:r>
              <w:t>Congestion levy</w:t>
            </w:r>
          </w:p>
        </w:tc>
        <w:tc>
          <w:tcPr>
            <w:tcW w:w="794" w:type="dxa"/>
          </w:tcPr>
          <w:p w14:paraId="7FC9A34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106</w:t>
            </w:r>
          </w:p>
        </w:tc>
        <w:tc>
          <w:tcPr>
            <w:tcW w:w="794" w:type="dxa"/>
          </w:tcPr>
          <w:p w14:paraId="75890AE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103</w:t>
            </w:r>
          </w:p>
        </w:tc>
        <w:tc>
          <w:tcPr>
            <w:tcW w:w="794" w:type="dxa"/>
          </w:tcPr>
          <w:p w14:paraId="2574C19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103</w:t>
            </w:r>
          </w:p>
        </w:tc>
        <w:tc>
          <w:tcPr>
            <w:tcW w:w="794" w:type="dxa"/>
          </w:tcPr>
          <w:p w14:paraId="0B33D78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103</w:t>
            </w:r>
          </w:p>
        </w:tc>
        <w:tc>
          <w:tcPr>
            <w:tcW w:w="794" w:type="dxa"/>
          </w:tcPr>
          <w:p w14:paraId="5EE06B2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104</w:t>
            </w:r>
          </w:p>
        </w:tc>
      </w:tr>
      <w:tr w:rsidR="008D6F13" w14:paraId="0C0B9BA5"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6632ED6" w14:textId="77777777" w:rsidR="008D6F13" w:rsidRDefault="008D6F13" w:rsidP="0031078F">
            <w:r>
              <w:t>Metropolitan improvement levy</w:t>
            </w:r>
          </w:p>
        </w:tc>
        <w:tc>
          <w:tcPr>
            <w:tcW w:w="794" w:type="dxa"/>
          </w:tcPr>
          <w:p w14:paraId="16088B6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206</w:t>
            </w:r>
          </w:p>
        </w:tc>
        <w:tc>
          <w:tcPr>
            <w:tcW w:w="794" w:type="dxa"/>
          </w:tcPr>
          <w:p w14:paraId="60D8C91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206</w:t>
            </w:r>
          </w:p>
        </w:tc>
        <w:tc>
          <w:tcPr>
            <w:tcW w:w="794" w:type="dxa"/>
          </w:tcPr>
          <w:p w14:paraId="77A6FC3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215</w:t>
            </w:r>
          </w:p>
        </w:tc>
        <w:tc>
          <w:tcPr>
            <w:tcW w:w="794" w:type="dxa"/>
          </w:tcPr>
          <w:p w14:paraId="5C270F7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223</w:t>
            </w:r>
          </w:p>
        </w:tc>
        <w:tc>
          <w:tcPr>
            <w:tcW w:w="794" w:type="dxa"/>
          </w:tcPr>
          <w:p w14:paraId="618A271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223</w:t>
            </w:r>
          </w:p>
        </w:tc>
      </w:tr>
      <w:tr w:rsidR="008D6F13" w14:paraId="1091C962"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345EB214" w14:textId="77777777" w:rsidR="008D6F13" w:rsidRDefault="008D6F13" w:rsidP="0031078F">
            <w:r>
              <w:t>Windfall gains tax</w:t>
            </w:r>
          </w:p>
        </w:tc>
        <w:tc>
          <w:tcPr>
            <w:tcW w:w="794" w:type="dxa"/>
            <w:tcBorders>
              <w:bottom w:val="single" w:sz="6" w:space="0" w:color="auto"/>
            </w:tcBorders>
          </w:tcPr>
          <w:p w14:paraId="2FE2786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1E3166F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684845B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37A7162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36</w:t>
            </w:r>
          </w:p>
        </w:tc>
        <w:tc>
          <w:tcPr>
            <w:tcW w:w="794" w:type="dxa"/>
            <w:tcBorders>
              <w:bottom w:val="single" w:sz="6" w:space="0" w:color="auto"/>
            </w:tcBorders>
          </w:tcPr>
          <w:p w14:paraId="2008E6F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55</w:t>
            </w:r>
          </w:p>
        </w:tc>
      </w:tr>
      <w:tr w:rsidR="008D6F13" w14:paraId="59BF81D9"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43E76FCC" w14:textId="77777777" w:rsidR="008D6F13" w:rsidRDefault="008D6F13" w:rsidP="0031078F">
            <w:r>
              <w:rPr>
                <w:b/>
              </w:rPr>
              <w:t>Total taxes on property</w:t>
            </w:r>
          </w:p>
        </w:tc>
        <w:tc>
          <w:tcPr>
            <w:tcW w:w="794" w:type="dxa"/>
            <w:tcBorders>
              <w:top w:val="single" w:sz="6" w:space="0" w:color="auto"/>
              <w:bottom w:val="single" w:sz="6" w:space="0" w:color="auto"/>
            </w:tcBorders>
          </w:tcPr>
          <w:p w14:paraId="20B8AB9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5 315</w:t>
            </w:r>
          </w:p>
        </w:tc>
        <w:tc>
          <w:tcPr>
            <w:tcW w:w="794" w:type="dxa"/>
            <w:tcBorders>
              <w:top w:val="single" w:sz="6" w:space="0" w:color="auto"/>
              <w:bottom w:val="single" w:sz="6" w:space="0" w:color="auto"/>
            </w:tcBorders>
          </w:tcPr>
          <w:p w14:paraId="679CA35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5 343</w:t>
            </w:r>
          </w:p>
        </w:tc>
        <w:tc>
          <w:tcPr>
            <w:tcW w:w="794" w:type="dxa"/>
            <w:tcBorders>
              <w:top w:val="single" w:sz="6" w:space="0" w:color="auto"/>
              <w:bottom w:val="single" w:sz="6" w:space="0" w:color="auto"/>
            </w:tcBorders>
          </w:tcPr>
          <w:p w14:paraId="7F3228D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5 713</w:t>
            </w:r>
          </w:p>
        </w:tc>
        <w:tc>
          <w:tcPr>
            <w:tcW w:w="794" w:type="dxa"/>
            <w:tcBorders>
              <w:top w:val="single" w:sz="6" w:space="0" w:color="auto"/>
              <w:bottom w:val="single" w:sz="6" w:space="0" w:color="auto"/>
            </w:tcBorders>
          </w:tcPr>
          <w:p w14:paraId="4256FA0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6 084</w:t>
            </w:r>
          </w:p>
        </w:tc>
        <w:tc>
          <w:tcPr>
            <w:tcW w:w="794" w:type="dxa"/>
            <w:tcBorders>
              <w:top w:val="single" w:sz="6" w:space="0" w:color="auto"/>
              <w:bottom w:val="single" w:sz="6" w:space="0" w:color="auto"/>
            </w:tcBorders>
          </w:tcPr>
          <w:p w14:paraId="1DC2EB0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6 501</w:t>
            </w:r>
          </w:p>
        </w:tc>
      </w:tr>
      <w:tr w:rsidR="008D6F13" w14:paraId="3E743964"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22E549E9" w14:textId="77777777" w:rsidR="008D6F13" w:rsidRDefault="008D6F13" w:rsidP="0031078F">
            <w:r>
              <w:rPr>
                <w:b/>
              </w:rPr>
              <w:t>Gambling taxes</w:t>
            </w:r>
          </w:p>
        </w:tc>
        <w:tc>
          <w:tcPr>
            <w:tcW w:w="794" w:type="dxa"/>
            <w:tcBorders>
              <w:top w:val="single" w:sz="6" w:space="0" w:color="auto"/>
            </w:tcBorders>
          </w:tcPr>
          <w:p w14:paraId="51512E9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274FA2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CAD4C7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F5C123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A342B7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48532E5B"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BCA7DFC" w14:textId="77777777" w:rsidR="008D6F13" w:rsidRDefault="008D6F13" w:rsidP="0031078F">
            <w:r>
              <w:t>Public lotteries</w:t>
            </w:r>
            <w:r>
              <w:rPr>
                <w:vertAlign w:val="superscript"/>
              </w:rPr>
              <w:t xml:space="preserve"> (d)</w:t>
            </w:r>
          </w:p>
        </w:tc>
        <w:tc>
          <w:tcPr>
            <w:tcW w:w="794" w:type="dxa"/>
          </w:tcPr>
          <w:p w14:paraId="724FD90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584</w:t>
            </w:r>
          </w:p>
        </w:tc>
        <w:tc>
          <w:tcPr>
            <w:tcW w:w="794" w:type="dxa"/>
          </w:tcPr>
          <w:p w14:paraId="7C46C3E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599</w:t>
            </w:r>
          </w:p>
        </w:tc>
        <w:tc>
          <w:tcPr>
            <w:tcW w:w="794" w:type="dxa"/>
          </w:tcPr>
          <w:p w14:paraId="41D567D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624</w:t>
            </w:r>
          </w:p>
        </w:tc>
        <w:tc>
          <w:tcPr>
            <w:tcW w:w="794" w:type="dxa"/>
          </w:tcPr>
          <w:p w14:paraId="32FD08C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640</w:t>
            </w:r>
          </w:p>
        </w:tc>
        <w:tc>
          <w:tcPr>
            <w:tcW w:w="794" w:type="dxa"/>
          </w:tcPr>
          <w:p w14:paraId="3047AA0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658</w:t>
            </w:r>
          </w:p>
        </w:tc>
      </w:tr>
      <w:tr w:rsidR="008D6F13" w14:paraId="6F29FDF3"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A26220A" w14:textId="77777777" w:rsidR="008D6F13" w:rsidRDefault="008D6F13" w:rsidP="0031078F">
            <w:r>
              <w:t>Electronic gaming machines</w:t>
            </w:r>
            <w:r>
              <w:rPr>
                <w:vertAlign w:val="superscript"/>
              </w:rPr>
              <w:t xml:space="preserve"> (d)</w:t>
            </w:r>
          </w:p>
        </w:tc>
        <w:tc>
          <w:tcPr>
            <w:tcW w:w="794" w:type="dxa"/>
          </w:tcPr>
          <w:p w14:paraId="63F4B05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1 158</w:t>
            </w:r>
          </w:p>
        </w:tc>
        <w:tc>
          <w:tcPr>
            <w:tcW w:w="794" w:type="dxa"/>
          </w:tcPr>
          <w:p w14:paraId="3D1D401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788</w:t>
            </w:r>
          </w:p>
        </w:tc>
        <w:tc>
          <w:tcPr>
            <w:tcW w:w="794" w:type="dxa"/>
          </w:tcPr>
          <w:p w14:paraId="262F6C7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1 203</w:t>
            </w:r>
          </w:p>
        </w:tc>
        <w:tc>
          <w:tcPr>
            <w:tcW w:w="794" w:type="dxa"/>
          </w:tcPr>
          <w:p w14:paraId="04611C7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1 262</w:t>
            </w:r>
          </w:p>
        </w:tc>
        <w:tc>
          <w:tcPr>
            <w:tcW w:w="794" w:type="dxa"/>
          </w:tcPr>
          <w:p w14:paraId="1C8D2DF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1 288</w:t>
            </w:r>
          </w:p>
        </w:tc>
      </w:tr>
      <w:tr w:rsidR="008D6F13" w14:paraId="5D7F6CAA"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9005893" w14:textId="77777777" w:rsidR="008D6F13" w:rsidRDefault="008D6F13" w:rsidP="0031078F">
            <w:r>
              <w:t>Casino</w:t>
            </w:r>
            <w:r>
              <w:rPr>
                <w:vertAlign w:val="superscript"/>
              </w:rPr>
              <w:t xml:space="preserve"> (d)</w:t>
            </w:r>
          </w:p>
        </w:tc>
        <w:tc>
          <w:tcPr>
            <w:tcW w:w="794" w:type="dxa"/>
          </w:tcPr>
          <w:p w14:paraId="5D52DEA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232</w:t>
            </w:r>
          </w:p>
        </w:tc>
        <w:tc>
          <w:tcPr>
            <w:tcW w:w="794" w:type="dxa"/>
          </w:tcPr>
          <w:p w14:paraId="4F33E7E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143</w:t>
            </w:r>
          </w:p>
        </w:tc>
        <w:tc>
          <w:tcPr>
            <w:tcW w:w="794" w:type="dxa"/>
          </w:tcPr>
          <w:p w14:paraId="1553ACA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248</w:t>
            </w:r>
          </w:p>
        </w:tc>
        <w:tc>
          <w:tcPr>
            <w:tcW w:w="794" w:type="dxa"/>
          </w:tcPr>
          <w:p w14:paraId="4614786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256</w:t>
            </w:r>
          </w:p>
        </w:tc>
        <w:tc>
          <w:tcPr>
            <w:tcW w:w="794" w:type="dxa"/>
          </w:tcPr>
          <w:p w14:paraId="1A5C2EE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264</w:t>
            </w:r>
          </w:p>
        </w:tc>
      </w:tr>
      <w:tr w:rsidR="008D6F13" w14:paraId="6DC7157B"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C78AA6B" w14:textId="77777777" w:rsidR="008D6F13" w:rsidRDefault="008D6F13" w:rsidP="0031078F">
            <w:r>
              <w:t>Racing and other sports betting</w:t>
            </w:r>
            <w:r>
              <w:rPr>
                <w:vertAlign w:val="superscript"/>
              </w:rPr>
              <w:t xml:space="preserve"> (d)(e)</w:t>
            </w:r>
          </w:p>
        </w:tc>
        <w:tc>
          <w:tcPr>
            <w:tcW w:w="794" w:type="dxa"/>
          </w:tcPr>
          <w:p w14:paraId="3C2EC3F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272</w:t>
            </w:r>
          </w:p>
        </w:tc>
        <w:tc>
          <w:tcPr>
            <w:tcW w:w="794" w:type="dxa"/>
          </w:tcPr>
          <w:p w14:paraId="692055D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265</w:t>
            </w:r>
          </w:p>
        </w:tc>
        <w:tc>
          <w:tcPr>
            <w:tcW w:w="794" w:type="dxa"/>
          </w:tcPr>
          <w:p w14:paraId="188ABA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274</w:t>
            </w:r>
          </w:p>
        </w:tc>
        <w:tc>
          <w:tcPr>
            <w:tcW w:w="794" w:type="dxa"/>
          </w:tcPr>
          <w:p w14:paraId="1D1547B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280</w:t>
            </w:r>
          </w:p>
        </w:tc>
        <w:tc>
          <w:tcPr>
            <w:tcW w:w="794" w:type="dxa"/>
          </w:tcPr>
          <w:p w14:paraId="546CD22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286</w:t>
            </w:r>
          </w:p>
        </w:tc>
      </w:tr>
      <w:tr w:rsidR="008D6F13" w14:paraId="5E3E47A4"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98FFE6E" w14:textId="77777777" w:rsidR="008D6F13" w:rsidRDefault="008D6F13" w:rsidP="0031078F">
            <w:r>
              <w:t>Other</w:t>
            </w:r>
            <w:r>
              <w:rPr>
                <w:vertAlign w:val="superscript"/>
              </w:rPr>
              <w:t xml:space="preserve"> (d)</w:t>
            </w:r>
          </w:p>
        </w:tc>
        <w:tc>
          <w:tcPr>
            <w:tcW w:w="794" w:type="dxa"/>
          </w:tcPr>
          <w:p w14:paraId="7420876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w:t>
            </w:r>
          </w:p>
        </w:tc>
        <w:tc>
          <w:tcPr>
            <w:tcW w:w="794" w:type="dxa"/>
          </w:tcPr>
          <w:p w14:paraId="1EF7FC5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w:t>
            </w:r>
          </w:p>
        </w:tc>
        <w:tc>
          <w:tcPr>
            <w:tcW w:w="794" w:type="dxa"/>
          </w:tcPr>
          <w:p w14:paraId="2A97B7B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w:t>
            </w:r>
          </w:p>
        </w:tc>
        <w:tc>
          <w:tcPr>
            <w:tcW w:w="794" w:type="dxa"/>
          </w:tcPr>
          <w:p w14:paraId="196FF73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w:t>
            </w:r>
          </w:p>
        </w:tc>
        <w:tc>
          <w:tcPr>
            <w:tcW w:w="794" w:type="dxa"/>
          </w:tcPr>
          <w:p w14:paraId="776AFB7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w:t>
            </w:r>
          </w:p>
        </w:tc>
      </w:tr>
      <w:tr w:rsidR="008D6F13" w14:paraId="3C1E03BD"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64F53FE" w14:textId="77777777" w:rsidR="008D6F13" w:rsidRDefault="008D6F13" w:rsidP="0031078F">
            <w:r>
              <w:rPr>
                <w:b/>
              </w:rPr>
              <w:t>Financial and capital transactions</w:t>
            </w:r>
          </w:p>
        </w:tc>
        <w:tc>
          <w:tcPr>
            <w:tcW w:w="794" w:type="dxa"/>
          </w:tcPr>
          <w:p w14:paraId="7C5602F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ABC0FA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BB1386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8CCE2B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7225B8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6F3714EE"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6823E41" w14:textId="77777777" w:rsidR="008D6F13" w:rsidRDefault="008D6F13" w:rsidP="0031078F">
            <w:r>
              <w:t>Land transfer duty</w:t>
            </w:r>
          </w:p>
        </w:tc>
        <w:tc>
          <w:tcPr>
            <w:tcW w:w="794" w:type="dxa"/>
          </w:tcPr>
          <w:p w14:paraId="2D9B203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6 710</w:t>
            </w:r>
          </w:p>
        </w:tc>
        <w:tc>
          <w:tcPr>
            <w:tcW w:w="794" w:type="dxa"/>
          </w:tcPr>
          <w:p w14:paraId="3330180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7 660</w:t>
            </w:r>
          </w:p>
        </w:tc>
        <w:tc>
          <w:tcPr>
            <w:tcW w:w="794" w:type="dxa"/>
          </w:tcPr>
          <w:p w14:paraId="57169EE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7 739</w:t>
            </w:r>
          </w:p>
        </w:tc>
        <w:tc>
          <w:tcPr>
            <w:tcW w:w="794" w:type="dxa"/>
          </w:tcPr>
          <w:p w14:paraId="19DB065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7 863</w:t>
            </w:r>
          </w:p>
        </w:tc>
        <w:tc>
          <w:tcPr>
            <w:tcW w:w="794" w:type="dxa"/>
          </w:tcPr>
          <w:p w14:paraId="0290270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8 119</w:t>
            </w:r>
          </w:p>
        </w:tc>
      </w:tr>
      <w:tr w:rsidR="008D6F13" w14:paraId="52E13542"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F2AEE4B" w14:textId="77777777" w:rsidR="008D6F13" w:rsidRDefault="008D6F13" w:rsidP="0031078F">
            <w:r>
              <w:t>Metropolitan planning levy</w:t>
            </w:r>
          </w:p>
        </w:tc>
        <w:tc>
          <w:tcPr>
            <w:tcW w:w="794" w:type="dxa"/>
          </w:tcPr>
          <w:p w14:paraId="1D04792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w:t>
            </w:r>
          </w:p>
        </w:tc>
        <w:tc>
          <w:tcPr>
            <w:tcW w:w="794" w:type="dxa"/>
          </w:tcPr>
          <w:p w14:paraId="4FA8B91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w:t>
            </w:r>
          </w:p>
        </w:tc>
        <w:tc>
          <w:tcPr>
            <w:tcW w:w="794" w:type="dxa"/>
          </w:tcPr>
          <w:p w14:paraId="16D08A3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w:t>
            </w:r>
          </w:p>
        </w:tc>
        <w:tc>
          <w:tcPr>
            <w:tcW w:w="794" w:type="dxa"/>
          </w:tcPr>
          <w:p w14:paraId="5953D71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w:t>
            </w:r>
          </w:p>
        </w:tc>
        <w:tc>
          <w:tcPr>
            <w:tcW w:w="794" w:type="dxa"/>
          </w:tcPr>
          <w:p w14:paraId="006F8F8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w:t>
            </w:r>
          </w:p>
        </w:tc>
      </w:tr>
      <w:tr w:rsidR="008D6F13" w14:paraId="0831108D"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4C50650" w14:textId="77777777" w:rsidR="008D6F13" w:rsidRDefault="008D6F13" w:rsidP="0031078F">
            <w:r>
              <w:t>Financial accommodation levy</w:t>
            </w:r>
          </w:p>
        </w:tc>
        <w:tc>
          <w:tcPr>
            <w:tcW w:w="794" w:type="dxa"/>
          </w:tcPr>
          <w:p w14:paraId="358FE82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165</w:t>
            </w:r>
          </w:p>
        </w:tc>
        <w:tc>
          <w:tcPr>
            <w:tcW w:w="794" w:type="dxa"/>
          </w:tcPr>
          <w:p w14:paraId="6CC9154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171</w:t>
            </w:r>
          </w:p>
        </w:tc>
        <w:tc>
          <w:tcPr>
            <w:tcW w:w="794" w:type="dxa"/>
          </w:tcPr>
          <w:p w14:paraId="79411B3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184</w:t>
            </w:r>
          </w:p>
        </w:tc>
        <w:tc>
          <w:tcPr>
            <w:tcW w:w="794" w:type="dxa"/>
          </w:tcPr>
          <w:p w14:paraId="51BE7E5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196</w:t>
            </w:r>
          </w:p>
        </w:tc>
        <w:tc>
          <w:tcPr>
            <w:tcW w:w="794" w:type="dxa"/>
          </w:tcPr>
          <w:p w14:paraId="1401128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204</w:t>
            </w:r>
          </w:p>
        </w:tc>
      </w:tr>
      <w:tr w:rsidR="008D6F13" w14:paraId="75D8A84A"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D54B196" w14:textId="77777777" w:rsidR="008D6F13" w:rsidRDefault="008D6F13" w:rsidP="0031078F">
            <w:r>
              <w:t>Growth areas infrastructure contributions</w:t>
            </w:r>
          </w:p>
        </w:tc>
        <w:tc>
          <w:tcPr>
            <w:tcW w:w="794" w:type="dxa"/>
          </w:tcPr>
          <w:p w14:paraId="152DA27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288</w:t>
            </w:r>
          </w:p>
        </w:tc>
        <w:tc>
          <w:tcPr>
            <w:tcW w:w="794" w:type="dxa"/>
          </w:tcPr>
          <w:p w14:paraId="12BE299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240</w:t>
            </w:r>
          </w:p>
        </w:tc>
        <w:tc>
          <w:tcPr>
            <w:tcW w:w="794" w:type="dxa"/>
          </w:tcPr>
          <w:p w14:paraId="244F2DF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295</w:t>
            </w:r>
          </w:p>
        </w:tc>
        <w:tc>
          <w:tcPr>
            <w:tcW w:w="794" w:type="dxa"/>
          </w:tcPr>
          <w:p w14:paraId="0CA37D4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364</w:t>
            </w:r>
          </w:p>
        </w:tc>
        <w:tc>
          <w:tcPr>
            <w:tcW w:w="794" w:type="dxa"/>
          </w:tcPr>
          <w:p w14:paraId="770AD6A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383</w:t>
            </w:r>
          </w:p>
        </w:tc>
      </w:tr>
      <w:tr w:rsidR="008D6F13" w14:paraId="764017B3"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3BD1BF1" w14:textId="77777777" w:rsidR="008D6F13" w:rsidRDefault="008D6F13" w:rsidP="0031078F">
            <w:r>
              <w:rPr>
                <w:b/>
              </w:rPr>
              <w:t>Levies on statutory corporations</w:t>
            </w:r>
            <w:r>
              <w:rPr>
                <w:b/>
                <w:vertAlign w:val="superscript"/>
              </w:rPr>
              <w:t xml:space="preserve"> (f)</w:t>
            </w:r>
          </w:p>
        </w:tc>
        <w:tc>
          <w:tcPr>
            <w:tcW w:w="794" w:type="dxa"/>
          </w:tcPr>
          <w:p w14:paraId="58E5A62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173</w:t>
            </w:r>
          </w:p>
        </w:tc>
        <w:tc>
          <w:tcPr>
            <w:tcW w:w="794" w:type="dxa"/>
          </w:tcPr>
          <w:p w14:paraId="7D24B39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173</w:t>
            </w:r>
          </w:p>
        </w:tc>
        <w:tc>
          <w:tcPr>
            <w:tcW w:w="794" w:type="dxa"/>
          </w:tcPr>
          <w:p w14:paraId="040B486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173</w:t>
            </w:r>
          </w:p>
        </w:tc>
        <w:tc>
          <w:tcPr>
            <w:tcW w:w="794" w:type="dxa"/>
          </w:tcPr>
          <w:p w14:paraId="3FE5847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173</w:t>
            </w:r>
          </w:p>
        </w:tc>
        <w:tc>
          <w:tcPr>
            <w:tcW w:w="794" w:type="dxa"/>
          </w:tcPr>
          <w:p w14:paraId="6316A18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w:t>
            </w:r>
          </w:p>
        </w:tc>
      </w:tr>
      <w:tr w:rsidR="008D6F13" w14:paraId="79884B9B"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13DA35CD" w14:textId="77777777" w:rsidR="008D6F13" w:rsidRDefault="008D6F13" w:rsidP="0031078F">
            <w:r>
              <w:rPr>
                <w:b/>
              </w:rPr>
              <w:t>Taxes on insurance</w:t>
            </w:r>
          </w:p>
        </w:tc>
        <w:tc>
          <w:tcPr>
            <w:tcW w:w="794" w:type="dxa"/>
            <w:tcBorders>
              <w:bottom w:val="single" w:sz="6" w:space="0" w:color="auto"/>
            </w:tcBorders>
          </w:tcPr>
          <w:p w14:paraId="354EB20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1 626</w:t>
            </w:r>
          </w:p>
        </w:tc>
        <w:tc>
          <w:tcPr>
            <w:tcW w:w="794" w:type="dxa"/>
            <w:tcBorders>
              <w:bottom w:val="single" w:sz="6" w:space="0" w:color="auto"/>
            </w:tcBorders>
          </w:tcPr>
          <w:p w14:paraId="27112F2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1 661</w:t>
            </w:r>
          </w:p>
        </w:tc>
        <w:tc>
          <w:tcPr>
            <w:tcW w:w="794" w:type="dxa"/>
            <w:tcBorders>
              <w:bottom w:val="single" w:sz="6" w:space="0" w:color="auto"/>
            </w:tcBorders>
          </w:tcPr>
          <w:p w14:paraId="594ADF3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1 761</w:t>
            </w:r>
          </w:p>
        </w:tc>
        <w:tc>
          <w:tcPr>
            <w:tcW w:w="794" w:type="dxa"/>
            <w:tcBorders>
              <w:bottom w:val="single" w:sz="6" w:space="0" w:color="auto"/>
            </w:tcBorders>
          </w:tcPr>
          <w:p w14:paraId="2862C22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1 876</w:t>
            </w:r>
          </w:p>
        </w:tc>
        <w:tc>
          <w:tcPr>
            <w:tcW w:w="794" w:type="dxa"/>
            <w:tcBorders>
              <w:bottom w:val="single" w:sz="6" w:space="0" w:color="auto"/>
            </w:tcBorders>
          </w:tcPr>
          <w:p w14:paraId="6FBE7B2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2 000</w:t>
            </w:r>
          </w:p>
        </w:tc>
      </w:tr>
      <w:tr w:rsidR="008D6F13" w14:paraId="39E34964"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7CC966A0" w14:textId="77777777" w:rsidR="008D6F13" w:rsidRDefault="008D6F13" w:rsidP="0031078F">
            <w:r>
              <w:rPr>
                <w:b/>
              </w:rPr>
              <w:t>Total taxes on the provision of goods and services</w:t>
            </w:r>
          </w:p>
        </w:tc>
        <w:tc>
          <w:tcPr>
            <w:tcW w:w="794" w:type="dxa"/>
            <w:tcBorders>
              <w:top w:val="single" w:sz="6" w:space="0" w:color="auto"/>
              <w:bottom w:val="single" w:sz="6" w:space="0" w:color="auto"/>
            </w:tcBorders>
          </w:tcPr>
          <w:p w14:paraId="557308E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11 238</w:t>
            </w:r>
          </w:p>
        </w:tc>
        <w:tc>
          <w:tcPr>
            <w:tcW w:w="794" w:type="dxa"/>
            <w:tcBorders>
              <w:top w:val="single" w:sz="6" w:space="0" w:color="auto"/>
              <w:bottom w:val="single" w:sz="6" w:space="0" w:color="auto"/>
            </w:tcBorders>
          </w:tcPr>
          <w:p w14:paraId="392A4F3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11 729</w:t>
            </w:r>
          </w:p>
        </w:tc>
        <w:tc>
          <w:tcPr>
            <w:tcW w:w="794" w:type="dxa"/>
            <w:tcBorders>
              <w:top w:val="single" w:sz="6" w:space="0" w:color="auto"/>
              <w:bottom w:val="single" w:sz="6" w:space="0" w:color="auto"/>
            </w:tcBorders>
          </w:tcPr>
          <w:p w14:paraId="272E49D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12 537</w:t>
            </w:r>
          </w:p>
        </w:tc>
        <w:tc>
          <w:tcPr>
            <w:tcW w:w="794" w:type="dxa"/>
            <w:tcBorders>
              <w:top w:val="single" w:sz="6" w:space="0" w:color="auto"/>
              <w:bottom w:val="single" w:sz="6" w:space="0" w:color="auto"/>
            </w:tcBorders>
          </w:tcPr>
          <w:p w14:paraId="35D2F0C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12 947</w:t>
            </w:r>
          </w:p>
        </w:tc>
        <w:tc>
          <w:tcPr>
            <w:tcW w:w="794" w:type="dxa"/>
            <w:tcBorders>
              <w:top w:val="single" w:sz="6" w:space="0" w:color="auto"/>
              <w:bottom w:val="single" w:sz="6" w:space="0" w:color="auto"/>
            </w:tcBorders>
          </w:tcPr>
          <w:p w14:paraId="786AF26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13 241</w:t>
            </w:r>
          </w:p>
        </w:tc>
      </w:tr>
      <w:tr w:rsidR="008D6F13" w14:paraId="78AFE2AE"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5F835CAA" w14:textId="77777777" w:rsidR="008D6F13" w:rsidRDefault="008D6F13" w:rsidP="0031078F">
            <w:r>
              <w:rPr>
                <w:b/>
              </w:rPr>
              <w:t>Motor vehicle taxes</w:t>
            </w:r>
          </w:p>
        </w:tc>
        <w:tc>
          <w:tcPr>
            <w:tcW w:w="794" w:type="dxa"/>
            <w:tcBorders>
              <w:top w:val="single" w:sz="6" w:space="0" w:color="auto"/>
            </w:tcBorders>
          </w:tcPr>
          <w:p w14:paraId="4D86CFB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7DB267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D5EDF7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BB0DD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B2229F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75A33D8D"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E982F24" w14:textId="77777777" w:rsidR="008D6F13" w:rsidRDefault="008D6F13" w:rsidP="0031078F">
            <w:r>
              <w:t>Vehicle registration fees</w:t>
            </w:r>
          </w:p>
        </w:tc>
        <w:tc>
          <w:tcPr>
            <w:tcW w:w="794" w:type="dxa"/>
          </w:tcPr>
          <w:p w14:paraId="7F552A5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1 931</w:t>
            </w:r>
          </w:p>
        </w:tc>
        <w:tc>
          <w:tcPr>
            <w:tcW w:w="794" w:type="dxa"/>
          </w:tcPr>
          <w:p w14:paraId="0146BA5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1 932</w:t>
            </w:r>
          </w:p>
        </w:tc>
        <w:tc>
          <w:tcPr>
            <w:tcW w:w="794" w:type="dxa"/>
          </w:tcPr>
          <w:p w14:paraId="1166F74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2 017</w:t>
            </w:r>
          </w:p>
        </w:tc>
        <w:tc>
          <w:tcPr>
            <w:tcW w:w="794" w:type="dxa"/>
          </w:tcPr>
          <w:p w14:paraId="3628C1D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2 104</w:t>
            </w:r>
          </w:p>
        </w:tc>
        <w:tc>
          <w:tcPr>
            <w:tcW w:w="794" w:type="dxa"/>
          </w:tcPr>
          <w:p w14:paraId="54A2690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2 197</w:t>
            </w:r>
          </w:p>
        </w:tc>
      </w:tr>
      <w:tr w:rsidR="008D6F13" w14:paraId="5A1A11A9"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27D4389" w14:textId="77777777" w:rsidR="008D6F13" w:rsidRDefault="008D6F13" w:rsidP="0031078F">
            <w:r>
              <w:t>Duty on vehicle registrations and transfers</w:t>
            </w:r>
          </w:p>
        </w:tc>
        <w:tc>
          <w:tcPr>
            <w:tcW w:w="794" w:type="dxa"/>
          </w:tcPr>
          <w:p w14:paraId="6A94953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979</w:t>
            </w:r>
          </w:p>
        </w:tc>
        <w:tc>
          <w:tcPr>
            <w:tcW w:w="794" w:type="dxa"/>
          </w:tcPr>
          <w:p w14:paraId="612E476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979</w:t>
            </w:r>
          </w:p>
        </w:tc>
        <w:tc>
          <w:tcPr>
            <w:tcW w:w="794" w:type="dxa"/>
          </w:tcPr>
          <w:p w14:paraId="47756EF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1 025</w:t>
            </w:r>
          </w:p>
        </w:tc>
        <w:tc>
          <w:tcPr>
            <w:tcW w:w="794" w:type="dxa"/>
          </w:tcPr>
          <w:p w14:paraId="7F2ED6F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1 072</w:t>
            </w:r>
          </w:p>
        </w:tc>
        <w:tc>
          <w:tcPr>
            <w:tcW w:w="794" w:type="dxa"/>
          </w:tcPr>
          <w:p w14:paraId="42F8B3E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1 121</w:t>
            </w:r>
          </w:p>
        </w:tc>
      </w:tr>
      <w:tr w:rsidR="008D6F13" w14:paraId="7512F147"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5246673" w14:textId="77777777" w:rsidR="008D6F13" w:rsidRDefault="008D6F13" w:rsidP="0031078F">
            <w:r>
              <w:rPr>
                <w:b/>
              </w:rPr>
              <w:t>Liquor licence fees</w:t>
            </w:r>
          </w:p>
        </w:tc>
        <w:tc>
          <w:tcPr>
            <w:tcW w:w="794" w:type="dxa"/>
          </w:tcPr>
          <w:p w14:paraId="507B0C6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23</w:t>
            </w:r>
          </w:p>
        </w:tc>
        <w:tc>
          <w:tcPr>
            <w:tcW w:w="794" w:type="dxa"/>
          </w:tcPr>
          <w:p w14:paraId="1B971E2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24</w:t>
            </w:r>
          </w:p>
        </w:tc>
        <w:tc>
          <w:tcPr>
            <w:tcW w:w="794" w:type="dxa"/>
          </w:tcPr>
          <w:p w14:paraId="0F6CEFD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25</w:t>
            </w:r>
          </w:p>
        </w:tc>
        <w:tc>
          <w:tcPr>
            <w:tcW w:w="794" w:type="dxa"/>
          </w:tcPr>
          <w:p w14:paraId="61393ED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26</w:t>
            </w:r>
          </w:p>
        </w:tc>
        <w:tc>
          <w:tcPr>
            <w:tcW w:w="794" w:type="dxa"/>
          </w:tcPr>
          <w:p w14:paraId="6C2C284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27</w:t>
            </w:r>
          </w:p>
        </w:tc>
      </w:tr>
      <w:tr w:rsidR="008D6F13" w14:paraId="164EF2EA"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72BF32CA" w14:textId="77777777" w:rsidR="008D6F13" w:rsidRDefault="008D6F13" w:rsidP="0031078F">
            <w:r>
              <w:rPr>
                <w:b/>
              </w:rPr>
              <w:t>Other</w:t>
            </w:r>
          </w:p>
        </w:tc>
        <w:tc>
          <w:tcPr>
            <w:tcW w:w="794" w:type="dxa"/>
            <w:tcBorders>
              <w:bottom w:val="single" w:sz="6" w:space="0" w:color="auto"/>
            </w:tcBorders>
          </w:tcPr>
          <w:p w14:paraId="2C0C754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564</w:t>
            </w:r>
          </w:p>
        </w:tc>
        <w:tc>
          <w:tcPr>
            <w:tcW w:w="794" w:type="dxa"/>
            <w:tcBorders>
              <w:bottom w:val="single" w:sz="6" w:space="0" w:color="auto"/>
            </w:tcBorders>
          </w:tcPr>
          <w:p w14:paraId="74FC156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547</w:t>
            </w:r>
          </w:p>
        </w:tc>
        <w:tc>
          <w:tcPr>
            <w:tcW w:w="794" w:type="dxa"/>
            <w:tcBorders>
              <w:bottom w:val="single" w:sz="6" w:space="0" w:color="auto"/>
            </w:tcBorders>
          </w:tcPr>
          <w:p w14:paraId="05CE373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654</w:t>
            </w:r>
          </w:p>
        </w:tc>
        <w:tc>
          <w:tcPr>
            <w:tcW w:w="794" w:type="dxa"/>
            <w:tcBorders>
              <w:bottom w:val="single" w:sz="6" w:space="0" w:color="auto"/>
            </w:tcBorders>
          </w:tcPr>
          <w:p w14:paraId="5328D2F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667</w:t>
            </w:r>
          </w:p>
        </w:tc>
        <w:tc>
          <w:tcPr>
            <w:tcW w:w="794" w:type="dxa"/>
            <w:tcBorders>
              <w:bottom w:val="single" w:sz="6" w:space="0" w:color="auto"/>
            </w:tcBorders>
          </w:tcPr>
          <w:p w14:paraId="6032C22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677</w:t>
            </w:r>
          </w:p>
        </w:tc>
      </w:tr>
      <w:tr w:rsidR="008D6F13" w14:paraId="0D47D7BE"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6DC9BCF1" w14:textId="77777777" w:rsidR="008D6F13" w:rsidRDefault="008D6F13" w:rsidP="0031078F">
            <w:r>
              <w:rPr>
                <w:b/>
              </w:rPr>
              <w:t>Total taxes on the use of goods and performance of activities</w:t>
            </w:r>
          </w:p>
        </w:tc>
        <w:tc>
          <w:tcPr>
            <w:tcW w:w="794" w:type="dxa"/>
            <w:tcBorders>
              <w:top w:val="single" w:sz="6" w:space="0" w:color="auto"/>
              <w:bottom w:val="single" w:sz="6" w:space="0" w:color="auto"/>
            </w:tcBorders>
          </w:tcPr>
          <w:p w14:paraId="6F6263C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3 498</w:t>
            </w:r>
          </w:p>
        </w:tc>
        <w:tc>
          <w:tcPr>
            <w:tcW w:w="794" w:type="dxa"/>
            <w:tcBorders>
              <w:top w:val="single" w:sz="6" w:space="0" w:color="auto"/>
              <w:bottom w:val="single" w:sz="6" w:space="0" w:color="auto"/>
            </w:tcBorders>
          </w:tcPr>
          <w:p w14:paraId="2C99ED3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3 482</w:t>
            </w:r>
          </w:p>
        </w:tc>
        <w:tc>
          <w:tcPr>
            <w:tcW w:w="794" w:type="dxa"/>
            <w:tcBorders>
              <w:top w:val="single" w:sz="6" w:space="0" w:color="auto"/>
              <w:bottom w:val="single" w:sz="6" w:space="0" w:color="auto"/>
            </w:tcBorders>
          </w:tcPr>
          <w:p w14:paraId="282DDB1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3 721</w:t>
            </w:r>
          </w:p>
        </w:tc>
        <w:tc>
          <w:tcPr>
            <w:tcW w:w="794" w:type="dxa"/>
            <w:tcBorders>
              <w:top w:val="single" w:sz="6" w:space="0" w:color="auto"/>
              <w:bottom w:val="single" w:sz="6" w:space="0" w:color="auto"/>
            </w:tcBorders>
          </w:tcPr>
          <w:p w14:paraId="023B4DE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3 869</w:t>
            </w:r>
          </w:p>
        </w:tc>
        <w:tc>
          <w:tcPr>
            <w:tcW w:w="794" w:type="dxa"/>
            <w:tcBorders>
              <w:top w:val="single" w:sz="6" w:space="0" w:color="auto"/>
              <w:bottom w:val="single" w:sz="6" w:space="0" w:color="auto"/>
            </w:tcBorders>
          </w:tcPr>
          <w:p w14:paraId="3828B8D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4 022</w:t>
            </w:r>
          </w:p>
        </w:tc>
      </w:tr>
      <w:tr w:rsidR="008D6F13" w14:paraId="370F171B"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82C5105" w14:textId="77777777" w:rsidR="008D6F13" w:rsidRDefault="008D6F13" w:rsidP="0031078F">
            <w:r>
              <w:rPr>
                <w:b/>
              </w:rPr>
              <w:t>Total taxation revenue</w:t>
            </w:r>
          </w:p>
        </w:tc>
        <w:tc>
          <w:tcPr>
            <w:tcW w:w="794" w:type="dxa"/>
          </w:tcPr>
          <w:p w14:paraId="772CDAB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26 577</w:t>
            </w:r>
          </w:p>
        </w:tc>
        <w:tc>
          <w:tcPr>
            <w:tcW w:w="794" w:type="dxa"/>
          </w:tcPr>
          <w:p w14:paraId="0ED0B87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27 004</w:t>
            </w:r>
          </w:p>
        </w:tc>
        <w:tc>
          <w:tcPr>
            <w:tcW w:w="794" w:type="dxa"/>
          </w:tcPr>
          <w:p w14:paraId="78426AD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29 474</w:t>
            </w:r>
          </w:p>
        </w:tc>
        <w:tc>
          <w:tcPr>
            <w:tcW w:w="794" w:type="dxa"/>
          </w:tcPr>
          <w:p w14:paraId="270A061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31 029</w:t>
            </w:r>
          </w:p>
        </w:tc>
        <w:tc>
          <w:tcPr>
            <w:tcW w:w="794" w:type="dxa"/>
          </w:tcPr>
          <w:p w14:paraId="469757C6" w14:textId="41EE2741"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32 289</w:t>
            </w:r>
          </w:p>
        </w:tc>
      </w:tr>
    </w:tbl>
    <w:p w14:paraId="58F627EC" w14:textId="77777777" w:rsidR="008D6F13" w:rsidRDefault="008D6F13" w:rsidP="008D6F13">
      <w:pPr>
        <w:pStyle w:val="Note"/>
        <w:ind w:left="0" w:firstLine="0"/>
      </w:pPr>
      <w:r w:rsidRPr="00D87D22">
        <w:t>Note</w:t>
      </w:r>
      <w:r>
        <w:t>s</w:t>
      </w:r>
      <w:r w:rsidRPr="00D87D22">
        <w:t>:</w:t>
      </w:r>
    </w:p>
    <w:p w14:paraId="76665CA7" w14:textId="77777777" w:rsidR="008D6F13" w:rsidRPr="004E331F" w:rsidRDefault="008D6F13" w:rsidP="008D6F13">
      <w:pPr>
        <w:pStyle w:val="Note"/>
      </w:pPr>
      <w:r w:rsidRPr="004E331F">
        <w:rPr>
          <w:iCs/>
        </w:rPr>
        <w:t>(a)</w:t>
      </w:r>
      <w:r w:rsidRPr="004E331F">
        <w:tab/>
        <w:t xml:space="preserve">Payroll tax estimates incorporate the impact of the New jobs tax credit and other payroll tax initiatives introduced in the </w:t>
      </w:r>
      <w:r w:rsidRPr="004E331F">
        <w:rPr>
          <w:i w:val="0"/>
          <w:iCs/>
        </w:rPr>
        <w:t>2020</w:t>
      </w:r>
      <w:r w:rsidRPr="004E331F">
        <w:rPr>
          <w:i w:val="0"/>
          <w:iCs/>
        </w:rPr>
        <w:noBreakHyphen/>
        <w:t>21 Budget</w:t>
      </w:r>
      <w:r w:rsidRPr="004E331F">
        <w:t xml:space="preserve"> to support businesses and communities.</w:t>
      </w:r>
    </w:p>
    <w:p w14:paraId="4FFD5D4A" w14:textId="77777777" w:rsidR="008D6F13" w:rsidRPr="004E331F" w:rsidRDefault="008D6F13" w:rsidP="008D6F13">
      <w:pPr>
        <w:pStyle w:val="Note"/>
      </w:pPr>
      <w:r w:rsidRPr="004E331F">
        <w:t>(b)</w:t>
      </w:r>
      <w:r w:rsidRPr="004E331F">
        <w:tab/>
        <w:t>The Mental Health and Wellbeing Levy will begin from 1 January 2022 and will be implemented as a payroll tax surcharge on wages paid in Victoria by businesses with national payrolls over $10 million a year.</w:t>
      </w:r>
    </w:p>
    <w:p w14:paraId="45F0CC01" w14:textId="77777777" w:rsidR="008D6F13" w:rsidRPr="004E331F" w:rsidRDefault="008D6F13" w:rsidP="008D6F13">
      <w:pPr>
        <w:pStyle w:val="Note"/>
      </w:pPr>
      <w:r w:rsidRPr="004E331F">
        <w:t>(c)</w:t>
      </w:r>
      <w:r w:rsidRPr="004E331F">
        <w:tab/>
        <w:t>The 2021-22 revenue estimate includes the return of $9 million of estimated overcollection in 2020-21 compared with the target revenue that was frozen at 2019-20 levels.</w:t>
      </w:r>
    </w:p>
    <w:p w14:paraId="41CF2053" w14:textId="77777777" w:rsidR="008D6F13" w:rsidRPr="00B2480C" w:rsidRDefault="008D6F13" w:rsidP="008D6F13">
      <w:pPr>
        <w:pStyle w:val="Note"/>
        <w:ind w:right="-86"/>
      </w:pPr>
      <w:r w:rsidRPr="004E331F">
        <w:t xml:space="preserve">(d) </w:t>
      </w:r>
      <w:r w:rsidRPr="004E331F">
        <w:tab/>
        <w:t>The public lotteries, electronic gaming machines, casino, racing and other sports betting and other gambling taxes balances include gambling licence revenue forecasts of $</w:t>
      </w:r>
      <w:r>
        <w:t>158</w:t>
      </w:r>
      <w:r w:rsidRPr="004E331F">
        <w:t xml:space="preserve"> million in 2021-22, $</w:t>
      </w:r>
      <w:r>
        <w:t>175</w:t>
      </w:r>
      <w:r w:rsidRPr="004E331F">
        <w:t xml:space="preserve"> million in 2022-23, $</w:t>
      </w:r>
      <w:r>
        <w:t>191</w:t>
      </w:r>
      <w:r w:rsidRPr="004E331F">
        <w:t xml:space="preserve"> million in 2023-24 and $</w:t>
      </w:r>
      <w:r>
        <w:t>191</w:t>
      </w:r>
      <w:r w:rsidRPr="004E331F">
        <w:t xml:space="preserve"> million in 2024</w:t>
      </w:r>
      <w:r w:rsidRPr="004E331F">
        <w:noBreakHyphen/>
        <w:t xml:space="preserve">25, recognised under AASB 15 </w:t>
      </w:r>
      <w:r w:rsidRPr="004E331F">
        <w:rPr>
          <w:i w:val="0"/>
          <w:iCs/>
        </w:rPr>
        <w:t>Revenue from Contracts with Customers</w:t>
      </w:r>
      <w:r w:rsidRPr="004E331F">
        <w:t xml:space="preserve">. The balance of these items is recognised under AASB 1058 </w:t>
      </w:r>
      <w:r w:rsidRPr="004E331F">
        <w:rPr>
          <w:i w:val="0"/>
          <w:iCs/>
        </w:rPr>
        <w:t>Income of Not-for-Profit Entities</w:t>
      </w:r>
      <w:r w:rsidRPr="004E331F">
        <w:t>.</w:t>
      </w:r>
    </w:p>
    <w:p w14:paraId="4217E173" w14:textId="77777777" w:rsidR="008D6F13" w:rsidRDefault="008D6F13" w:rsidP="008D6F13">
      <w:pPr>
        <w:pStyle w:val="Note"/>
        <w:ind w:right="-86"/>
      </w:pPr>
      <w:r>
        <w:t>(e)</w:t>
      </w:r>
      <w:r>
        <w:tab/>
      </w:r>
      <w:r w:rsidRPr="00C8291E">
        <w:t>Wagering and betting tax increase</w:t>
      </w:r>
      <w:r>
        <w:t>d</w:t>
      </w:r>
      <w:r w:rsidRPr="00C8291E">
        <w:t xml:space="preserve"> from 8 per cent to 10 per cent of net wagering revenue from 1 July 2021.</w:t>
      </w:r>
    </w:p>
    <w:p w14:paraId="2930D5B1" w14:textId="77777777" w:rsidR="008D6F13" w:rsidRDefault="008D6F13" w:rsidP="008D6F13">
      <w:pPr>
        <w:pStyle w:val="Note"/>
        <w:ind w:right="-86"/>
      </w:pPr>
      <w:r w:rsidRPr="00D11A6C">
        <w:t>(</w:t>
      </w:r>
      <w:r>
        <w:t>f</w:t>
      </w:r>
      <w:r w:rsidRPr="00D11A6C">
        <w:t>)</w:t>
      </w:r>
      <w:r w:rsidRPr="00D11A6C">
        <w:tab/>
        <w:t xml:space="preserve">The fifth tranche of the environmental contribution levy </w:t>
      </w:r>
      <w:r>
        <w:t xml:space="preserve">began </w:t>
      </w:r>
      <w:r w:rsidRPr="00D11A6C">
        <w:t>on 1 July 2020 for a period of four years concluding on 30 June 202</w:t>
      </w:r>
      <w:r>
        <w:t>4</w:t>
      </w:r>
      <w:r w:rsidRPr="00D11A6C">
        <w:t>.</w:t>
      </w:r>
    </w:p>
    <w:p w14:paraId="5182A3C4" w14:textId="77777777" w:rsidR="008D6F13" w:rsidRDefault="008D6F13" w:rsidP="008D6F13">
      <w:pPr>
        <w:pStyle w:val="Heading3"/>
        <w:pageBreakBefore/>
        <w:spacing w:after="60"/>
        <w:rPr>
          <w:sz w:val="20"/>
          <w:szCs w:val="20"/>
        </w:rPr>
      </w:pPr>
      <w:bookmarkStart w:id="72" w:name="_Toc85010021"/>
      <w:bookmarkStart w:id="73" w:name="_Toc86047049"/>
      <w:r w:rsidRPr="00846F56">
        <w:rPr>
          <w:sz w:val="20"/>
          <w:szCs w:val="20"/>
        </w:rPr>
        <w:lastRenderedPageBreak/>
        <w:t>Dividends, income tax equivalent and rate equivalent income</w:t>
      </w:r>
      <w:r w:rsidRPr="00846F56">
        <w:rPr>
          <w:sz w:val="20"/>
          <w:szCs w:val="20"/>
        </w:rPr>
        <w:tab/>
        <w:t>($ million)</w:t>
      </w:r>
      <w:bookmarkEnd w:id="72"/>
      <w:bookmarkEnd w:id="73"/>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49435781"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1BD18673" w14:textId="7AFEDD11" w:rsidR="008D6F13" w:rsidRDefault="008D6F13" w:rsidP="0031078F"/>
        </w:tc>
        <w:tc>
          <w:tcPr>
            <w:tcW w:w="794" w:type="dxa"/>
          </w:tcPr>
          <w:p w14:paraId="501FA100"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687051D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37FFB07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6720C002"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6E72E836"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263CDD2B"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780BB51" w14:textId="77777777" w:rsidR="008D6F13" w:rsidRDefault="008D6F13" w:rsidP="0031078F">
            <w:r>
              <w:t>Dividends from PFC sector</w:t>
            </w:r>
          </w:p>
        </w:tc>
        <w:tc>
          <w:tcPr>
            <w:tcW w:w="794" w:type="dxa"/>
          </w:tcPr>
          <w:p w14:paraId="609EE8E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131</w:t>
            </w:r>
          </w:p>
        </w:tc>
        <w:tc>
          <w:tcPr>
            <w:tcW w:w="794" w:type="dxa"/>
          </w:tcPr>
          <w:p w14:paraId="4B59643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137</w:t>
            </w:r>
          </w:p>
        </w:tc>
        <w:tc>
          <w:tcPr>
            <w:tcW w:w="794" w:type="dxa"/>
          </w:tcPr>
          <w:p w14:paraId="3F65A52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60</w:t>
            </w:r>
          </w:p>
        </w:tc>
        <w:tc>
          <w:tcPr>
            <w:tcW w:w="794" w:type="dxa"/>
          </w:tcPr>
          <w:p w14:paraId="397EDFC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67</w:t>
            </w:r>
          </w:p>
        </w:tc>
        <w:tc>
          <w:tcPr>
            <w:tcW w:w="794" w:type="dxa"/>
          </w:tcPr>
          <w:p w14:paraId="535CB29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79</w:t>
            </w:r>
          </w:p>
        </w:tc>
      </w:tr>
      <w:tr w:rsidR="008D6F13" w14:paraId="47F326B0"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7FD93F0" w14:textId="77777777" w:rsidR="008D6F13" w:rsidRDefault="008D6F13" w:rsidP="0031078F">
            <w:r>
              <w:t>Dividends from PNFC sector</w:t>
            </w:r>
          </w:p>
        </w:tc>
        <w:tc>
          <w:tcPr>
            <w:tcW w:w="794" w:type="dxa"/>
          </w:tcPr>
          <w:p w14:paraId="2621257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72</w:t>
            </w:r>
          </w:p>
        </w:tc>
        <w:tc>
          <w:tcPr>
            <w:tcW w:w="794" w:type="dxa"/>
          </w:tcPr>
          <w:p w14:paraId="60A6564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105</w:t>
            </w:r>
          </w:p>
        </w:tc>
        <w:tc>
          <w:tcPr>
            <w:tcW w:w="794" w:type="dxa"/>
          </w:tcPr>
          <w:p w14:paraId="6849207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73</w:t>
            </w:r>
          </w:p>
        </w:tc>
        <w:tc>
          <w:tcPr>
            <w:tcW w:w="794" w:type="dxa"/>
          </w:tcPr>
          <w:p w14:paraId="5870197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132</w:t>
            </w:r>
          </w:p>
        </w:tc>
        <w:tc>
          <w:tcPr>
            <w:tcW w:w="794" w:type="dxa"/>
          </w:tcPr>
          <w:p w14:paraId="5F8D39E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165</w:t>
            </w:r>
          </w:p>
        </w:tc>
      </w:tr>
      <w:tr w:rsidR="008D6F13" w14:paraId="7EBD008C"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56200A9F" w14:textId="77777777" w:rsidR="008D6F13" w:rsidRDefault="008D6F13" w:rsidP="0031078F">
            <w:r>
              <w:t>Dividends from non</w:t>
            </w:r>
            <w:r>
              <w:noBreakHyphen/>
              <w:t>public sector</w:t>
            </w:r>
          </w:p>
        </w:tc>
        <w:tc>
          <w:tcPr>
            <w:tcW w:w="794" w:type="dxa"/>
            <w:tcBorders>
              <w:bottom w:val="single" w:sz="6" w:space="0" w:color="auto"/>
            </w:tcBorders>
          </w:tcPr>
          <w:p w14:paraId="26446A0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121</w:t>
            </w:r>
          </w:p>
        </w:tc>
        <w:tc>
          <w:tcPr>
            <w:tcW w:w="794" w:type="dxa"/>
            <w:tcBorders>
              <w:bottom w:val="single" w:sz="6" w:space="0" w:color="auto"/>
            </w:tcBorders>
          </w:tcPr>
          <w:p w14:paraId="29A54AF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121</w:t>
            </w:r>
          </w:p>
        </w:tc>
        <w:tc>
          <w:tcPr>
            <w:tcW w:w="794" w:type="dxa"/>
            <w:tcBorders>
              <w:bottom w:val="single" w:sz="6" w:space="0" w:color="auto"/>
            </w:tcBorders>
          </w:tcPr>
          <w:p w14:paraId="4539C23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131</w:t>
            </w:r>
          </w:p>
        </w:tc>
        <w:tc>
          <w:tcPr>
            <w:tcW w:w="794" w:type="dxa"/>
            <w:tcBorders>
              <w:bottom w:val="single" w:sz="6" w:space="0" w:color="auto"/>
            </w:tcBorders>
          </w:tcPr>
          <w:p w14:paraId="53DBB12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139</w:t>
            </w:r>
          </w:p>
        </w:tc>
        <w:tc>
          <w:tcPr>
            <w:tcW w:w="794" w:type="dxa"/>
            <w:tcBorders>
              <w:bottom w:val="single" w:sz="6" w:space="0" w:color="auto"/>
            </w:tcBorders>
          </w:tcPr>
          <w:p w14:paraId="2E293AA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147</w:t>
            </w:r>
          </w:p>
        </w:tc>
      </w:tr>
      <w:tr w:rsidR="008D6F13" w14:paraId="1BAC24C0"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33CAE4CF" w14:textId="77777777" w:rsidR="008D6F13" w:rsidRDefault="008D6F13" w:rsidP="0031078F">
            <w:r>
              <w:rPr>
                <w:b/>
              </w:rPr>
              <w:t>Dividends</w:t>
            </w:r>
          </w:p>
        </w:tc>
        <w:tc>
          <w:tcPr>
            <w:tcW w:w="794" w:type="dxa"/>
            <w:tcBorders>
              <w:top w:val="single" w:sz="6" w:space="0" w:color="auto"/>
            </w:tcBorders>
          </w:tcPr>
          <w:p w14:paraId="09B8AD0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323</w:t>
            </w:r>
          </w:p>
        </w:tc>
        <w:tc>
          <w:tcPr>
            <w:tcW w:w="794" w:type="dxa"/>
            <w:tcBorders>
              <w:top w:val="single" w:sz="6" w:space="0" w:color="auto"/>
            </w:tcBorders>
          </w:tcPr>
          <w:p w14:paraId="0CD362A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363</w:t>
            </w:r>
          </w:p>
        </w:tc>
        <w:tc>
          <w:tcPr>
            <w:tcW w:w="794" w:type="dxa"/>
            <w:tcBorders>
              <w:top w:val="single" w:sz="6" w:space="0" w:color="auto"/>
            </w:tcBorders>
          </w:tcPr>
          <w:p w14:paraId="247C6A7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264</w:t>
            </w:r>
          </w:p>
        </w:tc>
        <w:tc>
          <w:tcPr>
            <w:tcW w:w="794" w:type="dxa"/>
            <w:tcBorders>
              <w:top w:val="single" w:sz="6" w:space="0" w:color="auto"/>
            </w:tcBorders>
          </w:tcPr>
          <w:p w14:paraId="540D7A9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338</w:t>
            </w:r>
          </w:p>
        </w:tc>
        <w:tc>
          <w:tcPr>
            <w:tcW w:w="794" w:type="dxa"/>
            <w:tcBorders>
              <w:top w:val="single" w:sz="6" w:space="0" w:color="auto"/>
            </w:tcBorders>
          </w:tcPr>
          <w:p w14:paraId="2424325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391</w:t>
            </w:r>
          </w:p>
        </w:tc>
      </w:tr>
      <w:tr w:rsidR="008D6F13" w14:paraId="623E88D7"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60A97DE" w14:textId="77777777" w:rsidR="008D6F13" w:rsidRDefault="008D6F13" w:rsidP="0031078F">
            <w:r>
              <w:t>Income tax equivalent income from PFC sector</w:t>
            </w:r>
          </w:p>
        </w:tc>
        <w:tc>
          <w:tcPr>
            <w:tcW w:w="794" w:type="dxa"/>
          </w:tcPr>
          <w:p w14:paraId="4F70E96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w:t>
            </w:r>
          </w:p>
        </w:tc>
        <w:tc>
          <w:tcPr>
            <w:tcW w:w="794" w:type="dxa"/>
          </w:tcPr>
          <w:p w14:paraId="39B5FDE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w:t>
            </w:r>
          </w:p>
        </w:tc>
        <w:tc>
          <w:tcPr>
            <w:tcW w:w="794" w:type="dxa"/>
          </w:tcPr>
          <w:p w14:paraId="15D9CA8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w:t>
            </w:r>
          </w:p>
        </w:tc>
        <w:tc>
          <w:tcPr>
            <w:tcW w:w="794" w:type="dxa"/>
          </w:tcPr>
          <w:p w14:paraId="5F3B677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04FC686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w:t>
            </w:r>
          </w:p>
        </w:tc>
      </w:tr>
      <w:tr w:rsidR="008D6F13" w14:paraId="39150718"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1414943F" w14:textId="77777777" w:rsidR="008D6F13" w:rsidRDefault="008D6F13" w:rsidP="0031078F">
            <w:r>
              <w:t>Income tax equivalent income from PNFC sector</w:t>
            </w:r>
          </w:p>
        </w:tc>
        <w:tc>
          <w:tcPr>
            <w:tcW w:w="794" w:type="dxa"/>
            <w:tcBorders>
              <w:bottom w:val="single" w:sz="6" w:space="0" w:color="auto"/>
            </w:tcBorders>
          </w:tcPr>
          <w:p w14:paraId="7487FD3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239</w:t>
            </w:r>
          </w:p>
        </w:tc>
        <w:tc>
          <w:tcPr>
            <w:tcW w:w="794" w:type="dxa"/>
            <w:tcBorders>
              <w:bottom w:val="single" w:sz="6" w:space="0" w:color="auto"/>
            </w:tcBorders>
          </w:tcPr>
          <w:p w14:paraId="2009258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206</w:t>
            </w:r>
          </w:p>
        </w:tc>
        <w:tc>
          <w:tcPr>
            <w:tcW w:w="794" w:type="dxa"/>
            <w:tcBorders>
              <w:bottom w:val="single" w:sz="6" w:space="0" w:color="auto"/>
            </w:tcBorders>
          </w:tcPr>
          <w:p w14:paraId="19F0A48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198</w:t>
            </w:r>
          </w:p>
        </w:tc>
        <w:tc>
          <w:tcPr>
            <w:tcW w:w="794" w:type="dxa"/>
            <w:tcBorders>
              <w:bottom w:val="single" w:sz="6" w:space="0" w:color="auto"/>
            </w:tcBorders>
          </w:tcPr>
          <w:p w14:paraId="3FE385C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216</w:t>
            </w:r>
          </w:p>
        </w:tc>
        <w:tc>
          <w:tcPr>
            <w:tcW w:w="794" w:type="dxa"/>
            <w:tcBorders>
              <w:bottom w:val="single" w:sz="6" w:space="0" w:color="auto"/>
            </w:tcBorders>
          </w:tcPr>
          <w:p w14:paraId="16904E3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239</w:t>
            </w:r>
          </w:p>
        </w:tc>
      </w:tr>
      <w:tr w:rsidR="008D6F13" w14:paraId="4430E700"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76BDF443" w14:textId="77777777" w:rsidR="008D6F13" w:rsidRDefault="008D6F13" w:rsidP="0031078F">
            <w:r>
              <w:rPr>
                <w:b/>
              </w:rPr>
              <w:t>Income tax equivalent income</w:t>
            </w:r>
          </w:p>
        </w:tc>
        <w:tc>
          <w:tcPr>
            <w:tcW w:w="794" w:type="dxa"/>
            <w:tcBorders>
              <w:top w:val="single" w:sz="6" w:space="0" w:color="auto"/>
            </w:tcBorders>
          </w:tcPr>
          <w:p w14:paraId="7050B8A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245</w:t>
            </w:r>
          </w:p>
        </w:tc>
        <w:tc>
          <w:tcPr>
            <w:tcW w:w="794" w:type="dxa"/>
            <w:tcBorders>
              <w:top w:val="single" w:sz="6" w:space="0" w:color="auto"/>
            </w:tcBorders>
          </w:tcPr>
          <w:p w14:paraId="63C8EAD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211</w:t>
            </w:r>
          </w:p>
        </w:tc>
        <w:tc>
          <w:tcPr>
            <w:tcW w:w="794" w:type="dxa"/>
            <w:tcBorders>
              <w:top w:val="single" w:sz="6" w:space="0" w:color="auto"/>
            </w:tcBorders>
          </w:tcPr>
          <w:p w14:paraId="2DE6CE1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206</w:t>
            </w:r>
          </w:p>
        </w:tc>
        <w:tc>
          <w:tcPr>
            <w:tcW w:w="794" w:type="dxa"/>
            <w:tcBorders>
              <w:top w:val="single" w:sz="6" w:space="0" w:color="auto"/>
            </w:tcBorders>
          </w:tcPr>
          <w:p w14:paraId="0A7C3B5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226</w:t>
            </w:r>
          </w:p>
        </w:tc>
        <w:tc>
          <w:tcPr>
            <w:tcW w:w="794" w:type="dxa"/>
            <w:tcBorders>
              <w:top w:val="single" w:sz="6" w:space="0" w:color="auto"/>
            </w:tcBorders>
          </w:tcPr>
          <w:p w14:paraId="5AFD584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249</w:t>
            </w:r>
          </w:p>
        </w:tc>
      </w:tr>
      <w:tr w:rsidR="008D6F13" w14:paraId="48DBD25A"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231AB5DB" w14:textId="77777777" w:rsidR="008D6F13" w:rsidRDefault="008D6F13" w:rsidP="0031078F">
            <w:r>
              <w:t>Local government rate equivalent income</w:t>
            </w:r>
          </w:p>
        </w:tc>
        <w:tc>
          <w:tcPr>
            <w:tcW w:w="794" w:type="dxa"/>
            <w:tcBorders>
              <w:bottom w:val="single" w:sz="6" w:space="0" w:color="auto"/>
            </w:tcBorders>
          </w:tcPr>
          <w:p w14:paraId="52BF57A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w:t>
            </w:r>
          </w:p>
        </w:tc>
        <w:tc>
          <w:tcPr>
            <w:tcW w:w="794" w:type="dxa"/>
            <w:tcBorders>
              <w:bottom w:val="single" w:sz="6" w:space="0" w:color="auto"/>
            </w:tcBorders>
          </w:tcPr>
          <w:p w14:paraId="11921A8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w:t>
            </w:r>
          </w:p>
        </w:tc>
        <w:tc>
          <w:tcPr>
            <w:tcW w:w="794" w:type="dxa"/>
            <w:tcBorders>
              <w:bottom w:val="single" w:sz="6" w:space="0" w:color="auto"/>
            </w:tcBorders>
          </w:tcPr>
          <w:p w14:paraId="2D11633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w:t>
            </w:r>
          </w:p>
        </w:tc>
        <w:tc>
          <w:tcPr>
            <w:tcW w:w="794" w:type="dxa"/>
            <w:tcBorders>
              <w:bottom w:val="single" w:sz="6" w:space="0" w:color="auto"/>
            </w:tcBorders>
          </w:tcPr>
          <w:p w14:paraId="0F19416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w:t>
            </w:r>
          </w:p>
        </w:tc>
        <w:tc>
          <w:tcPr>
            <w:tcW w:w="794" w:type="dxa"/>
            <w:tcBorders>
              <w:bottom w:val="single" w:sz="6" w:space="0" w:color="auto"/>
            </w:tcBorders>
          </w:tcPr>
          <w:p w14:paraId="56EFCEC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w:t>
            </w:r>
          </w:p>
        </w:tc>
      </w:tr>
      <w:tr w:rsidR="008D6F13" w14:paraId="0588AA99"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421936C" w14:textId="77777777" w:rsidR="008D6F13" w:rsidRDefault="008D6F13" w:rsidP="0031078F">
            <w:r>
              <w:rPr>
                <w:b/>
              </w:rPr>
              <w:t>Total dividends, income tax equivalent and rate equivalent income</w:t>
            </w:r>
          </w:p>
        </w:tc>
        <w:tc>
          <w:tcPr>
            <w:tcW w:w="794" w:type="dxa"/>
          </w:tcPr>
          <w:p w14:paraId="0721701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575</w:t>
            </w:r>
          </w:p>
        </w:tc>
        <w:tc>
          <w:tcPr>
            <w:tcW w:w="794" w:type="dxa"/>
          </w:tcPr>
          <w:p w14:paraId="28D55A9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579</w:t>
            </w:r>
          </w:p>
        </w:tc>
        <w:tc>
          <w:tcPr>
            <w:tcW w:w="794" w:type="dxa"/>
          </w:tcPr>
          <w:p w14:paraId="1C0092C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475</w:t>
            </w:r>
          </w:p>
        </w:tc>
        <w:tc>
          <w:tcPr>
            <w:tcW w:w="794" w:type="dxa"/>
          </w:tcPr>
          <w:p w14:paraId="5D0C43F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569</w:t>
            </w:r>
          </w:p>
        </w:tc>
        <w:tc>
          <w:tcPr>
            <w:tcW w:w="794" w:type="dxa"/>
          </w:tcPr>
          <w:p w14:paraId="3A987336" w14:textId="614A507E"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645</w:t>
            </w:r>
          </w:p>
        </w:tc>
      </w:tr>
    </w:tbl>
    <w:p w14:paraId="67056A19" w14:textId="45CA9768" w:rsidR="008D6F13" w:rsidRDefault="008D6F13" w:rsidP="008D6F13"/>
    <w:p w14:paraId="081F54AA" w14:textId="77777777" w:rsidR="0031078F" w:rsidRPr="00846F56" w:rsidRDefault="0031078F" w:rsidP="008D6F13"/>
    <w:p w14:paraId="55C43BF7" w14:textId="77777777" w:rsidR="008D6F13" w:rsidRDefault="008D6F13" w:rsidP="0031078F">
      <w:pPr>
        <w:pStyle w:val="TableHeading"/>
        <w:spacing w:before="240"/>
      </w:pPr>
      <w:r w:rsidRPr="001D2C42">
        <w:t xml:space="preserve">Dividends by entity </w:t>
      </w:r>
      <w:r w:rsidRPr="001D2C42">
        <w:rPr>
          <w:vertAlign w:val="superscript"/>
        </w:rPr>
        <w:t>(a)</w:t>
      </w:r>
      <w:r w:rsidRPr="001D2C42">
        <w:tab/>
        <w:t>($ million)</w:t>
      </w:r>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7758F9B9"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643D485F" w14:textId="7F0F23BD" w:rsidR="008D6F13" w:rsidRDefault="008D6F13" w:rsidP="0031078F"/>
        </w:tc>
        <w:tc>
          <w:tcPr>
            <w:tcW w:w="794" w:type="dxa"/>
          </w:tcPr>
          <w:p w14:paraId="1E0E55F5"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27044BA2"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6AD63F18"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383F733B"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75346D7B"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3E29F8C7"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B7119BB" w14:textId="77777777" w:rsidR="008D6F13" w:rsidRDefault="008D6F13" w:rsidP="0031078F">
            <w:r>
              <w:rPr>
                <w:b/>
              </w:rPr>
              <w:t>Public financial corporations</w:t>
            </w:r>
          </w:p>
        </w:tc>
        <w:tc>
          <w:tcPr>
            <w:tcW w:w="794" w:type="dxa"/>
          </w:tcPr>
          <w:p w14:paraId="2CF4E79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A65385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8301D9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8EB8FC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FF7BD6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1A772F22"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B39B465" w14:textId="77777777" w:rsidR="008D6F13" w:rsidRDefault="008D6F13" w:rsidP="0031078F">
            <w:r>
              <w:t>Victorian Managed Insurance Authority</w:t>
            </w:r>
          </w:p>
        </w:tc>
        <w:tc>
          <w:tcPr>
            <w:tcW w:w="794" w:type="dxa"/>
          </w:tcPr>
          <w:p w14:paraId="1FCA792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597C88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AF4D5B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DB670F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B189E2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1DE35E91"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957E857" w14:textId="77777777" w:rsidR="008D6F13" w:rsidRDefault="008D6F13" w:rsidP="0031078F">
            <w:r>
              <w:t>Transport Accident Commission</w:t>
            </w:r>
          </w:p>
        </w:tc>
        <w:tc>
          <w:tcPr>
            <w:tcW w:w="794" w:type="dxa"/>
          </w:tcPr>
          <w:p w14:paraId="6C794C4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46F8D7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691FF7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A035DA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E2C206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1B465D28"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6AFAA08" w14:textId="77777777" w:rsidR="008D6F13" w:rsidRDefault="008D6F13" w:rsidP="0031078F">
            <w:r>
              <w:t>Treasury Corporation of Victoria</w:t>
            </w:r>
          </w:p>
        </w:tc>
        <w:tc>
          <w:tcPr>
            <w:tcW w:w="794" w:type="dxa"/>
          </w:tcPr>
          <w:p w14:paraId="0C1AC81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125</w:t>
            </w:r>
          </w:p>
        </w:tc>
        <w:tc>
          <w:tcPr>
            <w:tcW w:w="794" w:type="dxa"/>
          </w:tcPr>
          <w:p w14:paraId="7A7A729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132</w:t>
            </w:r>
          </w:p>
        </w:tc>
        <w:tc>
          <w:tcPr>
            <w:tcW w:w="794" w:type="dxa"/>
          </w:tcPr>
          <w:p w14:paraId="468A139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52</w:t>
            </w:r>
          </w:p>
        </w:tc>
        <w:tc>
          <w:tcPr>
            <w:tcW w:w="794" w:type="dxa"/>
          </w:tcPr>
          <w:p w14:paraId="3A1D9B4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61</w:t>
            </w:r>
          </w:p>
        </w:tc>
        <w:tc>
          <w:tcPr>
            <w:tcW w:w="794" w:type="dxa"/>
          </w:tcPr>
          <w:p w14:paraId="1CDB11C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70</w:t>
            </w:r>
          </w:p>
        </w:tc>
      </w:tr>
      <w:tr w:rsidR="008D6F13" w14:paraId="537DEC47"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5709B26" w14:textId="77777777" w:rsidR="008D6F13" w:rsidRDefault="008D6F13" w:rsidP="0031078F">
            <w:r>
              <w:t>State Trustees Ltd</w:t>
            </w:r>
          </w:p>
        </w:tc>
        <w:tc>
          <w:tcPr>
            <w:tcW w:w="794" w:type="dxa"/>
          </w:tcPr>
          <w:p w14:paraId="7BFCF5E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32730E9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0304799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5DB8BC6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132026D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w:t>
            </w:r>
          </w:p>
        </w:tc>
      </w:tr>
      <w:tr w:rsidR="008D6F13" w14:paraId="12539054"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0DE3D28" w14:textId="77777777" w:rsidR="008D6F13" w:rsidRDefault="008D6F13" w:rsidP="0031078F">
            <w:r>
              <w:t>Victorian Funds Management Corporation</w:t>
            </w:r>
          </w:p>
        </w:tc>
        <w:tc>
          <w:tcPr>
            <w:tcW w:w="794" w:type="dxa"/>
          </w:tcPr>
          <w:p w14:paraId="08DCE77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w:t>
            </w:r>
          </w:p>
        </w:tc>
        <w:tc>
          <w:tcPr>
            <w:tcW w:w="794" w:type="dxa"/>
          </w:tcPr>
          <w:p w14:paraId="1DA7D7E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w:t>
            </w:r>
          </w:p>
        </w:tc>
        <w:tc>
          <w:tcPr>
            <w:tcW w:w="794" w:type="dxa"/>
          </w:tcPr>
          <w:p w14:paraId="4B13A54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w:t>
            </w:r>
          </w:p>
        </w:tc>
        <w:tc>
          <w:tcPr>
            <w:tcW w:w="794" w:type="dxa"/>
          </w:tcPr>
          <w:p w14:paraId="4BB9144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w:t>
            </w:r>
          </w:p>
        </w:tc>
        <w:tc>
          <w:tcPr>
            <w:tcW w:w="794" w:type="dxa"/>
          </w:tcPr>
          <w:p w14:paraId="164C909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w:t>
            </w:r>
          </w:p>
        </w:tc>
      </w:tr>
      <w:tr w:rsidR="008D6F13" w14:paraId="28A99469"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2AD4A515" w14:textId="77777777" w:rsidR="008D6F13" w:rsidRDefault="008D6F13" w:rsidP="0031078F">
            <w:r>
              <w:t>WorkSafe Victoria</w:t>
            </w:r>
          </w:p>
        </w:tc>
        <w:tc>
          <w:tcPr>
            <w:tcW w:w="794" w:type="dxa"/>
            <w:tcBorders>
              <w:bottom w:val="single" w:sz="6" w:space="0" w:color="auto"/>
            </w:tcBorders>
          </w:tcPr>
          <w:p w14:paraId="3ACDE3C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07A9332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011B0B9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0597BBA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2907BB4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2715E394"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0CAF3802" w14:textId="77777777" w:rsidR="008D6F13" w:rsidRDefault="008D6F13" w:rsidP="0031078F">
            <w:r>
              <w:rPr>
                <w:b/>
              </w:rPr>
              <w:t>Dividends from PFC sector</w:t>
            </w:r>
          </w:p>
        </w:tc>
        <w:tc>
          <w:tcPr>
            <w:tcW w:w="794" w:type="dxa"/>
            <w:tcBorders>
              <w:top w:val="single" w:sz="6" w:space="0" w:color="auto"/>
              <w:bottom w:val="single" w:sz="12" w:space="0" w:color="auto"/>
            </w:tcBorders>
          </w:tcPr>
          <w:p w14:paraId="390454D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131</w:t>
            </w:r>
          </w:p>
        </w:tc>
        <w:tc>
          <w:tcPr>
            <w:tcW w:w="794" w:type="dxa"/>
            <w:tcBorders>
              <w:top w:val="single" w:sz="6" w:space="0" w:color="auto"/>
              <w:bottom w:val="single" w:sz="12" w:space="0" w:color="auto"/>
            </w:tcBorders>
          </w:tcPr>
          <w:p w14:paraId="7638AA5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137</w:t>
            </w:r>
          </w:p>
        </w:tc>
        <w:tc>
          <w:tcPr>
            <w:tcW w:w="794" w:type="dxa"/>
            <w:tcBorders>
              <w:top w:val="single" w:sz="6" w:space="0" w:color="auto"/>
              <w:bottom w:val="single" w:sz="12" w:space="0" w:color="auto"/>
            </w:tcBorders>
          </w:tcPr>
          <w:p w14:paraId="76EAC98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60</w:t>
            </w:r>
          </w:p>
        </w:tc>
        <w:tc>
          <w:tcPr>
            <w:tcW w:w="794" w:type="dxa"/>
            <w:tcBorders>
              <w:top w:val="single" w:sz="6" w:space="0" w:color="auto"/>
              <w:bottom w:val="single" w:sz="12" w:space="0" w:color="auto"/>
            </w:tcBorders>
          </w:tcPr>
          <w:p w14:paraId="284233A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67</w:t>
            </w:r>
          </w:p>
        </w:tc>
        <w:tc>
          <w:tcPr>
            <w:tcW w:w="794" w:type="dxa"/>
            <w:tcBorders>
              <w:top w:val="single" w:sz="6" w:space="0" w:color="auto"/>
              <w:bottom w:val="single" w:sz="12" w:space="0" w:color="auto"/>
            </w:tcBorders>
          </w:tcPr>
          <w:p w14:paraId="0EC4985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79</w:t>
            </w:r>
          </w:p>
        </w:tc>
      </w:tr>
      <w:tr w:rsidR="008D6F13" w14:paraId="123DA527"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0DC87CA9" w14:textId="77777777" w:rsidR="008D6F13" w:rsidRDefault="008D6F13" w:rsidP="0031078F">
            <w:r>
              <w:rPr>
                <w:b/>
              </w:rPr>
              <w:t>Public non</w:t>
            </w:r>
            <w:r>
              <w:rPr>
                <w:b/>
              </w:rPr>
              <w:noBreakHyphen/>
              <w:t>financial corporations</w:t>
            </w:r>
          </w:p>
        </w:tc>
        <w:tc>
          <w:tcPr>
            <w:tcW w:w="794" w:type="dxa"/>
            <w:tcBorders>
              <w:top w:val="single" w:sz="6" w:space="0" w:color="auto"/>
            </w:tcBorders>
          </w:tcPr>
          <w:p w14:paraId="5F63155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736A26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601A75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87E28C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AEFF2A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3E2CB5D7"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1F57599" w14:textId="77777777" w:rsidR="008D6F13" w:rsidRDefault="008D6F13" w:rsidP="0031078F">
            <w:r>
              <w:t>Greater Western Water Corporation</w:t>
            </w:r>
          </w:p>
        </w:tc>
        <w:tc>
          <w:tcPr>
            <w:tcW w:w="794" w:type="dxa"/>
          </w:tcPr>
          <w:p w14:paraId="20AD63C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36D959B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w:t>
            </w:r>
          </w:p>
        </w:tc>
        <w:tc>
          <w:tcPr>
            <w:tcW w:w="794" w:type="dxa"/>
          </w:tcPr>
          <w:p w14:paraId="4B531FC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w:t>
            </w:r>
          </w:p>
        </w:tc>
        <w:tc>
          <w:tcPr>
            <w:tcW w:w="794" w:type="dxa"/>
          </w:tcPr>
          <w:p w14:paraId="4EF65FB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47</w:t>
            </w:r>
          </w:p>
        </w:tc>
        <w:tc>
          <w:tcPr>
            <w:tcW w:w="794" w:type="dxa"/>
          </w:tcPr>
          <w:p w14:paraId="5CC2F48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61</w:t>
            </w:r>
          </w:p>
        </w:tc>
      </w:tr>
      <w:tr w:rsidR="008D6F13" w14:paraId="734C8257"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448D32B" w14:textId="77777777" w:rsidR="008D6F13" w:rsidRDefault="008D6F13" w:rsidP="0031078F">
            <w:r>
              <w:t>Melbourne Water Corporation</w:t>
            </w:r>
          </w:p>
        </w:tc>
        <w:tc>
          <w:tcPr>
            <w:tcW w:w="794" w:type="dxa"/>
          </w:tcPr>
          <w:p w14:paraId="08D9FF3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2E20148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w:t>
            </w:r>
          </w:p>
        </w:tc>
        <w:tc>
          <w:tcPr>
            <w:tcW w:w="794" w:type="dxa"/>
          </w:tcPr>
          <w:p w14:paraId="1FC15AF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7CA6A6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B5FBFC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7245F196"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9313007" w14:textId="77777777" w:rsidR="008D6F13" w:rsidRDefault="008D6F13" w:rsidP="0031078F">
            <w:r>
              <w:t>South East Water Corporation</w:t>
            </w:r>
          </w:p>
        </w:tc>
        <w:tc>
          <w:tcPr>
            <w:tcW w:w="794" w:type="dxa"/>
          </w:tcPr>
          <w:p w14:paraId="4F0C501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w:t>
            </w:r>
          </w:p>
        </w:tc>
        <w:tc>
          <w:tcPr>
            <w:tcW w:w="794" w:type="dxa"/>
          </w:tcPr>
          <w:p w14:paraId="26694A2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37</w:t>
            </w:r>
          </w:p>
        </w:tc>
        <w:tc>
          <w:tcPr>
            <w:tcW w:w="794" w:type="dxa"/>
          </w:tcPr>
          <w:p w14:paraId="304DFB0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w:t>
            </w:r>
          </w:p>
        </w:tc>
        <w:tc>
          <w:tcPr>
            <w:tcW w:w="794" w:type="dxa"/>
          </w:tcPr>
          <w:p w14:paraId="3AA32A7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w:t>
            </w:r>
          </w:p>
        </w:tc>
        <w:tc>
          <w:tcPr>
            <w:tcW w:w="794" w:type="dxa"/>
          </w:tcPr>
          <w:p w14:paraId="20A197B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w:t>
            </w:r>
          </w:p>
        </w:tc>
      </w:tr>
      <w:tr w:rsidR="008D6F13" w14:paraId="12E0C2FF"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nil"/>
            </w:tcBorders>
          </w:tcPr>
          <w:p w14:paraId="00520AD8" w14:textId="77777777" w:rsidR="008D6F13" w:rsidRDefault="008D6F13" w:rsidP="0031078F">
            <w:r>
              <w:t>Yarra Valley Water Corporation</w:t>
            </w:r>
          </w:p>
        </w:tc>
        <w:tc>
          <w:tcPr>
            <w:tcW w:w="794" w:type="dxa"/>
            <w:tcBorders>
              <w:bottom w:val="nil"/>
            </w:tcBorders>
          </w:tcPr>
          <w:p w14:paraId="6676C3F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w:t>
            </w:r>
          </w:p>
        </w:tc>
        <w:tc>
          <w:tcPr>
            <w:tcW w:w="794" w:type="dxa"/>
            <w:tcBorders>
              <w:bottom w:val="nil"/>
            </w:tcBorders>
          </w:tcPr>
          <w:p w14:paraId="754940E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38</w:t>
            </w:r>
          </w:p>
        </w:tc>
        <w:tc>
          <w:tcPr>
            <w:tcW w:w="794" w:type="dxa"/>
            <w:tcBorders>
              <w:bottom w:val="nil"/>
            </w:tcBorders>
          </w:tcPr>
          <w:p w14:paraId="164C12D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w:t>
            </w:r>
          </w:p>
        </w:tc>
        <w:tc>
          <w:tcPr>
            <w:tcW w:w="794" w:type="dxa"/>
            <w:tcBorders>
              <w:bottom w:val="nil"/>
            </w:tcBorders>
          </w:tcPr>
          <w:p w14:paraId="7F7CC1F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w:t>
            </w:r>
          </w:p>
        </w:tc>
        <w:tc>
          <w:tcPr>
            <w:tcW w:w="794" w:type="dxa"/>
            <w:tcBorders>
              <w:bottom w:val="nil"/>
            </w:tcBorders>
          </w:tcPr>
          <w:p w14:paraId="7029E91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29</w:t>
            </w:r>
          </w:p>
        </w:tc>
      </w:tr>
      <w:tr w:rsidR="008D6F13" w14:paraId="13457D5B"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4" w:space="0" w:color="auto"/>
            </w:tcBorders>
          </w:tcPr>
          <w:p w14:paraId="53A572CC" w14:textId="77777777" w:rsidR="008D6F13" w:rsidRDefault="008D6F13" w:rsidP="0031078F">
            <w:r>
              <w:t>Development Victoria</w:t>
            </w:r>
          </w:p>
        </w:tc>
        <w:tc>
          <w:tcPr>
            <w:tcW w:w="794" w:type="dxa"/>
            <w:tcBorders>
              <w:bottom w:val="single" w:sz="4" w:space="0" w:color="auto"/>
            </w:tcBorders>
          </w:tcPr>
          <w:p w14:paraId="0D31E4D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w:t>
            </w:r>
          </w:p>
        </w:tc>
        <w:tc>
          <w:tcPr>
            <w:tcW w:w="794" w:type="dxa"/>
            <w:tcBorders>
              <w:bottom w:val="single" w:sz="4" w:space="0" w:color="auto"/>
            </w:tcBorders>
          </w:tcPr>
          <w:p w14:paraId="4E25A33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w:t>
            </w:r>
          </w:p>
        </w:tc>
        <w:tc>
          <w:tcPr>
            <w:tcW w:w="794" w:type="dxa"/>
            <w:tcBorders>
              <w:bottom w:val="single" w:sz="4" w:space="0" w:color="auto"/>
            </w:tcBorders>
          </w:tcPr>
          <w:p w14:paraId="14F33FE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w:t>
            </w:r>
          </w:p>
        </w:tc>
        <w:tc>
          <w:tcPr>
            <w:tcW w:w="794" w:type="dxa"/>
            <w:tcBorders>
              <w:bottom w:val="single" w:sz="4" w:space="0" w:color="auto"/>
            </w:tcBorders>
          </w:tcPr>
          <w:p w14:paraId="52E799B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43</w:t>
            </w:r>
          </w:p>
        </w:tc>
        <w:tc>
          <w:tcPr>
            <w:tcW w:w="794" w:type="dxa"/>
            <w:tcBorders>
              <w:bottom w:val="single" w:sz="4" w:space="0" w:color="auto"/>
            </w:tcBorders>
          </w:tcPr>
          <w:p w14:paraId="1A00298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51</w:t>
            </w:r>
          </w:p>
        </w:tc>
      </w:tr>
      <w:tr w:rsidR="008D6F13" w14:paraId="60A69C1D"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4" w:space="0" w:color="auto"/>
            </w:tcBorders>
          </w:tcPr>
          <w:p w14:paraId="6BE6BBB6" w14:textId="77777777" w:rsidR="008D6F13" w:rsidRDefault="008D6F13" w:rsidP="0031078F">
            <w:r>
              <w:rPr>
                <w:b/>
              </w:rPr>
              <w:t>Dividends from PNFC sector</w:t>
            </w:r>
          </w:p>
        </w:tc>
        <w:tc>
          <w:tcPr>
            <w:tcW w:w="794" w:type="dxa"/>
            <w:tcBorders>
              <w:top w:val="single" w:sz="4" w:space="0" w:color="auto"/>
            </w:tcBorders>
          </w:tcPr>
          <w:p w14:paraId="0DBC230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72</w:t>
            </w:r>
          </w:p>
        </w:tc>
        <w:tc>
          <w:tcPr>
            <w:tcW w:w="794" w:type="dxa"/>
            <w:tcBorders>
              <w:top w:val="single" w:sz="4" w:space="0" w:color="auto"/>
            </w:tcBorders>
          </w:tcPr>
          <w:p w14:paraId="0598FC1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105</w:t>
            </w:r>
          </w:p>
        </w:tc>
        <w:tc>
          <w:tcPr>
            <w:tcW w:w="794" w:type="dxa"/>
            <w:tcBorders>
              <w:top w:val="single" w:sz="4" w:space="0" w:color="auto"/>
            </w:tcBorders>
          </w:tcPr>
          <w:p w14:paraId="590BE6C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73</w:t>
            </w:r>
          </w:p>
        </w:tc>
        <w:tc>
          <w:tcPr>
            <w:tcW w:w="794" w:type="dxa"/>
            <w:tcBorders>
              <w:top w:val="single" w:sz="4" w:space="0" w:color="auto"/>
            </w:tcBorders>
          </w:tcPr>
          <w:p w14:paraId="38A24E9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132</w:t>
            </w:r>
          </w:p>
        </w:tc>
        <w:tc>
          <w:tcPr>
            <w:tcW w:w="794" w:type="dxa"/>
            <w:tcBorders>
              <w:top w:val="single" w:sz="4" w:space="0" w:color="auto"/>
            </w:tcBorders>
          </w:tcPr>
          <w:p w14:paraId="45AEDED0" w14:textId="7B18BCC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165</w:t>
            </w:r>
          </w:p>
        </w:tc>
      </w:tr>
    </w:tbl>
    <w:p w14:paraId="72BFFA78" w14:textId="77777777" w:rsidR="008D6F13" w:rsidRPr="00307B52" w:rsidRDefault="008D6F13" w:rsidP="008D6F13">
      <w:pPr>
        <w:pStyle w:val="Note"/>
        <w:ind w:left="0" w:firstLine="0"/>
      </w:pPr>
      <w:r w:rsidRPr="00307B52">
        <w:t>Note:</w:t>
      </w:r>
    </w:p>
    <w:p w14:paraId="49F8CA0D" w14:textId="77777777" w:rsidR="008D6F13" w:rsidRPr="00307B52" w:rsidRDefault="008D6F13" w:rsidP="008D6F13">
      <w:pPr>
        <w:pStyle w:val="Note"/>
      </w:pPr>
      <w:r w:rsidRPr="00307B52">
        <w:t>(a)</w:t>
      </w:r>
      <w:r w:rsidRPr="00307B52">
        <w:tab/>
      </w:r>
      <w:r>
        <w:t xml:space="preserve">Amounts equivalent to dividends to be paid by the Transport Accident Commission and the Victorian Managed Insurance Authority are received and reported as contributions forming part of grant revenue, consistent with the requirements of AASB 1023 </w:t>
      </w:r>
      <w:r w:rsidRPr="003B6C69">
        <w:rPr>
          <w:i w:val="0"/>
          <w:iCs/>
        </w:rPr>
        <w:t>General Insurance Contracts</w:t>
      </w:r>
      <w:r>
        <w:t>. The amounts, subject to annual review, that are forecast to be paid are $400 million in each of 2021-22 and 2022-23 and $775 million in each of 2023-24 and 2024-25 for the Transport Accident Commission and $50 million in each of 2021</w:t>
      </w:r>
      <w:r>
        <w:noBreakHyphen/>
        <w:t xml:space="preserve">22 and 2022-23 and $25 million in each of 2023-24 and 2024-25 for the Victorian Managed Insurance Authority. These payments from the insurance agencies are contributions to the Delivering for all Victorians Infrastructure Fund, delivering the commitment in </w:t>
      </w:r>
      <w:proofErr w:type="spellStart"/>
      <w:r w:rsidRPr="003B6C69">
        <w:rPr>
          <w:i w:val="0"/>
          <w:iCs/>
        </w:rPr>
        <w:t>Labor’s</w:t>
      </w:r>
      <w:proofErr w:type="spellEnd"/>
      <w:r w:rsidRPr="003B6C69">
        <w:rPr>
          <w:i w:val="0"/>
          <w:iCs/>
        </w:rPr>
        <w:t xml:space="preserve"> Financial Statement 2018</w:t>
      </w:r>
      <w:r>
        <w:t>.</w:t>
      </w:r>
    </w:p>
    <w:p w14:paraId="686C2352" w14:textId="77777777" w:rsidR="008D6F13" w:rsidRDefault="008D6F13" w:rsidP="008D6F13">
      <w:r>
        <w:br w:type="page"/>
      </w:r>
    </w:p>
    <w:p w14:paraId="1793EF63" w14:textId="77777777" w:rsidR="008D6F13" w:rsidRPr="00DF3320" w:rsidRDefault="008D6F13" w:rsidP="008D6F13">
      <w:pPr>
        <w:pStyle w:val="Heading3"/>
        <w:spacing w:after="60"/>
        <w:rPr>
          <w:sz w:val="20"/>
          <w:szCs w:val="20"/>
        </w:rPr>
      </w:pPr>
      <w:bookmarkStart w:id="74" w:name="_Toc86047050"/>
      <w:r w:rsidRPr="00846F56">
        <w:rPr>
          <w:sz w:val="20"/>
          <w:szCs w:val="20"/>
        </w:rPr>
        <w:lastRenderedPageBreak/>
        <w:t>Sales of goods and services</w:t>
      </w:r>
      <w:r w:rsidRPr="00846F56">
        <w:rPr>
          <w:sz w:val="20"/>
          <w:szCs w:val="20"/>
        </w:rPr>
        <w:tab/>
        <w:t>($ million)</w:t>
      </w:r>
      <w:bookmarkEnd w:id="74"/>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3AFEE750"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21536057" w14:textId="29DF024F" w:rsidR="008D6F13" w:rsidRDefault="008D6F13" w:rsidP="0031078F"/>
        </w:tc>
        <w:tc>
          <w:tcPr>
            <w:tcW w:w="794" w:type="dxa"/>
          </w:tcPr>
          <w:p w14:paraId="16A3A600"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1F2410EA"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45A99C5A"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16DFFD24"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29FF1CC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4F6B07D2"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FFCC1AD" w14:textId="77777777" w:rsidR="008D6F13" w:rsidRDefault="008D6F13" w:rsidP="0031078F">
            <w:r>
              <w:rPr>
                <w:b/>
              </w:rPr>
              <w:t>Revenue items accounted for under AASB 15</w:t>
            </w:r>
          </w:p>
        </w:tc>
        <w:tc>
          <w:tcPr>
            <w:tcW w:w="794" w:type="dxa"/>
          </w:tcPr>
          <w:p w14:paraId="7E9EECF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1F6189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9198CA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435C6E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E1D26E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04C64329"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817E631" w14:textId="77777777" w:rsidR="008D6F13" w:rsidRDefault="008D6F13" w:rsidP="0031078F">
            <w:r>
              <w:t>Sale of goods</w:t>
            </w:r>
          </w:p>
        </w:tc>
        <w:tc>
          <w:tcPr>
            <w:tcW w:w="794" w:type="dxa"/>
          </w:tcPr>
          <w:p w14:paraId="27E6DD0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95</w:t>
            </w:r>
          </w:p>
        </w:tc>
        <w:tc>
          <w:tcPr>
            <w:tcW w:w="794" w:type="dxa"/>
          </w:tcPr>
          <w:p w14:paraId="5EB9958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90</w:t>
            </w:r>
          </w:p>
        </w:tc>
        <w:tc>
          <w:tcPr>
            <w:tcW w:w="794" w:type="dxa"/>
          </w:tcPr>
          <w:p w14:paraId="10AB3DC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93</w:t>
            </w:r>
          </w:p>
        </w:tc>
        <w:tc>
          <w:tcPr>
            <w:tcW w:w="794" w:type="dxa"/>
          </w:tcPr>
          <w:p w14:paraId="146DE94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95</w:t>
            </w:r>
          </w:p>
        </w:tc>
        <w:tc>
          <w:tcPr>
            <w:tcW w:w="794" w:type="dxa"/>
          </w:tcPr>
          <w:p w14:paraId="579B883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96</w:t>
            </w:r>
          </w:p>
        </w:tc>
      </w:tr>
      <w:tr w:rsidR="008D6F13" w14:paraId="23A9EA76"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50B3BCF" w14:textId="77777777" w:rsidR="008D6F13" w:rsidRDefault="008D6F13" w:rsidP="0031078F">
            <w:r>
              <w:t>Provision of services</w:t>
            </w:r>
          </w:p>
        </w:tc>
        <w:tc>
          <w:tcPr>
            <w:tcW w:w="794" w:type="dxa"/>
          </w:tcPr>
          <w:p w14:paraId="5B024BB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5 168</w:t>
            </w:r>
          </w:p>
        </w:tc>
        <w:tc>
          <w:tcPr>
            <w:tcW w:w="794" w:type="dxa"/>
          </w:tcPr>
          <w:p w14:paraId="021F8B5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4 799</w:t>
            </w:r>
          </w:p>
        </w:tc>
        <w:tc>
          <w:tcPr>
            <w:tcW w:w="794" w:type="dxa"/>
          </w:tcPr>
          <w:p w14:paraId="0F30621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5 177</w:t>
            </w:r>
          </w:p>
        </w:tc>
        <w:tc>
          <w:tcPr>
            <w:tcW w:w="794" w:type="dxa"/>
          </w:tcPr>
          <w:p w14:paraId="4E30DB8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5 298</w:t>
            </w:r>
          </w:p>
        </w:tc>
        <w:tc>
          <w:tcPr>
            <w:tcW w:w="794" w:type="dxa"/>
          </w:tcPr>
          <w:p w14:paraId="43620D6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5 519</w:t>
            </w:r>
          </w:p>
        </w:tc>
      </w:tr>
      <w:tr w:rsidR="008D6F13" w14:paraId="24CEDF4D"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8947EDE" w14:textId="77777777" w:rsidR="008D6F13" w:rsidRDefault="008D6F13" w:rsidP="0031078F">
            <w:r>
              <w:rPr>
                <w:b/>
              </w:rPr>
              <w:t>Income accounted for under AASB 1058</w:t>
            </w:r>
          </w:p>
        </w:tc>
        <w:tc>
          <w:tcPr>
            <w:tcW w:w="794" w:type="dxa"/>
          </w:tcPr>
          <w:p w14:paraId="03D3E7D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372BB4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386D91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743735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1ABBF1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7F44A323"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F594FCF" w14:textId="77777777" w:rsidR="008D6F13" w:rsidRDefault="008D6F13" w:rsidP="0031078F">
            <w:r>
              <w:t>Motor vehicle regulatory fees</w:t>
            </w:r>
          </w:p>
        </w:tc>
        <w:tc>
          <w:tcPr>
            <w:tcW w:w="794" w:type="dxa"/>
          </w:tcPr>
          <w:p w14:paraId="105792F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306</w:t>
            </w:r>
          </w:p>
        </w:tc>
        <w:tc>
          <w:tcPr>
            <w:tcW w:w="794" w:type="dxa"/>
          </w:tcPr>
          <w:p w14:paraId="0AACD9C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317</w:t>
            </w:r>
          </w:p>
        </w:tc>
        <w:tc>
          <w:tcPr>
            <w:tcW w:w="794" w:type="dxa"/>
          </w:tcPr>
          <w:p w14:paraId="242A8F6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318</w:t>
            </w:r>
          </w:p>
        </w:tc>
        <w:tc>
          <w:tcPr>
            <w:tcW w:w="794" w:type="dxa"/>
          </w:tcPr>
          <w:p w14:paraId="0FCCA83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322</w:t>
            </w:r>
          </w:p>
        </w:tc>
        <w:tc>
          <w:tcPr>
            <w:tcW w:w="794" w:type="dxa"/>
          </w:tcPr>
          <w:p w14:paraId="395EA74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320</w:t>
            </w:r>
          </w:p>
        </w:tc>
      </w:tr>
      <w:tr w:rsidR="008D6F13" w14:paraId="43952CE0"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7336D14" w14:textId="77777777" w:rsidR="008D6F13" w:rsidRDefault="008D6F13" w:rsidP="0031078F">
            <w:r>
              <w:t>Other regulatory fees</w:t>
            </w:r>
          </w:p>
        </w:tc>
        <w:tc>
          <w:tcPr>
            <w:tcW w:w="794" w:type="dxa"/>
          </w:tcPr>
          <w:p w14:paraId="5AEC596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731</w:t>
            </w:r>
          </w:p>
        </w:tc>
        <w:tc>
          <w:tcPr>
            <w:tcW w:w="794" w:type="dxa"/>
          </w:tcPr>
          <w:p w14:paraId="382DB22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625</w:t>
            </w:r>
          </w:p>
        </w:tc>
        <w:tc>
          <w:tcPr>
            <w:tcW w:w="794" w:type="dxa"/>
          </w:tcPr>
          <w:p w14:paraId="4C18932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780</w:t>
            </w:r>
          </w:p>
        </w:tc>
        <w:tc>
          <w:tcPr>
            <w:tcW w:w="794" w:type="dxa"/>
          </w:tcPr>
          <w:p w14:paraId="65D22B3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796</w:t>
            </w:r>
          </w:p>
        </w:tc>
        <w:tc>
          <w:tcPr>
            <w:tcW w:w="794" w:type="dxa"/>
          </w:tcPr>
          <w:p w14:paraId="4AD0B3F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667</w:t>
            </w:r>
          </w:p>
        </w:tc>
      </w:tr>
      <w:tr w:rsidR="008D6F13" w14:paraId="74C6D22D"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CE769E9" w14:textId="77777777" w:rsidR="008D6F13" w:rsidRDefault="008D6F13" w:rsidP="0031078F">
            <w:r>
              <w:t>Refunds and reimbursements</w:t>
            </w:r>
          </w:p>
        </w:tc>
        <w:tc>
          <w:tcPr>
            <w:tcW w:w="794" w:type="dxa"/>
          </w:tcPr>
          <w:p w14:paraId="64D6F5F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w:t>
            </w:r>
          </w:p>
        </w:tc>
        <w:tc>
          <w:tcPr>
            <w:tcW w:w="794" w:type="dxa"/>
          </w:tcPr>
          <w:p w14:paraId="25A8162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C657EF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CC4FCE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C264F8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67E7F616"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A79EF27" w14:textId="77777777" w:rsidR="008D6F13" w:rsidRDefault="008D6F13" w:rsidP="0031078F">
            <w:r>
              <w:rPr>
                <w:b/>
              </w:rPr>
              <w:t>Lease income accounted for under AASB 16</w:t>
            </w:r>
          </w:p>
        </w:tc>
        <w:tc>
          <w:tcPr>
            <w:tcW w:w="794" w:type="dxa"/>
          </w:tcPr>
          <w:p w14:paraId="02D866B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2EA23A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B66599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088E9B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F7B4A8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6EB59C30"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8D8955D" w14:textId="77777777" w:rsidR="008D6F13" w:rsidRDefault="008D6F13" w:rsidP="0031078F">
            <w:r>
              <w:t>Rental</w:t>
            </w:r>
          </w:p>
        </w:tc>
        <w:tc>
          <w:tcPr>
            <w:tcW w:w="794" w:type="dxa"/>
            <w:tcBorders>
              <w:bottom w:val="single" w:sz="6" w:space="0" w:color="auto"/>
            </w:tcBorders>
          </w:tcPr>
          <w:p w14:paraId="37E6F5C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91</w:t>
            </w:r>
          </w:p>
        </w:tc>
        <w:tc>
          <w:tcPr>
            <w:tcW w:w="794" w:type="dxa"/>
            <w:tcBorders>
              <w:bottom w:val="single" w:sz="6" w:space="0" w:color="auto"/>
            </w:tcBorders>
          </w:tcPr>
          <w:p w14:paraId="32701A8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92</w:t>
            </w:r>
          </w:p>
        </w:tc>
        <w:tc>
          <w:tcPr>
            <w:tcW w:w="794" w:type="dxa"/>
            <w:tcBorders>
              <w:bottom w:val="single" w:sz="6" w:space="0" w:color="auto"/>
            </w:tcBorders>
          </w:tcPr>
          <w:p w14:paraId="11B6863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93</w:t>
            </w:r>
          </w:p>
        </w:tc>
        <w:tc>
          <w:tcPr>
            <w:tcW w:w="794" w:type="dxa"/>
            <w:tcBorders>
              <w:bottom w:val="single" w:sz="6" w:space="0" w:color="auto"/>
            </w:tcBorders>
          </w:tcPr>
          <w:p w14:paraId="22477EF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95</w:t>
            </w:r>
          </w:p>
        </w:tc>
        <w:tc>
          <w:tcPr>
            <w:tcW w:w="794" w:type="dxa"/>
            <w:tcBorders>
              <w:bottom w:val="single" w:sz="6" w:space="0" w:color="auto"/>
            </w:tcBorders>
          </w:tcPr>
          <w:p w14:paraId="2BDD954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97</w:t>
            </w:r>
          </w:p>
        </w:tc>
      </w:tr>
      <w:tr w:rsidR="008D6F13" w14:paraId="36B7884B"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835C8E2" w14:textId="77777777" w:rsidR="008D6F13" w:rsidRDefault="008D6F13" w:rsidP="0031078F">
            <w:r>
              <w:rPr>
                <w:b/>
              </w:rPr>
              <w:t>Total sales of goods and services</w:t>
            </w:r>
          </w:p>
        </w:tc>
        <w:tc>
          <w:tcPr>
            <w:tcW w:w="794" w:type="dxa"/>
          </w:tcPr>
          <w:p w14:paraId="5268723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6 405</w:t>
            </w:r>
          </w:p>
        </w:tc>
        <w:tc>
          <w:tcPr>
            <w:tcW w:w="794" w:type="dxa"/>
          </w:tcPr>
          <w:p w14:paraId="0BF2D2A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5 923</w:t>
            </w:r>
          </w:p>
        </w:tc>
        <w:tc>
          <w:tcPr>
            <w:tcW w:w="794" w:type="dxa"/>
          </w:tcPr>
          <w:p w14:paraId="7D88BB6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6 462</w:t>
            </w:r>
          </w:p>
        </w:tc>
        <w:tc>
          <w:tcPr>
            <w:tcW w:w="794" w:type="dxa"/>
          </w:tcPr>
          <w:p w14:paraId="018AD4C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6 605</w:t>
            </w:r>
          </w:p>
        </w:tc>
        <w:tc>
          <w:tcPr>
            <w:tcW w:w="794" w:type="dxa"/>
          </w:tcPr>
          <w:p w14:paraId="4611DF7D" w14:textId="0D20440B"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6 699</w:t>
            </w:r>
          </w:p>
        </w:tc>
      </w:tr>
    </w:tbl>
    <w:p w14:paraId="39F467EF" w14:textId="725E7B80" w:rsidR="008D6F13" w:rsidRDefault="008D6F13" w:rsidP="008D6F13"/>
    <w:p w14:paraId="2DB4C5A7" w14:textId="77777777" w:rsidR="00007ADD" w:rsidRPr="00846F56" w:rsidRDefault="00007ADD" w:rsidP="008D6F13"/>
    <w:p w14:paraId="704408A0" w14:textId="77777777" w:rsidR="008D6F13" w:rsidRPr="00DF3320" w:rsidRDefault="008D6F13" w:rsidP="008D6F13">
      <w:pPr>
        <w:pStyle w:val="Heading3"/>
        <w:spacing w:after="60"/>
        <w:rPr>
          <w:sz w:val="20"/>
          <w:szCs w:val="20"/>
        </w:rPr>
      </w:pPr>
      <w:bookmarkStart w:id="75" w:name="_Toc85010023"/>
      <w:bookmarkStart w:id="76" w:name="_Toc86047051"/>
      <w:r w:rsidRPr="00846F56">
        <w:rPr>
          <w:sz w:val="20"/>
          <w:szCs w:val="20"/>
        </w:rPr>
        <w:t xml:space="preserve">Grants </w:t>
      </w:r>
      <w:r w:rsidRPr="00846F56">
        <w:rPr>
          <w:sz w:val="20"/>
          <w:szCs w:val="20"/>
          <w:vertAlign w:val="superscript"/>
        </w:rPr>
        <w:t>(a)</w:t>
      </w:r>
      <w:r w:rsidRPr="00846F56">
        <w:rPr>
          <w:sz w:val="20"/>
          <w:szCs w:val="20"/>
        </w:rPr>
        <w:tab/>
        <w:t>($ million)</w:t>
      </w:r>
      <w:bookmarkEnd w:id="75"/>
      <w:bookmarkEnd w:id="76"/>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232EB91A"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7D0BC2EE" w14:textId="75DCA380" w:rsidR="008D6F13" w:rsidRDefault="008D6F13" w:rsidP="0031078F"/>
        </w:tc>
        <w:tc>
          <w:tcPr>
            <w:tcW w:w="794" w:type="dxa"/>
          </w:tcPr>
          <w:p w14:paraId="47421860"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4DADF4B7"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2591E227"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689DCB8E"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0896FB2E"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54BB56CD"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27FE66C" w14:textId="77777777" w:rsidR="008D6F13" w:rsidRDefault="008D6F13" w:rsidP="0031078F">
            <w:r>
              <w:t>General purpose grants</w:t>
            </w:r>
          </w:p>
        </w:tc>
        <w:tc>
          <w:tcPr>
            <w:tcW w:w="794" w:type="dxa"/>
          </w:tcPr>
          <w:p w14:paraId="0FB79E1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17 391</w:t>
            </w:r>
          </w:p>
        </w:tc>
        <w:tc>
          <w:tcPr>
            <w:tcW w:w="794" w:type="dxa"/>
          </w:tcPr>
          <w:p w14:paraId="1239B96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17 655</w:t>
            </w:r>
          </w:p>
        </w:tc>
        <w:tc>
          <w:tcPr>
            <w:tcW w:w="794" w:type="dxa"/>
          </w:tcPr>
          <w:p w14:paraId="4B8B138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18 714</w:t>
            </w:r>
          </w:p>
        </w:tc>
        <w:tc>
          <w:tcPr>
            <w:tcW w:w="794" w:type="dxa"/>
          </w:tcPr>
          <w:p w14:paraId="31787A0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18 928</w:t>
            </w:r>
          </w:p>
        </w:tc>
        <w:tc>
          <w:tcPr>
            <w:tcW w:w="794" w:type="dxa"/>
          </w:tcPr>
          <w:p w14:paraId="75EE5EE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19 952</w:t>
            </w:r>
          </w:p>
        </w:tc>
      </w:tr>
      <w:tr w:rsidR="008D6F13" w14:paraId="6C99083B"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1FDC79F" w14:textId="77777777" w:rsidR="008D6F13" w:rsidRDefault="008D6F13" w:rsidP="0031078F">
            <w:r>
              <w:t>Specific purpose grants for on</w:t>
            </w:r>
            <w:r>
              <w:noBreakHyphen/>
              <w:t>passing</w:t>
            </w:r>
          </w:p>
        </w:tc>
        <w:tc>
          <w:tcPr>
            <w:tcW w:w="794" w:type="dxa"/>
          </w:tcPr>
          <w:p w14:paraId="6FDFEDB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4 838</w:t>
            </w:r>
          </w:p>
        </w:tc>
        <w:tc>
          <w:tcPr>
            <w:tcW w:w="794" w:type="dxa"/>
          </w:tcPr>
          <w:p w14:paraId="7CB0305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4 500</w:t>
            </w:r>
          </w:p>
        </w:tc>
        <w:tc>
          <w:tcPr>
            <w:tcW w:w="794" w:type="dxa"/>
          </w:tcPr>
          <w:p w14:paraId="0E3C75B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5 072</w:t>
            </w:r>
          </w:p>
        </w:tc>
        <w:tc>
          <w:tcPr>
            <w:tcW w:w="794" w:type="dxa"/>
          </w:tcPr>
          <w:p w14:paraId="407CD92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5 298</w:t>
            </w:r>
          </w:p>
        </w:tc>
        <w:tc>
          <w:tcPr>
            <w:tcW w:w="794" w:type="dxa"/>
          </w:tcPr>
          <w:p w14:paraId="10A387A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5 485</w:t>
            </w:r>
          </w:p>
        </w:tc>
      </w:tr>
      <w:tr w:rsidR="008D6F13" w14:paraId="788EF6AC"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5DDC076" w14:textId="77777777" w:rsidR="008D6F13" w:rsidRDefault="008D6F13" w:rsidP="0031078F">
            <w:r>
              <w:t>Specific purposes grants</w:t>
            </w:r>
          </w:p>
        </w:tc>
        <w:tc>
          <w:tcPr>
            <w:tcW w:w="794" w:type="dxa"/>
            <w:tcBorders>
              <w:bottom w:val="single" w:sz="6" w:space="0" w:color="auto"/>
            </w:tcBorders>
          </w:tcPr>
          <w:p w14:paraId="672D409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13 772</w:t>
            </w:r>
          </w:p>
        </w:tc>
        <w:tc>
          <w:tcPr>
            <w:tcW w:w="794" w:type="dxa"/>
            <w:tcBorders>
              <w:bottom w:val="single" w:sz="6" w:space="0" w:color="auto"/>
            </w:tcBorders>
          </w:tcPr>
          <w:p w14:paraId="4E14A76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17 545</w:t>
            </w:r>
          </w:p>
        </w:tc>
        <w:tc>
          <w:tcPr>
            <w:tcW w:w="794" w:type="dxa"/>
            <w:tcBorders>
              <w:bottom w:val="single" w:sz="6" w:space="0" w:color="auto"/>
            </w:tcBorders>
          </w:tcPr>
          <w:p w14:paraId="096697C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14 721</w:t>
            </w:r>
          </w:p>
        </w:tc>
        <w:tc>
          <w:tcPr>
            <w:tcW w:w="794" w:type="dxa"/>
            <w:tcBorders>
              <w:bottom w:val="single" w:sz="6" w:space="0" w:color="auto"/>
            </w:tcBorders>
          </w:tcPr>
          <w:p w14:paraId="3FDA393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14 778</w:t>
            </w:r>
          </w:p>
        </w:tc>
        <w:tc>
          <w:tcPr>
            <w:tcW w:w="794" w:type="dxa"/>
            <w:tcBorders>
              <w:bottom w:val="single" w:sz="6" w:space="0" w:color="auto"/>
            </w:tcBorders>
          </w:tcPr>
          <w:p w14:paraId="31D2A19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15 050</w:t>
            </w:r>
          </w:p>
        </w:tc>
      </w:tr>
      <w:tr w:rsidR="008D6F13" w14:paraId="6811C31F"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1F9A213E" w14:textId="77777777" w:rsidR="008D6F13" w:rsidRDefault="008D6F13" w:rsidP="0031078F">
            <w:r>
              <w:rPr>
                <w:b/>
              </w:rPr>
              <w:t>Total</w:t>
            </w:r>
          </w:p>
        </w:tc>
        <w:tc>
          <w:tcPr>
            <w:tcW w:w="794" w:type="dxa"/>
            <w:tcBorders>
              <w:top w:val="single" w:sz="6" w:space="0" w:color="auto"/>
            </w:tcBorders>
          </w:tcPr>
          <w:p w14:paraId="76FA0BA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36 001</w:t>
            </w:r>
          </w:p>
        </w:tc>
        <w:tc>
          <w:tcPr>
            <w:tcW w:w="794" w:type="dxa"/>
            <w:tcBorders>
              <w:top w:val="single" w:sz="6" w:space="0" w:color="auto"/>
            </w:tcBorders>
          </w:tcPr>
          <w:p w14:paraId="719D23F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39 700</w:t>
            </w:r>
          </w:p>
        </w:tc>
        <w:tc>
          <w:tcPr>
            <w:tcW w:w="794" w:type="dxa"/>
            <w:tcBorders>
              <w:top w:val="single" w:sz="6" w:space="0" w:color="auto"/>
            </w:tcBorders>
          </w:tcPr>
          <w:p w14:paraId="3479739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38 507</w:t>
            </w:r>
          </w:p>
        </w:tc>
        <w:tc>
          <w:tcPr>
            <w:tcW w:w="794" w:type="dxa"/>
            <w:tcBorders>
              <w:top w:val="single" w:sz="6" w:space="0" w:color="auto"/>
            </w:tcBorders>
          </w:tcPr>
          <w:p w14:paraId="3254AFB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39 004</w:t>
            </w:r>
          </w:p>
        </w:tc>
        <w:tc>
          <w:tcPr>
            <w:tcW w:w="794" w:type="dxa"/>
            <w:tcBorders>
              <w:top w:val="single" w:sz="6" w:space="0" w:color="auto"/>
            </w:tcBorders>
          </w:tcPr>
          <w:p w14:paraId="75E4DD7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40 487</w:t>
            </w:r>
          </w:p>
        </w:tc>
      </w:tr>
      <w:tr w:rsidR="008D6F13" w14:paraId="1DE762A6"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0C777DD1" w14:textId="77777777" w:rsidR="008D6F13" w:rsidRDefault="008D6F13" w:rsidP="0031078F">
            <w:r>
              <w:t>Other contributions and grants</w:t>
            </w:r>
          </w:p>
        </w:tc>
        <w:tc>
          <w:tcPr>
            <w:tcW w:w="794" w:type="dxa"/>
            <w:tcBorders>
              <w:bottom w:val="single" w:sz="6" w:space="0" w:color="auto"/>
            </w:tcBorders>
          </w:tcPr>
          <w:p w14:paraId="5F22709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777</w:t>
            </w:r>
          </w:p>
        </w:tc>
        <w:tc>
          <w:tcPr>
            <w:tcW w:w="794" w:type="dxa"/>
            <w:tcBorders>
              <w:bottom w:val="single" w:sz="6" w:space="0" w:color="auto"/>
            </w:tcBorders>
          </w:tcPr>
          <w:p w14:paraId="4745935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757</w:t>
            </w:r>
          </w:p>
        </w:tc>
        <w:tc>
          <w:tcPr>
            <w:tcW w:w="794" w:type="dxa"/>
            <w:tcBorders>
              <w:bottom w:val="single" w:sz="6" w:space="0" w:color="auto"/>
            </w:tcBorders>
          </w:tcPr>
          <w:p w14:paraId="5332459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707</w:t>
            </w:r>
          </w:p>
        </w:tc>
        <w:tc>
          <w:tcPr>
            <w:tcW w:w="794" w:type="dxa"/>
            <w:tcBorders>
              <w:bottom w:val="single" w:sz="6" w:space="0" w:color="auto"/>
            </w:tcBorders>
          </w:tcPr>
          <w:p w14:paraId="4AA3F17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973</w:t>
            </w:r>
          </w:p>
        </w:tc>
        <w:tc>
          <w:tcPr>
            <w:tcW w:w="794" w:type="dxa"/>
            <w:tcBorders>
              <w:bottom w:val="single" w:sz="6" w:space="0" w:color="auto"/>
            </w:tcBorders>
          </w:tcPr>
          <w:p w14:paraId="0E74477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865</w:t>
            </w:r>
          </w:p>
        </w:tc>
      </w:tr>
      <w:tr w:rsidR="008D6F13" w14:paraId="64DADA15"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0C044C8" w14:textId="77777777" w:rsidR="008D6F13" w:rsidRDefault="008D6F13" w:rsidP="0031078F">
            <w:r>
              <w:rPr>
                <w:b/>
              </w:rPr>
              <w:t>Total grants</w:t>
            </w:r>
          </w:p>
        </w:tc>
        <w:tc>
          <w:tcPr>
            <w:tcW w:w="794" w:type="dxa"/>
          </w:tcPr>
          <w:p w14:paraId="7B1B9B9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36 778</w:t>
            </w:r>
          </w:p>
        </w:tc>
        <w:tc>
          <w:tcPr>
            <w:tcW w:w="794" w:type="dxa"/>
          </w:tcPr>
          <w:p w14:paraId="6D2E235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40 457</w:t>
            </w:r>
          </w:p>
        </w:tc>
        <w:tc>
          <w:tcPr>
            <w:tcW w:w="794" w:type="dxa"/>
          </w:tcPr>
          <w:p w14:paraId="1E0E8EC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39 214</w:t>
            </w:r>
          </w:p>
        </w:tc>
        <w:tc>
          <w:tcPr>
            <w:tcW w:w="794" w:type="dxa"/>
          </w:tcPr>
          <w:p w14:paraId="2F876D5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39 977</w:t>
            </w:r>
          </w:p>
        </w:tc>
        <w:tc>
          <w:tcPr>
            <w:tcW w:w="794" w:type="dxa"/>
          </w:tcPr>
          <w:p w14:paraId="797A534E" w14:textId="455F58C0"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41 351</w:t>
            </w:r>
          </w:p>
        </w:tc>
      </w:tr>
    </w:tbl>
    <w:p w14:paraId="3AED567C" w14:textId="77777777" w:rsidR="008D6F13" w:rsidRPr="00307B52" w:rsidRDefault="008D6F13" w:rsidP="008D6F13">
      <w:pPr>
        <w:pStyle w:val="Note"/>
        <w:ind w:left="0" w:firstLine="0"/>
      </w:pPr>
      <w:r w:rsidRPr="00307B52">
        <w:t>Note:</w:t>
      </w:r>
    </w:p>
    <w:p w14:paraId="3E1B9A61" w14:textId="77777777" w:rsidR="008D6F13" w:rsidRPr="00307B52" w:rsidRDefault="008D6F13" w:rsidP="008D6F13">
      <w:pPr>
        <w:pStyle w:val="Note"/>
      </w:pPr>
      <w:r w:rsidRPr="00307B52">
        <w:t xml:space="preserve">(a) </w:t>
      </w:r>
      <w:r>
        <w:tab/>
      </w:r>
      <w:r w:rsidRPr="00307B52">
        <w:t xml:space="preserve">Grants predominantly relate to grants from the Commonwealth Government which are recognised under AASB 1058 </w:t>
      </w:r>
      <w:r w:rsidRPr="00E87CD4">
        <w:rPr>
          <w:i w:val="0"/>
          <w:iCs/>
        </w:rPr>
        <w:t>Income of Not</w:t>
      </w:r>
      <w:r w:rsidRPr="00E87CD4">
        <w:rPr>
          <w:i w:val="0"/>
          <w:iCs/>
        </w:rPr>
        <w:noBreakHyphen/>
        <w:t>for-Profit Entities</w:t>
      </w:r>
      <w:r w:rsidRPr="00307B52">
        <w:t>.</w:t>
      </w:r>
    </w:p>
    <w:p w14:paraId="43FE5215" w14:textId="77777777" w:rsidR="008D6F13" w:rsidRDefault="008D6F13" w:rsidP="008D6F13">
      <w:pPr>
        <w:pStyle w:val="Heading3"/>
        <w:pageBreakBefore/>
        <w:spacing w:after="60"/>
        <w:rPr>
          <w:sz w:val="20"/>
          <w:szCs w:val="20"/>
        </w:rPr>
      </w:pPr>
      <w:bookmarkStart w:id="77" w:name="_Toc85010024"/>
      <w:bookmarkStart w:id="78" w:name="_Toc86047052"/>
      <w:r w:rsidRPr="00846F56">
        <w:rPr>
          <w:sz w:val="20"/>
          <w:szCs w:val="20"/>
        </w:rPr>
        <w:lastRenderedPageBreak/>
        <w:t>Other revenue and income</w:t>
      </w:r>
      <w:r w:rsidRPr="00846F56">
        <w:rPr>
          <w:sz w:val="20"/>
          <w:szCs w:val="20"/>
        </w:rPr>
        <w:tab/>
        <w:t>($ million)</w:t>
      </w:r>
      <w:bookmarkEnd w:id="77"/>
      <w:bookmarkEnd w:id="78"/>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6DA10EDC"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0E9FB71D" w14:textId="0CF5FF8A" w:rsidR="008D6F13" w:rsidRDefault="008D6F13" w:rsidP="0031078F"/>
        </w:tc>
        <w:tc>
          <w:tcPr>
            <w:tcW w:w="794" w:type="dxa"/>
          </w:tcPr>
          <w:p w14:paraId="204091F4"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682BFCE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7A912943"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2DE8F444"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5CEF912B"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19863414"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6C411DF" w14:textId="77777777" w:rsidR="008D6F13" w:rsidRDefault="008D6F13" w:rsidP="0031078F">
            <w:r>
              <w:rPr>
                <w:b/>
              </w:rPr>
              <w:t>Revenue items accounted for under AASB 15</w:t>
            </w:r>
          </w:p>
        </w:tc>
        <w:tc>
          <w:tcPr>
            <w:tcW w:w="794" w:type="dxa"/>
          </w:tcPr>
          <w:p w14:paraId="3AEE6CE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7D4D26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A98964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AC9177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F96715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7144EC26"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C889C36" w14:textId="77777777" w:rsidR="008D6F13" w:rsidRDefault="008D6F13" w:rsidP="0031078F">
            <w:r>
              <w:t>Royalties</w:t>
            </w:r>
          </w:p>
        </w:tc>
        <w:tc>
          <w:tcPr>
            <w:tcW w:w="794" w:type="dxa"/>
          </w:tcPr>
          <w:p w14:paraId="2FDD9F4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140</w:t>
            </w:r>
          </w:p>
        </w:tc>
        <w:tc>
          <w:tcPr>
            <w:tcW w:w="794" w:type="dxa"/>
          </w:tcPr>
          <w:p w14:paraId="6433601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140</w:t>
            </w:r>
          </w:p>
        </w:tc>
        <w:tc>
          <w:tcPr>
            <w:tcW w:w="794" w:type="dxa"/>
          </w:tcPr>
          <w:p w14:paraId="21F97C1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140</w:t>
            </w:r>
          </w:p>
        </w:tc>
        <w:tc>
          <w:tcPr>
            <w:tcW w:w="794" w:type="dxa"/>
          </w:tcPr>
          <w:p w14:paraId="7B1B3BC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142</w:t>
            </w:r>
          </w:p>
        </w:tc>
        <w:tc>
          <w:tcPr>
            <w:tcW w:w="794" w:type="dxa"/>
          </w:tcPr>
          <w:p w14:paraId="5ED01F1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144</w:t>
            </w:r>
          </w:p>
        </w:tc>
      </w:tr>
      <w:tr w:rsidR="008D6F13" w14:paraId="4904DF04"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C245C3F" w14:textId="77777777" w:rsidR="008D6F13" w:rsidRDefault="008D6F13" w:rsidP="0031078F">
            <w:r>
              <w:t>Other revenue – Health</w:t>
            </w:r>
          </w:p>
        </w:tc>
        <w:tc>
          <w:tcPr>
            <w:tcW w:w="794" w:type="dxa"/>
          </w:tcPr>
          <w:p w14:paraId="19F3D33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242</w:t>
            </w:r>
          </w:p>
        </w:tc>
        <w:tc>
          <w:tcPr>
            <w:tcW w:w="794" w:type="dxa"/>
          </w:tcPr>
          <w:p w14:paraId="39FA1E2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242</w:t>
            </w:r>
          </w:p>
        </w:tc>
        <w:tc>
          <w:tcPr>
            <w:tcW w:w="794" w:type="dxa"/>
          </w:tcPr>
          <w:p w14:paraId="4B64653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248</w:t>
            </w:r>
          </w:p>
        </w:tc>
        <w:tc>
          <w:tcPr>
            <w:tcW w:w="794" w:type="dxa"/>
          </w:tcPr>
          <w:p w14:paraId="658C942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254</w:t>
            </w:r>
          </w:p>
        </w:tc>
        <w:tc>
          <w:tcPr>
            <w:tcW w:w="794" w:type="dxa"/>
          </w:tcPr>
          <w:p w14:paraId="5D1D52F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261</w:t>
            </w:r>
          </w:p>
        </w:tc>
      </w:tr>
      <w:tr w:rsidR="008D6F13" w14:paraId="6B57D57A"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AEC7E02" w14:textId="77777777" w:rsidR="008D6F13" w:rsidRDefault="008D6F13" w:rsidP="0031078F">
            <w:r>
              <w:t>Other miscellaneous revenue</w:t>
            </w:r>
          </w:p>
        </w:tc>
        <w:tc>
          <w:tcPr>
            <w:tcW w:w="794" w:type="dxa"/>
          </w:tcPr>
          <w:p w14:paraId="3DAAFF9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558</w:t>
            </w:r>
          </w:p>
        </w:tc>
        <w:tc>
          <w:tcPr>
            <w:tcW w:w="794" w:type="dxa"/>
          </w:tcPr>
          <w:p w14:paraId="641C677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604</w:t>
            </w:r>
          </w:p>
        </w:tc>
        <w:tc>
          <w:tcPr>
            <w:tcW w:w="794" w:type="dxa"/>
          </w:tcPr>
          <w:p w14:paraId="30BB67F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656</w:t>
            </w:r>
          </w:p>
        </w:tc>
        <w:tc>
          <w:tcPr>
            <w:tcW w:w="794" w:type="dxa"/>
          </w:tcPr>
          <w:p w14:paraId="208FB5F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585</w:t>
            </w:r>
          </w:p>
        </w:tc>
        <w:tc>
          <w:tcPr>
            <w:tcW w:w="794" w:type="dxa"/>
          </w:tcPr>
          <w:p w14:paraId="444377C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706</w:t>
            </w:r>
          </w:p>
        </w:tc>
      </w:tr>
      <w:tr w:rsidR="008D6F13" w14:paraId="76929891"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3A599A4" w14:textId="77777777" w:rsidR="008D6F13" w:rsidRDefault="008D6F13" w:rsidP="0031078F">
            <w:r>
              <w:rPr>
                <w:b/>
              </w:rPr>
              <w:t>Income accounted for under AASB 1058</w:t>
            </w:r>
          </w:p>
        </w:tc>
        <w:tc>
          <w:tcPr>
            <w:tcW w:w="794" w:type="dxa"/>
          </w:tcPr>
          <w:p w14:paraId="2303E6D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7BBC42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9603A2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BA2951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73DBD4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6B42FDAC"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0F3DBB9" w14:textId="77777777" w:rsidR="008D6F13" w:rsidRDefault="008D6F13" w:rsidP="0031078F">
            <w:r>
              <w:t>Fair value of assets received free of charge or for nominal consideration</w:t>
            </w:r>
            <w:r>
              <w:rPr>
                <w:vertAlign w:val="superscript"/>
              </w:rPr>
              <w:t xml:space="preserve"> (a)</w:t>
            </w:r>
          </w:p>
        </w:tc>
        <w:tc>
          <w:tcPr>
            <w:tcW w:w="794" w:type="dxa"/>
          </w:tcPr>
          <w:p w14:paraId="56413B8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709</w:t>
            </w:r>
          </w:p>
        </w:tc>
        <w:tc>
          <w:tcPr>
            <w:tcW w:w="794" w:type="dxa"/>
          </w:tcPr>
          <w:p w14:paraId="1F954C2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701</w:t>
            </w:r>
          </w:p>
        </w:tc>
        <w:tc>
          <w:tcPr>
            <w:tcW w:w="794" w:type="dxa"/>
          </w:tcPr>
          <w:p w14:paraId="3D96A6F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429</w:t>
            </w:r>
          </w:p>
        </w:tc>
        <w:tc>
          <w:tcPr>
            <w:tcW w:w="794" w:type="dxa"/>
          </w:tcPr>
          <w:p w14:paraId="579134A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155</w:t>
            </w:r>
          </w:p>
        </w:tc>
        <w:tc>
          <w:tcPr>
            <w:tcW w:w="794" w:type="dxa"/>
          </w:tcPr>
          <w:p w14:paraId="789E482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w:t>
            </w:r>
          </w:p>
        </w:tc>
      </w:tr>
      <w:tr w:rsidR="008D6F13" w14:paraId="710B043D"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40A92EB" w14:textId="77777777" w:rsidR="008D6F13" w:rsidRDefault="008D6F13" w:rsidP="0031078F">
            <w:r>
              <w:t>Fines</w:t>
            </w:r>
          </w:p>
        </w:tc>
        <w:tc>
          <w:tcPr>
            <w:tcW w:w="794" w:type="dxa"/>
          </w:tcPr>
          <w:p w14:paraId="24B2F65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972</w:t>
            </w:r>
          </w:p>
        </w:tc>
        <w:tc>
          <w:tcPr>
            <w:tcW w:w="794" w:type="dxa"/>
          </w:tcPr>
          <w:p w14:paraId="00A177E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823</w:t>
            </w:r>
          </w:p>
        </w:tc>
        <w:tc>
          <w:tcPr>
            <w:tcW w:w="794" w:type="dxa"/>
          </w:tcPr>
          <w:p w14:paraId="4D82461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1 000</w:t>
            </w:r>
          </w:p>
        </w:tc>
        <w:tc>
          <w:tcPr>
            <w:tcW w:w="794" w:type="dxa"/>
          </w:tcPr>
          <w:p w14:paraId="19C6CFE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1 016</w:t>
            </w:r>
          </w:p>
        </w:tc>
        <w:tc>
          <w:tcPr>
            <w:tcW w:w="794" w:type="dxa"/>
          </w:tcPr>
          <w:p w14:paraId="7B2261B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1 040</w:t>
            </w:r>
          </w:p>
        </w:tc>
      </w:tr>
      <w:tr w:rsidR="008D6F13" w14:paraId="7409A6AF"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EAE8DDF" w14:textId="77777777" w:rsidR="008D6F13" w:rsidRDefault="008D6F13" w:rsidP="0031078F">
            <w:r>
              <w:t>Donations and gifts</w:t>
            </w:r>
          </w:p>
        </w:tc>
        <w:tc>
          <w:tcPr>
            <w:tcW w:w="794" w:type="dxa"/>
          </w:tcPr>
          <w:p w14:paraId="19858BA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220</w:t>
            </w:r>
          </w:p>
        </w:tc>
        <w:tc>
          <w:tcPr>
            <w:tcW w:w="794" w:type="dxa"/>
          </w:tcPr>
          <w:p w14:paraId="334ACE1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234</w:t>
            </w:r>
          </w:p>
        </w:tc>
        <w:tc>
          <w:tcPr>
            <w:tcW w:w="794" w:type="dxa"/>
          </w:tcPr>
          <w:p w14:paraId="57D06AE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209</w:t>
            </w:r>
          </w:p>
        </w:tc>
        <w:tc>
          <w:tcPr>
            <w:tcW w:w="794" w:type="dxa"/>
          </w:tcPr>
          <w:p w14:paraId="71A2A62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214</w:t>
            </w:r>
          </w:p>
        </w:tc>
        <w:tc>
          <w:tcPr>
            <w:tcW w:w="794" w:type="dxa"/>
          </w:tcPr>
          <w:p w14:paraId="07CD8F9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223</w:t>
            </w:r>
          </w:p>
        </w:tc>
      </w:tr>
      <w:tr w:rsidR="008D6F13" w14:paraId="3FCF8D0F"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14C6ED4" w14:textId="77777777" w:rsidR="008D6F13" w:rsidRDefault="008D6F13" w:rsidP="0031078F">
            <w:r>
              <w:t>Other income – Education</w:t>
            </w:r>
          </w:p>
        </w:tc>
        <w:tc>
          <w:tcPr>
            <w:tcW w:w="794" w:type="dxa"/>
          </w:tcPr>
          <w:p w14:paraId="5C447A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403</w:t>
            </w:r>
          </w:p>
        </w:tc>
        <w:tc>
          <w:tcPr>
            <w:tcW w:w="794" w:type="dxa"/>
          </w:tcPr>
          <w:p w14:paraId="4A10154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290</w:t>
            </w:r>
          </w:p>
        </w:tc>
        <w:tc>
          <w:tcPr>
            <w:tcW w:w="794" w:type="dxa"/>
          </w:tcPr>
          <w:p w14:paraId="660CDAB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424</w:t>
            </w:r>
          </w:p>
        </w:tc>
        <w:tc>
          <w:tcPr>
            <w:tcW w:w="794" w:type="dxa"/>
          </w:tcPr>
          <w:p w14:paraId="1630B3B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435</w:t>
            </w:r>
          </w:p>
        </w:tc>
        <w:tc>
          <w:tcPr>
            <w:tcW w:w="794" w:type="dxa"/>
          </w:tcPr>
          <w:p w14:paraId="656A732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446</w:t>
            </w:r>
          </w:p>
        </w:tc>
      </w:tr>
      <w:tr w:rsidR="008D6F13" w14:paraId="6E8FA1B7"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8634AA6" w14:textId="77777777" w:rsidR="008D6F13" w:rsidRDefault="008D6F13" w:rsidP="0031078F">
            <w:r>
              <w:rPr>
                <w:b/>
              </w:rPr>
              <w:t>Lease income accounted for under AASB 16</w:t>
            </w:r>
          </w:p>
        </w:tc>
        <w:tc>
          <w:tcPr>
            <w:tcW w:w="794" w:type="dxa"/>
          </w:tcPr>
          <w:p w14:paraId="34337FB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6B89A2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2FDB25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9B0737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14AD30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3F349341"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73BDD53" w14:textId="77777777" w:rsidR="008D6F13" w:rsidRDefault="008D6F13" w:rsidP="0031078F">
            <w:r>
              <w:t>Other non</w:t>
            </w:r>
            <w:r>
              <w:noBreakHyphen/>
              <w:t>property rental</w:t>
            </w:r>
          </w:p>
        </w:tc>
        <w:tc>
          <w:tcPr>
            <w:tcW w:w="794" w:type="dxa"/>
          </w:tcPr>
          <w:p w14:paraId="6EA665B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32</w:t>
            </w:r>
          </w:p>
        </w:tc>
        <w:tc>
          <w:tcPr>
            <w:tcW w:w="794" w:type="dxa"/>
          </w:tcPr>
          <w:p w14:paraId="0099BA1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28</w:t>
            </w:r>
          </w:p>
        </w:tc>
        <w:tc>
          <w:tcPr>
            <w:tcW w:w="794" w:type="dxa"/>
          </w:tcPr>
          <w:p w14:paraId="2483A67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29</w:t>
            </w:r>
          </w:p>
        </w:tc>
        <w:tc>
          <w:tcPr>
            <w:tcW w:w="794" w:type="dxa"/>
          </w:tcPr>
          <w:p w14:paraId="69970FD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29</w:t>
            </w:r>
          </w:p>
        </w:tc>
        <w:tc>
          <w:tcPr>
            <w:tcW w:w="794" w:type="dxa"/>
          </w:tcPr>
          <w:p w14:paraId="63473E7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29</w:t>
            </w:r>
          </w:p>
        </w:tc>
      </w:tr>
      <w:tr w:rsidR="008D6F13" w14:paraId="23DD7A6E"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F0202A6" w14:textId="77777777" w:rsidR="008D6F13" w:rsidRDefault="008D6F13" w:rsidP="0031078F">
            <w:r>
              <w:rPr>
                <w:b/>
              </w:rPr>
              <w:t>Revenue items accounted for under AASB 1059</w:t>
            </w:r>
          </w:p>
        </w:tc>
        <w:tc>
          <w:tcPr>
            <w:tcW w:w="794" w:type="dxa"/>
          </w:tcPr>
          <w:p w14:paraId="6B2C729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33423D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24F5F4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A07B3E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48EC30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7AA7DFFD"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02AE8423" w14:textId="77777777" w:rsidR="008D6F13" w:rsidRDefault="008D6F13" w:rsidP="0031078F">
            <w:r>
              <w:t>Revenue related to economic service concession arrangements</w:t>
            </w:r>
          </w:p>
        </w:tc>
        <w:tc>
          <w:tcPr>
            <w:tcW w:w="794" w:type="dxa"/>
            <w:tcBorders>
              <w:bottom w:val="single" w:sz="6" w:space="0" w:color="auto"/>
            </w:tcBorders>
          </w:tcPr>
          <w:p w14:paraId="7C0FF2B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330</w:t>
            </w:r>
          </w:p>
        </w:tc>
        <w:tc>
          <w:tcPr>
            <w:tcW w:w="794" w:type="dxa"/>
            <w:tcBorders>
              <w:bottom w:val="single" w:sz="6" w:space="0" w:color="auto"/>
            </w:tcBorders>
          </w:tcPr>
          <w:p w14:paraId="0ADEC1E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288</w:t>
            </w:r>
          </w:p>
        </w:tc>
        <w:tc>
          <w:tcPr>
            <w:tcW w:w="794" w:type="dxa"/>
            <w:tcBorders>
              <w:bottom w:val="single" w:sz="6" w:space="0" w:color="auto"/>
            </w:tcBorders>
          </w:tcPr>
          <w:p w14:paraId="1EC0A11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374</w:t>
            </w:r>
          </w:p>
        </w:tc>
        <w:tc>
          <w:tcPr>
            <w:tcW w:w="794" w:type="dxa"/>
            <w:tcBorders>
              <w:bottom w:val="single" w:sz="6" w:space="0" w:color="auto"/>
            </w:tcBorders>
          </w:tcPr>
          <w:p w14:paraId="5EF0CCB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378</w:t>
            </w:r>
          </w:p>
        </w:tc>
        <w:tc>
          <w:tcPr>
            <w:tcW w:w="794" w:type="dxa"/>
            <w:tcBorders>
              <w:bottom w:val="single" w:sz="6" w:space="0" w:color="auto"/>
            </w:tcBorders>
          </w:tcPr>
          <w:p w14:paraId="56EA6EC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557</w:t>
            </w:r>
          </w:p>
        </w:tc>
      </w:tr>
      <w:tr w:rsidR="008D6F13" w14:paraId="0B8D0F58"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548F31C" w14:textId="77777777" w:rsidR="008D6F13" w:rsidRDefault="008D6F13" w:rsidP="0031078F">
            <w:r>
              <w:rPr>
                <w:b/>
              </w:rPr>
              <w:t>Total other revenue and income</w:t>
            </w:r>
          </w:p>
        </w:tc>
        <w:tc>
          <w:tcPr>
            <w:tcW w:w="794" w:type="dxa"/>
          </w:tcPr>
          <w:p w14:paraId="2AA338F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3 605</w:t>
            </w:r>
          </w:p>
        </w:tc>
        <w:tc>
          <w:tcPr>
            <w:tcW w:w="794" w:type="dxa"/>
          </w:tcPr>
          <w:p w14:paraId="52CC18C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3 350</w:t>
            </w:r>
          </w:p>
        </w:tc>
        <w:tc>
          <w:tcPr>
            <w:tcW w:w="794" w:type="dxa"/>
          </w:tcPr>
          <w:p w14:paraId="7ADEFF4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3 508</w:t>
            </w:r>
          </w:p>
        </w:tc>
        <w:tc>
          <w:tcPr>
            <w:tcW w:w="794" w:type="dxa"/>
          </w:tcPr>
          <w:p w14:paraId="57F42C1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3 209</w:t>
            </w:r>
          </w:p>
        </w:tc>
        <w:tc>
          <w:tcPr>
            <w:tcW w:w="794" w:type="dxa"/>
          </w:tcPr>
          <w:p w14:paraId="4D4C84BC" w14:textId="0BC7D9AA"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3 408</w:t>
            </w:r>
          </w:p>
        </w:tc>
      </w:tr>
    </w:tbl>
    <w:p w14:paraId="3D925DCA" w14:textId="77777777" w:rsidR="008D6F13" w:rsidRPr="00307B52" w:rsidRDefault="008D6F13" w:rsidP="008D6F13">
      <w:pPr>
        <w:pStyle w:val="Note"/>
        <w:ind w:left="0" w:firstLine="0"/>
      </w:pPr>
      <w:r w:rsidRPr="00307B52">
        <w:t xml:space="preserve">Note: </w:t>
      </w:r>
    </w:p>
    <w:p w14:paraId="3324D86A" w14:textId="77777777" w:rsidR="008D6F13" w:rsidRPr="00307B52" w:rsidRDefault="008D6F13" w:rsidP="008D6F13">
      <w:pPr>
        <w:pStyle w:val="Note"/>
      </w:pPr>
      <w:r w:rsidRPr="00307B52">
        <w:t>(a)</w:t>
      </w:r>
      <w:r w:rsidRPr="00307B52">
        <w:tab/>
        <w:t>The profile of the Fair value of assets received free of charge or for nominal consideration includes Cross Yarra Partnership Consortium’s contribution to additional costs borne by the operator as part of the Metro Tunnel settlement.</w:t>
      </w:r>
    </w:p>
    <w:p w14:paraId="278F1FAB" w14:textId="77777777" w:rsidR="008D6F13" w:rsidRPr="00307B52" w:rsidRDefault="008D6F13" w:rsidP="008D6F13"/>
    <w:p w14:paraId="38BEAFB3" w14:textId="77777777" w:rsidR="008D6F13" w:rsidRDefault="008D6F13" w:rsidP="008D6F13"/>
    <w:bookmarkEnd w:id="71"/>
    <w:p w14:paraId="066731EF" w14:textId="77777777" w:rsidR="008D6F13" w:rsidRDefault="008D6F13" w:rsidP="008D6F13"/>
    <w:p w14:paraId="3FF35160" w14:textId="77777777" w:rsidR="008D6F13" w:rsidRDefault="008D6F13" w:rsidP="008D6F13">
      <w:pPr>
        <w:sectPr w:rsidR="008D6F13" w:rsidSect="0031078F">
          <w:footerReference w:type="first" r:id="rId45"/>
          <w:type w:val="continuous"/>
          <w:pgSz w:w="9979" w:h="14175" w:code="9"/>
          <w:pgMar w:top="1134" w:right="1134" w:bottom="1134" w:left="1134" w:header="624" w:footer="567" w:gutter="0"/>
          <w:cols w:space="708"/>
          <w:docGrid w:linePitch="360"/>
        </w:sectPr>
      </w:pPr>
    </w:p>
    <w:p w14:paraId="7485A883" w14:textId="77777777" w:rsidR="008D6F13" w:rsidRDefault="008D6F13" w:rsidP="008D6F13">
      <w:pPr>
        <w:pStyle w:val="Heading2"/>
      </w:pPr>
      <w:r w:rsidRPr="007F4217">
        <w:lastRenderedPageBreak/>
        <w:t>HOW FUNDS ARE SPENT</w:t>
      </w:r>
    </w:p>
    <w:p w14:paraId="469EA539" w14:textId="77777777" w:rsidR="008D6F13" w:rsidRDefault="008D6F13" w:rsidP="008D6F13">
      <w:pPr>
        <w:sectPr w:rsidR="008D6F13" w:rsidSect="0031078F">
          <w:pgSz w:w="9979" w:h="14175" w:code="9"/>
          <w:pgMar w:top="1134" w:right="1134" w:bottom="1134" w:left="1134" w:header="624" w:footer="567" w:gutter="0"/>
          <w:cols w:space="708"/>
          <w:docGrid w:linePitch="360"/>
        </w:sectPr>
      </w:pPr>
    </w:p>
    <w:p w14:paraId="4F354A75" w14:textId="77777777" w:rsidR="008D6F13" w:rsidRDefault="008D6F13" w:rsidP="008D6F13">
      <w:pPr>
        <w:pStyle w:val="Heading30"/>
      </w:pPr>
      <w:r w:rsidRPr="007F4217">
        <w:t>Introduction</w:t>
      </w:r>
    </w:p>
    <w:p w14:paraId="4A7640AC" w14:textId="77777777" w:rsidR="008D6F13" w:rsidRDefault="008D6F13" w:rsidP="008D6F13">
      <w:r w:rsidRPr="00FC6AC0">
        <w:t>This section accounts for the major components of expenditure incurred by the State towards the delivery of services and on capital or infrastructure projects during the year.</w:t>
      </w:r>
    </w:p>
    <w:p w14:paraId="359BDBFB" w14:textId="77777777" w:rsidR="008D6F13" w:rsidRDefault="008D6F13" w:rsidP="008D6F13">
      <w:pPr>
        <w:pStyle w:val="Heading30"/>
      </w:pPr>
      <w:r>
        <w:br w:type="column"/>
      </w:r>
      <w:r w:rsidRPr="007F4217">
        <w:t>Structure</w:t>
      </w:r>
    </w:p>
    <w:p w14:paraId="3752E953" w14:textId="7096A9E1" w:rsidR="008D6F13" w:rsidRDefault="008D6F13" w:rsidP="008D6F13">
      <w:pPr>
        <w:pStyle w:val="TOC9"/>
        <w:rPr>
          <w:rFonts w:eastAsiaTheme="minorEastAsia"/>
          <w:noProof/>
          <w:spacing w:val="0"/>
          <w:lang w:eastAsia="en-AU"/>
        </w:rPr>
      </w:pPr>
      <w:r>
        <w:fldChar w:fldCharType="begin"/>
      </w:r>
      <w:r>
        <w:instrText xml:space="preserve"> TOC \h \z \t "Heading 3 (#),9" \b Section_3 \* MERGEFORMAT </w:instrText>
      </w:r>
      <w:r>
        <w:fldChar w:fldCharType="separate"/>
      </w:r>
      <w:hyperlink w:anchor="_Toc85767952" w:history="1">
        <w:r w:rsidRPr="00F41540">
          <w:rPr>
            <w:rStyle w:val="Hyperlink"/>
            <w:noProof/>
          </w:rPr>
          <w:t>4.3.1</w:t>
        </w:r>
        <w:r>
          <w:rPr>
            <w:rFonts w:eastAsiaTheme="minorEastAsia"/>
            <w:noProof/>
            <w:spacing w:val="0"/>
            <w:lang w:eastAsia="en-AU"/>
          </w:rPr>
          <w:tab/>
        </w:r>
        <w:r w:rsidRPr="00F41540">
          <w:rPr>
            <w:rStyle w:val="Hyperlink"/>
            <w:noProof/>
          </w:rPr>
          <w:t xml:space="preserve">Employee expenses and provision </w:t>
        </w:r>
        <w:r w:rsidR="0031078F">
          <w:rPr>
            <w:rStyle w:val="Hyperlink"/>
            <w:noProof/>
          </w:rPr>
          <w:br/>
        </w:r>
        <w:r w:rsidRPr="00F41540">
          <w:rPr>
            <w:rStyle w:val="Hyperlink"/>
            <w:noProof/>
          </w:rPr>
          <w:t>for outstanding employee benefits</w:t>
        </w:r>
        <w:r>
          <w:rPr>
            <w:noProof/>
            <w:webHidden/>
          </w:rPr>
          <w:tab/>
        </w:r>
        <w:r>
          <w:rPr>
            <w:noProof/>
            <w:webHidden/>
          </w:rPr>
          <w:fldChar w:fldCharType="begin"/>
        </w:r>
        <w:r>
          <w:rPr>
            <w:noProof/>
            <w:webHidden/>
          </w:rPr>
          <w:instrText xml:space="preserve"> PAGEREF _Toc85767952 \h </w:instrText>
        </w:r>
        <w:r>
          <w:rPr>
            <w:noProof/>
            <w:webHidden/>
          </w:rPr>
        </w:r>
        <w:r>
          <w:rPr>
            <w:noProof/>
            <w:webHidden/>
          </w:rPr>
          <w:fldChar w:fldCharType="separate"/>
        </w:r>
        <w:r w:rsidR="00104E8F">
          <w:rPr>
            <w:noProof/>
            <w:webHidden/>
          </w:rPr>
          <w:t>63</w:t>
        </w:r>
        <w:r>
          <w:rPr>
            <w:noProof/>
            <w:webHidden/>
          </w:rPr>
          <w:fldChar w:fldCharType="end"/>
        </w:r>
      </w:hyperlink>
    </w:p>
    <w:p w14:paraId="02CDF763" w14:textId="1E556A10" w:rsidR="008D6F13" w:rsidRDefault="005D5407" w:rsidP="008D6F13">
      <w:pPr>
        <w:pStyle w:val="TOC9"/>
        <w:rPr>
          <w:rFonts w:eastAsiaTheme="minorEastAsia"/>
          <w:noProof/>
          <w:spacing w:val="0"/>
          <w:lang w:eastAsia="en-AU"/>
        </w:rPr>
      </w:pPr>
      <w:hyperlink w:anchor="_Toc85767953" w:history="1">
        <w:r w:rsidR="008D6F13" w:rsidRPr="00F41540">
          <w:rPr>
            <w:rStyle w:val="Hyperlink"/>
            <w:noProof/>
          </w:rPr>
          <w:t>4.3.2</w:t>
        </w:r>
        <w:r w:rsidR="008D6F13">
          <w:rPr>
            <w:rFonts w:eastAsiaTheme="minorEastAsia"/>
            <w:noProof/>
            <w:spacing w:val="0"/>
            <w:lang w:eastAsia="en-AU"/>
          </w:rPr>
          <w:tab/>
        </w:r>
        <w:r w:rsidR="008D6F13" w:rsidRPr="00F41540">
          <w:rPr>
            <w:rStyle w:val="Hyperlink"/>
            <w:noProof/>
          </w:rPr>
          <w:t>Superannuation expense</w:t>
        </w:r>
        <w:r w:rsidR="008D6F13">
          <w:rPr>
            <w:noProof/>
            <w:webHidden/>
          </w:rPr>
          <w:tab/>
        </w:r>
        <w:r w:rsidR="008D6F13">
          <w:rPr>
            <w:noProof/>
            <w:webHidden/>
          </w:rPr>
          <w:fldChar w:fldCharType="begin"/>
        </w:r>
        <w:r w:rsidR="008D6F13">
          <w:rPr>
            <w:noProof/>
            <w:webHidden/>
          </w:rPr>
          <w:instrText xml:space="preserve"> PAGEREF _Toc85767953 \h </w:instrText>
        </w:r>
        <w:r w:rsidR="008D6F13">
          <w:rPr>
            <w:noProof/>
            <w:webHidden/>
          </w:rPr>
        </w:r>
        <w:r w:rsidR="008D6F13">
          <w:rPr>
            <w:noProof/>
            <w:webHidden/>
          </w:rPr>
          <w:fldChar w:fldCharType="separate"/>
        </w:r>
        <w:r w:rsidR="00104E8F">
          <w:rPr>
            <w:noProof/>
            <w:webHidden/>
          </w:rPr>
          <w:t>64</w:t>
        </w:r>
        <w:r w:rsidR="008D6F13">
          <w:rPr>
            <w:noProof/>
            <w:webHidden/>
          </w:rPr>
          <w:fldChar w:fldCharType="end"/>
        </w:r>
      </w:hyperlink>
    </w:p>
    <w:p w14:paraId="32984976" w14:textId="245CCEE4" w:rsidR="008D6F13" w:rsidRDefault="005D5407" w:rsidP="008D6F13">
      <w:pPr>
        <w:pStyle w:val="TOC9"/>
        <w:rPr>
          <w:rFonts w:eastAsiaTheme="minorEastAsia"/>
          <w:noProof/>
          <w:spacing w:val="0"/>
          <w:lang w:eastAsia="en-AU"/>
        </w:rPr>
      </w:pPr>
      <w:hyperlink w:anchor="_Toc85767954" w:history="1">
        <w:r w:rsidR="008D6F13" w:rsidRPr="00F41540">
          <w:rPr>
            <w:rStyle w:val="Hyperlink"/>
            <w:noProof/>
          </w:rPr>
          <w:t>4.3.3</w:t>
        </w:r>
        <w:r w:rsidR="008D6F13">
          <w:rPr>
            <w:rFonts w:eastAsiaTheme="minorEastAsia"/>
            <w:noProof/>
            <w:spacing w:val="0"/>
            <w:lang w:eastAsia="en-AU"/>
          </w:rPr>
          <w:tab/>
        </w:r>
        <w:r w:rsidR="008D6F13" w:rsidRPr="00F41540">
          <w:rPr>
            <w:rStyle w:val="Hyperlink"/>
            <w:noProof/>
          </w:rPr>
          <w:t>Grant expense</w:t>
        </w:r>
        <w:r w:rsidR="008D6F13">
          <w:rPr>
            <w:noProof/>
            <w:webHidden/>
          </w:rPr>
          <w:tab/>
        </w:r>
        <w:r w:rsidR="008D6F13">
          <w:rPr>
            <w:noProof/>
            <w:webHidden/>
          </w:rPr>
          <w:fldChar w:fldCharType="begin"/>
        </w:r>
        <w:r w:rsidR="008D6F13">
          <w:rPr>
            <w:noProof/>
            <w:webHidden/>
          </w:rPr>
          <w:instrText xml:space="preserve"> PAGEREF _Toc85767954 \h </w:instrText>
        </w:r>
        <w:r w:rsidR="008D6F13">
          <w:rPr>
            <w:noProof/>
            <w:webHidden/>
          </w:rPr>
        </w:r>
        <w:r w:rsidR="008D6F13">
          <w:rPr>
            <w:noProof/>
            <w:webHidden/>
          </w:rPr>
          <w:fldChar w:fldCharType="separate"/>
        </w:r>
        <w:r w:rsidR="00104E8F">
          <w:rPr>
            <w:noProof/>
            <w:webHidden/>
          </w:rPr>
          <w:t>66</w:t>
        </w:r>
        <w:r w:rsidR="008D6F13">
          <w:rPr>
            <w:noProof/>
            <w:webHidden/>
          </w:rPr>
          <w:fldChar w:fldCharType="end"/>
        </w:r>
      </w:hyperlink>
    </w:p>
    <w:p w14:paraId="17470C10" w14:textId="379311A2" w:rsidR="008D6F13" w:rsidRDefault="005D5407" w:rsidP="008D6F13">
      <w:pPr>
        <w:pStyle w:val="TOC9"/>
        <w:rPr>
          <w:rFonts w:eastAsiaTheme="minorEastAsia"/>
          <w:noProof/>
          <w:spacing w:val="0"/>
          <w:lang w:eastAsia="en-AU"/>
        </w:rPr>
      </w:pPr>
      <w:hyperlink w:anchor="_Toc85767955" w:history="1">
        <w:r w:rsidR="008D6F13" w:rsidRPr="00F41540">
          <w:rPr>
            <w:rStyle w:val="Hyperlink"/>
            <w:noProof/>
          </w:rPr>
          <w:t>4.3.4</w:t>
        </w:r>
        <w:r w:rsidR="008D6F13">
          <w:rPr>
            <w:rFonts w:eastAsiaTheme="minorEastAsia"/>
            <w:noProof/>
            <w:spacing w:val="0"/>
            <w:lang w:eastAsia="en-AU"/>
          </w:rPr>
          <w:tab/>
        </w:r>
        <w:r w:rsidR="008D6F13" w:rsidRPr="00F41540">
          <w:rPr>
            <w:rStyle w:val="Hyperlink"/>
            <w:noProof/>
          </w:rPr>
          <w:t>Other operating expenses</w:t>
        </w:r>
        <w:r w:rsidR="008D6F13">
          <w:rPr>
            <w:noProof/>
            <w:webHidden/>
          </w:rPr>
          <w:tab/>
        </w:r>
        <w:r w:rsidR="008D6F13">
          <w:rPr>
            <w:noProof/>
            <w:webHidden/>
          </w:rPr>
          <w:fldChar w:fldCharType="begin"/>
        </w:r>
        <w:r w:rsidR="008D6F13">
          <w:rPr>
            <w:noProof/>
            <w:webHidden/>
          </w:rPr>
          <w:instrText xml:space="preserve"> PAGEREF _Toc85767955 \h </w:instrText>
        </w:r>
        <w:r w:rsidR="008D6F13">
          <w:rPr>
            <w:noProof/>
            <w:webHidden/>
          </w:rPr>
        </w:r>
        <w:r w:rsidR="008D6F13">
          <w:rPr>
            <w:noProof/>
            <w:webHidden/>
          </w:rPr>
          <w:fldChar w:fldCharType="separate"/>
        </w:r>
        <w:r w:rsidR="00104E8F">
          <w:rPr>
            <w:noProof/>
            <w:webHidden/>
          </w:rPr>
          <w:t>67</w:t>
        </w:r>
        <w:r w:rsidR="008D6F13">
          <w:rPr>
            <w:noProof/>
            <w:webHidden/>
          </w:rPr>
          <w:fldChar w:fldCharType="end"/>
        </w:r>
      </w:hyperlink>
    </w:p>
    <w:p w14:paraId="1BA68447" w14:textId="5C6F933E" w:rsidR="008D6F13" w:rsidRDefault="005D5407" w:rsidP="008D6F13">
      <w:pPr>
        <w:pStyle w:val="TOC9"/>
        <w:rPr>
          <w:rFonts w:eastAsiaTheme="minorEastAsia"/>
          <w:noProof/>
          <w:spacing w:val="0"/>
          <w:lang w:eastAsia="en-AU"/>
        </w:rPr>
      </w:pPr>
      <w:hyperlink w:anchor="_Toc85767956" w:history="1">
        <w:r w:rsidR="008D6F13" w:rsidRPr="00F41540">
          <w:rPr>
            <w:rStyle w:val="Hyperlink"/>
            <w:noProof/>
          </w:rPr>
          <w:t>4.3.5</w:t>
        </w:r>
        <w:r w:rsidR="008D6F13">
          <w:rPr>
            <w:rFonts w:eastAsiaTheme="minorEastAsia"/>
            <w:noProof/>
            <w:spacing w:val="0"/>
            <w:lang w:eastAsia="en-AU"/>
          </w:rPr>
          <w:tab/>
        </w:r>
        <w:r w:rsidR="008D6F13" w:rsidRPr="00F41540">
          <w:rPr>
            <w:rStyle w:val="Hyperlink"/>
            <w:noProof/>
          </w:rPr>
          <w:t xml:space="preserve">Total expenses by classification </w:t>
        </w:r>
        <w:r w:rsidR="0031078F">
          <w:rPr>
            <w:rStyle w:val="Hyperlink"/>
            <w:noProof/>
          </w:rPr>
          <w:br/>
        </w:r>
        <w:r w:rsidR="008D6F13" w:rsidRPr="00F41540">
          <w:rPr>
            <w:rStyle w:val="Hyperlink"/>
            <w:noProof/>
          </w:rPr>
          <w:t xml:space="preserve">of the functions of government  </w:t>
        </w:r>
        <w:r w:rsidR="008D6F13">
          <w:rPr>
            <w:rStyle w:val="Hyperlink"/>
            <w:noProof/>
          </w:rPr>
          <w:br/>
        </w:r>
        <w:r w:rsidR="008D6F13" w:rsidRPr="00F41540">
          <w:rPr>
            <w:rStyle w:val="Hyperlink"/>
            <w:noProof/>
          </w:rPr>
          <w:t>and by portfolio department</w:t>
        </w:r>
        <w:r w:rsidR="008D6F13">
          <w:rPr>
            <w:noProof/>
            <w:webHidden/>
          </w:rPr>
          <w:tab/>
        </w:r>
        <w:r w:rsidR="008D6F13">
          <w:rPr>
            <w:noProof/>
            <w:webHidden/>
          </w:rPr>
          <w:fldChar w:fldCharType="begin"/>
        </w:r>
        <w:r w:rsidR="008D6F13">
          <w:rPr>
            <w:noProof/>
            <w:webHidden/>
          </w:rPr>
          <w:instrText xml:space="preserve"> PAGEREF _Toc85767956 \h </w:instrText>
        </w:r>
        <w:r w:rsidR="008D6F13">
          <w:rPr>
            <w:noProof/>
            <w:webHidden/>
          </w:rPr>
        </w:r>
        <w:r w:rsidR="008D6F13">
          <w:rPr>
            <w:noProof/>
            <w:webHidden/>
          </w:rPr>
          <w:fldChar w:fldCharType="separate"/>
        </w:r>
        <w:r w:rsidR="00104E8F">
          <w:rPr>
            <w:noProof/>
            <w:webHidden/>
          </w:rPr>
          <w:t>68</w:t>
        </w:r>
        <w:r w:rsidR="008D6F13">
          <w:rPr>
            <w:noProof/>
            <w:webHidden/>
          </w:rPr>
          <w:fldChar w:fldCharType="end"/>
        </w:r>
      </w:hyperlink>
    </w:p>
    <w:p w14:paraId="5E2D4FB0" w14:textId="5E3D0253" w:rsidR="008D6F13" w:rsidRDefault="005D5407" w:rsidP="008D6F13">
      <w:pPr>
        <w:pStyle w:val="TOC9"/>
        <w:rPr>
          <w:rFonts w:eastAsiaTheme="minorEastAsia"/>
          <w:noProof/>
          <w:spacing w:val="0"/>
          <w:lang w:eastAsia="en-AU"/>
        </w:rPr>
      </w:pPr>
      <w:hyperlink w:anchor="_Toc85767957" w:history="1">
        <w:r w:rsidR="008D6F13" w:rsidRPr="00F41540">
          <w:rPr>
            <w:rStyle w:val="Hyperlink"/>
            <w:noProof/>
          </w:rPr>
          <w:t>4.3.6</w:t>
        </w:r>
        <w:r w:rsidR="008D6F13">
          <w:rPr>
            <w:rFonts w:eastAsiaTheme="minorEastAsia"/>
            <w:noProof/>
            <w:spacing w:val="0"/>
            <w:lang w:eastAsia="en-AU"/>
          </w:rPr>
          <w:tab/>
        </w:r>
        <w:r w:rsidR="008D6F13" w:rsidRPr="00F41540">
          <w:rPr>
            <w:rStyle w:val="Hyperlink"/>
            <w:noProof/>
          </w:rPr>
          <w:t xml:space="preserve">Purchases of non-financial assets </w:t>
        </w:r>
        <w:r w:rsidR="0031078F">
          <w:rPr>
            <w:rStyle w:val="Hyperlink"/>
            <w:noProof/>
          </w:rPr>
          <w:br/>
        </w:r>
        <w:r w:rsidR="008D6F13" w:rsidRPr="00F41540">
          <w:rPr>
            <w:rStyle w:val="Hyperlink"/>
            <w:noProof/>
          </w:rPr>
          <w:t>by classification of the functions of government and by portfolio department</w:t>
        </w:r>
        <w:r w:rsidR="008D6F13">
          <w:rPr>
            <w:noProof/>
            <w:webHidden/>
          </w:rPr>
          <w:tab/>
        </w:r>
        <w:r w:rsidR="008D6F13">
          <w:rPr>
            <w:noProof/>
            <w:webHidden/>
          </w:rPr>
          <w:fldChar w:fldCharType="begin"/>
        </w:r>
        <w:r w:rsidR="008D6F13">
          <w:rPr>
            <w:noProof/>
            <w:webHidden/>
          </w:rPr>
          <w:instrText xml:space="preserve"> PAGEREF _Toc85767957 \h </w:instrText>
        </w:r>
        <w:r w:rsidR="008D6F13">
          <w:rPr>
            <w:noProof/>
            <w:webHidden/>
          </w:rPr>
        </w:r>
        <w:r w:rsidR="008D6F13">
          <w:rPr>
            <w:noProof/>
            <w:webHidden/>
          </w:rPr>
          <w:fldChar w:fldCharType="separate"/>
        </w:r>
        <w:r w:rsidR="00104E8F">
          <w:rPr>
            <w:noProof/>
            <w:webHidden/>
          </w:rPr>
          <w:t>70</w:t>
        </w:r>
        <w:r w:rsidR="008D6F13">
          <w:rPr>
            <w:noProof/>
            <w:webHidden/>
          </w:rPr>
          <w:fldChar w:fldCharType="end"/>
        </w:r>
      </w:hyperlink>
    </w:p>
    <w:p w14:paraId="0B57001D" w14:textId="3A5C9BA9" w:rsidR="008D6F13" w:rsidRDefault="005D5407" w:rsidP="008D6F13">
      <w:pPr>
        <w:pStyle w:val="TOC9"/>
        <w:rPr>
          <w:rFonts w:eastAsiaTheme="minorEastAsia"/>
          <w:noProof/>
          <w:spacing w:val="0"/>
          <w:lang w:eastAsia="en-AU"/>
        </w:rPr>
      </w:pPr>
      <w:hyperlink w:anchor="_Toc85767958" w:history="1">
        <w:r w:rsidR="008D6F13" w:rsidRPr="00F41540">
          <w:rPr>
            <w:rStyle w:val="Hyperlink"/>
            <w:noProof/>
          </w:rPr>
          <w:t>4.3.7</w:t>
        </w:r>
        <w:r w:rsidR="008D6F13">
          <w:rPr>
            <w:rFonts w:eastAsiaTheme="minorEastAsia"/>
            <w:noProof/>
            <w:spacing w:val="0"/>
            <w:lang w:eastAsia="en-AU"/>
          </w:rPr>
          <w:tab/>
        </w:r>
        <w:r w:rsidR="008D6F13" w:rsidRPr="00F41540">
          <w:rPr>
            <w:rStyle w:val="Hyperlink"/>
            <w:noProof/>
          </w:rPr>
          <w:t xml:space="preserve">Net acquisition of non-financial </w:t>
        </w:r>
        <w:r w:rsidR="008D6F13">
          <w:rPr>
            <w:rStyle w:val="Hyperlink"/>
            <w:noProof/>
          </w:rPr>
          <w:br/>
        </w:r>
        <w:r w:rsidR="008D6F13" w:rsidRPr="00F41540">
          <w:rPr>
            <w:rStyle w:val="Hyperlink"/>
            <w:noProof/>
          </w:rPr>
          <w:t>assets from transactions</w:t>
        </w:r>
        <w:r w:rsidR="008D6F13">
          <w:rPr>
            <w:noProof/>
            <w:webHidden/>
          </w:rPr>
          <w:tab/>
        </w:r>
        <w:r w:rsidR="008D6F13">
          <w:rPr>
            <w:noProof/>
            <w:webHidden/>
          </w:rPr>
          <w:fldChar w:fldCharType="begin"/>
        </w:r>
        <w:r w:rsidR="008D6F13">
          <w:rPr>
            <w:noProof/>
            <w:webHidden/>
          </w:rPr>
          <w:instrText xml:space="preserve"> PAGEREF _Toc85767958 \h </w:instrText>
        </w:r>
        <w:r w:rsidR="008D6F13">
          <w:rPr>
            <w:noProof/>
            <w:webHidden/>
          </w:rPr>
        </w:r>
        <w:r w:rsidR="008D6F13">
          <w:rPr>
            <w:noProof/>
            <w:webHidden/>
          </w:rPr>
          <w:fldChar w:fldCharType="separate"/>
        </w:r>
        <w:r w:rsidR="00104E8F">
          <w:rPr>
            <w:noProof/>
            <w:webHidden/>
          </w:rPr>
          <w:t>71</w:t>
        </w:r>
        <w:r w:rsidR="008D6F13">
          <w:rPr>
            <w:noProof/>
            <w:webHidden/>
          </w:rPr>
          <w:fldChar w:fldCharType="end"/>
        </w:r>
      </w:hyperlink>
    </w:p>
    <w:p w14:paraId="23ABFE9A" w14:textId="77777777" w:rsidR="008D6F13" w:rsidRDefault="008D6F13" w:rsidP="008D6F13">
      <w:pPr>
        <w:sectPr w:rsidR="008D6F13" w:rsidSect="0031078F">
          <w:type w:val="continuous"/>
          <w:pgSz w:w="9979" w:h="14175" w:code="9"/>
          <w:pgMar w:top="1134" w:right="1134" w:bottom="1134" w:left="1134" w:header="624" w:footer="567" w:gutter="0"/>
          <w:cols w:num="2" w:space="708"/>
          <w:titlePg/>
          <w:docGrid w:linePitch="360"/>
        </w:sectPr>
      </w:pPr>
      <w:r>
        <w:rPr>
          <w:noProof/>
          <w:lang w:val="en-US"/>
        </w:rPr>
        <w:fldChar w:fldCharType="end"/>
      </w:r>
    </w:p>
    <w:p w14:paraId="185317EA" w14:textId="77777777" w:rsidR="008D6F13" w:rsidRDefault="008D6F13" w:rsidP="008D6F13">
      <w:pPr>
        <w:pStyle w:val="Heading3"/>
      </w:pPr>
      <w:bookmarkStart w:id="79" w:name="_Toc85767952"/>
      <w:bookmarkStart w:id="80" w:name="Section_3"/>
      <w:r w:rsidRPr="007F4217">
        <w:t>Employee expenses and provision for outstanding employee benefits</w:t>
      </w:r>
      <w:bookmarkEnd w:id="79"/>
    </w:p>
    <w:p w14:paraId="46C927CD" w14:textId="77777777" w:rsidR="008D6F13" w:rsidRDefault="008D6F13" w:rsidP="008D6F13">
      <w:r>
        <w:t xml:space="preserve">Employee expenses and employee benefits are forecast </w:t>
      </w:r>
      <w:proofErr w:type="gramStart"/>
      <w:r>
        <w:t>on the basis of</w:t>
      </w:r>
      <w:proofErr w:type="gramEnd"/>
      <w:r>
        <w:t xml:space="preserve"> staffing profiles and current salaries, conditions and on-costs. For the forecast period, employee expenses and employee benefits include the expected financial impact of employing more staff to increase service delivery and approved wage outcomes in line with wages policy. Forecast employee expenses also reflect the estimated impact of budget decisions, which either increase or reduce employee expenses. </w:t>
      </w:r>
      <w:proofErr w:type="gramStart"/>
      <w:r>
        <w:t>The majority of</w:t>
      </w:r>
      <w:proofErr w:type="gramEnd"/>
      <w:r>
        <w:t xml:space="preserve"> employee expenses in the operating statement are salaries and wages.</w:t>
      </w:r>
    </w:p>
    <w:p w14:paraId="2E08BB5D" w14:textId="77777777" w:rsidR="008D6F13" w:rsidRDefault="008D6F13" w:rsidP="008D6F13">
      <w:pPr>
        <w:pStyle w:val="TableHeading"/>
      </w:pPr>
      <w:r w:rsidRPr="007F4217">
        <w:t>Employee benefits (balance sheet)</w:t>
      </w:r>
      <w:r w:rsidRPr="007F4217">
        <w:tab/>
        <w:t>($ million)</w:t>
      </w:r>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2B7BD4F8"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2008BB19" w14:textId="46F3FC66" w:rsidR="008D6F13" w:rsidRDefault="008D6F13" w:rsidP="0031078F"/>
        </w:tc>
        <w:tc>
          <w:tcPr>
            <w:tcW w:w="794" w:type="dxa"/>
          </w:tcPr>
          <w:p w14:paraId="09FE7F88"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br/>
              <w:t>budget</w:t>
            </w:r>
          </w:p>
        </w:tc>
        <w:tc>
          <w:tcPr>
            <w:tcW w:w="794" w:type="dxa"/>
          </w:tcPr>
          <w:p w14:paraId="036F48E5"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br/>
              <w:t>revised</w:t>
            </w:r>
          </w:p>
        </w:tc>
        <w:tc>
          <w:tcPr>
            <w:tcW w:w="794" w:type="dxa"/>
          </w:tcPr>
          <w:p w14:paraId="5F4C2D6A"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br/>
              <w:t>estimate</w:t>
            </w:r>
          </w:p>
        </w:tc>
        <w:tc>
          <w:tcPr>
            <w:tcW w:w="794" w:type="dxa"/>
          </w:tcPr>
          <w:p w14:paraId="08772C8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br/>
              <w:t>estimate</w:t>
            </w:r>
          </w:p>
        </w:tc>
        <w:tc>
          <w:tcPr>
            <w:tcW w:w="794" w:type="dxa"/>
          </w:tcPr>
          <w:p w14:paraId="5EF3010A"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2025</w:t>
            </w:r>
            <w:r>
              <w:br/>
              <w:t>estimate</w:t>
            </w:r>
          </w:p>
        </w:tc>
      </w:tr>
      <w:tr w:rsidR="008D6F13" w14:paraId="0BD1680A"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8A5FCFE" w14:textId="77777777" w:rsidR="008D6F13" w:rsidRDefault="008D6F13" w:rsidP="0031078F">
            <w:r>
              <w:rPr>
                <w:b/>
              </w:rPr>
              <w:t>Current</w:t>
            </w:r>
          </w:p>
        </w:tc>
        <w:tc>
          <w:tcPr>
            <w:tcW w:w="794" w:type="dxa"/>
          </w:tcPr>
          <w:p w14:paraId="22E7806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634D67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4155DA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2B71DF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604A8E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5361177C"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B90F63C" w14:textId="77777777" w:rsidR="008D6F13" w:rsidRDefault="008D6F13" w:rsidP="0031078F">
            <w:r>
              <w:t>Accrued salaries and wages</w:t>
            </w:r>
          </w:p>
        </w:tc>
        <w:tc>
          <w:tcPr>
            <w:tcW w:w="794" w:type="dxa"/>
          </w:tcPr>
          <w:p w14:paraId="03435B4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612</w:t>
            </w:r>
          </w:p>
        </w:tc>
        <w:tc>
          <w:tcPr>
            <w:tcW w:w="794" w:type="dxa"/>
          </w:tcPr>
          <w:p w14:paraId="4A107F0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612</w:t>
            </w:r>
          </w:p>
        </w:tc>
        <w:tc>
          <w:tcPr>
            <w:tcW w:w="794" w:type="dxa"/>
          </w:tcPr>
          <w:p w14:paraId="75E685D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627</w:t>
            </w:r>
          </w:p>
        </w:tc>
        <w:tc>
          <w:tcPr>
            <w:tcW w:w="794" w:type="dxa"/>
          </w:tcPr>
          <w:p w14:paraId="27A9667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642</w:t>
            </w:r>
          </w:p>
        </w:tc>
        <w:tc>
          <w:tcPr>
            <w:tcW w:w="794" w:type="dxa"/>
          </w:tcPr>
          <w:p w14:paraId="28CCC9A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657</w:t>
            </w:r>
          </w:p>
        </w:tc>
      </w:tr>
      <w:tr w:rsidR="008D6F13" w14:paraId="3FD9FAFC"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ECEC7A3" w14:textId="77777777" w:rsidR="008D6F13" w:rsidRDefault="008D6F13" w:rsidP="0031078F">
            <w:r>
              <w:t>Other employee benefits</w:t>
            </w:r>
          </w:p>
        </w:tc>
        <w:tc>
          <w:tcPr>
            <w:tcW w:w="794" w:type="dxa"/>
          </w:tcPr>
          <w:p w14:paraId="6DCD9F0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104</w:t>
            </w:r>
          </w:p>
        </w:tc>
        <w:tc>
          <w:tcPr>
            <w:tcW w:w="794" w:type="dxa"/>
          </w:tcPr>
          <w:p w14:paraId="045A3E6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104</w:t>
            </w:r>
          </w:p>
        </w:tc>
        <w:tc>
          <w:tcPr>
            <w:tcW w:w="794" w:type="dxa"/>
          </w:tcPr>
          <w:p w14:paraId="15181F0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104</w:t>
            </w:r>
          </w:p>
        </w:tc>
        <w:tc>
          <w:tcPr>
            <w:tcW w:w="794" w:type="dxa"/>
          </w:tcPr>
          <w:p w14:paraId="596B18D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104</w:t>
            </w:r>
          </w:p>
        </w:tc>
        <w:tc>
          <w:tcPr>
            <w:tcW w:w="794" w:type="dxa"/>
          </w:tcPr>
          <w:p w14:paraId="7CA422D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105</w:t>
            </w:r>
          </w:p>
        </w:tc>
      </w:tr>
      <w:tr w:rsidR="008D6F13" w14:paraId="25FA3477"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87E5DB4" w14:textId="77777777" w:rsidR="008D6F13" w:rsidRDefault="008D6F13" w:rsidP="0031078F">
            <w:r>
              <w:t>Annual leave</w:t>
            </w:r>
          </w:p>
        </w:tc>
        <w:tc>
          <w:tcPr>
            <w:tcW w:w="794" w:type="dxa"/>
          </w:tcPr>
          <w:p w14:paraId="12DD992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2 433</w:t>
            </w:r>
          </w:p>
        </w:tc>
        <w:tc>
          <w:tcPr>
            <w:tcW w:w="794" w:type="dxa"/>
          </w:tcPr>
          <w:p w14:paraId="5A497A6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2 433</w:t>
            </w:r>
          </w:p>
        </w:tc>
        <w:tc>
          <w:tcPr>
            <w:tcW w:w="794" w:type="dxa"/>
          </w:tcPr>
          <w:p w14:paraId="4FE9D0A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2 468</w:t>
            </w:r>
          </w:p>
        </w:tc>
        <w:tc>
          <w:tcPr>
            <w:tcW w:w="794" w:type="dxa"/>
          </w:tcPr>
          <w:p w14:paraId="57F7887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2 502</w:t>
            </w:r>
          </w:p>
        </w:tc>
        <w:tc>
          <w:tcPr>
            <w:tcW w:w="794" w:type="dxa"/>
          </w:tcPr>
          <w:p w14:paraId="4E3A19B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2 536</w:t>
            </w:r>
          </w:p>
        </w:tc>
      </w:tr>
      <w:tr w:rsidR="008D6F13" w14:paraId="6D068449"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0ABB73AE" w14:textId="77777777" w:rsidR="008D6F13" w:rsidRDefault="008D6F13" w:rsidP="0031078F">
            <w:r>
              <w:t>Long service leave</w:t>
            </w:r>
          </w:p>
        </w:tc>
        <w:tc>
          <w:tcPr>
            <w:tcW w:w="794" w:type="dxa"/>
            <w:tcBorders>
              <w:bottom w:val="single" w:sz="6" w:space="0" w:color="auto"/>
            </w:tcBorders>
          </w:tcPr>
          <w:p w14:paraId="5451816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5 264</w:t>
            </w:r>
          </w:p>
        </w:tc>
        <w:tc>
          <w:tcPr>
            <w:tcW w:w="794" w:type="dxa"/>
            <w:tcBorders>
              <w:bottom w:val="single" w:sz="6" w:space="0" w:color="auto"/>
            </w:tcBorders>
          </w:tcPr>
          <w:p w14:paraId="55DDFFD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5 264</w:t>
            </w:r>
          </w:p>
        </w:tc>
        <w:tc>
          <w:tcPr>
            <w:tcW w:w="794" w:type="dxa"/>
            <w:tcBorders>
              <w:bottom w:val="single" w:sz="6" w:space="0" w:color="auto"/>
            </w:tcBorders>
          </w:tcPr>
          <w:p w14:paraId="40ABE5F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5 409</w:t>
            </w:r>
          </w:p>
        </w:tc>
        <w:tc>
          <w:tcPr>
            <w:tcW w:w="794" w:type="dxa"/>
            <w:tcBorders>
              <w:bottom w:val="single" w:sz="6" w:space="0" w:color="auto"/>
            </w:tcBorders>
          </w:tcPr>
          <w:p w14:paraId="1DA31EC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5 554</w:t>
            </w:r>
          </w:p>
        </w:tc>
        <w:tc>
          <w:tcPr>
            <w:tcW w:w="794" w:type="dxa"/>
            <w:tcBorders>
              <w:bottom w:val="single" w:sz="6" w:space="0" w:color="auto"/>
            </w:tcBorders>
          </w:tcPr>
          <w:p w14:paraId="15E0D2D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5 699</w:t>
            </w:r>
          </w:p>
        </w:tc>
      </w:tr>
      <w:tr w:rsidR="008D6F13" w14:paraId="1953300A"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2E0DC51B" w14:textId="77777777" w:rsidR="008D6F13" w:rsidRDefault="008D6F13" w:rsidP="0031078F">
            <w:r>
              <w:rPr>
                <w:b/>
              </w:rPr>
              <w:t>Total current employee benefits and on</w:t>
            </w:r>
            <w:r>
              <w:rPr>
                <w:b/>
              </w:rPr>
              <w:noBreakHyphen/>
              <w:t>costs</w:t>
            </w:r>
          </w:p>
        </w:tc>
        <w:tc>
          <w:tcPr>
            <w:tcW w:w="794" w:type="dxa"/>
            <w:tcBorders>
              <w:top w:val="single" w:sz="6" w:space="0" w:color="auto"/>
            </w:tcBorders>
          </w:tcPr>
          <w:p w14:paraId="614F558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8 413</w:t>
            </w:r>
          </w:p>
        </w:tc>
        <w:tc>
          <w:tcPr>
            <w:tcW w:w="794" w:type="dxa"/>
            <w:tcBorders>
              <w:top w:val="single" w:sz="6" w:space="0" w:color="auto"/>
            </w:tcBorders>
          </w:tcPr>
          <w:p w14:paraId="3B91092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8 413</w:t>
            </w:r>
          </w:p>
        </w:tc>
        <w:tc>
          <w:tcPr>
            <w:tcW w:w="794" w:type="dxa"/>
            <w:tcBorders>
              <w:top w:val="single" w:sz="6" w:space="0" w:color="auto"/>
            </w:tcBorders>
          </w:tcPr>
          <w:p w14:paraId="46186F8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8 608</w:t>
            </w:r>
          </w:p>
        </w:tc>
        <w:tc>
          <w:tcPr>
            <w:tcW w:w="794" w:type="dxa"/>
            <w:tcBorders>
              <w:top w:val="single" w:sz="6" w:space="0" w:color="auto"/>
            </w:tcBorders>
          </w:tcPr>
          <w:p w14:paraId="327BC33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8 803</w:t>
            </w:r>
          </w:p>
        </w:tc>
        <w:tc>
          <w:tcPr>
            <w:tcW w:w="794" w:type="dxa"/>
            <w:tcBorders>
              <w:top w:val="single" w:sz="6" w:space="0" w:color="auto"/>
            </w:tcBorders>
          </w:tcPr>
          <w:p w14:paraId="50FD1D2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8 997</w:t>
            </w:r>
          </w:p>
        </w:tc>
      </w:tr>
      <w:tr w:rsidR="008D6F13" w14:paraId="0BE2FC8F"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766BA30" w14:textId="77777777" w:rsidR="008D6F13" w:rsidRDefault="008D6F13" w:rsidP="0031078F">
            <w:r>
              <w:rPr>
                <w:b/>
              </w:rPr>
              <w:t>Non</w:t>
            </w:r>
            <w:r>
              <w:rPr>
                <w:b/>
              </w:rPr>
              <w:noBreakHyphen/>
              <w:t>current</w:t>
            </w:r>
          </w:p>
        </w:tc>
        <w:tc>
          <w:tcPr>
            <w:tcW w:w="794" w:type="dxa"/>
          </w:tcPr>
          <w:p w14:paraId="2B01930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671B0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280C99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1C2DA3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B3A051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4653EC7B"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1DFFB751" w14:textId="77777777" w:rsidR="008D6F13" w:rsidRDefault="008D6F13" w:rsidP="0031078F">
            <w:r>
              <w:t>Long service leave</w:t>
            </w:r>
          </w:p>
        </w:tc>
        <w:tc>
          <w:tcPr>
            <w:tcW w:w="794" w:type="dxa"/>
            <w:tcBorders>
              <w:bottom w:val="single" w:sz="6" w:space="0" w:color="auto"/>
            </w:tcBorders>
          </w:tcPr>
          <w:p w14:paraId="76286F3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1 283</w:t>
            </w:r>
          </w:p>
        </w:tc>
        <w:tc>
          <w:tcPr>
            <w:tcW w:w="794" w:type="dxa"/>
            <w:tcBorders>
              <w:bottom w:val="single" w:sz="6" w:space="0" w:color="auto"/>
            </w:tcBorders>
          </w:tcPr>
          <w:p w14:paraId="083ECA0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1 286</w:t>
            </w:r>
          </w:p>
        </w:tc>
        <w:tc>
          <w:tcPr>
            <w:tcW w:w="794" w:type="dxa"/>
            <w:tcBorders>
              <w:bottom w:val="single" w:sz="6" w:space="0" w:color="auto"/>
            </w:tcBorders>
          </w:tcPr>
          <w:p w14:paraId="6BD9219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1 408</w:t>
            </w:r>
          </w:p>
        </w:tc>
        <w:tc>
          <w:tcPr>
            <w:tcW w:w="794" w:type="dxa"/>
            <w:tcBorders>
              <w:bottom w:val="single" w:sz="6" w:space="0" w:color="auto"/>
            </w:tcBorders>
          </w:tcPr>
          <w:p w14:paraId="03E9AC4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1 533</w:t>
            </w:r>
          </w:p>
        </w:tc>
        <w:tc>
          <w:tcPr>
            <w:tcW w:w="794" w:type="dxa"/>
            <w:tcBorders>
              <w:bottom w:val="single" w:sz="6" w:space="0" w:color="auto"/>
            </w:tcBorders>
          </w:tcPr>
          <w:p w14:paraId="3682787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1 664</w:t>
            </w:r>
          </w:p>
        </w:tc>
      </w:tr>
      <w:tr w:rsidR="008D6F13" w14:paraId="0EC0E7DB"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1CA40B91" w14:textId="77777777" w:rsidR="008D6F13" w:rsidRDefault="008D6F13" w:rsidP="0031078F">
            <w:r>
              <w:rPr>
                <w:b/>
              </w:rPr>
              <w:t>Total non</w:t>
            </w:r>
            <w:r>
              <w:rPr>
                <w:b/>
              </w:rPr>
              <w:noBreakHyphen/>
              <w:t>current employee benefits and on</w:t>
            </w:r>
            <w:r>
              <w:rPr>
                <w:b/>
              </w:rPr>
              <w:noBreakHyphen/>
              <w:t>costs</w:t>
            </w:r>
          </w:p>
        </w:tc>
        <w:tc>
          <w:tcPr>
            <w:tcW w:w="794" w:type="dxa"/>
            <w:tcBorders>
              <w:top w:val="single" w:sz="6" w:space="0" w:color="auto"/>
              <w:bottom w:val="single" w:sz="6" w:space="0" w:color="auto"/>
            </w:tcBorders>
          </w:tcPr>
          <w:p w14:paraId="5C5C8E3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1 283</w:t>
            </w:r>
          </w:p>
        </w:tc>
        <w:tc>
          <w:tcPr>
            <w:tcW w:w="794" w:type="dxa"/>
            <w:tcBorders>
              <w:top w:val="single" w:sz="6" w:space="0" w:color="auto"/>
              <w:bottom w:val="single" w:sz="6" w:space="0" w:color="auto"/>
            </w:tcBorders>
          </w:tcPr>
          <w:p w14:paraId="65C7E9C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1 286</w:t>
            </w:r>
          </w:p>
        </w:tc>
        <w:tc>
          <w:tcPr>
            <w:tcW w:w="794" w:type="dxa"/>
            <w:tcBorders>
              <w:top w:val="single" w:sz="6" w:space="0" w:color="auto"/>
              <w:bottom w:val="single" w:sz="6" w:space="0" w:color="auto"/>
            </w:tcBorders>
          </w:tcPr>
          <w:p w14:paraId="4161754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1 408</w:t>
            </w:r>
          </w:p>
        </w:tc>
        <w:tc>
          <w:tcPr>
            <w:tcW w:w="794" w:type="dxa"/>
            <w:tcBorders>
              <w:top w:val="single" w:sz="6" w:space="0" w:color="auto"/>
              <w:bottom w:val="single" w:sz="6" w:space="0" w:color="auto"/>
            </w:tcBorders>
          </w:tcPr>
          <w:p w14:paraId="52DCFEC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1 533</w:t>
            </w:r>
          </w:p>
        </w:tc>
        <w:tc>
          <w:tcPr>
            <w:tcW w:w="794" w:type="dxa"/>
            <w:tcBorders>
              <w:top w:val="single" w:sz="6" w:space="0" w:color="auto"/>
              <w:bottom w:val="single" w:sz="6" w:space="0" w:color="auto"/>
            </w:tcBorders>
          </w:tcPr>
          <w:p w14:paraId="03271E4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1 664</w:t>
            </w:r>
          </w:p>
        </w:tc>
      </w:tr>
      <w:tr w:rsidR="008D6F13" w14:paraId="7206AF01"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98B652D" w14:textId="77777777" w:rsidR="008D6F13" w:rsidRDefault="008D6F13" w:rsidP="0031078F">
            <w:r>
              <w:rPr>
                <w:b/>
              </w:rPr>
              <w:t>Total employee benefits</w:t>
            </w:r>
          </w:p>
        </w:tc>
        <w:tc>
          <w:tcPr>
            <w:tcW w:w="794" w:type="dxa"/>
          </w:tcPr>
          <w:p w14:paraId="13B524B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9 697</w:t>
            </w:r>
          </w:p>
        </w:tc>
        <w:tc>
          <w:tcPr>
            <w:tcW w:w="794" w:type="dxa"/>
          </w:tcPr>
          <w:p w14:paraId="274DA71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9 699</w:t>
            </w:r>
          </w:p>
        </w:tc>
        <w:tc>
          <w:tcPr>
            <w:tcW w:w="794" w:type="dxa"/>
          </w:tcPr>
          <w:p w14:paraId="691002C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10 016</w:t>
            </w:r>
          </w:p>
        </w:tc>
        <w:tc>
          <w:tcPr>
            <w:tcW w:w="794" w:type="dxa"/>
          </w:tcPr>
          <w:p w14:paraId="264896C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10 336</w:t>
            </w:r>
          </w:p>
        </w:tc>
        <w:tc>
          <w:tcPr>
            <w:tcW w:w="794" w:type="dxa"/>
          </w:tcPr>
          <w:p w14:paraId="49CDAA2F" w14:textId="7972DF78"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10 661</w:t>
            </w:r>
          </w:p>
        </w:tc>
      </w:tr>
    </w:tbl>
    <w:p w14:paraId="0574A2B7" w14:textId="77777777" w:rsidR="008D6F13" w:rsidRDefault="008D6F13" w:rsidP="008D6F13">
      <w:pPr>
        <w:pStyle w:val="Heading3"/>
        <w:pageBreakBefore/>
      </w:pPr>
      <w:bookmarkStart w:id="81" w:name="_Toc85767953"/>
      <w:r>
        <w:lastRenderedPageBreak/>
        <w:t>Superannuation expense</w:t>
      </w:r>
      <w:bookmarkEnd w:id="81"/>
    </w:p>
    <w:p w14:paraId="669308F1" w14:textId="77777777" w:rsidR="008D6F13" w:rsidRDefault="008D6F13" w:rsidP="008D6F13">
      <w:pPr>
        <w:pStyle w:val="TableHeading"/>
      </w:pPr>
      <w:r>
        <w:t>Superannuation expense recognised in the operating statement</w:t>
      </w:r>
      <w:r>
        <w:tab/>
        <w:t>($ million)</w:t>
      </w:r>
    </w:p>
    <w:tbl>
      <w:tblPr>
        <w:tblStyle w:val="DTFTableNumeric"/>
        <w:tblW w:w="7713" w:type="dxa"/>
        <w:tblLayout w:type="fixed"/>
        <w:tblLook w:val="06A0" w:firstRow="1" w:lastRow="0" w:firstColumn="1" w:lastColumn="0" w:noHBand="1" w:noVBand="1"/>
      </w:tblPr>
      <w:tblGrid>
        <w:gridCol w:w="3742"/>
        <w:gridCol w:w="795"/>
        <w:gridCol w:w="794"/>
        <w:gridCol w:w="794"/>
        <w:gridCol w:w="794"/>
        <w:gridCol w:w="794"/>
      </w:tblGrid>
      <w:tr w:rsidR="008D6F13" w14:paraId="7AE06232"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2" w:type="dxa"/>
          </w:tcPr>
          <w:p w14:paraId="31CAE3D0" w14:textId="47BCCBB7" w:rsidR="008D6F13" w:rsidRDefault="008D6F13" w:rsidP="0031078F"/>
        </w:tc>
        <w:tc>
          <w:tcPr>
            <w:tcW w:w="795" w:type="dxa"/>
          </w:tcPr>
          <w:p w14:paraId="4F92695E"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3EE12DF0"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5FAC3484"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6C678E1B"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5BC3A010"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36718691" w14:textId="77777777" w:rsidTr="0031078F">
        <w:tc>
          <w:tcPr>
            <w:cnfStyle w:val="001000000000" w:firstRow="0" w:lastRow="0" w:firstColumn="1" w:lastColumn="0" w:oddVBand="0" w:evenVBand="0" w:oddHBand="0" w:evenHBand="0" w:firstRowFirstColumn="0" w:firstRowLastColumn="0" w:lastRowFirstColumn="0" w:lastRowLastColumn="0"/>
            <w:tcW w:w="3742" w:type="dxa"/>
          </w:tcPr>
          <w:p w14:paraId="0D2416F2" w14:textId="77777777" w:rsidR="008D6F13" w:rsidRDefault="008D6F13" w:rsidP="0031078F">
            <w:r>
              <w:rPr>
                <w:b/>
              </w:rPr>
              <w:t>Defined benefit plans</w:t>
            </w:r>
          </w:p>
        </w:tc>
        <w:tc>
          <w:tcPr>
            <w:tcW w:w="795" w:type="dxa"/>
          </w:tcPr>
          <w:p w14:paraId="3C91024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21138C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9BB319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D6A096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7F894C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164DF473" w14:textId="77777777" w:rsidTr="0031078F">
        <w:tc>
          <w:tcPr>
            <w:cnfStyle w:val="001000000000" w:firstRow="0" w:lastRow="0" w:firstColumn="1" w:lastColumn="0" w:oddVBand="0" w:evenVBand="0" w:oddHBand="0" w:evenHBand="0" w:firstRowFirstColumn="0" w:firstRowLastColumn="0" w:lastRowFirstColumn="0" w:lastRowLastColumn="0"/>
            <w:tcW w:w="3742" w:type="dxa"/>
          </w:tcPr>
          <w:p w14:paraId="3C443973" w14:textId="77777777" w:rsidR="008D6F13" w:rsidRDefault="008D6F13" w:rsidP="0031078F">
            <w:r>
              <w:t>Net superannuation interest expense</w:t>
            </w:r>
          </w:p>
        </w:tc>
        <w:tc>
          <w:tcPr>
            <w:tcW w:w="795" w:type="dxa"/>
          </w:tcPr>
          <w:p w14:paraId="205CC34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565</w:t>
            </w:r>
          </w:p>
        </w:tc>
        <w:tc>
          <w:tcPr>
            <w:tcW w:w="794" w:type="dxa"/>
          </w:tcPr>
          <w:p w14:paraId="21BC2DB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481</w:t>
            </w:r>
          </w:p>
        </w:tc>
        <w:tc>
          <w:tcPr>
            <w:tcW w:w="794" w:type="dxa"/>
          </w:tcPr>
          <w:p w14:paraId="4B33BFA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450</w:t>
            </w:r>
          </w:p>
        </w:tc>
        <w:tc>
          <w:tcPr>
            <w:tcW w:w="794" w:type="dxa"/>
          </w:tcPr>
          <w:p w14:paraId="1B4BECD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431</w:t>
            </w:r>
          </w:p>
        </w:tc>
        <w:tc>
          <w:tcPr>
            <w:tcW w:w="794" w:type="dxa"/>
          </w:tcPr>
          <w:p w14:paraId="4AC8D98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414</w:t>
            </w:r>
          </w:p>
        </w:tc>
      </w:tr>
      <w:tr w:rsidR="008D6F13" w14:paraId="34235941" w14:textId="77777777" w:rsidTr="0031078F">
        <w:tc>
          <w:tcPr>
            <w:cnfStyle w:val="001000000000" w:firstRow="0" w:lastRow="0" w:firstColumn="1" w:lastColumn="0" w:oddVBand="0" w:evenVBand="0" w:oddHBand="0" w:evenHBand="0" w:firstRowFirstColumn="0" w:firstRowLastColumn="0" w:lastRowFirstColumn="0" w:lastRowLastColumn="0"/>
            <w:tcW w:w="3742" w:type="dxa"/>
          </w:tcPr>
          <w:p w14:paraId="47A7A28A" w14:textId="77777777" w:rsidR="008D6F13" w:rsidRDefault="008D6F13" w:rsidP="0031078F">
            <w:r>
              <w:t>Current service cost</w:t>
            </w:r>
          </w:p>
        </w:tc>
        <w:tc>
          <w:tcPr>
            <w:tcW w:w="795" w:type="dxa"/>
          </w:tcPr>
          <w:p w14:paraId="05135BE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1 489</w:t>
            </w:r>
          </w:p>
        </w:tc>
        <w:tc>
          <w:tcPr>
            <w:tcW w:w="794" w:type="dxa"/>
          </w:tcPr>
          <w:p w14:paraId="52B9899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1 349</w:t>
            </w:r>
          </w:p>
        </w:tc>
        <w:tc>
          <w:tcPr>
            <w:tcW w:w="794" w:type="dxa"/>
          </w:tcPr>
          <w:p w14:paraId="32E0CD3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1 443</w:t>
            </w:r>
          </w:p>
        </w:tc>
        <w:tc>
          <w:tcPr>
            <w:tcW w:w="794" w:type="dxa"/>
          </w:tcPr>
          <w:p w14:paraId="752E4D0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1 560</w:t>
            </w:r>
          </w:p>
        </w:tc>
        <w:tc>
          <w:tcPr>
            <w:tcW w:w="794" w:type="dxa"/>
          </w:tcPr>
          <w:p w14:paraId="0C4E551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1 661</w:t>
            </w:r>
          </w:p>
        </w:tc>
      </w:tr>
      <w:tr w:rsidR="008D6F13" w14:paraId="0238BE16" w14:textId="77777777" w:rsidTr="0031078F">
        <w:tc>
          <w:tcPr>
            <w:cnfStyle w:val="001000000000" w:firstRow="0" w:lastRow="0" w:firstColumn="1" w:lastColumn="0" w:oddVBand="0" w:evenVBand="0" w:oddHBand="0" w:evenHBand="0" w:firstRowFirstColumn="0" w:firstRowLastColumn="0" w:lastRowFirstColumn="0" w:lastRowLastColumn="0"/>
            <w:tcW w:w="3742" w:type="dxa"/>
          </w:tcPr>
          <w:p w14:paraId="4B23DCCB" w14:textId="77777777" w:rsidR="008D6F13" w:rsidRDefault="008D6F13" w:rsidP="0031078F">
            <w:r>
              <w:t>Remeasurements:</w:t>
            </w:r>
          </w:p>
        </w:tc>
        <w:tc>
          <w:tcPr>
            <w:tcW w:w="795" w:type="dxa"/>
          </w:tcPr>
          <w:p w14:paraId="39DA2AD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1AA64C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0E9FF7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BFB314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E9E83F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48560F5E" w14:textId="77777777" w:rsidTr="0031078F">
        <w:tc>
          <w:tcPr>
            <w:cnfStyle w:val="001000000000" w:firstRow="0" w:lastRow="0" w:firstColumn="1" w:lastColumn="0" w:oddVBand="0" w:evenVBand="0" w:oddHBand="0" w:evenHBand="0" w:firstRowFirstColumn="0" w:firstRowLastColumn="0" w:lastRowFirstColumn="0" w:lastRowLastColumn="0"/>
            <w:tcW w:w="3742" w:type="dxa"/>
          </w:tcPr>
          <w:p w14:paraId="55E101A5" w14:textId="77777777" w:rsidR="008D6F13" w:rsidRDefault="008D6F13" w:rsidP="0031078F">
            <w:r>
              <w:t xml:space="preserve">   Expected return on superannuation assets excluding interest income</w:t>
            </w:r>
          </w:p>
        </w:tc>
        <w:tc>
          <w:tcPr>
            <w:tcW w:w="795" w:type="dxa"/>
          </w:tcPr>
          <w:p w14:paraId="340904D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(1 241)</w:t>
            </w:r>
          </w:p>
        </w:tc>
        <w:tc>
          <w:tcPr>
            <w:tcW w:w="794" w:type="dxa"/>
          </w:tcPr>
          <w:p w14:paraId="590C6EA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(1 313)</w:t>
            </w:r>
          </w:p>
        </w:tc>
        <w:tc>
          <w:tcPr>
            <w:tcW w:w="794" w:type="dxa"/>
          </w:tcPr>
          <w:p w14:paraId="4CFE94E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(1 371)</w:t>
            </w:r>
          </w:p>
        </w:tc>
        <w:tc>
          <w:tcPr>
            <w:tcW w:w="794" w:type="dxa"/>
          </w:tcPr>
          <w:p w14:paraId="5DA3224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(1 394)</w:t>
            </w:r>
          </w:p>
        </w:tc>
        <w:tc>
          <w:tcPr>
            <w:tcW w:w="794" w:type="dxa"/>
          </w:tcPr>
          <w:p w14:paraId="5666FF1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(1 420)</w:t>
            </w:r>
          </w:p>
        </w:tc>
      </w:tr>
      <w:tr w:rsidR="008D6F13" w14:paraId="4DD0C12B" w14:textId="77777777" w:rsidTr="0031078F">
        <w:tc>
          <w:tcPr>
            <w:cnfStyle w:val="001000000000" w:firstRow="0" w:lastRow="0" w:firstColumn="1" w:lastColumn="0" w:oddVBand="0" w:evenVBand="0" w:oddHBand="0" w:evenHBand="0" w:firstRowFirstColumn="0" w:firstRowLastColumn="0" w:lastRowFirstColumn="0" w:lastRowLastColumn="0"/>
            <w:tcW w:w="3742" w:type="dxa"/>
          </w:tcPr>
          <w:p w14:paraId="28987173" w14:textId="77777777" w:rsidR="008D6F13" w:rsidRDefault="008D6F13" w:rsidP="0031078F">
            <w:r>
              <w:t xml:space="preserve">   Other actuarial (gain)/loss on superannuation assets</w:t>
            </w:r>
          </w:p>
        </w:tc>
        <w:tc>
          <w:tcPr>
            <w:tcW w:w="795" w:type="dxa"/>
          </w:tcPr>
          <w:p w14:paraId="7B451C9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567E36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w:t>
            </w:r>
          </w:p>
        </w:tc>
        <w:tc>
          <w:tcPr>
            <w:tcW w:w="794" w:type="dxa"/>
          </w:tcPr>
          <w:p w14:paraId="1D8C49D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9F9083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1BCA9F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1BE90322" w14:textId="77777777" w:rsidTr="0031078F">
        <w:tc>
          <w:tcPr>
            <w:cnfStyle w:val="001000000000" w:firstRow="0" w:lastRow="0" w:firstColumn="1" w:lastColumn="0" w:oddVBand="0" w:evenVBand="0" w:oddHBand="0" w:evenHBand="0" w:firstRowFirstColumn="0" w:firstRowLastColumn="0" w:lastRowFirstColumn="0" w:lastRowLastColumn="0"/>
            <w:tcW w:w="3742" w:type="dxa"/>
            <w:tcBorders>
              <w:bottom w:val="single" w:sz="6" w:space="0" w:color="auto"/>
            </w:tcBorders>
          </w:tcPr>
          <w:p w14:paraId="5C8F6C0E" w14:textId="77777777" w:rsidR="008D6F13" w:rsidRDefault="008D6F13" w:rsidP="0031078F">
            <w:r>
              <w:t xml:space="preserve">   Actuarial and other adjustments to unfunded superannuation liability</w:t>
            </w:r>
          </w:p>
        </w:tc>
        <w:tc>
          <w:tcPr>
            <w:tcW w:w="795" w:type="dxa"/>
            <w:tcBorders>
              <w:bottom w:val="single" w:sz="6" w:space="0" w:color="auto"/>
            </w:tcBorders>
          </w:tcPr>
          <w:p w14:paraId="0531425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4DCA8A4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(372)</w:t>
            </w:r>
          </w:p>
        </w:tc>
        <w:tc>
          <w:tcPr>
            <w:tcW w:w="794" w:type="dxa"/>
            <w:tcBorders>
              <w:bottom w:val="single" w:sz="6" w:space="0" w:color="auto"/>
            </w:tcBorders>
          </w:tcPr>
          <w:p w14:paraId="6E277FA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7C5872B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6836DDD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3E67671F" w14:textId="77777777" w:rsidTr="0031078F">
        <w:tc>
          <w:tcPr>
            <w:cnfStyle w:val="001000000000" w:firstRow="0" w:lastRow="0" w:firstColumn="1" w:lastColumn="0" w:oddVBand="0" w:evenVBand="0" w:oddHBand="0" w:evenHBand="0" w:firstRowFirstColumn="0" w:firstRowLastColumn="0" w:lastRowFirstColumn="0" w:lastRowLastColumn="0"/>
            <w:tcW w:w="3742" w:type="dxa"/>
            <w:tcBorders>
              <w:top w:val="single" w:sz="6" w:space="0" w:color="auto"/>
            </w:tcBorders>
          </w:tcPr>
          <w:p w14:paraId="5529DF28" w14:textId="77777777" w:rsidR="008D6F13" w:rsidRDefault="008D6F13" w:rsidP="0031078F">
            <w:r>
              <w:rPr>
                <w:b/>
              </w:rPr>
              <w:t>Total expense recognised in respect of defined benefit plans</w:t>
            </w:r>
          </w:p>
        </w:tc>
        <w:tc>
          <w:tcPr>
            <w:tcW w:w="795" w:type="dxa"/>
            <w:tcBorders>
              <w:top w:val="single" w:sz="6" w:space="0" w:color="auto"/>
            </w:tcBorders>
          </w:tcPr>
          <w:p w14:paraId="4262D70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813</w:t>
            </w:r>
          </w:p>
        </w:tc>
        <w:tc>
          <w:tcPr>
            <w:tcW w:w="794" w:type="dxa"/>
            <w:tcBorders>
              <w:top w:val="single" w:sz="6" w:space="0" w:color="auto"/>
            </w:tcBorders>
          </w:tcPr>
          <w:p w14:paraId="64DFE4A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140</w:t>
            </w:r>
          </w:p>
        </w:tc>
        <w:tc>
          <w:tcPr>
            <w:tcW w:w="794" w:type="dxa"/>
            <w:tcBorders>
              <w:top w:val="single" w:sz="6" w:space="0" w:color="auto"/>
            </w:tcBorders>
          </w:tcPr>
          <w:p w14:paraId="7C54EFC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522</w:t>
            </w:r>
          </w:p>
        </w:tc>
        <w:tc>
          <w:tcPr>
            <w:tcW w:w="794" w:type="dxa"/>
            <w:tcBorders>
              <w:top w:val="single" w:sz="6" w:space="0" w:color="auto"/>
            </w:tcBorders>
          </w:tcPr>
          <w:p w14:paraId="618090B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598</w:t>
            </w:r>
          </w:p>
        </w:tc>
        <w:tc>
          <w:tcPr>
            <w:tcW w:w="794" w:type="dxa"/>
            <w:tcBorders>
              <w:top w:val="single" w:sz="6" w:space="0" w:color="auto"/>
            </w:tcBorders>
          </w:tcPr>
          <w:p w14:paraId="1C3BD50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655</w:t>
            </w:r>
          </w:p>
        </w:tc>
      </w:tr>
      <w:tr w:rsidR="008D6F13" w14:paraId="77408F98" w14:textId="77777777" w:rsidTr="0031078F">
        <w:tc>
          <w:tcPr>
            <w:cnfStyle w:val="001000000000" w:firstRow="0" w:lastRow="0" w:firstColumn="1" w:lastColumn="0" w:oddVBand="0" w:evenVBand="0" w:oddHBand="0" w:evenHBand="0" w:firstRowFirstColumn="0" w:firstRowLastColumn="0" w:lastRowFirstColumn="0" w:lastRowLastColumn="0"/>
            <w:tcW w:w="3742" w:type="dxa"/>
          </w:tcPr>
          <w:p w14:paraId="1FEBEF59" w14:textId="77777777" w:rsidR="008D6F13" w:rsidRDefault="008D6F13" w:rsidP="0031078F">
            <w:r>
              <w:rPr>
                <w:b/>
              </w:rPr>
              <w:t>Defined contribution plans</w:t>
            </w:r>
          </w:p>
        </w:tc>
        <w:tc>
          <w:tcPr>
            <w:tcW w:w="795" w:type="dxa"/>
          </w:tcPr>
          <w:p w14:paraId="3949F01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48B81A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6F90C4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B59C7C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E51128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6B17DBD7" w14:textId="77777777" w:rsidTr="0031078F">
        <w:tc>
          <w:tcPr>
            <w:cnfStyle w:val="001000000000" w:firstRow="0" w:lastRow="0" w:firstColumn="1" w:lastColumn="0" w:oddVBand="0" w:evenVBand="0" w:oddHBand="0" w:evenHBand="0" w:firstRowFirstColumn="0" w:firstRowLastColumn="0" w:lastRowFirstColumn="0" w:lastRowLastColumn="0"/>
            <w:tcW w:w="3742" w:type="dxa"/>
          </w:tcPr>
          <w:p w14:paraId="02D1B029" w14:textId="77777777" w:rsidR="008D6F13" w:rsidRDefault="008D6F13" w:rsidP="0031078F">
            <w:r>
              <w:t>Employer contributions to defined contribution plans</w:t>
            </w:r>
          </w:p>
        </w:tc>
        <w:tc>
          <w:tcPr>
            <w:tcW w:w="795" w:type="dxa"/>
          </w:tcPr>
          <w:p w14:paraId="415FC4C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2 117</w:t>
            </w:r>
          </w:p>
        </w:tc>
        <w:tc>
          <w:tcPr>
            <w:tcW w:w="794" w:type="dxa"/>
          </w:tcPr>
          <w:p w14:paraId="120CBC6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2 204</w:t>
            </w:r>
          </w:p>
        </w:tc>
        <w:tc>
          <w:tcPr>
            <w:tcW w:w="794" w:type="dxa"/>
          </w:tcPr>
          <w:p w14:paraId="0DA43EB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2 152</w:t>
            </w:r>
          </w:p>
        </w:tc>
        <w:tc>
          <w:tcPr>
            <w:tcW w:w="794" w:type="dxa"/>
          </w:tcPr>
          <w:p w14:paraId="7106CC0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2 202</w:t>
            </w:r>
          </w:p>
        </w:tc>
        <w:tc>
          <w:tcPr>
            <w:tcW w:w="794" w:type="dxa"/>
          </w:tcPr>
          <w:p w14:paraId="2CCDB7F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2 247</w:t>
            </w:r>
          </w:p>
        </w:tc>
      </w:tr>
      <w:tr w:rsidR="008D6F13" w14:paraId="4643768C" w14:textId="77777777" w:rsidTr="0031078F">
        <w:tc>
          <w:tcPr>
            <w:cnfStyle w:val="001000000000" w:firstRow="0" w:lastRow="0" w:firstColumn="1" w:lastColumn="0" w:oddVBand="0" w:evenVBand="0" w:oddHBand="0" w:evenHBand="0" w:firstRowFirstColumn="0" w:firstRowLastColumn="0" w:lastRowFirstColumn="0" w:lastRowLastColumn="0"/>
            <w:tcW w:w="3742" w:type="dxa"/>
            <w:tcBorders>
              <w:bottom w:val="single" w:sz="6" w:space="0" w:color="auto"/>
            </w:tcBorders>
          </w:tcPr>
          <w:p w14:paraId="0D59C823" w14:textId="77777777" w:rsidR="008D6F13" w:rsidRDefault="008D6F13" w:rsidP="0031078F">
            <w:r>
              <w:t>Other (including pensions)</w:t>
            </w:r>
          </w:p>
        </w:tc>
        <w:tc>
          <w:tcPr>
            <w:tcW w:w="795" w:type="dxa"/>
            <w:tcBorders>
              <w:bottom w:val="single" w:sz="6" w:space="0" w:color="auto"/>
            </w:tcBorders>
          </w:tcPr>
          <w:p w14:paraId="485F921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76</w:t>
            </w:r>
          </w:p>
        </w:tc>
        <w:tc>
          <w:tcPr>
            <w:tcW w:w="794" w:type="dxa"/>
            <w:tcBorders>
              <w:bottom w:val="single" w:sz="6" w:space="0" w:color="auto"/>
            </w:tcBorders>
          </w:tcPr>
          <w:p w14:paraId="1574A97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76</w:t>
            </w:r>
          </w:p>
        </w:tc>
        <w:tc>
          <w:tcPr>
            <w:tcW w:w="794" w:type="dxa"/>
            <w:tcBorders>
              <w:bottom w:val="single" w:sz="6" w:space="0" w:color="auto"/>
            </w:tcBorders>
          </w:tcPr>
          <w:p w14:paraId="37951E2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69</w:t>
            </w:r>
          </w:p>
        </w:tc>
        <w:tc>
          <w:tcPr>
            <w:tcW w:w="794" w:type="dxa"/>
            <w:tcBorders>
              <w:bottom w:val="single" w:sz="6" w:space="0" w:color="auto"/>
            </w:tcBorders>
          </w:tcPr>
          <w:p w14:paraId="6EB2B0A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69</w:t>
            </w:r>
          </w:p>
        </w:tc>
        <w:tc>
          <w:tcPr>
            <w:tcW w:w="794" w:type="dxa"/>
            <w:tcBorders>
              <w:bottom w:val="single" w:sz="6" w:space="0" w:color="auto"/>
            </w:tcBorders>
          </w:tcPr>
          <w:p w14:paraId="58300BD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69</w:t>
            </w:r>
          </w:p>
        </w:tc>
      </w:tr>
      <w:tr w:rsidR="008D6F13" w14:paraId="21B332FD" w14:textId="77777777" w:rsidTr="0031078F">
        <w:tc>
          <w:tcPr>
            <w:cnfStyle w:val="001000000000" w:firstRow="0" w:lastRow="0" w:firstColumn="1" w:lastColumn="0" w:oddVBand="0" w:evenVBand="0" w:oddHBand="0" w:evenHBand="0" w:firstRowFirstColumn="0" w:firstRowLastColumn="0" w:lastRowFirstColumn="0" w:lastRowLastColumn="0"/>
            <w:tcW w:w="3742" w:type="dxa"/>
            <w:tcBorders>
              <w:top w:val="single" w:sz="6" w:space="0" w:color="auto"/>
              <w:bottom w:val="single" w:sz="6" w:space="0" w:color="auto"/>
            </w:tcBorders>
          </w:tcPr>
          <w:p w14:paraId="2527B639" w14:textId="77777777" w:rsidR="008D6F13" w:rsidRDefault="008D6F13" w:rsidP="0031078F">
            <w:r>
              <w:rPr>
                <w:b/>
              </w:rPr>
              <w:t>Total expense recognised in respect of defined contribution plans</w:t>
            </w:r>
          </w:p>
        </w:tc>
        <w:tc>
          <w:tcPr>
            <w:tcW w:w="795" w:type="dxa"/>
            <w:tcBorders>
              <w:top w:val="single" w:sz="6" w:space="0" w:color="auto"/>
              <w:bottom w:val="single" w:sz="6" w:space="0" w:color="auto"/>
            </w:tcBorders>
          </w:tcPr>
          <w:p w14:paraId="7F86689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2 193</w:t>
            </w:r>
          </w:p>
        </w:tc>
        <w:tc>
          <w:tcPr>
            <w:tcW w:w="794" w:type="dxa"/>
            <w:tcBorders>
              <w:top w:val="single" w:sz="6" w:space="0" w:color="auto"/>
              <w:bottom w:val="single" w:sz="6" w:space="0" w:color="auto"/>
            </w:tcBorders>
          </w:tcPr>
          <w:p w14:paraId="6268734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2 280</w:t>
            </w:r>
          </w:p>
        </w:tc>
        <w:tc>
          <w:tcPr>
            <w:tcW w:w="794" w:type="dxa"/>
            <w:tcBorders>
              <w:top w:val="single" w:sz="6" w:space="0" w:color="auto"/>
              <w:bottom w:val="single" w:sz="6" w:space="0" w:color="auto"/>
            </w:tcBorders>
          </w:tcPr>
          <w:p w14:paraId="5C1B4AA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2 221</w:t>
            </w:r>
          </w:p>
        </w:tc>
        <w:tc>
          <w:tcPr>
            <w:tcW w:w="794" w:type="dxa"/>
            <w:tcBorders>
              <w:top w:val="single" w:sz="6" w:space="0" w:color="auto"/>
              <w:bottom w:val="single" w:sz="6" w:space="0" w:color="auto"/>
            </w:tcBorders>
          </w:tcPr>
          <w:p w14:paraId="1E0AC2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2 272</w:t>
            </w:r>
          </w:p>
        </w:tc>
        <w:tc>
          <w:tcPr>
            <w:tcW w:w="794" w:type="dxa"/>
            <w:tcBorders>
              <w:top w:val="single" w:sz="6" w:space="0" w:color="auto"/>
              <w:bottom w:val="single" w:sz="6" w:space="0" w:color="auto"/>
            </w:tcBorders>
          </w:tcPr>
          <w:p w14:paraId="1DC8215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2 316</w:t>
            </w:r>
          </w:p>
        </w:tc>
      </w:tr>
      <w:tr w:rsidR="008D6F13" w14:paraId="6175B682" w14:textId="77777777" w:rsidTr="0031078F">
        <w:tc>
          <w:tcPr>
            <w:cnfStyle w:val="001000000000" w:firstRow="0" w:lastRow="0" w:firstColumn="1" w:lastColumn="0" w:oddVBand="0" w:evenVBand="0" w:oddHBand="0" w:evenHBand="0" w:firstRowFirstColumn="0" w:firstRowLastColumn="0" w:lastRowFirstColumn="0" w:lastRowLastColumn="0"/>
            <w:tcW w:w="3742" w:type="dxa"/>
            <w:tcBorders>
              <w:top w:val="single" w:sz="6" w:space="0" w:color="auto"/>
              <w:bottom w:val="single" w:sz="12" w:space="0" w:color="auto"/>
            </w:tcBorders>
          </w:tcPr>
          <w:p w14:paraId="72B7D279" w14:textId="77777777" w:rsidR="008D6F13" w:rsidRDefault="008D6F13" w:rsidP="0031078F">
            <w:r>
              <w:rPr>
                <w:b/>
              </w:rPr>
              <w:t>Total superannuation (gain)/expense recognised in operating statement</w:t>
            </w:r>
          </w:p>
        </w:tc>
        <w:tc>
          <w:tcPr>
            <w:tcW w:w="795" w:type="dxa"/>
            <w:tcBorders>
              <w:top w:val="single" w:sz="6" w:space="0" w:color="auto"/>
              <w:bottom w:val="single" w:sz="12" w:space="0" w:color="auto"/>
            </w:tcBorders>
          </w:tcPr>
          <w:p w14:paraId="11125F8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3 007</w:t>
            </w:r>
          </w:p>
        </w:tc>
        <w:tc>
          <w:tcPr>
            <w:tcW w:w="794" w:type="dxa"/>
            <w:tcBorders>
              <w:top w:val="single" w:sz="6" w:space="0" w:color="auto"/>
              <w:bottom w:val="single" w:sz="12" w:space="0" w:color="auto"/>
            </w:tcBorders>
          </w:tcPr>
          <w:p w14:paraId="08E6689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2 420</w:t>
            </w:r>
          </w:p>
        </w:tc>
        <w:tc>
          <w:tcPr>
            <w:tcW w:w="794" w:type="dxa"/>
            <w:tcBorders>
              <w:top w:val="single" w:sz="6" w:space="0" w:color="auto"/>
              <w:bottom w:val="single" w:sz="12" w:space="0" w:color="auto"/>
            </w:tcBorders>
          </w:tcPr>
          <w:p w14:paraId="0A46964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2 744</w:t>
            </w:r>
          </w:p>
        </w:tc>
        <w:tc>
          <w:tcPr>
            <w:tcW w:w="794" w:type="dxa"/>
            <w:tcBorders>
              <w:top w:val="single" w:sz="6" w:space="0" w:color="auto"/>
              <w:bottom w:val="single" w:sz="12" w:space="0" w:color="auto"/>
            </w:tcBorders>
          </w:tcPr>
          <w:p w14:paraId="510041E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2 869</w:t>
            </w:r>
          </w:p>
        </w:tc>
        <w:tc>
          <w:tcPr>
            <w:tcW w:w="794" w:type="dxa"/>
            <w:tcBorders>
              <w:top w:val="single" w:sz="6" w:space="0" w:color="auto"/>
              <w:bottom w:val="single" w:sz="12" w:space="0" w:color="auto"/>
            </w:tcBorders>
          </w:tcPr>
          <w:p w14:paraId="11ED8E3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2 970</w:t>
            </w:r>
          </w:p>
        </w:tc>
      </w:tr>
      <w:tr w:rsidR="008D6F13" w14:paraId="4142C049" w14:textId="77777777" w:rsidTr="0031078F">
        <w:tc>
          <w:tcPr>
            <w:cnfStyle w:val="001000000000" w:firstRow="0" w:lastRow="0" w:firstColumn="1" w:lastColumn="0" w:oddVBand="0" w:evenVBand="0" w:oddHBand="0" w:evenHBand="0" w:firstRowFirstColumn="0" w:firstRowLastColumn="0" w:lastRowFirstColumn="0" w:lastRowLastColumn="0"/>
            <w:tcW w:w="3742" w:type="dxa"/>
            <w:tcBorders>
              <w:top w:val="single" w:sz="6" w:space="0" w:color="auto"/>
            </w:tcBorders>
          </w:tcPr>
          <w:p w14:paraId="7BE793F5" w14:textId="77777777" w:rsidR="008D6F13" w:rsidRDefault="008D6F13" w:rsidP="0031078F">
            <w:r>
              <w:rPr>
                <w:b/>
              </w:rPr>
              <w:t>Represented by:</w:t>
            </w:r>
          </w:p>
        </w:tc>
        <w:tc>
          <w:tcPr>
            <w:tcW w:w="795" w:type="dxa"/>
            <w:tcBorders>
              <w:top w:val="single" w:sz="6" w:space="0" w:color="auto"/>
            </w:tcBorders>
          </w:tcPr>
          <w:p w14:paraId="7E240C1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7F0084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E7B2BE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64FB35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A9F6DC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1E3C9668" w14:textId="77777777" w:rsidTr="0031078F">
        <w:tc>
          <w:tcPr>
            <w:cnfStyle w:val="001000000000" w:firstRow="0" w:lastRow="0" w:firstColumn="1" w:lastColumn="0" w:oddVBand="0" w:evenVBand="0" w:oddHBand="0" w:evenHBand="0" w:firstRowFirstColumn="0" w:firstRowLastColumn="0" w:lastRowFirstColumn="0" w:lastRowLastColumn="0"/>
            <w:tcW w:w="3742" w:type="dxa"/>
          </w:tcPr>
          <w:p w14:paraId="38D78052" w14:textId="77777777" w:rsidR="008D6F13" w:rsidRDefault="008D6F13" w:rsidP="0031078F">
            <w:r>
              <w:t>Net superannuation interest expense</w:t>
            </w:r>
          </w:p>
        </w:tc>
        <w:tc>
          <w:tcPr>
            <w:tcW w:w="795" w:type="dxa"/>
          </w:tcPr>
          <w:p w14:paraId="3E628E6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565</w:t>
            </w:r>
          </w:p>
        </w:tc>
        <w:tc>
          <w:tcPr>
            <w:tcW w:w="794" w:type="dxa"/>
          </w:tcPr>
          <w:p w14:paraId="65FEADC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481</w:t>
            </w:r>
          </w:p>
        </w:tc>
        <w:tc>
          <w:tcPr>
            <w:tcW w:w="794" w:type="dxa"/>
          </w:tcPr>
          <w:p w14:paraId="765CD43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450</w:t>
            </w:r>
          </w:p>
        </w:tc>
        <w:tc>
          <w:tcPr>
            <w:tcW w:w="794" w:type="dxa"/>
          </w:tcPr>
          <w:p w14:paraId="62468C5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431</w:t>
            </w:r>
          </w:p>
        </w:tc>
        <w:tc>
          <w:tcPr>
            <w:tcW w:w="794" w:type="dxa"/>
          </w:tcPr>
          <w:p w14:paraId="478396C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414</w:t>
            </w:r>
          </w:p>
        </w:tc>
      </w:tr>
      <w:tr w:rsidR="008D6F13" w14:paraId="185E1207" w14:textId="77777777" w:rsidTr="0031078F">
        <w:tc>
          <w:tcPr>
            <w:cnfStyle w:val="001000000000" w:firstRow="0" w:lastRow="0" w:firstColumn="1" w:lastColumn="0" w:oddVBand="0" w:evenVBand="0" w:oddHBand="0" w:evenHBand="0" w:firstRowFirstColumn="0" w:firstRowLastColumn="0" w:lastRowFirstColumn="0" w:lastRowLastColumn="0"/>
            <w:tcW w:w="3742" w:type="dxa"/>
            <w:tcBorders>
              <w:bottom w:val="single" w:sz="6" w:space="0" w:color="auto"/>
            </w:tcBorders>
          </w:tcPr>
          <w:p w14:paraId="1562D127" w14:textId="77777777" w:rsidR="008D6F13" w:rsidRDefault="008D6F13" w:rsidP="0031078F">
            <w:r>
              <w:t>Other superannuation</w:t>
            </w:r>
          </w:p>
        </w:tc>
        <w:tc>
          <w:tcPr>
            <w:tcW w:w="795" w:type="dxa"/>
            <w:tcBorders>
              <w:bottom w:val="single" w:sz="6" w:space="0" w:color="auto"/>
            </w:tcBorders>
          </w:tcPr>
          <w:p w14:paraId="0AFE6F9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3 682</w:t>
            </w:r>
          </w:p>
        </w:tc>
        <w:tc>
          <w:tcPr>
            <w:tcW w:w="794" w:type="dxa"/>
            <w:tcBorders>
              <w:bottom w:val="single" w:sz="6" w:space="0" w:color="auto"/>
            </w:tcBorders>
          </w:tcPr>
          <w:p w14:paraId="5E0B534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3 629</w:t>
            </w:r>
          </w:p>
        </w:tc>
        <w:tc>
          <w:tcPr>
            <w:tcW w:w="794" w:type="dxa"/>
            <w:tcBorders>
              <w:bottom w:val="single" w:sz="6" w:space="0" w:color="auto"/>
            </w:tcBorders>
          </w:tcPr>
          <w:p w14:paraId="73860AA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3 664</w:t>
            </w:r>
          </w:p>
        </w:tc>
        <w:tc>
          <w:tcPr>
            <w:tcW w:w="794" w:type="dxa"/>
            <w:tcBorders>
              <w:bottom w:val="single" w:sz="6" w:space="0" w:color="auto"/>
            </w:tcBorders>
          </w:tcPr>
          <w:p w14:paraId="7853964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3 832</w:t>
            </w:r>
          </w:p>
        </w:tc>
        <w:tc>
          <w:tcPr>
            <w:tcW w:w="794" w:type="dxa"/>
            <w:tcBorders>
              <w:bottom w:val="single" w:sz="6" w:space="0" w:color="auto"/>
            </w:tcBorders>
          </w:tcPr>
          <w:p w14:paraId="39B964D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3 977</w:t>
            </w:r>
          </w:p>
        </w:tc>
      </w:tr>
      <w:tr w:rsidR="008D6F13" w14:paraId="5DA4BD1F" w14:textId="77777777" w:rsidTr="0031078F">
        <w:tc>
          <w:tcPr>
            <w:cnfStyle w:val="001000000000" w:firstRow="0" w:lastRow="0" w:firstColumn="1" w:lastColumn="0" w:oddVBand="0" w:evenVBand="0" w:oddHBand="0" w:evenHBand="0" w:firstRowFirstColumn="0" w:firstRowLastColumn="0" w:lastRowFirstColumn="0" w:lastRowLastColumn="0"/>
            <w:tcW w:w="3742" w:type="dxa"/>
            <w:tcBorders>
              <w:top w:val="single" w:sz="6" w:space="0" w:color="auto"/>
              <w:bottom w:val="single" w:sz="6" w:space="0" w:color="auto"/>
            </w:tcBorders>
          </w:tcPr>
          <w:p w14:paraId="6BE6576E" w14:textId="77777777" w:rsidR="008D6F13" w:rsidRDefault="008D6F13" w:rsidP="0031078F">
            <w:r>
              <w:rPr>
                <w:b/>
              </w:rPr>
              <w:t>Superannuation expense from transactions</w:t>
            </w:r>
          </w:p>
        </w:tc>
        <w:tc>
          <w:tcPr>
            <w:tcW w:w="795" w:type="dxa"/>
            <w:tcBorders>
              <w:top w:val="single" w:sz="6" w:space="0" w:color="auto"/>
              <w:bottom w:val="single" w:sz="6" w:space="0" w:color="auto"/>
            </w:tcBorders>
          </w:tcPr>
          <w:p w14:paraId="7EB4FC5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4 247</w:t>
            </w:r>
          </w:p>
        </w:tc>
        <w:tc>
          <w:tcPr>
            <w:tcW w:w="794" w:type="dxa"/>
            <w:tcBorders>
              <w:top w:val="single" w:sz="6" w:space="0" w:color="auto"/>
              <w:bottom w:val="single" w:sz="6" w:space="0" w:color="auto"/>
            </w:tcBorders>
          </w:tcPr>
          <w:p w14:paraId="0041664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4 110</w:t>
            </w:r>
          </w:p>
        </w:tc>
        <w:tc>
          <w:tcPr>
            <w:tcW w:w="794" w:type="dxa"/>
            <w:tcBorders>
              <w:top w:val="single" w:sz="6" w:space="0" w:color="auto"/>
              <w:bottom w:val="single" w:sz="6" w:space="0" w:color="auto"/>
            </w:tcBorders>
          </w:tcPr>
          <w:p w14:paraId="67FE89F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4 114</w:t>
            </w:r>
          </w:p>
        </w:tc>
        <w:tc>
          <w:tcPr>
            <w:tcW w:w="794" w:type="dxa"/>
            <w:tcBorders>
              <w:top w:val="single" w:sz="6" w:space="0" w:color="auto"/>
              <w:bottom w:val="single" w:sz="6" w:space="0" w:color="auto"/>
            </w:tcBorders>
          </w:tcPr>
          <w:p w14:paraId="2AFEA09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4 263</w:t>
            </w:r>
          </w:p>
        </w:tc>
        <w:tc>
          <w:tcPr>
            <w:tcW w:w="794" w:type="dxa"/>
            <w:tcBorders>
              <w:top w:val="single" w:sz="6" w:space="0" w:color="auto"/>
              <w:bottom w:val="single" w:sz="6" w:space="0" w:color="auto"/>
            </w:tcBorders>
          </w:tcPr>
          <w:p w14:paraId="0563B85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4 391</w:t>
            </w:r>
          </w:p>
        </w:tc>
      </w:tr>
      <w:tr w:rsidR="008D6F13" w14:paraId="61CAB64F" w14:textId="77777777" w:rsidTr="0031078F">
        <w:tc>
          <w:tcPr>
            <w:cnfStyle w:val="001000000000" w:firstRow="0" w:lastRow="0" w:firstColumn="1" w:lastColumn="0" w:oddVBand="0" w:evenVBand="0" w:oddHBand="0" w:evenHBand="0" w:firstRowFirstColumn="0" w:firstRowLastColumn="0" w:lastRowFirstColumn="0" w:lastRowLastColumn="0"/>
            <w:tcW w:w="3742" w:type="dxa"/>
            <w:tcBorders>
              <w:top w:val="single" w:sz="6" w:space="0" w:color="auto"/>
              <w:bottom w:val="single" w:sz="6" w:space="0" w:color="auto"/>
            </w:tcBorders>
          </w:tcPr>
          <w:p w14:paraId="13F83956" w14:textId="77777777" w:rsidR="008D6F13" w:rsidRDefault="008D6F13" w:rsidP="0031078F">
            <w:r>
              <w:rPr>
                <w:b/>
              </w:rPr>
              <w:t>Remeasurements recognised in other comprehensive income</w:t>
            </w:r>
          </w:p>
        </w:tc>
        <w:tc>
          <w:tcPr>
            <w:tcW w:w="795" w:type="dxa"/>
            <w:tcBorders>
              <w:top w:val="single" w:sz="6" w:space="0" w:color="auto"/>
              <w:bottom w:val="single" w:sz="6" w:space="0" w:color="auto"/>
            </w:tcBorders>
          </w:tcPr>
          <w:p w14:paraId="34BC616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(1 241)</w:t>
            </w:r>
          </w:p>
        </w:tc>
        <w:tc>
          <w:tcPr>
            <w:tcW w:w="794" w:type="dxa"/>
            <w:tcBorders>
              <w:top w:val="single" w:sz="6" w:space="0" w:color="auto"/>
              <w:bottom w:val="single" w:sz="6" w:space="0" w:color="auto"/>
            </w:tcBorders>
          </w:tcPr>
          <w:p w14:paraId="39F05E2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(1 690)</w:t>
            </w:r>
          </w:p>
        </w:tc>
        <w:tc>
          <w:tcPr>
            <w:tcW w:w="794" w:type="dxa"/>
            <w:tcBorders>
              <w:top w:val="single" w:sz="6" w:space="0" w:color="auto"/>
              <w:bottom w:val="single" w:sz="6" w:space="0" w:color="auto"/>
            </w:tcBorders>
          </w:tcPr>
          <w:p w14:paraId="555862B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(1 371)</w:t>
            </w:r>
          </w:p>
        </w:tc>
        <w:tc>
          <w:tcPr>
            <w:tcW w:w="794" w:type="dxa"/>
            <w:tcBorders>
              <w:top w:val="single" w:sz="6" w:space="0" w:color="auto"/>
              <w:bottom w:val="single" w:sz="6" w:space="0" w:color="auto"/>
            </w:tcBorders>
          </w:tcPr>
          <w:p w14:paraId="3AD100C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(1 394)</w:t>
            </w:r>
          </w:p>
        </w:tc>
        <w:tc>
          <w:tcPr>
            <w:tcW w:w="794" w:type="dxa"/>
            <w:tcBorders>
              <w:top w:val="single" w:sz="6" w:space="0" w:color="auto"/>
              <w:bottom w:val="single" w:sz="6" w:space="0" w:color="auto"/>
            </w:tcBorders>
          </w:tcPr>
          <w:p w14:paraId="7F18498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(1 420)</w:t>
            </w:r>
          </w:p>
        </w:tc>
      </w:tr>
      <w:tr w:rsidR="008D6F13" w14:paraId="3BEDE392" w14:textId="77777777" w:rsidTr="0031078F">
        <w:tc>
          <w:tcPr>
            <w:cnfStyle w:val="001000000000" w:firstRow="0" w:lastRow="0" w:firstColumn="1" w:lastColumn="0" w:oddVBand="0" w:evenVBand="0" w:oddHBand="0" w:evenHBand="0" w:firstRowFirstColumn="0" w:firstRowLastColumn="0" w:lastRowFirstColumn="0" w:lastRowLastColumn="0"/>
            <w:tcW w:w="3742" w:type="dxa"/>
          </w:tcPr>
          <w:p w14:paraId="38C0D9EE" w14:textId="77777777" w:rsidR="008D6F13" w:rsidRDefault="008D6F13" w:rsidP="0031078F">
            <w:r>
              <w:rPr>
                <w:b/>
              </w:rPr>
              <w:t>Total superannuation expense recognised in operating statement</w:t>
            </w:r>
          </w:p>
        </w:tc>
        <w:tc>
          <w:tcPr>
            <w:tcW w:w="795" w:type="dxa"/>
          </w:tcPr>
          <w:p w14:paraId="5975422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3 007</w:t>
            </w:r>
          </w:p>
        </w:tc>
        <w:tc>
          <w:tcPr>
            <w:tcW w:w="794" w:type="dxa"/>
          </w:tcPr>
          <w:p w14:paraId="0277789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2 420</w:t>
            </w:r>
          </w:p>
        </w:tc>
        <w:tc>
          <w:tcPr>
            <w:tcW w:w="794" w:type="dxa"/>
          </w:tcPr>
          <w:p w14:paraId="3C5AB31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2 744</w:t>
            </w:r>
          </w:p>
        </w:tc>
        <w:tc>
          <w:tcPr>
            <w:tcW w:w="794" w:type="dxa"/>
          </w:tcPr>
          <w:p w14:paraId="7E96537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2 869</w:t>
            </w:r>
          </w:p>
        </w:tc>
        <w:tc>
          <w:tcPr>
            <w:tcW w:w="794" w:type="dxa"/>
          </w:tcPr>
          <w:p w14:paraId="680C538B" w14:textId="6EE0F8FC"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2 970</w:t>
            </w:r>
          </w:p>
        </w:tc>
      </w:tr>
    </w:tbl>
    <w:p w14:paraId="30403D58" w14:textId="77777777" w:rsidR="008D6F13" w:rsidRDefault="008D6F13" w:rsidP="008D6F13"/>
    <w:p w14:paraId="2B7E22A0" w14:textId="77777777" w:rsidR="008D6F13" w:rsidRPr="00197CF0" w:rsidRDefault="008D6F13" w:rsidP="008D6F13"/>
    <w:p w14:paraId="21031CCF" w14:textId="77777777" w:rsidR="008D6F13" w:rsidRDefault="008D6F13" w:rsidP="008D6F13"/>
    <w:p w14:paraId="0F74EC05" w14:textId="77777777" w:rsidR="008D6F13" w:rsidRPr="008329E1" w:rsidRDefault="008D6F13" w:rsidP="008D6F13">
      <w:pPr>
        <w:pageBreakBefore/>
      </w:pPr>
      <w:r w:rsidRPr="008329E1">
        <w:lastRenderedPageBreak/>
        <w:t xml:space="preserve">The accounting policies relating to superannuation expenses and liabilities are consistent with the </w:t>
      </w:r>
      <w:r w:rsidRPr="008329E1">
        <w:rPr>
          <w:i/>
        </w:rPr>
        <w:t>2021-22 Budget</w:t>
      </w:r>
      <w:r w:rsidRPr="008329E1">
        <w:t>. However, the forecast assumptions have been revised for each relevant defined benefit superannuation scheme as in the following table.</w:t>
      </w:r>
    </w:p>
    <w:p w14:paraId="138F45D9" w14:textId="77777777" w:rsidR="008D6F13" w:rsidRPr="008329E1" w:rsidRDefault="008D6F13" w:rsidP="008D6F13">
      <w:pPr>
        <w:pStyle w:val="TableHeading"/>
      </w:pPr>
      <w:r w:rsidRPr="008329E1">
        <w:t>Superannuation assumptions</w:t>
      </w:r>
      <w:r w:rsidRPr="008329E1">
        <w:tab/>
        <w:t>(per cent)</w:t>
      </w:r>
    </w:p>
    <w:tbl>
      <w:tblPr>
        <w:tblStyle w:val="DTFTableNumeric"/>
        <w:tblW w:w="7768" w:type="dxa"/>
        <w:tblLayout w:type="fixed"/>
        <w:tblLook w:val="06A0" w:firstRow="1" w:lastRow="0" w:firstColumn="1" w:lastColumn="0" w:noHBand="1" w:noVBand="1"/>
      </w:tblPr>
      <w:tblGrid>
        <w:gridCol w:w="6620"/>
        <w:gridCol w:w="1148"/>
      </w:tblGrid>
      <w:tr w:rsidR="008D6F13" w:rsidRPr="00250B48" w14:paraId="74770D3F"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32" w:type="dxa"/>
          </w:tcPr>
          <w:p w14:paraId="7A775AFD" w14:textId="77777777" w:rsidR="008D6F13" w:rsidRPr="00250B48" w:rsidRDefault="008D6F13" w:rsidP="0031078F">
            <w:r w:rsidRPr="008329E1">
              <w:t xml:space="preserve">Underlying assumptions for all listed schemes </w:t>
            </w:r>
            <w:r w:rsidRPr="008329E1">
              <w:rPr>
                <w:vertAlign w:val="superscript"/>
              </w:rPr>
              <w:t>(a)</w:t>
            </w:r>
          </w:p>
        </w:tc>
        <w:tc>
          <w:tcPr>
            <w:tcW w:w="1133" w:type="dxa"/>
          </w:tcPr>
          <w:p w14:paraId="4FEA8ED9" w14:textId="77777777" w:rsidR="008D6F13" w:rsidRPr="00250B48" w:rsidRDefault="008D6F13" w:rsidP="0031078F">
            <w:pPr>
              <w:cnfStyle w:val="100000000000" w:firstRow="1" w:lastRow="0" w:firstColumn="0" w:lastColumn="0" w:oddVBand="0" w:evenVBand="0" w:oddHBand="0" w:evenHBand="0" w:firstRowFirstColumn="0" w:firstRowLastColumn="0" w:lastRowFirstColumn="0" w:lastRowLastColumn="0"/>
            </w:pPr>
          </w:p>
        </w:tc>
      </w:tr>
      <w:tr w:rsidR="008D6F13" w:rsidRPr="00250B48" w14:paraId="7F36E534" w14:textId="77777777" w:rsidTr="0031078F">
        <w:tc>
          <w:tcPr>
            <w:cnfStyle w:val="001000000000" w:firstRow="0" w:lastRow="0" w:firstColumn="1" w:lastColumn="0" w:oddVBand="0" w:evenVBand="0" w:oddHBand="0" w:evenHBand="0" w:firstRowFirstColumn="0" w:firstRowLastColumn="0" w:lastRowFirstColumn="0" w:lastRowLastColumn="0"/>
            <w:tcW w:w="6532" w:type="dxa"/>
          </w:tcPr>
          <w:p w14:paraId="164411BD" w14:textId="77777777" w:rsidR="008D6F13" w:rsidRPr="00250B48" w:rsidRDefault="008D6F13" w:rsidP="0031078F">
            <w:r w:rsidRPr="00250B48">
              <w:t xml:space="preserve">Discount rate </w:t>
            </w:r>
            <w:r w:rsidRPr="00250B48">
              <w:rPr>
                <w:vertAlign w:val="superscript"/>
              </w:rPr>
              <w:t>(b)</w:t>
            </w:r>
          </w:p>
        </w:tc>
        <w:tc>
          <w:tcPr>
            <w:tcW w:w="1133" w:type="dxa"/>
          </w:tcPr>
          <w:p w14:paraId="4C695035" w14:textId="77777777" w:rsidR="008D6F13" w:rsidRPr="00250B48" w:rsidRDefault="008D6F13" w:rsidP="0031078F">
            <w:pPr>
              <w:cnfStyle w:val="000000000000" w:firstRow="0" w:lastRow="0" w:firstColumn="0" w:lastColumn="0" w:oddVBand="0" w:evenVBand="0" w:oddHBand="0" w:evenHBand="0" w:firstRowFirstColumn="0" w:firstRowLastColumn="0" w:lastRowFirstColumn="0" w:lastRowLastColumn="0"/>
            </w:pPr>
            <w:r w:rsidRPr="00250B48">
              <w:t>1.</w:t>
            </w:r>
            <w:r>
              <w:t>8</w:t>
            </w:r>
          </w:p>
        </w:tc>
      </w:tr>
      <w:tr w:rsidR="008D6F13" w:rsidRPr="00250B48" w14:paraId="1F736E64" w14:textId="77777777" w:rsidTr="0031078F">
        <w:tc>
          <w:tcPr>
            <w:cnfStyle w:val="001000000000" w:firstRow="0" w:lastRow="0" w:firstColumn="1" w:lastColumn="0" w:oddVBand="0" w:evenVBand="0" w:oddHBand="0" w:evenHBand="0" w:firstRowFirstColumn="0" w:firstRowLastColumn="0" w:lastRowFirstColumn="0" w:lastRowLastColumn="0"/>
            <w:tcW w:w="6532" w:type="dxa"/>
          </w:tcPr>
          <w:p w14:paraId="780407EE" w14:textId="77777777" w:rsidR="008D6F13" w:rsidRPr="00250B48" w:rsidRDefault="008D6F13" w:rsidP="0031078F">
            <w:proofErr w:type="gramStart"/>
            <w:r w:rsidRPr="00250B48">
              <w:t>Wages</w:t>
            </w:r>
            <w:proofErr w:type="gramEnd"/>
            <w:r w:rsidRPr="00250B48">
              <w:t xml:space="preserve"> growth </w:t>
            </w:r>
            <w:r w:rsidRPr="00250B48">
              <w:rPr>
                <w:vertAlign w:val="superscript"/>
              </w:rPr>
              <w:t>(c)</w:t>
            </w:r>
          </w:p>
        </w:tc>
        <w:tc>
          <w:tcPr>
            <w:tcW w:w="1133" w:type="dxa"/>
          </w:tcPr>
          <w:p w14:paraId="4DB12208" w14:textId="77777777" w:rsidR="008D6F13" w:rsidRPr="00250B48" w:rsidRDefault="008D6F13" w:rsidP="0031078F">
            <w:pPr>
              <w:cnfStyle w:val="000000000000" w:firstRow="0" w:lastRow="0" w:firstColumn="0" w:lastColumn="0" w:oddVBand="0" w:evenVBand="0" w:oddHBand="0" w:evenHBand="0" w:firstRowFirstColumn="0" w:firstRowLastColumn="0" w:lastRowFirstColumn="0" w:lastRowLastColumn="0"/>
            </w:pPr>
            <w:r>
              <w:t>3.2</w:t>
            </w:r>
          </w:p>
        </w:tc>
      </w:tr>
      <w:tr w:rsidR="008D6F13" w:rsidRPr="00250B48" w14:paraId="0F886A04" w14:textId="77777777" w:rsidTr="0031078F">
        <w:tc>
          <w:tcPr>
            <w:cnfStyle w:val="001000000000" w:firstRow="0" w:lastRow="0" w:firstColumn="1" w:lastColumn="0" w:oddVBand="0" w:evenVBand="0" w:oddHBand="0" w:evenHBand="0" w:firstRowFirstColumn="0" w:firstRowLastColumn="0" w:lastRowFirstColumn="0" w:lastRowLastColumn="0"/>
            <w:tcW w:w="6532" w:type="dxa"/>
          </w:tcPr>
          <w:p w14:paraId="2A5EB1DE" w14:textId="77777777" w:rsidR="008D6F13" w:rsidRPr="00250B48" w:rsidRDefault="008D6F13" w:rsidP="0031078F">
            <w:r w:rsidRPr="00250B48">
              <w:t xml:space="preserve">Inflation rate </w:t>
            </w:r>
            <w:r w:rsidRPr="00250B48">
              <w:rPr>
                <w:vertAlign w:val="superscript"/>
              </w:rPr>
              <w:t>(d)</w:t>
            </w:r>
          </w:p>
        </w:tc>
        <w:tc>
          <w:tcPr>
            <w:tcW w:w="1133" w:type="dxa"/>
          </w:tcPr>
          <w:p w14:paraId="0DDA6CB1" w14:textId="77777777" w:rsidR="008D6F13" w:rsidRPr="00250B48" w:rsidRDefault="008D6F13" w:rsidP="0031078F">
            <w:pPr>
              <w:cnfStyle w:val="000000000000" w:firstRow="0" w:lastRow="0" w:firstColumn="0" w:lastColumn="0" w:oddVBand="0" w:evenVBand="0" w:oddHBand="0" w:evenHBand="0" w:firstRowFirstColumn="0" w:firstRowLastColumn="0" w:lastRowFirstColumn="0" w:lastRowLastColumn="0"/>
            </w:pPr>
            <w:r w:rsidRPr="00250B48">
              <w:t>1.</w:t>
            </w:r>
            <w:r>
              <w:t>7</w:t>
            </w:r>
          </w:p>
        </w:tc>
      </w:tr>
      <w:tr w:rsidR="008D6F13" w:rsidRPr="00250B48" w14:paraId="2112D0A8" w14:textId="77777777" w:rsidTr="0031078F">
        <w:tc>
          <w:tcPr>
            <w:cnfStyle w:val="001000000000" w:firstRow="0" w:lastRow="0" w:firstColumn="1" w:lastColumn="0" w:oddVBand="0" w:evenVBand="0" w:oddHBand="0" w:evenHBand="0" w:firstRowFirstColumn="0" w:firstRowLastColumn="0" w:lastRowFirstColumn="0" w:lastRowLastColumn="0"/>
            <w:tcW w:w="6532" w:type="dxa"/>
            <w:shd w:val="clear" w:color="auto" w:fill="000000" w:themeFill="text1"/>
          </w:tcPr>
          <w:p w14:paraId="7F57D944" w14:textId="77777777" w:rsidR="008D6F13" w:rsidRPr="002736F3" w:rsidRDefault="008D6F13" w:rsidP="0031078F">
            <w:pPr>
              <w:rPr>
                <w:i/>
                <w:color w:val="FFFFFF" w:themeColor="background1"/>
              </w:rPr>
            </w:pPr>
            <w:r w:rsidRPr="002736F3">
              <w:rPr>
                <w:i/>
                <w:color w:val="FFFFFF" w:themeColor="background1"/>
              </w:rPr>
              <w:t xml:space="preserve">Expected return on assets </w:t>
            </w:r>
            <w:r w:rsidRPr="002736F3">
              <w:rPr>
                <w:i/>
                <w:color w:val="FFFFFF" w:themeColor="background1"/>
                <w:vertAlign w:val="superscript"/>
              </w:rPr>
              <w:t>(e)</w:t>
            </w:r>
          </w:p>
        </w:tc>
        <w:tc>
          <w:tcPr>
            <w:tcW w:w="1133" w:type="dxa"/>
            <w:shd w:val="clear" w:color="auto" w:fill="000000" w:themeFill="text1"/>
          </w:tcPr>
          <w:p w14:paraId="68370049" w14:textId="77777777" w:rsidR="008D6F13" w:rsidRPr="002736F3" w:rsidRDefault="008D6F13" w:rsidP="0031078F">
            <w:pPr>
              <w:cnfStyle w:val="000000000000" w:firstRow="0" w:lastRow="0" w:firstColumn="0" w:lastColumn="0" w:oddVBand="0" w:evenVBand="0" w:oddHBand="0" w:evenHBand="0" w:firstRowFirstColumn="0" w:firstRowLastColumn="0" w:lastRowFirstColumn="0" w:lastRowLastColumn="0"/>
              <w:rPr>
                <w:i/>
                <w:color w:val="FFFFFF" w:themeColor="background1"/>
              </w:rPr>
            </w:pPr>
          </w:p>
        </w:tc>
      </w:tr>
      <w:tr w:rsidR="008D6F13" w:rsidRPr="00250B48" w14:paraId="5881606E" w14:textId="77777777" w:rsidTr="0031078F">
        <w:tc>
          <w:tcPr>
            <w:cnfStyle w:val="001000000000" w:firstRow="0" w:lastRow="0" w:firstColumn="1" w:lastColumn="0" w:oddVBand="0" w:evenVBand="0" w:oddHBand="0" w:evenHBand="0" w:firstRowFirstColumn="0" w:firstRowLastColumn="0" w:lastRowFirstColumn="0" w:lastRowLastColumn="0"/>
            <w:tcW w:w="6532" w:type="dxa"/>
          </w:tcPr>
          <w:p w14:paraId="69DB723A" w14:textId="77777777" w:rsidR="008D6F13" w:rsidRPr="00250B48" w:rsidRDefault="008D6F13" w:rsidP="0031078F">
            <w:r w:rsidRPr="00250B48">
              <w:t xml:space="preserve">Emergency Services and State Super </w:t>
            </w:r>
          </w:p>
        </w:tc>
        <w:tc>
          <w:tcPr>
            <w:tcW w:w="1133" w:type="dxa"/>
          </w:tcPr>
          <w:p w14:paraId="22BA19ED" w14:textId="77777777" w:rsidR="008D6F13" w:rsidRPr="00250B48" w:rsidRDefault="008D6F13" w:rsidP="0031078F">
            <w:pPr>
              <w:cnfStyle w:val="000000000000" w:firstRow="0" w:lastRow="0" w:firstColumn="0" w:lastColumn="0" w:oddVBand="0" w:evenVBand="0" w:oddHBand="0" w:evenHBand="0" w:firstRowFirstColumn="0" w:firstRowLastColumn="0" w:lastRowFirstColumn="0" w:lastRowLastColumn="0"/>
            </w:pPr>
            <w:r w:rsidRPr="00250B48">
              <w:t>7.</w:t>
            </w:r>
            <w:r>
              <w:t>6</w:t>
            </w:r>
          </w:p>
        </w:tc>
      </w:tr>
      <w:tr w:rsidR="008D6F13" w:rsidRPr="00250B48" w14:paraId="7FAE985A" w14:textId="77777777" w:rsidTr="0031078F">
        <w:tc>
          <w:tcPr>
            <w:cnfStyle w:val="001000000000" w:firstRow="0" w:lastRow="0" w:firstColumn="1" w:lastColumn="0" w:oddVBand="0" w:evenVBand="0" w:oddHBand="0" w:evenHBand="0" w:firstRowFirstColumn="0" w:firstRowLastColumn="0" w:lastRowFirstColumn="0" w:lastRowLastColumn="0"/>
            <w:tcW w:w="6532" w:type="dxa"/>
          </w:tcPr>
          <w:p w14:paraId="765D32CD" w14:textId="77777777" w:rsidR="008D6F13" w:rsidRPr="00250B48" w:rsidRDefault="008D6F13" w:rsidP="0031078F">
            <w:r w:rsidRPr="00250B48">
              <w:t>Health Super Fund Defined Benefit Scheme</w:t>
            </w:r>
          </w:p>
        </w:tc>
        <w:tc>
          <w:tcPr>
            <w:tcW w:w="1133" w:type="dxa"/>
          </w:tcPr>
          <w:p w14:paraId="7072D051" w14:textId="77777777" w:rsidR="008D6F13" w:rsidRPr="00250B48" w:rsidRDefault="008D6F13" w:rsidP="0031078F">
            <w:pPr>
              <w:cnfStyle w:val="000000000000" w:firstRow="0" w:lastRow="0" w:firstColumn="0" w:lastColumn="0" w:oddVBand="0" w:evenVBand="0" w:oddHBand="0" w:evenHBand="0" w:firstRowFirstColumn="0" w:firstRowLastColumn="0" w:lastRowFirstColumn="0" w:lastRowLastColumn="0"/>
            </w:pPr>
            <w:r>
              <w:t>4.8</w:t>
            </w:r>
          </w:p>
        </w:tc>
      </w:tr>
      <w:tr w:rsidR="008D6F13" w:rsidRPr="00250B48" w14:paraId="2866C5B3" w14:textId="77777777" w:rsidTr="0031078F">
        <w:tc>
          <w:tcPr>
            <w:cnfStyle w:val="001000000000" w:firstRow="0" w:lastRow="0" w:firstColumn="1" w:lastColumn="0" w:oddVBand="0" w:evenVBand="0" w:oddHBand="0" w:evenHBand="0" w:firstRowFirstColumn="0" w:firstRowLastColumn="0" w:lastRowFirstColumn="0" w:lastRowLastColumn="0"/>
            <w:tcW w:w="6532" w:type="dxa"/>
          </w:tcPr>
          <w:p w14:paraId="6817A84F" w14:textId="77777777" w:rsidR="008D6F13" w:rsidRPr="00250B48" w:rsidRDefault="008D6F13" w:rsidP="0031078F">
            <w:r w:rsidRPr="00250B48">
              <w:t xml:space="preserve">Constitutionally protected schemes </w:t>
            </w:r>
            <w:r w:rsidRPr="00250B48">
              <w:rPr>
                <w:vertAlign w:val="superscript"/>
              </w:rPr>
              <w:t>(f)</w:t>
            </w:r>
            <w:r w:rsidRPr="00250B48">
              <w:t xml:space="preserve"> </w:t>
            </w:r>
          </w:p>
        </w:tc>
        <w:tc>
          <w:tcPr>
            <w:tcW w:w="1133" w:type="dxa"/>
          </w:tcPr>
          <w:p w14:paraId="6EA0C307" w14:textId="77777777" w:rsidR="008D6F13" w:rsidRPr="00250B48" w:rsidRDefault="008D6F13" w:rsidP="0031078F">
            <w:pPr>
              <w:cnfStyle w:val="000000000000" w:firstRow="0" w:lastRow="0" w:firstColumn="0" w:lastColumn="0" w:oddVBand="0" w:evenVBand="0" w:oddHBand="0" w:evenHBand="0" w:firstRowFirstColumn="0" w:firstRowLastColumn="0" w:lastRowFirstColumn="0" w:lastRowLastColumn="0"/>
            </w:pPr>
            <w:r w:rsidRPr="00250B48">
              <w:t>n.a.</w:t>
            </w:r>
          </w:p>
        </w:tc>
      </w:tr>
    </w:tbl>
    <w:p w14:paraId="09BB3C12" w14:textId="77777777" w:rsidR="008D6F13" w:rsidRPr="00FC6AC0" w:rsidRDefault="008D6F13" w:rsidP="008D6F13">
      <w:pPr>
        <w:pStyle w:val="Note"/>
      </w:pPr>
      <w:r w:rsidRPr="00FC6AC0">
        <w:t>Notes:</w:t>
      </w:r>
    </w:p>
    <w:p w14:paraId="6EFC426C" w14:textId="77777777" w:rsidR="008D6F13" w:rsidRPr="00FC6AC0" w:rsidRDefault="008D6F13" w:rsidP="008D6F13">
      <w:pPr>
        <w:pStyle w:val="Note"/>
      </w:pPr>
      <w:r w:rsidRPr="00FC6AC0">
        <w:t>(a)</w:t>
      </w:r>
      <w:r w:rsidRPr="00FC6AC0">
        <w:tab/>
        <w:t>All rates are nominal annual rates and are applicable to all the listed schemes.</w:t>
      </w:r>
    </w:p>
    <w:p w14:paraId="5E8D18CD" w14:textId="77777777" w:rsidR="008D6F13" w:rsidRPr="00FC6AC0" w:rsidRDefault="008D6F13" w:rsidP="008D6F13">
      <w:pPr>
        <w:pStyle w:val="Note"/>
      </w:pPr>
      <w:r w:rsidRPr="00FC6AC0">
        <w:t>(b)</w:t>
      </w:r>
      <w:r w:rsidRPr="00FC6AC0">
        <w:tab/>
        <w:t>The discount rate is based on a long-term fixed interest Commonwealth bond rate. The rate stated above is an annual effective rate, gross of tax.</w:t>
      </w:r>
    </w:p>
    <w:p w14:paraId="65FD5C25" w14:textId="77777777" w:rsidR="008D6F13" w:rsidRPr="00FC6AC0" w:rsidRDefault="008D6F13" w:rsidP="008D6F13">
      <w:pPr>
        <w:pStyle w:val="Note"/>
      </w:pPr>
      <w:r w:rsidRPr="00FC6AC0">
        <w:t>(c)</w:t>
      </w:r>
      <w:r w:rsidRPr="00FC6AC0">
        <w:tab/>
        <w:t>Based on the historical relationship between price and wage inflation, wages growth is assumed to be 1.5 per cent higher than price inflation.</w:t>
      </w:r>
    </w:p>
    <w:p w14:paraId="43C4D1F4" w14:textId="77777777" w:rsidR="008D6F13" w:rsidRPr="00FC6AC0" w:rsidRDefault="008D6F13" w:rsidP="008D6F13">
      <w:pPr>
        <w:pStyle w:val="Note"/>
      </w:pPr>
      <w:r w:rsidRPr="00FC6AC0">
        <w:t>(d)</w:t>
      </w:r>
      <w:r w:rsidRPr="00FC6AC0">
        <w:tab/>
        <w:t xml:space="preserve">The superannuation assumptions are determined in accordance with AASB 119 </w:t>
      </w:r>
      <w:r w:rsidRPr="003B6C69">
        <w:rPr>
          <w:i w:val="0"/>
          <w:iCs/>
        </w:rPr>
        <w:t>Employee Benefits</w:t>
      </w:r>
      <w:r w:rsidRPr="00FC6AC0">
        <w:t>, which requires that the discount rate be based on Commonwealth bond yields. To ensure consistency with the market-based discount rate, the inflation rate assumed by the actuary reflects market expectations of price inflation, as implied by the relationship between the yields on nominal and inflation</w:t>
      </w:r>
      <w:r w:rsidRPr="00FC6AC0">
        <w:noBreakHyphen/>
        <w:t>linked Commonwealth bonds. Therefore, these assumptions differ from the key economic assumptions in Note 1.1, which reflect the expected change in consumer prices in Melbourne and movements in wages and salaries in the Victorian labour market.</w:t>
      </w:r>
    </w:p>
    <w:p w14:paraId="70B767A9" w14:textId="77777777" w:rsidR="008D6F13" w:rsidRPr="00FC6AC0" w:rsidRDefault="008D6F13" w:rsidP="008D6F13">
      <w:pPr>
        <w:pStyle w:val="Note"/>
      </w:pPr>
      <w:r w:rsidRPr="00FC6AC0">
        <w:t>(e)</w:t>
      </w:r>
      <w:r w:rsidRPr="00FC6AC0">
        <w:tab/>
        <w:t xml:space="preserve">The expected return on assets stated is gross of tax. Estimated tax payments are explicitly allowed for in the calculation process. </w:t>
      </w:r>
    </w:p>
    <w:p w14:paraId="4710BF6C" w14:textId="77777777" w:rsidR="008D6F13" w:rsidRPr="00FC6AC0" w:rsidRDefault="008D6F13" w:rsidP="008D6F13">
      <w:pPr>
        <w:pStyle w:val="Note"/>
      </w:pPr>
      <w:r w:rsidRPr="00FC6AC0">
        <w:t>(f)</w:t>
      </w:r>
      <w:r w:rsidRPr="00FC6AC0">
        <w:tab/>
        <w:t>Pensions payable from constitutionally protected schemes are paid from the Consolidated Fund. These schemes hold no assets, so there is no expected return on assets.</w:t>
      </w:r>
    </w:p>
    <w:p w14:paraId="688C63FB" w14:textId="77777777" w:rsidR="008D6F13" w:rsidRDefault="008D6F13" w:rsidP="008D6F13"/>
    <w:p w14:paraId="6CE4748A" w14:textId="77777777" w:rsidR="008D6F13" w:rsidRDefault="008D6F13" w:rsidP="008D6F13">
      <w:pPr>
        <w:pStyle w:val="Heading3"/>
        <w:pageBreakBefore/>
        <w:spacing w:after="60"/>
        <w:rPr>
          <w:sz w:val="20"/>
          <w:szCs w:val="20"/>
        </w:rPr>
      </w:pPr>
      <w:bookmarkStart w:id="82" w:name="_Toc85767954"/>
      <w:r w:rsidRPr="007E045E">
        <w:rPr>
          <w:sz w:val="20"/>
          <w:szCs w:val="20"/>
        </w:rPr>
        <w:lastRenderedPageBreak/>
        <w:t>Grant expense</w:t>
      </w:r>
      <w:r w:rsidRPr="007E045E">
        <w:rPr>
          <w:sz w:val="20"/>
          <w:szCs w:val="20"/>
        </w:rPr>
        <w:tab/>
        <w:t>($ million)</w:t>
      </w:r>
      <w:bookmarkEnd w:id="82"/>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0DD06D49"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1357C29A" w14:textId="7EC63DAF" w:rsidR="008D6F13" w:rsidRDefault="008D6F13" w:rsidP="0031078F"/>
        </w:tc>
        <w:tc>
          <w:tcPr>
            <w:tcW w:w="794" w:type="dxa"/>
          </w:tcPr>
          <w:p w14:paraId="28D15A26"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027C333C"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71C62696"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59C345A0"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3352E2B8"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0CCA3A44"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FFD4517" w14:textId="77777777" w:rsidR="008D6F13" w:rsidRDefault="008D6F13" w:rsidP="0031078F">
            <w:r>
              <w:rPr>
                <w:b/>
              </w:rPr>
              <w:t>Current grant expense</w:t>
            </w:r>
          </w:p>
        </w:tc>
        <w:tc>
          <w:tcPr>
            <w:tcW w:w="794" w:type="dxa"/>
          </w:tcPr>
          <w:p w14:paraId="0250465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CA7604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C257A7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4D8A6B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681634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2C6C23A3"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52A0145" w14:textId="77777777" w:rsidR="008D6F13" w:rsidRDefault="008D6F13" w:rsidP="0031078F">
            <w:r>
              <w:t>Commonwealth Government</w:t>
            </w:r>
          </w:p>
        </w:tc>
        <w:tc>
          <w:tcPr>
            <w:tcW w:w="794" w:type="dxa"/>
          </w:tcPr>
          <w:p w14:paraId="777F813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2 928</w:t>
            </w:r>
          </w:p>
        </w:tc>
        <w:tc>
          <w:tcPr>
            <w:tcW w:w="794" w:type="dxa"/>
          </w:tcPr>
          <w:p w14:paraId="718E04C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2 953</w:t>
            </w:r>
          </w:p>
        </w:tc>
        <w:tc>
          <w:tcPr>
            <w:tcW w:w="794" w:type="dxa"/>
          </w:tcPr>
          <w:p w14:paraId="705B589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3 212</w:t>
            </w:r>
          </w:p>
        </w:tc>
        <w:tc>
          <w:tcPr>
            <w:tcW w:w="794" w:type="dxa"/>
          </w:tcPr>
          <w:p w14:paraId="7B622EC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3 313</w:t>
            </w:r>
          </w:p>
        </w:tc>
        <w:tc>
          <w:tcPr>
            <w:tcW w:w="794" w:type="dxa"/>
          </w:tcPr>
          <w:p w14:paraId="00AA9D9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3 397</w:t>
            </w:r>
          </w:p>
        </w:tc>
      </w:tr>
      <w:tr w:rsidR="008D6F13" w14:paraId="5E9C7B69"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B9FFB22" w14:textId="77777777" w:rsidR="008D6F13" w:rsidRDefault="008D6F13" w:rsidP="0031078F">
            <w:r>
              <w:t>Local government (including grants for on</w:t>
            </w:r>
            <w:r>
              <w:noBreakHyphen/>
              <w:t>passing)</w:t>
            </w:r>
          </w:p>
        </w:tc>
        <w:tc>
          <w:tcPr>
            <w:tcW w:w="794" w:type="dxa"/>
          </w:tcPr>
          <w:p w14:paraId="5372214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983</w:t>
            </w:r>
          </w:p>
        </w:tc>
        <w:tc>
          <w:tcPr>
            <w:tcW w:w="794" w:type="dxa"/>
          </w:tcPr>
          <w:p w14:paraId="5C74765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821</w:t>
            </w:r>
          </w:p>
        </w:tc>
        <w:tc>
          <w:tcPr>
            <w:tcW w:w="794" w:type="dxa"/>
          </w:tcPr>
          <w:p w14:paraId="7AEBD81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859</w:t>
            </w:r>
          </w:p>
        </w:tc>
        <w:tc>
          <w:tcPr>
            <w:tcW w:w="794" w:type="dxa"/>
          </w:tcPr>
          <w:p w14:paraId="44CED6C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830</w:t>
            </w:r>
          </w:p>
        </w:tc>
        <w:tc>
          <w:tcPr>
            <w:tcW w:w="794" w:type="dxa"/>
          </w:tcPr>
          <w:p w14:paraId="4E1389D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826</w:t>
            </w:r>
          </w:p>
        </w:tc>
      </w:tr>
      <w:tr w:rsidR="008D6F13" w14:paraId="06780B58"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43757B7" w14:textId="77777777" w:rsidR="008D6F13" w:rsidRDefault="008D6F13" w:rsidP="0031078F">
            <w:r>
              <w:t>Private sector and not</w:t>
            </w:r>
            <w:r>
              <w:noBreakHyphen/>
              <w:t>for</w:t>
            </w:r>
            <w:r>
              <w:noBreakHyphen/>
              <w:t>profit for on</w:t>
            </w:r>
            <w:r>
              <w:noBreakHyphen/>
              <w:t>passing</w:t>
            </w:r>
          </w:p>
        </w:tc>
        <w:tc>
          <w:tcPr>
            <w:tcW w:w="794" w:type="dxa"/>
          </w:tcPr>
          <w:p w14:paraId="4A2CE8E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4 146</w:t>
            </w:r>
          </w:p>
        </w:tc>
        <w:tc>
          <w:tcPr>
            <w:tcW w:w="794" w:type="dxa"/>
          </w:tcPr>
          <w:p w14:paraId="37EF2B6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4 125</w:t>
            </w:r>
          </w:p>
        </w:tc>
        <w:tc>
          <w:tcPr>
            <w:tcW w:w="794" w:type="dxa"/>
          </w:tcPr>
          <w:p w14:paraId="6D60C73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4 360</w:t>
            </w:r>
          </w:p>
        </w:tc>
        <w:tc>
          <w:tcPr>
            <w:tcW w:w="794" w:type="dxa"/>
          </w:tcPr>
          <w:p w14:paraId="34C756A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4 565</w:t>
            </w:r>
          </w:p>
        </w:tc>
        <w:tc>
          <w:tcPr>
            <w:tcW w:w="794" w:type="dxa"/>
          </w:tcPr>
          <w:p w14:paraId="5E5538F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4 739</w:t>
            </w:r>
          </w:p>
        </w:tc>
      </w:tr>
      <w:tr w:rsidR="008D6F13" w14:paraId="5BF1C5FF"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657E2BF" w14:textId="77777777" w:rsidR="008D6F13" w:rsidRDefault="008D6F13" w:rsidP="0031078F">
            <w:r>
              <w:t>Other private sector and not</w:t>
            </w:r>
            <w:r>
              <w:noBreakHyphen/>
              <w:t>for</w:t>
            </w:r>
            <w:r>
              <w:noBreakHyphen/>
              <w:t>profit</w:t>
            </w:r>
            <w:r>
              <w:rPr>
                <w:vertAlign w:val="superscript"/>
              </w:rPr>
              <w:t xml:space="preserve"> (a)</w:t>
            </w:r>
          </w:p>
        </w:tc>
        <w:tc>
          <w:tcPr>
            <w:tcW w:w="794" w:type="dxa"/>
          </w:tcPr>
          <w:p w14:paraId="34A2809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4 993</w:t>
            </w:r>
          </w:p>
        </w:tc>
        <w:tc>
          <w:tcPr>
            <w:tcW w:w="794" w:type="dxa"/>
          </w:tcPr>
          <w:p w14:paraId="592B29F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12 896</w:t>
            </w:r>
          </w:p>
        </w:tc>
        <w:tc>
          <w:tcPr>
            <w:tcW w:w="794" w:type="dxa"/>
          </w:tcPr>
          <w:p w14:paraId="67F4F8A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4 679</w:t>
            </w:r>
          </w:p>
        </w:tc>
        <w:tc>
          <w:tcPr>
            <w:tcW w:w="794" w:type="dxa"/>
          </w:tcPr>
          <w:p w14:paraId="3BF3693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4 141</w:t>
            </w:r>
          </w:p>
        </w:tc>
        <w:tc>
          <w:tcPr>
            <w:tcW w:w="794" w:type="dxa"/>
          </w:tcPr>
          <w:p w14:paraId="04195C2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3 877</w:t>
            </w:r>
          </w:p>
        </w:tc>
      </w:tr>
      <w:tr w:rsidR="008D6F13" w14:paraId="7F42AF2A"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545A273" w14:textId="77777777" w:rsidR="008D6F13" w:rsidRDefault="008D6F13" w:rsidP="0031078F">
            <w:r>
              <w:t>Grants within the Victorian Government</w:t>
            </w:r>
          </w:p>
        </w:tc>
        <w:tc>
          <w:tcPr>
            <w:tcW w:w="794" w:type="dxa"/>
          </w:tcPr>
          <w:p w14:paraId="3B75F55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3 664</w:t>
            </w:r>
          </w:p>
        </w:tc>
        <w:tc>
          <w:tcPr>
            <w:tcW w:w="794" w:type="dxa"/>
          </w:tcPr>
          <w:p w14:paraId="3750C83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3 040</w:t>
            </w:r>
          </w:p>
        </w:tc>
        <w:tc>
          <w:tcPr>
            <w:tcW w:w="794" w:type="dxa"/>
          </w:tcPr>
          <w:p w14:paraId="311EC59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2 218</w:t>
            </w:r>
          </w:p>
        </w:tc>
        <w:tc>
          <w:tcPr>
            <w:tcW w:w="794" w:type="dxa"/>
          </w:tcPr>
          <w:p w14:paraId="0490291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2 034</w:t>
            </w:r>
          </w:p>
        </w:tc>
        <w:tc>
          <w:tcPr>
            <w:tcW w:w="794" w:type="dxa"/>
          </w:tcPr>
          <w:p w14:paraId="298570B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1 793</w:t>
            </w:r>
          </w:p>
        </w:tc>
      </w:tr>
      <w:tr w:rsidR="008D6F13" w14:paraId="128B817C"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3C46DA6A" w14:textId="77777777" w:rsidR="008D6F13" w:rsidRDefault="008D6F13" w:rsidP="0031078F">
            <w:r>
              <w:t>Grants to other state governments</w:t>
            </w:r>
          </w:p>
        </w:tc>
        <w:tc>
          <w:tcPr>
            <w:tcW w:w="794" w:type="dxa"/>
            <w:tcBorders>
              <w:bottom w:val="single" w:sz="6" w:space="0" w:color="auto"/>
            </w:tcBorders>
          </w:tcPr>
          <w:p w14:paraId="0535ED9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76</w:t>
            </w:r>
          </w:p>
        </w:tc>
        <w:tc>
          <w:tcPr>
            <w:tcW w:w="794" w:type="dxa"/>
            <w:tcBorders>
              <w:bottom w:val="single" w:sz="6" w:space="0" w:color="auto"/>
            </w:tcBorders>
          </w:tcPr>
          <w:p w14:paraId="00E8DF4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78</w:t>
            </w:r>
          </w:p>
        </w:tc>
        <w:tc>
          <w:tcPr>
            <w:tcW w:w="794" w:type="dxa"/>
            <w:tcBorders>
              <w:bottom w:val="single" w:sz="6" w:space="0" w:color="auto"/>
            </w:tcBorders>
          </w:tcPr>
          <w:p w14:paraId="00CB42D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73</w:t>
            </w:r>
          </w:p>
        </w:tc>
        <w:tc>
          <w:tcPr>
            <w:tcW w:w="794" w:type="dxa"/>
            <w:tcBorders>
              <w:bottom w:val="single" w:sz="6" w:space="0" w:color="auto"/>
            </w:tcBorders>
          </w:tcPr>
          <w:p w14:paraId="10D0495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73</w:t>
            </w:r>
          </w:p>
        </w:tc>
        <w:tc>
          <w:tcPr>
            <w:tcW w:w="794" w:type="dxa"/>
            <w:tcBorders>
              <w:bottom w:val="single" w:sz="6" w:space="0" w:color="auto"/>
            </w:tcBorders>
          </w:tcPr>
          <w:p w14:paraId="2199562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74</w:t>
            </w:r>
          </w:p>
        </w:tc>
      </w:tr>
      <w:tr w:rsidR="008D6F13" w14:paraId="542245AC"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0CF32351" w14:textId="77777777" w:rsidR="008D6F13" w:rsidRDefault="008D6F13" w:rsidP="0031078F">
            <w:r>
              <w:rPr>
                <w:b/>
              </w:rPr>
              <w:t>Total current grant expense</w:t>
            </w:r>
          </w:p>
        </w:tc>
        <w:tc>
          <w:tcPr>
            <w:tcW w:w="794" w:type="dxa"/>
            <w:tcBorders>
              <w:top w:val="single" w:sz="6" w:space="0" w:color="auto"/>
              <w:bottom w:val="single" w:sz="6" w:space="0" w:color="auto"/>
            </w:tcBorders>
          </w:tcPr>
          <w:p w14:paraId="669E8B2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16 791</w:t>
            </w:r>
          </w:p>
        </w:tc>
        <w:tc>
          <w:tcPr>
            <w:tcW w:w="794" w:type="dxa"/>
            <w:tcBorders>
              <w:top w:val="single" w:sz="6" w:space="0" w:color="auto"/>
              <w:bottom w:val="single" w:sz="6" w:space="0" w:color="auto"/>
            </w:tcBorders>
          </w:tcPr>
          <w:p w14:paraId="6B4DBD4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23 913</w:t>
            </w:r>
          </w:p>
        </w:tc>
        <w:tc>
          <w:tcPr>
            <w:tcW w:w="794" w:type="dxa"/>
            <w:tcBorders>
              <w:top w:val="single" w:sz="6" w:space="0" w:color="auto"/>
              <w:bottom w:val="single" w:sz="6" w:space="0" w:color="auto"/>
            </w:tcBorders>
          </w:tcPr>
          <w:p w14:paraId="2064693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15 401</w:t>
            </w:r>
          </w:p>
        </w:tc>
        <w:tc>
          <w:tcPr>
            <w:tcW w:w="794" w:type="dxa"/>
            <w:tcBorders>
              <w:top w:val="single" w:sz="6" w:space="0" w:color="auto"/>
              <w:bottom w:val="single" w:sz="6" w:space="0" w:color="auto"/>
            </w:tcBorders>
          </w:tcPr>
          <w:p w14:paraId="472499C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14 957</w:t>
            </w:r>
          </w:p>
        </w:tc>
        <w:tc>
          <w:tcPr>
            <w:tcW w:w="794" w:type="dxa"/>
            <w:tcBorders>
              <w:top w:val="single" w:sz="6" w:space="0" w:color="auto"/>
              <w:bottom w:val="single" w:sz="6" w:space="0" w:color="auto"/>
            </w:tcBorders>
          </w:tcPr>
          <w:p w14:paraId="622C2F5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14 707</w:t>
            </w:r>
          </w:p>
        </w:tc>
      </w:tr>
      <w:tr w:rsidR="008D6F13" w14:paraId="37A5ACB9"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41D7C27B" w14:textId="77777777" w:rsidR="008D6F13" w:rsidRDefault="008D6F13" w:rsidP="0031078F">
            <w:r>
              <w:rPr>
                <w:b/>
              </w:rPr>
              <w:t>Capital grant expense</w:t>
            </w:r>
          </w:p>
        </w:tc>
        <w:tc>
          <w:tcPr>
            <w:tcW w:w="794" w:type="dxa"/>
            <w:tcBorders>
              <w:top w:val="single" w:sz="6" w:space="0" w:color="auto"/>
            </w:tcBorders>
          </w:tcPr>
          <w:p w14:paraId="0D4CD13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702C70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09948A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3851FF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527EC6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5BF3ACF4"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9E0059A" w14:textId="77777777" w:rsidR="008D6F13" w:rsidRDefault="008D6F13" w:rsidP="0031078F">
            <w:r>
              <w:t>Local government (including grants for on</w:t>
            </w:r>
            <w:r>
              <w:noBreakHyphen/>
              <w:t>passing)</w:t>
            </w:r>
          </w:p>
        </w:tc>
        <w:tc>
          <w:tcPr>
            <w:tcW w:w="794" w:type="dxa"/>
          </w:tcPr>
          <w:p w14:paraId="5243E15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147</w:t>
            </w:r>
          </w:p>
        </w:tc>
        <w:tc>
          <w:tcPr>
            <w:tcW w:w="794" w:type="dxa"/>
          </w:tcPr>
          <w:p w14:paraId="11281B1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160</w:t>
            </w:r>
          </w:p>
        </w:tc>
        <w:tc>
          <w:tcPr>
            <w:tcW w:w="794" w:type="dxa"/>
          </w:tcPr>
          <w:p w14:paraId="4AA36D4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133</w:t>
            </w:r>
          </w:p>
        </w:tc>
        <w:tc>
          <w:tcPr>
            <w:tcW w:w="794" w:type="dxa"/>
          </w:tcPr>
          <w:p w14:paraId="7AA46AF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120</w:t>
            </w:r>
          </w:p>
        </w:tc>
        <w:tc>
          <w:tcPr>
            <w:tcW w:w="794" w:type="dxa"/>
          </w:tcPr>
          <w:p w14:paraId="10A9C4E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115</w:t>
            </w:r>
          </w:p>
        </w:tc>
      </w:tr>
      <w:tr w:rsidR="008D6F13" w14:paraId="3AE8F12A"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E3F0115" w14:textId="77777777" w:rsidR="008D6F13" w:rsidRDefault="008D6F13" w:rsidP="0031078F">
            <w:r>
              <w:t>Private sector and not</w:t>
            </w:r>
            <w:r>
              <w:noBreakHyphen/>
              <w:t>for</w:t>
            </w:r>
            <w:r>
              <w:noBreakHyphen/>
              <w:t>profit on</w:t>
            </w:r>
            <w:r>
              <w:noBreakHyphen/>
              <w:t>passing</w:t>
            </w:r>
          </w:p>
        </w:tc>
        <w:tc>
          <w:tcPr>
            <w:tcW w:w="794" w:type="dxa"/>
          </w:tcPr>
          <w:p w14:paraId="4219407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358</w:t>
            </w:r>
          </w:p>
        </w:tc>
        <w:tc>
          <w:tcPr>
            <w:tcW w:w="794" w:type="dxa"/>
          </w:tcPr>
          <w:p w14:paraId="5DCA29A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371</w:t>
            </w:r>
          </w:p>
        </w:tc>
        <w:tc>
          <w:tcPr>
            <w:tcW w:w="794" w:type="dxa"/>
          </w:tcPr>
          <w:p w14:paraId="2FAC0BF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190</w:t>
            </w:r>
          </w:p>
        </w:tc>
        <w:tc>
          <w:tcPr>
            <w:tcW w:w="794" w:type="dxa"/>
          </w:tcPr>
          <w:p w14:paraId="76549E1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102</w:t>
            </w:r>
          </w:p>
        </w:tc>
        <w:tc>
          <w:tcPr>
            <w:tcW w:w="794" w:type="dxa"/>
          </w:tcPr>
          <w:p w14:paraId="274270A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93</w:t>
            </w:r>
          </w:p>
        </w:tc>
      </w:tr>
      <w:tr w:rsidR="008D6F13" w14:paraId="31DFEEC4"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578B612" w14:textId="77777777" w:rsidR="008D6F13" w:rsidRDefault="008D6F13" w:rsidP="0031078F">
            <w:r>
              <w:t>Other private sector and not</w:t>
            </w:r>
            <w:r>
              <w:noBreakHyphen/>
              <w:t>for</w:t>
            </w:r>
            <w:r>
              <w:noBreakHyphen/>
              <w:t>profit</w:t>
            </w:r>
          </w:p>
        </w:tc>
        <w:tc>
          <w:tcPr>
            <w:tcW w:w="794" w:type="dxa"/>
          </w:tcPr>
          <w:p w14:paraId="52ED93E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7F4FC3B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w:t>
            </w:r>
          </w:p>
        </w:tc>
        <w:tc>
          <w:tcPr>
            <w:tcW w:w="794" w:type="dxa"/>
          </w:tcPr>
          <w:p w14:paraId="3213D8D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18</w:t>
            </w:r>
          </w:p>
        </w:tc>
        <w:tc>
          <w:tcPr>
            <w:tcW w:w="794" w:type="dxa"/>
          </w:tcPr>
          <w:p w14:paraId="3E725AB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w:t>
            </w:r>
          </w:p>
        </w:tc>
        <w:tc>
          <w:tcPr>
            <w:tcW w:w="794" w:type="dxa"/>
          </w:tcPr>
          <w:p w14:paraId="440FEC1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w:t>
            </w:r>
          </w:p>
        </w:tc>
      </w:tr>
      <w:tr w:rsidR="008D6F13" w14:paraId="3A93E392"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6D79D95" w14:textId="77777777" w:rsidR="008D6F13" w:rsidRDefault="008D6F13" w:rsidP="0031078F">
            <w:r>
              <w:t>Grants within the Victorian Government</w:t>
            </w:r>
          </w:p>
        </w:tc>
        <w:tc>
          <w:tcPr>
            <w:tcW w:w="794" w:type="dxa"/>
          </w:tcPr>
          <w:p w14:paraId="48C548C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5386BB0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72C31F7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29A089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A48814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4AC743E2"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568E3805" w14:textId="77777777" w:rsidR="008D6F13" w:rsidRDefault="008D6F13" w:rsidP="0031078F">
            <w:r>
              <w:rPr>
                <w:b/>
              </w:rPr>
              <w:t>Total capital grant expense</w:t>
            </w:r>
          </w:p>
        </w:tc>
        <w:tc>
          <w:tcPr>
            <w:tcW w:w="794" w:type="dxa"/>
            <w:tcBorders>
              <w:top w:val="single" w:sz="6" w:space="0" w:color="auto"/>
              <w:bottom w:val="single" w:sz="6" w:space="0" w:color="auto"/>
            </w:tcBorders>
          </w:tcPr>
          <w:p w14:paraId="29080BC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510</w:t>
            </w:r>
          </w:p>
        </w:tc>
        <w:tc>
          <w:tcPr>
            <w:tcW w:w="794" w:type="dxa"/>
            <w:tcBorders>
              <w:top w:val="single" w:sz="6" w:space="0" w:color="auto"/>
              <w:bottom w:val="single" w:sz="6" w:space="0" w:color="auto"/>
            </w:tcBorders>
          </w:tcPr>
          <w:p w14:paraId="34B9BE9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545</w:t>
            </w:r>
          </w:p>
        </w:tc>
        <w:tc>
          <w:tcPr>
            <w:tcW w:w="794" w:type="dxa"/>
            <w:tcBorders>
              <w:top w:val="single" w:sz="6" w:space="0" w:color="auto"/>
              <w:bottom w:val="single" w:sz="6" w:space="0" w:color="auto"/>
            </w:tcBorders>
          </w:tcPr>
          <w:p w14:paraId="54D0AD9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342</w:t>
            </w:r>
          </w:p>
        </w:tc>
        <w:tc>
          <w:tcPr>
            <w:tcW w:w="794" w:type="dxa"/>
            <w:tcBorders>
              <w:top w:val="single" w:sz="6" w:space="0" w:color="auto"/>
              <w:bottom w:val="single" w:sz="6" w:space="0" w:color="auto"/>
            </w:tcBorders>
          </w:tcPr>
          <w:p w14:paraId="64A18AA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246</w:t>
            </w:r>
          </w:p>
        </w:tc>
        <w:tc>
          <w:tcPr>
            <w:tcW w:w="794" w:type="dxa"/>
            <w:tcBorders>
              <w:top w:val="single" w:sz="6" w:space="0" w:color="auto"/>
              <w:bottom w:val="single" w:sz="6" w:space="0" w:color="auto"/>
            </w:tcBorders>
          </w:tcPr>
          <w:p w14:paraId="2450CCA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212</w:t>
            </w:r>
          </w:p>
        </w:tc>
      </w:tr>
      <w:tr w:rsidR="008D6F13" w14:paraId="52D617D7"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984178E" w14:textId="77777777" w:rsidR="008D6F13" w:rsidRDefault="008D6F13" w:rsidP="0031078F">
            <w:r>
              <w:rPr>
                <w:b/>
              </w:rPr>
              <w:t>Total grant expense</w:t>
            </w:r>
          </w:p>
        </w:tc>
        <w:tc>
          <w:tcPr>
            <w:tcW w:w="794" w:type="dxa"/>
          </w:tcPr>
          <w:p w14:paraId="3B88965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17 301</w:t>
            </w:r>
          </w:p>
        </w:tc>
        <w:tc>
          <w:tcPr>
            <w:tcW w:w="794" w:type="dxa"/>
          </w:tcPr>
          <w:p w14:paraId="01FCC68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24 457</w:t>
            </w:r>
          </w:p>
        </w:tc>
        <w:tc>
          <w:tcPr>
            <w:tcW w:w="794" w:type="dxa"/>
          </w:tcPr>
          <w:p w14:paraId="5958D5A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15 744</w:t>
            </w:r>
          </w:p>
        </w:tc>
        <w:tc>
          <w:tcPr>
            <w:tcW w:w="794" w:type="dxa"/>
          </w:tcPr>
          <w:p w14:paraId="400837E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15 202</w:t>
            </w:r>
          </w:p>
        </w:tc>
        <w:tc>
          <w:tcPr>
            <w:tcW w:w="794" w:type="dxa"/>
          </w:tcPr>
          <w:p w14:paraId="1654EB5D" w14:textId="1446E4DA"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14 919</w:t>
            </w:r>
          </w:p>
        </w:tc>
      </w:tr>
    </w:tbl>
    <w:p w14:paraId="7A5D70C3" w14:textId="77777777" w:rsidR="008D6F13" w:rsidRPr="00FC6AC0" w:rsidRDefault="008D6F13" w:rsidP="008D6F13">
      <w:pPr>
        <w:pStyle w:val="Note"/>
        <w:ind w:left="0" w:firstLine="0"/>
      </w:pPr>
      <w:r>
        <w:t>Note</w:t>
      </w:r>
      <w:r w:rsidRPr="00FC6AC0">
        <w:t>:</w:t>
      </w:r>
    </w:p>
    <w:p w14:paraId="6DBBEAFD" w14:textId="77777777" w:rsidR="008D6F13" w:rsidRPr="009E03FE" w:rsidRDefault="008D6F13" w:rsidP="008D6F13">
      <w:pPr>
        <w:pStyle w:val="Note"/>
        <w:rPr>
          <w:highlight w:val="yellow"/>
        </w:rPr>
      </w:pPr>
      <w:r w:rsidRPr="00FC6AC0">
        <w:t>(a)</w:t>
      </w:r>
      <w:r w:rsidRPr="00FC6AC0">
        <w:tab/>
      </w:r>
      <w:r w:rsidRPr="00C02B7F">
        <w:t xml:space="preserve">The increase in </w:t>
      </w:r>
      <w:r>
        <w:t xml:space="preserve">other private sector and not-for-profit grant expense </w:t>
      </w:r>
      <w:r w:rsidRPr="00C02B7F">
        <w:t xml:space="preserve">in 2021-22 reflects the support provided to businesses as part of the Government’s COVID-19 pandemic response.  </w:t>
      </w:r>
    </w:p>
    <w:p w14:paraId="5D32D961" w14:textId="77777777" w:rsidR="008D6F13" w:rsidRPr="00D52583" w:rsidRDefault="008D6F13" w:rsidP="008D6F13"/>
    <w:p w14:paraId="02CA469E" w14:textId="77777777" w:rsidR="008D6F13" w:rsidRDefault="008D6F13" w:rsidP="008D6F13">
      <w:pPr>
        <w:pStyle w:val="Heading3"/>
        <w:pageBreakBefore/>
        <w:spacing w:after="60"/>
        <w:rPr>
          <w:sz w:val="20"/>
          <w:szCs w:val="20"/>
        </w:rPr>
      </w:pPr>
      <w:bookmarkStart w:id="83" w:name="_Toc85767955"/>
      <w:r w:rsidRPr="007E045E">
        <w:rPr>
          <w:sz w:val="20"/>
          <w:szCs w:val="20"/>
        </w:rPr>
        <w:lastRenderedPageBreak/>
        <w:t xml:space="preserve">Other operating expenses </w:t>
      </w:r>
      <w:r w:rsidRPr="007E045E">
        <w:rPr>
          <w:sz w:val="20"/>
          <w:szCs w:val="20"/>
        </w:rPr>
        <w:tab/>
        <w:t>($ million)</w:t>
      </w:r>
      <w:bookmarkEnd w:id="83"/>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0E98446A"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2503CFDA" w14:textId="66A8F640" w:rsidR="008D6F13" w:rsidRDefault="008D6F13" w:rsidP="0031078F"/>
        </w:tc>
        <w:tc>
          <w:tcPr>
            <w:tcW w:w="794" w:type="dxa"/>
          </w:tcPr>
          <w:p w14:paraId="1E49975F"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0840D256"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39D1D0E9"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41483FCE"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0BC48E6B"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6678F042"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2854A10" w14:textId="77777777" w:rsidR="008D6F13" w:rsidRDefault="008D6F13" w:rsidP="0031078F">
            <w:r>
              <w:t>Purchase of supplies and consumables</w:t>
            </w:r>
            <w:r>
              <w:rPr>
                <w:vertAlign w:val="superscript"/>
              </w:rPr>
              <w:t xml:space="preserve"> (a)</w:t>
            </w:r>
          </w:p>
        </w:tc>
        <w:tc>
          <w:tcPr>
            <w:tcW w:w="794" w:type="dxa"/>
          </w:tcPr>
          <w:p w14:paraId="4E76FA1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8 667</w:t>
            </w:r>
          </w:p>
        </w:tc>
        <w:tc>
          <w:tcPr>
            <w:tcW w:w="794" w:type="dxa"/>
          </w:tcPr>
          <w:p w14:paraId="456519A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10 396</w:t>
            </w:r>
          </w:p>
        </w:tc>
        <w:tc>
          <w:tcPr>
            <w:tcW w:w="794" w:type="dxa"/>
          </w:tcPr>
          <w:p w14:paraId="5294F4B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8 041</w:t>
            </w:r>
          </w:p>
        </w:tc>
        <w:tc>
          <w:tcPr>
            <w:tcW w:w="794" w:type="dxa"/>
          </w:tcPr>
          <w:p w14:paraId="377D691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7 461</w:t>
            </w:r>
          </w:p>
        </w:tc>
        <w:tc>
          <w:tcPr>
            <w:tcW w:w="794" w:type="dxa"/>
          </w:tcPr>
          <w:p w14:paraId="6135C2A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7 332</w:t>
            </w:r>
          </w:p>
        </w:tc>
      </w:tr>
      <w:tr w:rsidR="008D6F13" w14:paraId="02FEE31D"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8A5F648" w14:textId="77777777" w:rsidR="008D6F13" w:rsidRDefault="008D6F13" w:rsidP="0031078F">
            <w:r>
              <w:t>Cost of goods sold</w:t>
            </w:r>
          </w:p>
        </w:tc>
        <w:tc>
          <w:tcPr>
            <w:tcW w:w="794" w:type="dxa"/>
          </w:tcPr>
          <w:p w14:paraId="21E60DF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34</w:t>
            </w:r>
          </w:p>
        </w:tc>
        <w:tc>
          <w:tcPr>
            <w:tcW w:w="794" w:type="dxa"/>
          </w:tcPr>
          <w:p w14:paraId="11B3509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35</w:t>
            </w:r>
          </w:p>
        </w:tc>
        <w:tc>
          <w:tcPr>
            <w:tcW w:w="794" w:type="dxa"/>
          </w:tcPr>
          <w:p w14:paraId="27288F9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35</w:t>
            </w:r>
          </w:p>
        </w:tc>
        <w:tc>
          <w:tcPr>
            <w:tcW w:w="794" w:type="dxa"/>
          </w:tcPr>
          <w:p w14:paraId="5A199E0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35</w:t>
            </w:r>
          </w:p>
        </w:tc>
        <w:tc>
          <w:tcPr>
            <w:tcW w:w="794" w:type="dxa"/>
          </w:tcPr>
          <w:p w14:paraId="23D023E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35</w:t>
            </w:r>
          </w:p>
        </w:tc>
      </w:tr>
      <w:tr w:rsidR="008D6F13" w14:paraId="5D6C5083"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75B82DD" w14:textId="77777777" w:rsidR="008D6F13" w:rsidRDefault="008D6F13" w:rsidP="0031078F">
            <w:r>
              <w:t>Finance expenses and fees</w:t>
            </w:r>
          </w:p>
        </w:tc>
        <w:tc>
          <w:tcPr>
            <w:tcW w:w="794" w:type="dxa"/>
          </w:tcPr>
          <w:p w14:paraId="5CB81C0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44</w:t>
            </w:r>
          </w:p>
        </w:tc>
        <w:tc>
          <w:tcPr>
            <w:tcW w:w="794" w:type="dxa"/>
          </w:tcPr>
          <w:p w14:paraId="1E17E47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42</w:t>
            </w:r>
          </w:p>
        </w:tc>
        <w:tc>
          <w:tcPr>
            <w:tcW w:w="794" w:type="dxa"/>
          </w:tcPr>
          <w:p w14:paraId="15A39E8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46</w:t>
            </w:r>
          </w:p>
        </w:tc>
        <w:tc>
          <w:tcPr>
            <w:tcW w:w="794" w:type="dxa"/>
          </w:tcPr>
          <w:p w14:paraId="4105E5A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46</w:t>
            </w:r>
          </w:p>
        </w:tc>
        <w:tc>
          <w:tcPr>
            <w:tcW w:w="794" w:type="dxa"/>
          </w:tcPr>
          <w:p w14:paraId="1A48297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46</w:t>
            </w:r>
          </w:p>
        </w:tc>
      </w:tr>
      <w:tr w:rsidR="008D6F13" w14:paraId="69018A44"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F59A2F5" w14:textId="77777777" w:rsidR="008D6F13" w:rsidRDefault="008D6F13" w:rsidP="0031078F">
            <w:r>
              <w:t>Purchase of services</w:t>
            </w:r>
            <w:r>
              <w:rPr>
                <w:vertAlign w:val="superscript"/>
              </w:rPr>
              <w:t xml:space="preserve"> (a)</w:t>
            </w:r>
          </w:p>
        </w:tc>
        <w:tc>
          <w:tcPr>
            <w:tcW w:w="794" w:type="dxa"/>
          </w:tcPr>
          <w:p w14:paraId="4CCD640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14 285</w:t>
            </w:r>
          </w:p>
        </w:tc>
        <w:tc>
          <w:tcPr>
            <w:tcW w:w="794" w:type="dxa"/>
          </w:tcPr>
          <w:p w14:paraId="7E831DE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15 558</w:t>
            </w:r>
          </w:p>
        </w:tc>
        <w:tc>
          <w:tcPr>
            <w:tcW w:w="794" w:type="dxa"/>
          </w:tcPr>
          <w:p w14:paraId="071F446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13 399</w:t>
            </w:r>
          </w:p>
        </w:tc>
        <w:tc>
          <w:tcPr>
            <w:tcW w:w="794" w:type="dxa"/>
          </w:tcPr>
          <w:p w14:paraId="55908F8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13 368</w:t>
            </w:r>
          </w:p>
        </w:tc>
        <w:tc>
          <w:tcPr>
            <w:tcW w:w="794" w:type="dxa"/>
          </w:tcPr>
          <w:p w14:paraId="25DEA23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13 396</w:t>
            </w:r>
          </w:p>
        </w:tc>
      </w:tr>
      <w:tr w:rsidR="008D6F13" w14:paraId="6F067579"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B2249B0" w14:textId="77777777" w:rsidR="008D6F13" w:rsidRDefault="008D6F13" w:rsidP="0031078F">
            <w:r>
              <w:t>Insurance claims expense</w:t>
            </w:r>
          </w:p>
        </w:tc>
        <w:tc>
          <w:tcPr>
            <w:tcW w:w="794" w:type="dxa"/>
          </w:tcPr>
          <w:p w14:paraId="6D71CFD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312</w:t>
            </w:r>
          </w:p>
        </w:tc>
        <w:tc>
          <w:tcPr>
            <w:tcW w:w="794" w:type="dxa"/>
          </w:tcPr>
          <w:p w14:paraId="42400C8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350</w:t>
            </w:r>
          </w:p>
        </w:tc>
        <w:tc>
          <w:tcPr>
            <w:tcW w:w="794" w:type="dxa"/>
          </w:tcPr>
          <w:p w14:paraId="2E2E712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318</w:t>
            </w:r>
          </w:p>
        </w:tc>
        <w:tc>
          <w:tcPr>
            <w:tcW w:w="794" w:type="dxa"/>
          </w:tcPr>
          <w:p w14:paraId="46B7257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321</w:t>
            </w:r>
          </w:p>
        </w:tc>
        <w:tc>
          <w:tcPr>
            <w:tcW w:w="794" w:type="dxa"/>
          </w:tcPr>
          <w:p w14:paraId="7B25AA6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323</w:t>
            </w:r>
          </w:p>
        </w:tc>
      </w:tr>
      <w:tr w:rsidR="008D6F13" w14:paraId="7DFC7FD3"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5D5972B" w14:textId="77777777" w:rsidR="008D6F13" w:rsidRDefault="008D6F13" w:rsidP="0031078F">
            <w:r>
              <w:t>Maintenance</w:t>
            </w:r>
          </w:p>
        </w:tc>
        <w:tc>
          <w:tcPr>
            <w:tcW w:w="794" w:type="dxa"/>
          </w:tcPr>
          <w:p w14:paraId="4E15425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1 123</w:t>
            </w:r>
          </w:p>
        </w:tc>
        <w:tc>
          <w:tcPr>
            <w:tcW w:w="794" w:type="dxa"/>
          </w:tcPr>
          <w:p w14:paraId="209E9E6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1 137</w:t>
            </w:r>
          </w:p>
        </w:tc>
        <w:tc>
          <w:tcPr>
            <w:tcW w:w="794" w:type="dxa"/>
          </w:tcPr>
          <w:p w14:paraId="0030BCD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1 108</w:t>
            </w:r>
          </w:p>
        </w:tc>
        <w:tc>
          <w:tcPr>
            <w:tcW w:w="794" w:type="dxa"/>
          </w:tcPr>
          <w:p w14:paraId="68C9B75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1 119</w:t>
            </w:r>
          </w:p>
        </w:tc>
        <w:tc>
          <w:tcPr>
            <w:tcW w:w="794" w:type="dxa"/>
          </w:tcPr>
          <w:p w14:paraId="1D8B244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1 130</w:t>
            </w:r>
          </w:p>
        </w:tc>
      </w:tr>
      <w:tr w:rsidR="008D6F13" w14:paraId="66D9252F"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AC0CA65" w14:textId="77777777" w:rsidR="008D6F13" w:rsidRDefault="008D6F13" w:rsidP="0031078F">
            <w:r>
              <w:t>Short</w:t>
            </w:r>
            <w:r>
              <w:noBreakHyphen/>
              <w:t>term and low value lease expense</w:t>
            </w:r>
          </w:p>
        </w:tc>
        <w:tc>
          <w:tcPr>
            <w:tcW w:w="794" w:type="dxa"/>
          </w:tcPr>
          <w:p w14:paraId="3121719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102</w:t>
            </w:r>
          </w:p>
        </w:tc>
        <w:tc>
          <w:tcPr>
            <w:tcW w:w="794" w:type="dxa"/>
          </w:tcPr>
          <w:p w14:paraId="6B0E783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103</w:t>
            </w:r>
          </w:p>
        </w:tc>
        <w:tc>
          <w:tcPr>
            <w:tcW w:w="794" w:type="dxa"/>
          </w:tcPr>
          <w:p w14:paraId="25273DE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104</w:t>
            </w:r>
          </w:p>
        </w:tc>
        <w:tc>
          <w:tcPr>
            <w:tcW w:w="794" w:type="dxa"/>
          </w:tcPr>
          <w:p w14:paraId="6D7DE7D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105</w:t>
            </w:r>
          </w:p>
        </w:tc>
        <w:tc>
          <w:tcPr>
            <w:tcW w:w="794" w:type="dxa"/>
          </w:tcPr>
          <w:p w14:paraId="1233C35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106</w:t>
            </w:r>
          </w:p>
        </w:tc>
      </w:tr>
      <w:tr w:rsidR="008D6F13" w14:paraId="635C17EF"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33747AB4" w14:textId="77777777" w:rsidR="008D6F13" w:rsidRDefault="008D6F13" w:rsidP="0031078F">
            <w:r>
              <w:t>Other</w:t>
            </w:r>
          </w:p>
        </w:tc>
        <w:tc>
          <w:tcPr>
            <w:tcW w:w="794" w:type="dxa"/>
            <w:tcBorders>
              <w:bottom w:val="single" w:sz="6" w:space="0" w:color="auto"/>
            </w:tcBorders>
          </w:tcPr>
          <w:p w14:paraId="1694242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909</w:t>
            </w:r>
          </w:p>
        </w:tc>
        <w:tc>
          <w:tcPr>
            <w:tcW w:w="794" w:type="dxa"/>
            <w:tcBorders>
              <w:bottom w:val="single" w:sz="6" w:space="0" w:color="auto"/>
            </w:tcBorders>
          </w:tcPr>
          <w:p w14:paraId="4C3CDBE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960</w:t>
            </w:r>
          </w:p>
        </w:tc>
        <w:tc>
          <w:tcPr>
            <w:tcW w:w="794" w:type="dxa"/>
            <w:tcBorders>
              <w:bottom w:val="single" w:sz="6" w:space="0" w:color="auto"/>
            </w:tcBorders>
          </w:tcPr>
          <w:p w14:paraId="55CD8CB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840</w:t>
            </w:r>
          </w:p>
        </w:tc>
        <w:tc>
          <w:tcPr>
            <w:tcW w:w="794" w:type="dxa"/>
            <w:tcBorders>
              <w:bottom w:val="single" w:sz="6" w:space="0" w:color="auto"/>
            </w:tcBorders>
          </w:tcPr>
          <w:p w14:paraId="499CAAE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875</w:t>
            </w:r>
          </w:p>
        </w:tc>
        <w:tc>
          <w:tcPr>
            <w:tcW w:w="794" w:type="dxa"/>
            <w:tcBorders>
              <w:bottom w:val="single" w:sz="6" w:space="0" w:color="auto"/>
            </w:tcBorders>
          </w:tcPr>
          <w:p w14:paraId="1A55A9B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919</w:t>
            </w:r>
          </w:p>
        </w:tc>
      </w:tr>
      <w:tr w:rsidR="008D6F13" w14:paraId="26F6DD64"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F0F18D8" w14:textId="77777777" w:rsidR="008D6F13" w:rsidRDefault="008D6F13" w:rsidP="0031078F">
            <w:r>
              <w:rPr>
                <w:b/>
              </w:rPr>
              <w:t>Total other operating expenses</w:t>
            </w:r>
          </w:p>
        </w:tc>
        <w:tc>
          <w:tcPr>
            <w:tcW w:w="794" w:type="dxa"/>
          </w:tcPr>
          <w:p w14:paraId="6138FB5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25 477</w:t>
            </w:r>
          </w:p>
        </w:tc>
        <w:tc>
          <w:tcPr>
            <w:tcW w:w="794" w:type="dxa"/>
          </w:tcPr>
          <w:p w14:paraId="620E655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28 581</w:t>
            </w:r>
          </w:p>
        </w:tc>
        <w:tc>
          <w:tcPr>
            <w:tcW w:w="794" w:type="dxa"/>
          </w:tcPr>
          <w:p w14:paraId="5D535BD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23 891</w:t>
            </w:r>
          </w:p>
        </w:tc>
        <w:tc>
          <w:tcPr>
            <w:tcW w:w="794" w:type="dxa"/>
          </w:tcPr>
          <w:p w14:paraId="61F6B2F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23 330</w:t>
            </w:r>
          </w:p>
        </w:tc>
        <w:tc>
          <w:tcPr>
            <w:tcW w:w="794" w:type="dxa"/>
          </w:tcPr>
          <w:p w14:paraId="503BF370" w14:textId="603B86A3"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23 288</w:t>
            </w:r>
          </w:p>
        </w:tc>
      </w:tr>
    </w:tbl>
    <w:p w14:paraId="679806AA" w14:textId="77777777" w:rsidR="008D6F13" w:rsidRPr="00FC6AC0" w:rsidRDefault="008D6F13" w:rsidP="008D6F13">
      <w:pPr>
        <w:pStyle w:val="Note"/>
        <w:ind w:left="0" w:firstLine="0"/>
      </w:pPr>
      <w:r w:rsidRPr="00FC6AC0">
        <w:t>Note:</w:t>
      </w:r>
    </w:p>
    <w:p w14:paraId="4E449095" w14:textId="77777777" w:rsidR="008D6F13" w:rsidRPr="00FC6AC0" w:rsidRDefault="008D6F13" w:rsidP="008D6F13">
      <w:pPr>
        <w:pStyle w:val="Note"/>
      </w:pPr>
      <w:r w:rsidRPr="00FC6AC0">
        <w:t>(a)</w:t>
      </w:r>
      <w:r w:rsidRPr="00FC6AC0">
        <w:tab/>
        <w:t>The following two tables break down the purchase of supplies and consumables and the purchase of services.</w:t>
      </w:r>
    </w:p>
    <w:p w14:paraId="376B8264" w14:textId="77777777" w:rsidR="008D6F13" w:rsidRDefault="008D6F13" w:rsidP="008D6F13"/>
    <w:p w14:paraId="3275FD23" w14:textId="77777777" w:rsidR="008D6F13" w:rsidRDefault="008D6F13" w:rsidP="008D6F13">
      <w:pPr>
        <w:pStyle w:val="TableHeading"/>
      </w:pPr>
      <w:r w:rsidRPr="007F4217">
        <w:t>Purchase of supplies and consumables</w:t>
      </w:r>
      <w:r w:rsidRPr="007F4217">
        <w:tab/>
        <w:t>($ million)</w:t>
      </w:r>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72300AD5"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737CF424" w14:textId="5FECE8DD" w:rsidR="008D6F13" w:rsidRDefault="008D6F13" w:rsidP="0031078F"/>
        </w:tc>
        <w:tc>
          <w:tcPr>
            <w:tcW w:w="794" w:type="dxa"/>
          </w:tcPr>
          <w:p w14:paraId="1BAEED69"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20D69104"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6285FEF3"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49928878"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158A356B"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4C6088AD"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81C79BA" w14:textId="77777777" w:rsidR="008D6F13" w:rsidRDefault="008D6F13" w:rsidP="0031078F">
            <w:r>
              <w:t>Medicinal pharmacy and medical supplies</w:t>
            </w:r>
          </w:p>
        </w:tc>
        <w:tc>
          <w:tcPr>
            <w:tcW w:w="794" w:type="dxa"/>
          </w:tcPr>
          <w:p w14:paraId="3776A13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2 178</w:t>
            </w:r>
          </w:p>
        </w:tc>
        <w:tc>
          <w:tcPr>
            <w:tcW w:w="794" w:type="dxa"/>
          </w:tcPr>
          <w:p w14:paraId="5D13DA9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2 621</w:t>
            </w:r>
          </w:p>
        </w:tc>
        <w:tc>
          <w:tcPr>
            <w:tcW w:w="794" w:type="dxa"/>
          </w:tcPr>
          <w:p w14:paraId="5DB5358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2 223</w:t>
            </w:r>
          </w:p>
        </w:tc>
        <w:tc>
          <w:tcPr>
            <w:tcW w:w="794" w:type="dxa"/>
          </w:tcPr>
          <w:p w14:paraId="0BD487F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1 861</w:t>
            </w:r>
          </w:p>
        </w:tc>
        <w:tc>
          <w:tcPr>
            <w:tcW w:w="794" w:type="dxa"/>
          </w:tcPr>
          <w:p w14:paraId="7370E07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1 897</w:t>
            </w:r>
          </w:p>
        </w:tc>
      </w:tr>
      <w:tr w:rsidR="008D6F13" w14:paraId="074F16AB"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E684577" w14:textId="77777777" w:rsidR="008D6F13" w:rsidRDefault="008D6F13" w:rsidP="0031078F">
            <w:r>
              <w:t>Office supplies and consumables</w:t>
            </w:r>
          </w:p>
        </w:tc>
        <w:tc>
          <w:tcPr>
            <w:tcW w:w="794" w:type="dxa"/>
          </w:tcPr>
          <w:p w14:paraId="713DC04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224</w:t>
            </w:r>
          </w:p>
        </w:tc>
        <w:tc>
          <w:tcPr>
            <w:tcW w:w="794" w:type="dxa"/>
          </w:tcPr>
          <w:p w14:paraId="6906E3D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198</w:t>
            </w:r>
          </w:p>
        </w:tc>
        <w:tc>
          <w:tcPr>
            <w:tcW w:w="794" w:type="dxa"/>
          </w:tcPr>
          <w:p w14:paraId="485EE2C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203</w:t>
            </w:r>
          </w:p>
        </w:tc>
        <w:tc>
          <w:tcPr>
            <w:tcW w:w="794" w:type="dxa"/>
          </w:tcPr>
          <w:p w14:paraId="7B2DDC6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199</w:t>
            </w:r>
          </w:p>
        </w:tc>
        <w:tc>
          <w:tcPr>
            <w:tcW w:w="794" w:type="dxa"/>
          </w:tcPr>
          <w:p w14:paraId="296E4B6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201</w:t>
            </w:r>
          </w:p>
        </w:tc>
      </w:tr>
      <w:tr w:rsidR="008D6F13" w14:paraId="18314238"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02561B6" w14:textId="77777777" w:rsidR="008D6F13" w:rsidRDefault="008D6F13" w:rsidP="0031078F">
            <w:r>
              <w:t>Specialised operational supplies and consumables</w:t>
            </w:r>
          </w:p>
        </w:tc>
        <w:tc>
          <w:tcPr>
            <w:tcW w:w="794" w:type="dxa"/>
          </w:tcPr>
          <w:p w14:paraId="3522307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185</w:t>
            </w:r>
          </w:p>
        </w:tc>
        <w:tc>
          <w:tcPr>
            <w:tcW w:w="794" w:type="dxa"/>
          </w:tcPr>
          <w:p w14:paraId="7BA9817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174</w:t>
            </w:r>
          </w:p>
        </w:tc>
        <w:tc>
          <w:tcPr>
            <w:tcW w:w="794" w:type="dxa"/>
          </w:tcPr>
          <w:p w14:paraId="30D9C59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150</w:t>
            </w:r>
          </w:p>
        </w:tc>
        <w:tc>
          <w:tcPr>
            <w:tcW w:w="794" w:type="dxa"/>
          </w:tcPr>
          <w:p w14:paraId="2D7D433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142</w:t>
            </w:r>
          </w:p>
        </w:tc>
        <w:tc>
          <w:tcPr>
            <w:tcW w:w="794" w:type="dxa"/>
          </w:tcPr>
          <w:p w14:paraId="3987576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136</w:t>
            </w:r>
          </w:p>
        </w:tc>
      </w:tr>
      <w:tr w:rsidR="008D6F13" w14:paraId="4E2C5264"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34C6277A" w14:textId="77777777" w:rsidR="008D6F13" w:rsidRDefault="008D6F13" w:rsidP="0031078F">
            <w:r>
              <w:t>Other purchase of supplies and consumables</w:t>
            </w:r>
          </w:p>
        </w:tc>
        <w:tc>
          <w:tcPr>
            <w:tcW w:w="794" w:type="dxa"/>
            <w:tcBorders>
              <w:bottom w:val="single" w:sz="6" w:space="0" w:color="auto"/>
            </w:tcBorders>
          </w:tcPr>
          <w:p w14:paraId="30E5319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6 081</w:t>
            </w:r>
          </w:p>
        </w:tc>
        <w:tc>
          <w:tcPr>
            <w:tcW w:w="794" w:type="dxa"/>
            <w:tcBorders>
              <w:bottom w:val="single" w:sz="6" w:space="0" w:color="auto"/>
            </w:tcBorders>
          </w:tcPr>
          <w:p w14:paraId="63AC1F2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7 403</w:t>
            </w:r>
          </w:p>
        </w:tc>
        <w:tc>
          <w:tcPr>
            <w:tcW w:w="794" w:type="dxa"/>
            <w:tcBorders>
              <w:bottom w:val="single" w:sz="6" w:space="0" w:color="auto"/>
            </w:tcBorders>
          </w:tcPr>
          <w:p w14:paraId="5D342F4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5 465</w:t>
            </w:r>
          </w:p>
        </w:tc>
        <w:tc>
          <w:tcPr>
            <w:tcW w:w="794" w:type="dxa"/>
            <w:tcBorders>
              <w:bottom w:val="single" w:sz="6" w:space="0" w:color="auto"/>
            </w:tcBorders>
          </w:tcPr>
          <w:p w14:paraId="36077AC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5 259</w:t>
            </w:r>
          </w:p>
        </w:tc>
        <w:tc>
          <w:tcPr>
            <w:tcW w:w="794" w:type="dxa"/>
            <w:tcBorders>
              <w:bottom w:val="single" w:sz="6" w:space="0" w:color="auto"/>
            </w:tcBorders>
          </w:tcPr>
          <w:p w14:paraId="57FE346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5 098</w:t>
            </w:r>
          </w:p>
        </w:tc>
      </w:tr>
      <w:tr w:rsidR="008D6F13" w14:paraId="4E4FE116"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561A86A" w14:textId="77777777" w:rsidR="008D6F13" w:rsidRDefault="008D6F13" w:rsidP="0031078F">
            <w:r>
              <w:rPr>
                <w:b/>
              </w:rPr>
              <w:t>Total purchase of supplies and consumables</w:t>
            </w:r>
          </w:p>
        </w:tc>
        <w:tc>
          <w:tcPr>
            <w:tcW w:w="794" w:type="dxa"/>
          </w:tcPr>
          <w:p w14:paraId="5E86951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8 667</w:t>
            </w:r>
          </w:p>
        </w:tc>
        <w:tc>
          <w:tcPr>
            <w:tcW w:w="794" w:type="dxa"/>
          </w:tcPr>
          <w:p w14:paraId="6C118D9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10 396</w:t>
            </w:r>
          </w:p>
        </w:tc>
        <w:tc>
          <w:tcPr>
            <w:tcW w:w="794" w:type="dxa"/>
          </w:tcPr>
          <w:p w14:paraId="78726AB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8 041</w:t>
            </w:r>
          </w:p>
        </w:tc>
        <w:tc>
          <w:tcPr>
            <w:tcW w:w="794" w:type="dxa"/>
          </w:tcPr>
          <w:p w14:paraId="5875E98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7 461</w:t>
            </w:r>
          </w:p>
        </w:tc>
        <w:tc>
          <w:tcPr>
            <w:tcW w:w="794" w:type="dxa"/>
          </w:tcPr>
          <w:p w14:paraId="3E8D5057" w14:textId="0CF2F6A6"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7 332</w:t>
            </w:r>
          </w:p>
        </w:tc>
      </w:tr>
    </w:tbl>
    <w:p w14:paraId="697AEDC5" w14:textId="77777777" w:rsidR="008D6F13" w:rsidRDefault="008D6F13" w:rsidP="008D6F13"/>
    <w:p w14:paraId="2C00842C" w14:textId="77777777" w:rsidR="008D6F13" w:rsidRDefault="008D6F13" w:rsidP="008D6F13">
      <w:pPr>
        <w:pStyle w:val="TableHeading"/>
      </w:pPr>
      <w:r w:rsidRPr="007F4217">
        <w:t>Purchase of services</w:t>
      </w:r>
      <w:r w:rsidRPr="007F4217">
        <w:tab/>
        <w:t>($ million)</w:t>
      </w:r>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7FBF32DC"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2ADB4B27" w14:textId="0E490E12" w:rsidR="008D6F13" w:rsidRDefault="008D6F13" w:rsidP="0031078F"/>
        </w:tc>
        <w:tc>
          <w:tcPr>
            <w:tcW w:w="794" w:type="dxa"/>
          </w:tcPr>
          <w:p w14:paraId="39DECF5D"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33C60577"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4ECC8889"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179ED59A"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437522A7"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026F31FE"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50F2C16" w14:textId="77777777" w:rsidR="008D6F13" w:rsidRDefault="008D6F13" w:rsidP="0031078F">
            <w:r>
              <w:t>Service contracts</w:t>
            </w:r>
          </w:p>
        </w:tc>
        <w:tc>
          <w:tcPr>
            <w:tcW w:w="794" w:type="dxa"/>
          </w:tcPr>
          <w:p w14:paraId="121B461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8 155</w:t>
            </w:r>
          </w:p>
        </w:tc>
        <w:tc>
          <w:tcPr>
            <w:tcW w:w="794" w:type="dxa"/>
          </w:tcPr>
          <w:p w14:paraId="3B5CFB7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9 092</w:t>
            </w:r>
          </w:p>
        </w:tc>
        <w:tc>
          <w:tcPr>
            <w:tcW w:w="794" w:type="dxa"/>
          </w:tcPr>
          <w:p w14:paraId="7927913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8 273</w:t>
            </w:r>
          </w:p>
        </w:tc>
        <w:tc>
          <w:tcPr>
            <w:tcW w:w="794" w:type="dxa"/>
          </w:tcPr>
          <w:p w14:paraId="7DF9EEE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8 370</w:t>
            </w:r>
          </w:p>
        </w:tc>
        <w:tc>
          <w:tcPr>
            <w:tcW w:w="794" w:type="dxa"/>
          </w:tcPr>
          <w:p w14:paraId="784ECF2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8 463</w:t>
            </w:r>
          </w:p>
        </w:tc>
      </w:tr>
      <w:tr w:rsidR="008D6F13" w14:paraId="425548CC"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EDD90BF" w14:textId="77777777" w:rsidR="008D6F13" w:rsidRDefault="008D6F13" w:rsidP="0031078F">
            <w:r>
              <w:t>Accommodation/occupancy</w:t>
            </w:r>
          </w:p>
        </w:tc>
        <w:tc>
          <w:tcPr>
            <w:tcW w:w="794" w:type="dxa"/>
          </w:tcPr>
          <w:p w14:paraId="1506E76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835</w:t>
            </w:r>
          </w:p>
        </w:tc>
        <w:tc>
          <w:tcPr>
            <w:tcW w:w="794" w:type="dxa"/>
          </w:tcPr>
          <w:p w14:paraId="44E90AB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866</w:t>
            </w:r>
          </w:p>
        </w:tc>
        <w:tc>
          <w:tcPr>
            <w:tcW w:w="794" w:type="dxa"/>
          </w:tcPr>
          <w:p w14:paraId="3B4C678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806</w:t>
            </w:r>
          </w:p>
        </w:tc>
        <w:tc>
          <w:tcPr>
            <w:tcW w:w="794" w:type="dxa"/>
          </w:tcPr>
          <w:p w14:paraId="7D2C21C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797</w:t>
            </w:r>
          </w:p>
        </w:tc>
        <w:tc>
          <w:tcPr>
            <w:tcW w:w="794" w:type="dxa"/>
          </w:tcPr>
          <w:p w14:paraId="2118753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810</w:t>
            </w:r>
          </w:p>
        </w:tc>
      </w:tr>
      <w:tr w:rsidR="008D6F13" w14:paraId="1AB91AC3"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CD68C14" w14:textId="77777777" w:rsidR="008D6F13" w:rsidRDefault="008D6F13" w:rsidP="0031078F">
            <w:r>
              <w:t>Medical and client care services</w:t>
            </w:r>
          </w:p>
        </w:tc>
        <w:tc>
          <w:tcPr>
            <w:tcW w:w="794" w:type="dxa"/>
          </w:tcPr>
          <w:p w14:paraId="2DC8D08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457</w:t>
            </w:r>
          </w:p>
        </w:tc>
        <w:tc>
          <w:tcPr>
            <w:tcW w:w="794" w:type="dxa"/>
          </w:tcPr>
          <w:p w14:paraId="0BF4AF2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466</w:t>
            </w:r>
          </w:p>
        </w:tc>
        <w:tc>
          <w:tcPr>
            <w:tcW w:w="794" w:type="dxa"/>
          </w:tcPr>
          <w:p w14:paraId="44F0120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440</w:t>
            </w:r>
          </w:p>
        </w:tc>
        <w:tc>
          <w:tcPr>
            <w:tcW w:w="794" w:type="dxa"/>
          </w:tcPr>
          <w:p w14:paraId="48F1875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448</w:t>
            </w:r>
          </w:p>
        </w:tc>
        <w:tc>
          <w:tcPr>
            <w:tcW w:w="794" w:type="dxa"/>
          </w:tcPr>
          <w:p w14:paraId="74E1EFC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457</w:t>
            </w:r>
          </w:p>
        </w:tc>
      </w:tr>
      <w:tr w:rsidR="008D6F13" w14:paraId="7B7C127A"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A44606A" w14:textId="77777777" w:rsidR="008D6F13" w:rsidRDefault="008D6F13" w:rsidP="0031078F">
            <w:r>
              <w:t>Staff related expenses (non</w:t>
            </w:r>
            <w:r>
              <w:noBreakHyphen/>
              <w:t>labour related)</w:t>
            </w:r>
          </w:p>
        </w:tc>
        <w:tc>
          <w:tcPr>
            <w:tcW w:w="794" w:type="dxa"/>
          </w:tcPr>
          <w:p w14:paraId="3C33977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362</w:t>
            </w:r>
          </w:p>
        </w:tc>
        <w:tc>
          <w:tcPr>
            <w:tcW w:w="794" w:type="dxa"/>
          </w:tcPr>
          <w:p w14:paraId="2246FC6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356</w:t>
            </w:r>
          </w:p>
        </w:tc>
        <w:tc>
          <w:tcPr>
            <w:tcW w:w="794" w:type="dxa"/>
          </w:tcPr>
          <w:p w14:paraId="184E20D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330</w:t>
            </w:r>
          </w:p>
        </w:tc>
        <w:tc>
          <w:tcPr>
            <w:tcW w:w="794" w:type="dxa"/>
          </w:tcPr>
          <w:p w14:paraId="084F742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327</w:t>
            </w:r>
          </w:p>
        </w:tc>
        <w:tc>
          <w:tcPr>
            <w:tcW w:w="794" w:type="dxa"/>
          </w:tcPr>
          <w:p w14:paraId="6B28135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306</w:t>
            </w:r>
          </w:p>
        </w:tc>
      </w:tr>
      <w:tr w:rsidR="008D6F13" w14:paraId="480A3B2A"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61DDD2F8" w14:textId="77777777" w:rsidR="008D6F13" w:rsidRDefault="008D6F13" w:rsidP="0031078F">
            <w:r>
              <w:t>Other purchase of services</w:t>
            </w:r>
          </w:p>
        </w:tc>
        <w:tc>
          <w:tcPr>
            <w:tcW w:w="794" w:type="dxa"/>
            <w:tcBorders>
              <w:bottom w:val="single" w:sz="6" w:space="0" w:color="auto"/>
            </w:tcBorders>
          </w:tcPr>
          <w:p w14:paraId="15F36FA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4 476</w:t>
            </w:r>
          </w:p>
        </w:tc>
        <w:tc>
          <w:tcPr>
            <w:tcW w:w="794" w:type="dxa"/>
            <w:tcBorders>
              <w:bottom w:val="single" w:sz="6" w:space="0" w:color="auto"/>
            </w:tcBorders>
          </w:tcPr>
          <w:p w14:paraId="370F214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4 778</w:t>
            </w:r>
          </w:p>
        </w:tc>
        <w:tc>
          <w:tcPr>
            <w:tcW w:w="794" w:type="dxa"/>
            <w:tcBorders>
              <w:bottom w:val="single" w:sz="6" w:space="0" w:color="auto"/>
            </w:tcBorders>
          </w:tcPr>
          <w:p w14:paraId="5A7D535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3 550</w:t>
            </w:r>
          </w:p>
        </w:tc>
        <w:tc>
          <w:tcPr>
            <w:tcW w:w="794" w:type="dxa"/>
            <w:tcBorders>
              <w:bottom w:val="single" w:sz="6" w:space="0" w:color="auto"/>
            </w:tcBorders>
          </w:tcPr>
          <w:p w14:paraId="14F2748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3 426</w:t>
            </w:r>
          </w:p>
        </w:tc>
        <w:tc>
          <w:tcPr>
            <w:tcW w:w="794" w:type="dxa"/>
            <w:tcBorders>
              <w:bottom w:val="single" w:sz="6" w:space="0" w:color="auto"/>
            </w:tcBorders>
          </w:tcPr>
          <w:p w14:paraId="346CABD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3 360</w:t>
            </w:r>
          </w:p>
        </w:tc>
      </w:tr>
      <w:tr w:rsidR="008D6F13" w14:paraId="1BA72B40"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B8C9A17" w14:textId="77777777" w:rsidR="008D6F13" w:rsidRDefault="008D6F13" w:rsidP="0031078F">
            <w:r>
              <w:rPr>
                <w:b/>
              </w:rPr>
              <w:t>Total purchase of services</w:t>
            </w:r>
          </w:p>
        </w:tc>
        <w:tc>
          <w:tcPr>
            <w:tcW w:w="794" w:type="dxa"/>
          </w:tcPr>
          <w:p w14:paraId="6C004A6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14 285</w:t>
            </w:r>
          </w:p>
        </w:tc>
        <w:tc>
          <w:tcPr>
            <w:tcW w:w="794" w:type="dxa"/>
          </w:tcPr>
          <w:p w14:paraId="623360C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15 558</w:t>
            </w:r>
          </w:p>
        </w:tc>
        <w:tc>
          <w:tcPr>
            <w:tcW w:w="794" w:type="dxa"/>
          </w:tcPr>
          <w:p w14:paraId="6813B86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13 399</w:t>
            </w:r>
          </w:p>
        </w:tc>
        <w:tc>
          <w:tcPr>
            <w:tcW w:w="794" w:type="dxa"/>
          </w:tcPr>
          <w:p w14:paraId="5795737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13 368</w:t>
            </w:r>
          </w:p>
        </w:tc>
        <w:tc>
          <w:tcPr>
            <w:tcW w:w="794" w:type="dxa"/>
          </w:tcPr>
          <w:p w14:paraId="1B7CBE8F" w14:textId="7210EC60"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13 396</w:t>
            </w:r>
          </w:p>
        </w:tc>
      </w:tr>
    </w:tbl>
    <w:p w14:paraId="7732EBAC" w14:textId="77777777" w:rsidR="008D6F13" w:rsidRDefault="008D6F13" w:rsidP="008D6F13"/>
    <w:p w14:paraId="778812E0" w14:textId="77777777" w:rsidR="008D6F13" w:rsidRDefault="008D6F13" w:rsidP="008D6F13">
      <w:r>
        <w:br w:type="page"/>
      </w:r>
    </w:p>
    <w:p w14:paraId="3A492312" w14:textId="77777777" w:rsidR="008D6F13" w:rsidRDefault="008D6F13" w:rsidP="008D6F13">
      <w:pPr>
        <w:pStyle w:val="Heading3"/>
      </w:pPr>
      <w:bookmarkStart w:id="84" w:name="_Toc85767956"/>
      <w:r>
        <w:lastRenderedPageBreak/>
        <w:t xml:space="preserve">Total expenses by classification of the functions of government </w:t>
      </w:r>
      <w:r>
        <w:br/>
        <w:t>and by portfolio department</w:t>
      </w:r>
      <w:bookmarkEnd w:id="84"/>
    </w:p>
    <w:p w14:paraId="22D34195" w14:textId="77777777" w:rsidR="008D6F13" w:rsidRDefault="008D6F13" w:rsidP="008D6F13">
      <w:pPr>
        <w:pStyle w:val="TableHeading"/>
      </w:pPr>
      <w:r>
        <w:t xml:space="preserve">Expenses by classification of the functions of government </w:t>
      </w:r>
      <w:r>
        <w:tab/>
        <w:t>($ million)</w:t>
      </w:r>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17176D36"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1D87B504" w14:textId="2168C144" w:rsidR="008D6F13" w:rsidRDefault="008D6F13" w:rsidP="0031078F"/>
        </w:tc>
        <w:tc>
          <w:tcPr>
            <w:tcW w:w="794" w:type="dxa"/>
          </w:tcPr>
          <w:p w14:paraId="7A3823A8"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56BCCFA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24762709"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63C44C0D"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7CA66902"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246B1884"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8C57147" w14:textId="77777777" w:rsidR="008D6F13" w:rsidRDefault="008D6F13" w:rsidP="0031078F">
            <w:r>
              <w:t>General public services</w:t>
            </w:r>
          </w:p>
        </w:tc>
        <w:tc>
          <w:tcPr>
            <w:tcW w:w="794" w:type="dxa"/>
          </w:tcPr>
          <w:p w14:paraId="4997A7A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sidRPr="00E07E69">
              <w:t>5 874</w:t>
            </w:r>
          </w:p>
        </w:tc>
        <w:tc>
          <w:tcPr>
            <w:tcW w:w="794" w:type="dxa"/>
          </w:tcPr>
          <w:p w14:paraId="5A06A89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5 897</w:t>
            </w:r>
          </w:p>
        </w:tc>
        <w:tc>
          <w:tcPr>
            <w:tcW w:w="794" w:type="dxa"/>
          </w:tcPr>
          <w:p w14:paraId="4C7FD37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6 354</w:t>
            </w:r>
          </w:p>
        </w:tc>
        <w:tc>
          <w:tcPr>
            <w:tcW w:w="794" w:type="dxa"/>
          </w:tcPr>
          <w:p w14:paraId="5EE1930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6 961</w:t>
            </w:r>
          </w:p>
        </w:tc>
        <w:tc>
          <w:tcPr>
            <w:tcW w:w="794" w:type="dxa"/>
          </w:tcPr>
          <w:p w14:paraId="0ED1DF2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7 785</w:t>
            </w:r>
          </w:p>
        </w:tc>
      </w:tr>
      <w:tr w:rsidR="008D6F13" w14:paraId="78E36E30"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B9833A7" w14:textId="77777777" w:rsidR="008D6F13" w:rsidRDefault="008D6F13" w:rsidP="0031078F">
            <w:r>
              <w:t>Public order and safety</w:t>
            </w:r>
          </w:p>
        </w:tc>
        <w:tc>
          <w:tcPr>
            <w:tcW w:w="794" w:type="dxa"/>
          </w:tcPr>
          <w:p w14:paraId="5902743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sidRPr="00E07E69">
              <w:t>10 143</w:t>
            </w:r>
          </w:p>
        </w:tc>
        <w:tc>
          <w:tcPr>
            <w:tcW w:w="794" w:type="dxa"/>
          </w:tcPr>
          <w:p w14:paraId="4E3261E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11 699</w:t>
            </w:r>
          </w:p>
        </w:tc>
        <w:tc>
          <w:tcPr>
            <w:tcW w:w="794" w:type="dxa"/>
          </w:tcPr>
          <w:p w14:paraId="7DE31D5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10 032</w:t>
            </w:r>
          </w:p>
        </w:tc>
        <w:tc>
          <w:tcPr>
            <w:tcW w:w="794" w:type="dxa"/>
          </w:tcPr>
          <w:p w14:paraId="0CEA139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9 914</w:t>
            </w:r>
          </w:p>
        </w:tc>
        <w:tc>
          <w:tcPr>
            <w:tcW w:w="794" w:type="dxa"/>
          </w:tcPr>
          <w:p w14:paraId="0AFF22B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9 953</w:t>
            </w:r>
          </w:p>
        </w:tc>
      </w:tr>
      <w:tr w:rsidR="008D6F13" w14:paraId="6E84FF7B"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80731FB" w14:textId="77777777" w:rsidR="008D6F13" w:rsidRDefault="008D6F13" w:rsidP="0031078F">
            <w:r>
              <w:t xml:space="preserve">Economic affairs </w:t>
            </w:r>
            <w:r w:rsidRPr="00EE4F2B">
              <w:rPr>
                <w:vertAlign w:val="superscript"/>
              </w:rPr>
              <w:t>(a)</w:t>
            </w:r>
          </w:p>
        </w:tc>
        <w:tc>
          <w:tcPr>
            <w:tcW w:w="794" w:type="dxa"/>
          </w:tcPr>
          <w:p w14:paraId="57153E7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sidRPr="00E07E69">
              <w:t>3 052</w:t>
            </w:r>
          </w:p>
        </w:tc>
        <w:tc>
          <w:tcPr>
            <w:tcW w:w="794" w:type="dxa"/>
          </w:tcPr>
          <w:p w14:paraId="650AB56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11 577</w:t>
            </w:r>
          </w:p>
        </w:tc>
        <w:tc>
          <w:tcPr>
            <w:tcW w:w="794" w:type="dxa"/>
          </w:tcPr>
          <w:p w14:paraId="66DEC7A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2 581</w:t>
            </w:r>
          </w:p>
        </w:tc>
        <w:tc>
          <w:tcPr>
            <w:tcW w:w="794" w:type="dxa"/>
          </w:tcPr>
          <w:p w14:paraId="0B9F10B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1 871</w:t>
            </w:r>
          </w:p>
        </w:tc>
        <w:tc>
          <w:tcPr>
            <w:tcW w:w="794" w:type="dxa"/>
          </w:tcPr>
          <w:p w14:paraId="7051004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1 524</w:t>
            </w:r>
          </w:p>
        </w:tc>
      </w:tr>
      <w:tr w:rsidR="008D6F13" w14:paraId="5D45037D"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F4A0166" w14:textId="77777777" w:rsidR="008D6F13" w:rsidRDefault="008D6F13" w:rsidP="0031078F">
            <w:r>
              <w:t>Environmental protection</w:t>
            </w:r>
          </w:p>
        </w:tc>
        <w:tc>
          <w:tcPr>
            <w:tcW w:w="794" w:type="dxa"/>
          </w:tcPr>
          <w:p w14:paraId="55249FA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sidRPr="00E07E69">
              <w:t>1 481</w:t>
            </w:r>
          </w:p>
        </w:tc>
        <w:tc>
          <w:tcPr>
            <w:tcW w:w="794" w:type="dxa"/>
          </w:tcPr>
          <w:p w14:paraId="790E0F1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1 748</w:t>
            </w:r>
          </w:p>
        </w:tc>
        <w:tc>
          <w:tcPr>
            <w:tcW w:w="794" w:type="dxa"/>
          </w:tcPr>
          <w:p w14:paraId="2B664A3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1 092</w:t>
            </w:r>
          </w:p>
        </w:tc>
        <w:tc>
          <w:tcPr>
            <w:tcW w:w="794" w:type="dxa"/>
          </w:tcPr>
          <w:p w14:paraId="0E38E31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798</w:t>
            </w:r>
          </w:p>
        </w:tc>
        <w:tc>
          <w:tcPr>
            <w:tcW w:w="794" w:type="dxa"/>
          </w:tcPr>
          <w:p w14:paraId="376CA00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712</w:t>
            </w:r>
          </w:p>
        </w:tc>
      </w:tr>
      <w:tr w:rsidR="008D6F13" w14:paraId="5654B7B0"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BA3BA69" w14:textId="77777777" w:rsidR="008D6F13" w:rsidRDefault="008D6F13" w:rsidP="0031078F">
            <w:r>
              <w:t>Housing and community amenities</w:t>
            </w:r>
          </w:p>
        </w:tc>
        <w:tc>
          <w:tcPr>
            <w:tcW w:w="794" w:type="dxa"/>
          </w:tcPr>
          <w:p w14:paraId="13332C7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sidRPr="00E07E69">
              <w:t>2 369</w:t>
            </w:r>
          </w:p>
        </w:tc>
        <w:tc>
          <w:tcPr>
            <w:tcW w:w="794" w:type="dxa"/>
          </w:tcPr>
          <w:p w14:paraId="2D3E387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2 270</w:t>
            </w:r>
          </w:p>
        </w:tc>
        <w:tc>
          <w:tcPr>
            <w:tcW w:w="794" w:type="dxa"/>
          </w:tcPr>
          <w:p w14:paraId="4708CF2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2 181</w:t>
            </w:r>
          </w:p>
        </w:tc>
        <w:tc>
          <w:tcPr>
            <w:tcW w:w="794" w:type="dxa"/>
          </w:tcPr>
          <w:p w14:paraId="3800AFB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1 969</w:t>
            </w:r>
          </w:p>
        </w:tc>
        <w:tc>
          <w:tcPr>
            <w:tcW w:w="794" w:type="dxa"/>
          </w:tcPr>
          <w:p w14:paraId="0D60D19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1 692</w:t>
            </w:r>
          </w:p>
        </w:tc>
      </w:tr>
      <w:tr w:rsidR="008D6F13" w14:paraId="661BE8A3"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B17B920" w14:textId="77777777" w:rsidR="008D6F13" w:rsidRDefault="008D6F13" w:rsidP="0031078F">
            <w:r>
              <w:t>Health</w:t>
            </w:r>
          </w:p>
        </w:tc>
        <w:tc>
          <w:tcPr>
            <w:tcW w:w="794" w:type="dxa"/>
          </w:tcPr>
          <w:p w14:paraId="2825C07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sidRPr="00E07E69">
              <w:t>26 472</w:t>
            </w:r>
          </w:p>
        </w:tc>
        <w:tc>
          <w:tcPr>
            <w:tcW w:w="794" w:type="dxa"/>
          </w:tcPr>
          <w:p w14:paraId="4B5565C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28 878</w:t>
            </w:r>
          </w:p>
        </w:tc>
        <w:tc>
          <w:tcPr>
            <w:tcW w:w="794" w:type="dxa"/>
          </w:tcPr>
          <w:p w14:paraId="262E674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25 555</w:t>
            </w:r>
          </w:p>
        </w:tc>
        <w:tc>
          <w:tcPr>
            <w:tcW w:w="794" w:type="dxa"/>
          </w:tcPr>
          <w:p w14:paraId="5D3BC19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26 247</w:t>
            </w:r>
          </w:p>
        </w:tc>
        <w:tc>
          <w:tcPr>
            <w:tcW w:w="794" w:type="dxa"/>
          </w:tcPr>
          <w:p w14:paraId="587D9DC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27 456</w:t>
            </w:r>
          </w:p>
        </w:tc>
      </w:tr>
      <w:tr w:rsidR="008D6F13" w14:paraId="3C991D81"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7B89845" w14:textId="77777777" w:rsidR="008D6F13" w:rsidRDefault="008D6F13" w:rsidP="0031078F">
            <w:r>
              <w:t xml:space="preserve">Recreation, </w:t>
            </w:r>
            <w:proofErr w:type="gramStart"/>
            <w:r>
              <w:t>culture</w:t>
            </w:r>
            <w:proofErr w:type="gramEnd"/>
            <w:r>
              <w:t xml:space="preserve"> and religion</w:t>
            </w:r>
          </w:p>
        </w:tc>
        <w:tc>
          <w:tcPr>
            <w:tcW w:w="794" w:type="dxa"/>
          </w:tcPr>
          <w:p w14:paraId="5FB66DD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sidRPr="00E07E69">
              <w:t>1 524</w:t>
            </w:r>
          </w:p>
        </w:tc>
        <w:tc>
          <w:tcPr>
            <w:tcW w:w="794" w:type="dxa"/>
          </w:tcPr>
          <w:p w14:paraId="74A1156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1 376</w:t>
            </w:r>
          </w:p>
        </w:tc>
        <w:tc>
          <w:tcPr>
            <w:tcW w:w="794" w:type="dxa"/>
          </w:tcPr>
          <w:p w14:paraId="62BF7FD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992</w:t>
            </w:r>
          </w:p>
        </w:tc>
        <w:tc>
          <w:tcPr>
            <w:tcW w:w="794" w:type="dxa"/>
          </w:tcPr>
          <w:p w14:paraId="6797359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700</w:t>
            </w:r>
          </w:p>
        </w:tc>
        <w:tc>
          <w:tcPr>
            <w:tcW w:w="794" w:type="dxa"/>
          </w:tcPr>
          <w:p w14:paraId="2EEFB25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597</w:t>
            </w:r>
          </w:p>
        </w:tc>
      </w:tr>
      <w:tr w:rsidR="008D6F13" w14:paraId="294C6B0C"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90DA14C" w14:textId="77777777" w:rsidR="008D6F13" w:rsidRDefault="008D6F13" w:rsidP="0031078F">
            <w:r>
              <w:t>Education</w:t>
            </w:r>
          </w:p>
        </w:tc>
        <w:tc>
          <w:tcPr>
            <w:tcW w:w="794" w:type="dxa"/>
          </w:tcPr>
          <w:p w14:paraId="7AF1CCB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sidRPr="00E07E69">
              <w:t>19 932</w:t>
            </w:r>
          </w:p>
        </w:tc>
        <w:tc>
          <w:tcPr>
            <w:tcW w:w="794" w:type="dxa"/>
          </w:tcPr>
          <w:p w14:paraId="2947FFE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19 834</w:t>
            </w:r>
          </w:p>
        </w:tc>
        <w:tc>
          <w:tcPr>
            <w:tcW w:w="794" w:type="dxa"/>
          </w:tcPr>
          <w:p w14:paraId="4A30C5A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20 086</w:t>
            </w:r>
          </w:p>
        </w:tc>
        <w:tc>
          <w:tcPr>
            <w:tcW w:w="794" w:type="dxa"/>
          </w:tcPr>
          <w:p w14:paraId="4C1AE91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21 442</w:t>
            </w:r>
          </w:p>
        </w:tc>
        <w:tc>
          <w:tcPr>
            <w:tcW w:w="794" w:type="dxa"/>
          </w:tcPr>
          <w:p w14:paraId="3F6BE56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22 169</w:t>
            </w:r>
          </w:p>
        </w:tc>
      </w:tr>
      <w:tr w:rsidR="008D6F13" w14:paraId="11C7020B"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3B381E6" w14:textId="77777777" w:rsidR="008D6F13" w:rsidRDefault="008D6F13" w:rsidP="0031078F">
            <w:r>
              <w:t>Social protection</w:t>
            </w:r>
          </w:p>
        </w:tc>
        <w:tc>
          <w:tcPr>
            <w:tcW w:w="794" w:type="dxa"/>
          </w:tcPr>
          <w:p w14:paraId="488B4CE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sidRPr="00E07E69">
              <w:t>9 245</w:t>
            </w:r>
          </w:p>
        </w:tc>
        <w:tc>
          <w:tcPr>
            <w:tcW w:w="794" w:type="dxa"/>
          </w:tcPr>
          <w:p w14:paraId="231195E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8 776</w:t>
            </w:r>
          </w:p>
        </w:tc>
        <w:tc>
          <w:tcPr>
            <w:tcW w:w="794" w:type="dxa"/>
          </w:tcPr>
          <w:p w14:paraId="74AFA46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8 089</w:t>
            </w:r>
          </w:p>
        </w:tc>
        <w:tc>
          <w:tcPr>
            <w:tcW w:w="794" w:type="dxa"/>
          </w:tcPr>
          <w:p w14:paraId="114361E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7 970</w:t>
            </w:r>
          </w:p>
        </w:tc>
        <w:tc>
          <w:tcPr>
            <w:tcW w:w="794" w:type="dxa"/>
          </w:tcPr>
          <w:p w14:paraId="610ED9D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7 825</w:t>
            </w:r>
          </w:p>
        </w:tc>
      </w:tr>
      <w:tr w:rsidR="008D6F13" w14:paraId="7DD693BE"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AA60EAE" w14:textId="77777777" w:rsidR="008D6F13" w:rsidRDefault="008D6F13" w:rsidP="0031078F">
            <w:r>
              <w:t>Transport</w:t>
            </w:r>
          </w:p>
        </w:tc>
        <w:tc>
          <w:tcPr>
            <w:tcW w:w="794" w:type="dxa"/>
          </w:tcPr>
          <w:p w14:paraId="6F8DE2E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sidRPr="00E07E69">
              <w:t>7 236</w:t>
            </w:r>
          </w:p>
        </w:tc>
        <w:tc>
          <w:tcPr>
            <w:tcW w:w="794" w:type="dxa"/>
          </w:tcPr>
          <w:p w14:paraId="3146B2E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7 561</w:t>
            </w:r>
          </w:p>
        </w:tc>
        <w:tc>
          <w:tcPr>
            <w:tcW w:w="794" w:type="dxa"/>
          </w:tcPr>
          <w:p w14:paraId="0049181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6 728</w:t>
            </w:r>
          </w:p>
        </w:tc>
        <w:tc>
          <w:tcPr>
            <w:tcW w:w="794" w:type="dxa"/>
          </w:tcPr>
          <w:p w14:paraId="0F2CEBB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6 504</w:t>
            </w:r>
          </w:p>
        </w:tc>
        <w:tc>
          <w:tcPr>
            <w:tcW w:w="794" w:type="dxa"/>
          </w:tcPr>
          <w:p w14:paraId="495C87E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6 584</w:t>
            </w:r>
          </w:p>
        </w:tc>
      </w:tr>
      <w:tr w:rsidR="008D6F13" w14:paraId="1D96E57D"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2BEEE8D8" w14:textId="77777777" w:rsidR="008D6F13" w:rsidRDefault="008D6F13" w:rsidP="0031078F">
            <w:r>
              <w:t xml:space="preserve">Not allocated by purpose </w:t>
            </w:r>
            <w:r w:rsidRPr="00EE4F2B">
              <w:rPr>
                <w:vertAlign w:val="superscript"/>
              </w:rPr>
              <w:t>(</w:t>
            </w:r>
            <w:r>
              <w:rPr>
                <w:vertAlign w:val="superscript"/>
              </w:rPr>
              <w:t>b</w:t>
            </w:r>
            <w:r w:rsidRPr="00EE4F2B">
              <w:rPr>
                <w:vertAlign w:val="superscript"/>
              </w:rPr>
              <w:t>)</w:t>
            </w:r>
          </w:p>
        </w:tc>
        <w:tc>
          <w:tcPr>
            <w:tcW w:w="794" w:type="dxa"/>
            <w:tcBorders>
              <w:bottom w:val="single" w:sz="6" w:space="0" w:color="auto"/>
            </w:tcBorders>
          </w:tcPr>
          <w:p w14:paraId="0767740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sidRPr="00E07E69">
              <w:t xml:space="preserve"> (1 127)</w:t>
            </w:r>
          </w:p>
        </w:tc>
        <w:tc>
          <w:tcPr>
            <w:tcW w:w="794" w:type="dxa"/>
            <w:tcBorders>
              <w:bottom w:val="single" w:sz="6" w:space="0" w:color="auto"/>
            </w:tcBorders>
          </w:tcPr>
          <w:p w14:paraId="26DABD9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(2 146)</w:t>
            </w:r>
          </w:p>
        </w:tc>
        <w:tc>
          <w:tcPr>
            <w:tcW w:w="794" w:type="dxa"/>
            <w:tcBorders>
              <w:bottom w:val="single" w:sz="6" w:space="0" w:color="auto"/>
            </w:tcBorders>
          </w:tcPr>
          <w:p w14:paraId="30A7C7D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1 337</w:t>
            </w:r>
          </w:p>
        </w:tc>
        <w:tc>
          <w:tcPr>
            <w:tcW w:w="794" w:type="dxa"/>
            <w:tcBorders>
              <w:bottom w:val="single" w:sz="6" w:space="0" w:color="auto"/>
            </w:tcBorders>
          </w:tcPr>
          <w:p w14:paraId="2FAA13E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1 117</w:t>
            </w:r>
          </w:p>
        </w:tc>
        <w:tc>
          <w:tcPr>
            <w:tcW w:w="794" w:type="dxa"/>
            <w:tcBorders>
              <w:bottom w:val="single" w:sz="6" w:space="0" w:color="auto"/>
            </w:tcBorders>
          </w:tcPr>
          <w:p w14:paraId="2AC9DFA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887</w:t>
            </w:r>
          </w:p>
        </w:tc>
      </w:tr>
      <w:tr w:rsidR="008D6F13" w14:paraId="7BD07718"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0EEA6A1" w14:textId="77777777" w:rsidR="008D6F13" w:rsidRDefault="008D6F13" w:rsidP="0031078F">
            <w:r>
              <w:rPr>
                <w:b/>
              </w:rPr>
              <w:t>Total expenses by COFOG</w:t>
            </w:r>
          </w:p>
        </w:tc>
        <w:tc>
          <w:tcPr>
            <w:tcW w:w="794" w:type="dxa"/>
          </w:tcPr>
          <w:p w14:paraId="1E7B4D80" w14:textId="77777777" w:rsidR="008D6F13" w:rsidRPr="00791B06" w:rsidRDefault="008D6F13" w:rsidP="0031078F">
            <w:pPr>
              <w:cnfStyle w:val="000000000000" w:firstRow="0" w:lastRow="0" w:firstColumn="0" w:lastColumn="0" w:oddVBand="0" w:evenVBand="0" w:oddHBand="0" w:evenHBand="0" w:firstRowFirstColumn="0" w:firstRowLastColumn="0" w:lastRowFirstColumn="0" w:lastRowLastColumn="0"/>
              <w:rPr>
                <w:b/>
                <w:bCs/>
              </w:rPr>
            </w:pPr>
            <w:r w:rsidRPr="00791B06">
              <w:rPr>
                <w:b/>
                <w:bCs/>
              </w:rPr>
              <w:t>86 200</w:t>
            </w:r>
          </w:p>
        </w:tc>
        <w:tc>
          <w:tcPr>
            <w:tcW w:w="794" w:type="dxa"/>
          </w:tcPr>
          <w:p w14:paraId="7B58E74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97 470</w:t>
            </w:r>
          </w:p>
        </w:tc>
        <w:tc>
          <w:tcPr>
            <w:tcW w:w="794" w:type="dxa"/>
          </w:tcPr>
          <w:p w14:paraId="1CACE54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85 026</w:t>
            </w:r>
          </w:p>
        </w:tc>
        <w:tc>
          <w:tcPr>
            <w:tcW w:w="794" w:type="dxa"/>
          </w:tcPr>
          <w:p w14:paraId="2FE4E36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85 491</w:t>
            </w:r>
          </w:p>
        </w:tc>
        <w:tc>
          <w:tcPr>
            <w:tcW w:w="794" w:type="dxa"/>
          </w:tcPr>
          <w:p w14:paraId="7AF3F37A" w14:textId="5EB358F6"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87 185</w:t>
            </w:r>
          </w:p>
        </w:tc>
      </w:tr>
    </w:tbl>
    <w:p w14:paraId="0775C397" w14:textId="77777777" w:rsidR="008D6F13" w:rsidRPr="00FC6AC0" w:rsidRDefault="008D6F13" w:rsidP="008D6F13">
      <w:pPr>
        <w:pStyle w:val="Note"/>
        <w:ind w:left="0" w:firstLine="0"/>
      </w:pPr>
      <w:r w:rsidRPr="00FC6AC0">
        <w:t>Note</w:t>
      </w:r>
      <w:r>
        <w:t>s</w:t>
      </w:r>
      <w:r w:rsidRPr="00FC6AC0">
        <w:t>:</w:t>
      </w:r>
    </w:p>
    <w:p w14:paraId="4BDD32AC" w14:textId="77777777" w:rsidR="008D6F13" w:rsidRPr="009E03FE" w:rsidRDefault="008D6F13" w:rsidP="008D6F13">
      <w:pPr>
        <w:pStyle w:val="Note"/>
        <w:rPr>
          <w:highlight w:val="yellow"/>
        </w:rPr>
      </w:pPr>
      <w:r w:rsidRPr="00FC6AC0">
        <w:t>(a)</w:t>
      </w:r>
      <w:r w:rsidRPr="00FC6AC0">
        <w:tab/>
      </w:r>
      <w:r w:rsidRPr="00C02B7F">
        <w:t xml:space="preserve">The increase in the economic affairs expense from transactions in 2021-22 reflects the support provided to businesses as part of the Government’s COVID-19 pandemic response.  </w:t>
      </w:r>
    </w:p>
    <w:p w14:paraId="7FEDE0E0" w14:textId="77777777" w:rsidR="008D6F13" w:rsidRPr="009E03FE" w:rsidRDefault="008D6F13" w:rsidP="008D6F13">
      <w:pPr>
        <w:pStyle w:val="Note"/>
        <w:rPr>
          <w:highlight w:val="yellow"/>
        </w:rPr>
      </w:pPr>
      <w:r w:rsidRPr="00FC6AC0">
        <w:t>(</w:t>
      </w:r>
      <w:r>
        <w:t>b</w:t>
      </w:r>
      <w:r w:rsidRPr="00FC6AC0">
        <w:t>)</w:t>
      </w:r>
      <w:r w:rsidRPr="00FC6AC0">
        <w:tab/>
      </w:r>
      <w:r w:rsidRPr="007B7059">
        <w:t>Mainly comprises the provision for future demand growth, departmental underspending, eliminated purchases of supplies and consumables between government entities, and items not yet formalised at the time of publication.</w:t>
      </w:r>
    </w:p>
    <w:p w14:paraId="63D8DCE5" w14:textId="77777777" w:rsidR="008D6F13" w:rsidRDefault="008D6F13" w:rsidP="008D6F13"/>
    <w:p w14:paraId="119F3036" w14:textId="77777777" w:rsidR="008D6F13" w:rsidRDefault="008D6F13" w:rsidP="008D6F13">
      <w:pPr>
        <w:pStyle w:val="TableHeading"/>
        <w:pageBreakBefore/>
      </w:pPr>
      <w:r w:rsidRPr="004D1DC3">
        <w:lastRenderedPageBreak/>
        <w:t>Total expenses by portfolio department</w:t>
      </w:r>
      <w:r w:rsidRPr="004D1DC3">
        <w:tab/>
        <w:t>($ million)</w:t>
      </w:r>
    </w:p>
    <w:tbl>
      <w:tblPr>
        <w:tblStyle w:val="DTFTableNumeric"/>
        <w:tblW w:w="7710" w:type="dxa"/>
        <w:tblLayout w:type="fixed"/>
        <w:tblLook w:val="06A0" w:firstRow="1" w:lastRow="0" w:firstColumn="1" w:lastColumn="0" w:noHBand="1" w:noVBand="1"/>
      </w:tblPr>
      <w:tblGrid>
        <w:gridCol w:w="3828"/>
        <w:gridCol w:w="706"/>
        <w:gridCol w:w="794"/>
        <w:gridCol w:w="794"/>
        <w:gridCol w:w="794"/>
        <w:gridCol w:w="794"/>
      </w:tblGrid>
      <w:tr w:rsidR="008D6F13" w14:paraId="34AB7F3A"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Pr>
          <w:p w14:paraId="23093420" w14:textId="3BD46BF9" w:rsidR="008D6F13" w:rsidRDefault="008D6F13" w:rsidP="0031078F"/>
        </w:tc>
        <w:tc>
          <w:tcPr>
            <w:tcW w:w="706" w:type="dxa"/>
          </w:tcPr>
          <w:p w14:paraId="3321856B"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280832E3"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5D950036"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3835F7FA"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0976FBEE"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5C4F1009" w14:textId="77777777" w:rsidTr="0031078F">
        <w:tc>
          <w:tcPr>
            <w:cnfStyle w:val="001000000000" w:firstRow="0" w:lastRow="0" w:firstColumn="1" w:lastColumn="0" w:oddVBand="0" w:evenVBand="0" w:oddHBand="0" w:evenHBand="0" w:firstRowFirstColumn="0" w:firstRowLastColumn="0" w:lastRowFirstColumn="0" w:lastRowLastColumn="0"/>
            <w:tcW w:w="3828" w:type="dxa"/>
          </w:tcPr>
          <w:p w14:paraId="323C9C87" w14:textId="77777777" w:rsidR="008D6F13" w:rsidRDefault="008D6F13" w:rsidP="0031078F">
            <w:r>
              <w:t>Education and Training</w:t>
            </w:r>
          </w:p>
        </w:tc>
        <w:tc>
          <w:tcPr>
            <w:tcW w:w="706" w:type="dxa"/>
          </w:tcPr>
          <w:p w14:paraId="5A4DB35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20 120</w:t>
            </w:r>
          </w:p>
        </w:tc>
        <w:tc>
          <w:tcPr>
            <w:tcW w:w="794" w:type="dxa"/>
          </w:tcPr>
          <w:p w14:paraId="71E527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19 965</w:t>
            </w:r>
          </w:p>
        </w:tc>
        <w:tc>
          <w:tcPr>
            <w:tcW w:w="794" w:type="dxa"/>
          </w:tcPr>
          <w:p w14:paraId="7F1CFA1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20 027</w:t>
            </w:r>
          </w:p>
        </w:tc>
        <w:tc>
          <w:tcPr>
            <w:tcW w:w="794" w:type="dxa"/>
          </w:tcPr>
          <w:p w14:paraId="15B3DB5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20 318</w:t>
            </w:r>
          </w:p>
        </w:tc>
        <w:tc>
          <w:tcPr>
            <w:tcW w:w="794" w:type="dxa"/>
          </w:tcPr>
          <w:p w14:paraId="2FF16F7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20 825</w:t>
            </w:r>
          </w:p>
        </w:tc>
      </w:tr>
      <w:tr w:rsidR="008D6F13" w14:paraId="5798A8D3" w14:textId="77777777" w:rsidTr="0031078F">
        <w:tc>
          <w:tcPr>
            <w:cnfStyle w:val="001000000000" w:firstRow="0" w:lastRow="0" w:firstColumn="1" w:lastColumn="0" w:oddVBand="0" w:evenVBand="0" w:oddHBand="0" w:evenHBand="0" w:firstRowFirstColumn="0" w:firstRowLastColumn="0" w:lastRowFirstColumn="0" w:lastRowLastColumn="0"/>
            <w:tcW w:w="3828" w:type="dxa"/>
          </w:tcPr>
          <w:p w14:paraId="60270C40" w14:textId="77777777" w:rsidR="008D6F13" w:rsidRDefault="008D6F13" w:rsidP="0031078F">
            <w:r>
              <w:t>Environment, Land, Water and Planning</w:t>
            </w:r>
          </w:p>
        </w:tc>
        <w:tc>
          <w:tcPr>
            <w:tcW w:w="706" w:type="dxa"/>
          </w:tcPr>
          <w:p w14:paraId="550DCB1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3 564</w:t>
            </w:r>
          </w:p>
        </w:tc>
        <w:tc>
          <w:tcPr>
            <w:tcW w:w="794" w:type="dxa"/>
          </w:tcPr>
          <w:p w14:paraId="0D34208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3 986</w:t>
            </w:r>
          </w:p>
        </w:tc>
        <w:tc>
          <w:tcPr>
            <w:tcW w:w="794" w:type="dxa"/>
          </w:tcPr>
          <w:p w14:paraId="23D063E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3 090</w:t>
            </w:r>
          </w:p>
        </w:tc>
        <w:tc>
          <w:tcPr>
            <w:tcW w:w="794" w:type="dxa"/>
          </w:tcPr>
          <w:p w14:paraId="0C94BF9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2 672</w:t>
            </w:r>
          </w:p>
        </w:tc>
        <w:tc>
          <w:tcPr>
            <w:tcW w:w="794" w:type="dxa"/>
          </w:tcPr>
          <w:p w14:paraId="4186488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2 344</w:t>
            </w:r>
          </w:p>
        </w:tc>
      </w:tr>
      <w:tr w:rsidR="008D6F13" w14:paraId="154D29F8" w14:textId="77777777" w:rsidTr="0031078F">
        <w:tc>
          <w:tcPr>
            <w:cnfStyle w:val="001000000000" w:firstRow="0" w:lastRow="0" w:firstColumn="1" w:lastColumn="0" w:oddVBand="0" w:evenVBand="0" w:oddHBand="0" w:evenHBand="0" w:firstRowFirstColumn="0" w:firstRowLastColumn="0" w:lastRowFirstColumn="0" w:lastRowLastColumn="0"/>
            <w:tcW w:w="3828" w:type="dxa"/>
          </w:tcPr>
          <w:p w14:paraId="16917B53" w14:textId="77777777" w:rsidR="008D6F13" w:rsidRDefault="008D6F13" w:rsidP="0031078F">
            <w:r>
              <w:t>Families, Fairness and Housing</w:t>
            </w:r>
          </w:p>
        </w:tc>
        <w:tc>
          <w:tcPr>
            <w:tcW w:w="706" w:type="dxa"/>
          </w:tcPr>
          <w:p w14:paraId="6634DC5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7 589</w:t>
            </w:r>
          </w:p>
        </w:tc>
        <w:tc>
          <w:tcPr>
            <w:tcW w:w="794" w:type="dxa"/>
          </w:tcPr>
          <w:p w14:paraId="14F6EB5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7 823</w:t>
            </w:r>
          </w:p>
        </w:tc>
        <w:tc>
          <w:tcPr>
            <w:tcW w:w="794" w:type="dxa"/>
          </w:tcPr>
          <w:p w14:paraId="5FAF901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7 322</w:t>
            </w:r>
          </w:p>
        </w:tc>
        <w:tc>
          <w:tcPr>
            <w:tcW w:w="794" w:type="dxa"/>
          </w:tcPr>
          <w:p w14:paraId="6D36DB1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7 257</w:t>
            </w:r>
          </w:p>
        </w:tc>
        <w:tc>
          <w:tcPr>
            <w:tcW w:w="794" w:type="dxa"/>
          </w:tcPr>
          <w:p w14:paraId="6C80691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7 353</w:t>
            </w:r>
          </w:p>
        </w:tc>
      </w:tr>
      <w:tr w:rsidR="008D6F13" w14:paraId="53386109" w14:textId="77777777" w:rsidTr="0031078F">
        <w:tc>
          <w:tcPr>
            <w:cnfStyle w:val="001000000000" w:firstRow="0" w:lastRow="0" w:firstColumn="1" w:lastColumn="0" w:oddVBand="0" w:evenVBand="0" w:oddHBand="0" w:evenHBand="0" w:firstRowFirstColumn="0" w:firstRowLastColumn="0" w:lastRowFirstColumn="0" w:lastRowLastColumn="0"/>
            <w:tcW w:w="3828" w:type="dxa"/>
          </w:tcPr>
          <w:p w14:paraId="4C4FDDFE" w14:textId="77777777" w:rsidR="008D6F13" w:rsidRDefault="008D6F13" w:rsidP="0031078F">
            <w:r>
              <w:t>Health</w:t>
            </w:r>
          </w:p>
        </w:tc>
        <w:tc>
          <w:tcPr>
            <w:tcW w:w="706" w:type="dxa"/>
          </w:tcPr>
          <w:p w14:paraId="2F043D6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25 250</w:t>
            </w:r>
          </w:p>
        </w:tc>
        <w:tc>
          <w:tcPr>
            <w:tcW w:w="794" w:type="dxa"/>
          </w:tcPr>
          <w:p w14:paraId="50B37F7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27 174</w:t>
            </w:r>
          </w:p>
        </w:tc>
        <w:tc>
          <w:tcPr>
            <w:tcW w:w="794" w:type="dxa"/>
          </w:tcPr>
          <w:p w14:paraId="112EC2A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24 585</w:t>
            </w:r>
          </w:p>
        </w:tc>
        <w:tc>
          <w:tcPr>
            <w:tcW w:w="794" w:type="dxa"/>
          </w:tcPr>
          <w:p w14:paraId="49EECEF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24 449</w:t>
            </w:r>
          </w:p>
        </w:tc>
        <w:tc>
          <w:tcPr>
            <w:tcW w:w="794" w:type="dxa"/>
          </w:tcPr>
          <w:p w14:paraId="6985F5E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24 779</w:t>
            </w:r>
          </w:p>
        </w:tc>
      </w:tr>
      <w:tr w:rsidR="008D6F13" w14:paraId="3092F0F1" w14:textId="77777777" w:rsidTr="0031078F">
        <w:tc>
          <w:tcPr>
            <w:cnfStyle w:val="001000000000" w:firstRow="0" w:lastRow="0" w:firstColumn="1" w:lastColumn="0" w:oddVBand="0" w:evenVBand="0" w:oddHBand="0" w:evenHBand="0" w:firstRowFirstColumn="0" w:firstRowLastColumn="0" w:lastRowFirstColumn="0" w:lastRowLastColumn="0"/>
            <w:tcW w:w="3828" w:type="dxa"/>
          </w:tcPr>
          <w:p w14:paraId="34EF6B3D" w14:textId="77777777" w:rsidR="008D6F13" w:rsidRDefault="008D6F13" w:rsidP="0031078F">
            <w:r>
              <w:t>Jobs, Precincts and Regions</w:t>
            </w:r>
            <w:r>
              <w:rPr>
                <w:vertAlign w:val="superscript"/>
              </w:rPr>
              <w:t xml:space="preserve"> (a)</w:t>
            </w:r>
          </w:p>
        </w:tc>
        <w:tc>
          <w:tcPr>
            <w:tcW w:w="706" w:type="dxa"/>
          </w:tcPr>
          <w:p w14:paraId="5FF1DC4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3 458</w:t>
            </w:r>
          </w:p>
        </w:tc>
        <w:tc>
          <w:tcPr>
            <w:tcW w:w="794" w:type="dxa"/>
          </w:tcPr>
          <w:p w14:paraId="5C9B5BF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11 473</w:t>
            </w:r>
          </w:p>
        </w:tc>
        <w:tc>
          <w:tcPr>
            <w:tcW w:w="794" w:type="dxa"/>
          </w:tcPr>
          <w:p w14:paraId="4F23EEF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2 733</w:t>
            </w:r>
          </w:p>
        </w:tc>
        <w:tc>
          <w:tcPr>
            <w:tcW w:w="794" w:type="dxa"/>
          </w:tcPr>
          <w:p w14:paraId="30936A9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2 152</w:t>
            </w:r>
          </w:p>
        </w:tc>
        <w:tc>
          <w:tcPr>
            <w:tcW w:w="794" w:type="dxa"/>
          </w:tcPr>
          <w:p w14:paraId="226C520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2 029</w:t>
            </w:r>
          </w:p>
        </w:tc>
      </w:tr>
      <w:tr w:rsidR="008D6F13" w14:paraId="2A555932" w14:textId="77777777" w:rsidTr="0031078F">
        <w:tc>
          <w:tcPr>
            <w:cnfStyle w:val="001000000000" w:firstRow="0" w:lastRow="0" w:firstColumn="1" w:lastColumn="0" w:oddVBand="0" w:evenVBand="0" w:oddHBand="0" w:evenHBand="0" w:firstRowFirstColumn="0" w:firstRowLastColumn="0" w:lastRowFirstColumn="0" w:lastRowLastColumn="0"/>
            <w:tcW w:w="3828" w:type="dxa"/>
          </w:tcPr>
          <w:p w14:paraId="10321BB4" w14:textId="77777777" w:rsidR="008D6F13" w:rsidRDefault="008D6F13" w:rsidP="0031078F">
            <w:r>
              <w:t>Justice and Community Safety</w:t>
            </w:r>
          </w:p>
        </w:tc>
        <w:tc>
          <w:tcPr>
            <w:tcW w:w="706" w:type="dxa"/>
          </w:tcPr>
          <w:p w14:paraId="6D5D8D2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8 748</w:t>
            </w:r>
          </w:p>
        </w:tc>
        <w:tc>
          <w:tcPr>
            <w:tcW w:w="794" w:type="dxa"/>
          </w:tcPr>
          <w:p w14:paraId="38FDC77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9 179</w:t>
            </w:r>
          </w:p>
        </w:tc>
        <w:tc>
          <w:tcPr>
            <w:tcW w:w="794" w:type="dxa"/>
          </w:tcPr>
          <w:p w14:paraId="7AD940F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8 680</w:t>
            </w:r>
          </w:p>
        </w:tc>
        <w:tc>
          <w:tcPr>
            <w:tcW w:w="794" w:type="dxa"/>
          </w:tcPr>
          <w:p w14:paraId="7B9F55A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8 522</w:t>
            </w:r>
          </w:p>
        </w:tc>
        <w:tc>
          <w:tcPr>
            <w:tcW w:w="794" w:type="dxa"/>
          </w:tcPr>
          <w:p w14:paraId="2AA5811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8 504</w:t>
            </w:r>
          </w:p>
        </w:tc>
      </w:tr>
      <w:tr w:rsidR="008D6F13" w14:paraId="162F5246" w14:textId="77777777" w:rsidTr="0031078F">
        <w:tc>
          <w:tcPr>
            <w:cnfStyle w:val="001000000000" w:firstRow="0" w:lastRow="0" w:firstColumn="1" w:lastColumn="0" w:oddVBand="0" w:evenVBand="0" w:oddHBand="0" w:evenHBand="0" w:firstRowFirstColumn="0" w:firstRowLastColumn="0" w:lastRowFirstColumn="0" w:lastRowLastColumn="0"/>
            <w:tcW w:w="3828" w:type="dxa"/>
          </w:tcPr>
          <w:p w14:paraId="274B9BD9" w14:textId="77777777" w:rsidR="008D6F13" w:rsidRDefault="008D6F13" w:rsidP="0031078F">
            <w:r>
              <w:t>Premier and Cabinet</w:t>
            </w:r>
          </w:p>
        </w:tc>
        <w:tc>
          <w:tcPr>
            <w:tcW w:w="706" w:type="dxa"/>
          </w:tcPr>
          <w:p w14:paraId="1AA68EA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713</w:t>
            </w:r>
          </w:p>
        </w:tc>
        <w:tc>
          <w:tcPr>
            <w:tcW w:w="794" w:type="dxa"/>
          </w:tcPr>
          <w:p w14:paraId="02BB66B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903</w:t>
            </w:r>
          </w:p>
        </w:tc>
        <w:tc>
          <w:tcPr>
            <w:tcW w:w="794" w:type="dxa"/>
          </w:tcPr>
          <w:p w14:paraId="6A5FA62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712</w:t>
            </w:r>
          </w:p>
        </w:tc>
        <w:tc>
          <w:tcPr>
            <w:tcW w:w="794" w:type="dxa"/>
          </w:tcPr>
          <w:p w14:paraId="72774C0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524</w:t>
            </w:r>
          </w:p>
        </w:tc>
        <w:tc>
          <w:tcPr>
            <w:tcW w:w="794" w:type="dxa"/>
          </w:tcPr>
          <w:p w14:paraId="65AC185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542</w:t>
            </w:r>
          </w:p>
        </w:tc>
      </w:tr>
      <w:tr w:rsidR="008D6F13" w14:paraId="76235397" w14:textId="77777777" w:rsidTr="0031078F">
        <w:tc>
          <w:tcPr>
            <w:cnfStyle w:val="001000000000" w:firstRow="0" w:lastRow="0" w:firstColumn="1" w:lastColumn="0" w:oddVBand="0" w:evenVBand="0" w:oddHBand="0" w:evenHBand="0" w:firstRowFirstColumn="0" w:firstRowLastColumn="0" w:lastRowFirstColumn="0" w:lastRowLastColumn="0"/>
            <w:tcW w:w="3828" w:type="dxa"/>
          </w:tcPr>
          <w:p w14:paraId="3073FA88" w14:textId="77777777" w:rsidR="008D6F13" w:rsidRDefault="008D6F13" w:rsidP="0031078F">
            <w:r>
              <w:t>Treasury and Finance</w:t>
            </w:r>
          </w:p>
        </w:tc>
        <w:tc>
          <w:tcPr>
            <w:tcW w:w="706" w:type="dxa"/>
          </w:tcPr>
          <w:p w14:paraId="6C5F089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9 987</w:t>
            </w:r>
          </w:p>
        </w:tc>
        <w:tc>
          <w:tcPr>
            <w:tcW w:w="794" w:type="dxa"/>
          </w:tcPr>
          <w:p w14:paraId="14D9C39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9 921</w:t>
            </w:r>
          </w:p>
        </w:tc>
        <w:tc>
          <w:tcPr>
            <w:tcW w:w="794" w:type="dxa"/>
          </w:tcPr>
          <w:p w14:paraId="0130D11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9 885</w:t>
            </w:r>
          </w:p>
        </w:tc>
        <w:tc>
          <w:tcPr>
            <w:tcW w:w="794" w:type="dxa"/>
          </w:tcPr>
          <w:p w14:paraId="48D3494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10 792</w:t>
            </w:r>
          </w:p>
        </w:tc>
        <w:tc>
          <w:tcPr>
            <w:tcW w:w="794" w:type="dxa"/>
          </w:tcPr>
          <w:p w14:paraId="6CAE4F4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11 736</w:t>
            </w:r>
          </w:p>
        </w:tc>
      </w:tr>
      <w:tr w:rsidR="008D6F13" w14:paraId="45C2809A" w14:textId="77777777" w:rsidTr="0031078F">
        <w:tc>
          <w:tcPr>
            <w:cnfStyle w:val="001000000000" w:firstRow="0" w:lastRow="0" w:firstColumn="1" w:lastColumn="0" w:oddVBand="0" w:evenVBand="0" w:oddHBand="0" w:evenHBand="0" w:firstRowFirstColumn="0" w:firstRowLastColumn="0" w:lastRowFirstColumn="0" w:lastRowLastColumn="0"/>
            <w:tcW w:w="3828" w:type="dxa"/>
          </w:tcPr>
          <w:p w14:paraId="444AC61C" w14:textId="77777777" w:rsidR="008D6F13" w:rsidRDefault="008D6F13" w:rsidP="0031078F">
            <w:r>
              <w:t>Transport</w:t>
            </w:r>
          </w:p>
        </w:tc>
        <w:tc>
          <w:tcPr>
            <w:tcW w:w="706" w:type="dxa"/>
          </w:tcPr>
          <w:p w14:paraId="039EFC9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6 894</w:t>
            </w:r>
          </w:p>
        </w:tc>
        <w:tc>
          <w:tcPr>
            <w:tcW w:w="794" w:type="dxa"/>
          </w:tcPr>
          <w:p w14:paraId="054BD25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7 158</w:t>
            </w:r>
          </w:p>
        </w:tc>
        <w:tc>
          <w:tcPr>
            <w:tcW w:w="794" w:type="dxa"/>
          </w:tcPr>
          <w:p w14:paraId="48D2208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6 435</w:t>
            </w:r>
          </w:p>
        </w:tc>
        <w:tc>
          <w:tcPr>
            <w:tcW w:w="794" w:type="dxa"/>
          </w:tcPr>
          <w:p w14:paraId="40361C8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6 316</w:t>
            </w:r>
          </w:p>
        </w:tc>
        <w:tc>
          <w:tcPr>
            <w:tcW w:w="794" w:type="dxa"/>
          </w:tcPr>
          <w:p w14:paraId="76F23AB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6 410</w:t>
            </w:r>
          </w:p>
        </w:tc>
      </w:tr>
      <w:tr w:rsidR="008D6F13" w14:paraId="00EE0486" w14:textId="77777777" w:rsidTr="0031078F">
        <w:tc>
          <w:tcPr>
            <w:cnfStyle w:val="001000000000" w:firstRow="0" w:lastRow="0" w:firstColumn="1" w:lastColumn="0" w:oddVBand="0" w:evenVBand="0" w:oddHBand="0" w:evenHBand="0" w:firstRowFirstColumn="0" w:firstRowLastColumn="0" w:lastRowFirstColumn="0" w:lastRowLastColumn="0"/>
            <w:tcW w:w="3828" w:type="dxa"/>
          </w:tcPr>
          <w:p w14:paraId="51CC67CA" w14:textId="77777777" w:rsidR="008D6F13" w:rsidRDefault="008D6F13" w:rsidP="0031078F">
            <w:r>
              <w:t>Parliament</w:t>
            </w:r>
          </w:p>
        </w:tc>
        <w:tc>
          <w:tcPr>
            <w:tcW w:w="706" w:type="dxa"/>
          </w:tcPr>
          <w:p w14:paraId="29B6940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340</w:t>
            </w:r>
          </w:p>
        </w:tc>
        <w:tc>
          <w:tcPr>
            <w:tcW w:w="794" w:type="dxa"/>
          </w:tcPr>
          <w:p w14:paraId="5C5A0D7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341</w:t>
            </w:r>
          </w:p>
        </w:tc>
        <w:tc>
          <w:tcPr>
            <w:tcW w:w="794" w:type="dxa"/>
          </w:tcPr>
          <w:p w14:paraId="05C2584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334</w:t>
            </w:r>
          </w:p>
        </w:tc>
        <w:tc>
          <w:tcPr>
            <w:tcW w:w="794" w:type="dxa"/>
          </w:tcPr>
          <w:p w14:paraId="0BC2814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334</w:t>
            </w:r>
          </w:p>
        </w:tc>
        <w:tc>
          <w:tcPr>
            <w:tcW w:w="794" w:type="dxa"/>
          </w:tcPr>
          <w:p w14:paraId="3FE64B9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339</w:t>
            </w:r>
          </w:p>
        </w:tc>
      </w:tr>
      <w:tr w:rsidR="008D6F13" w14:paraId="6FE4BE66" w14:textId="77777777" w:rsidTr="0031078F">
        <w:tc>
          <w:tcPr>
            <w:cnfStyle w:val="001000000000" w:firstRow="0" w:lastRow="0" w:firstColumn="1" w:lastColumn="0" w:oddVBand="0" w:evenVBand="0" w:oddHBand="0" w:evenHBand="0" w:firstRowFirstColumn="0" w:firstRowLastColumn="0" w:lastRowFirstColumn="0" w:lastRowLastColumn="0"/>
            <w:tcW w:w="3828" w:type="dxa"/>
          </w:tcPr>
          <w:p w14:paraId="46302C0C" w14:textId="77777777" w:rsidR="008D6F13" w:rsidRDefault="008D6F13" w:rsidP="0031078F">
            <w:r>
              <w:t>Courts</w:t>
            </w:r>
          </w:p>
        </w:tc>
        <w:tc>
          <w:tcPr>
            <w:tcW w:w="706" w:type="dxa"/>
          </w:tcPr>
          <w:p w14:paraId="4116980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819</w:t>
            </w:r>
          </w:p>
        </w:tc>
        <w:tc>
          <w:tcPr>
            <w:tcW w:w="794" w:type="dxa"/>
          </w:tcPr>
          <w:p w14:paraId="1AD26D4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862</w:t>
            </w:r>
          </w:p>
        </w:tc>
        <w:tc>
          <w:tcPr>
            <w:tcW w:w="794" w:type="dxa"/>
          </w:tcPr>
          <w:p w14:paraId="15B6190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834</w:t>
            </w:r>
          </w:p>
        </w:tc>
        <w:tc>
          <w:tcPr>
            <w:tcW w:w="794" w:type="dxa"/>
          </w:tcPr>
          <w:p w14:paraId="05E9EC4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823</w:t>
            </w:r>
          </w:p>
        </w:tc>
        <w:tc>
          <w:tcPr>
            <w:tcW w:w="794" w:type="dxa"/>
          </w:tcPr>
          <w:p w14:paraId="7A1AC42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830</w:t>
            </w:r>
          </w:p>
        </w:tc>
      </w:tr>
      <w:tr w:rsidR="008D6F13" w14:paraId="3AEE76A1" w14:textId="77777777" w:rsidTr="0031078F">
        <w:tc>
          <w:tcPr>
            <w:cnfStyle w:val="001000000000" w:firstRow="0" w:lastRow="0" w:firstColumn="1" w:lastColumn="0" w:oddVBand="0" w:evenVBand="0" w:oddHBand="0" w:evenHBand="0" w:firstRowFirstColumn="0" w:firstRowLastColumn="0" w:lastRowFirstColumn="0" w:lastRowLastColumn="0"/>
            <w:tcW w:w="3828" w:type="dxa"/>
          </w:tcPr>
          <w:p w14:paraId="356936FB" w14:textId="77777777" w:rsidR="008D6F13" w:rsidRDefault="008D6F13" w:rsidP="0031078F">
            <w:r>
              <w:t>Regulatory bodies and other part funded agencies</w:t>
            </w:r>
            <w:r>
              <w:rPr>
                <w:vertAlign w:val="superscript"/>
              </w:rPr>
              <w:t xml:space="preserve"> (b)</w:t>
            </w:r>
          </w:p>
        </w:tc>
        <w:tc>
          <w:tcPr>
            <w:tcW w:w="706" w:type="dxa"/>
          </w:tcPr>
          <w:p w14:paraId="206F12A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3 099</w:t>
            </w:r>
          </w:p>
        </w:tc>
        <w:tc>
          <w:tcPr>
            <w:tcW w:w="794" w:type="dxa"/>
          </w:tcPr>
          <w:p w14:paraId="602A5CF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3 293</w:t>
            </w:r>
          </w:p>
        </w:tc>
        <w:tc>
          <w:tcPr>
            <w:tcW w:w="794" w:type="dxa"/>
          </w:tcPr>
          <w:p w14:paraId="543E401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3 088</w:t>
            </w:r>
          </w:p>
        </w:tc>
        <w:tc>
          <w:tcPr>
            <w:tcW w:w="794" w:type="dxa"/>
          </w:tcPr>
          <w:p w14:paraId="732D4E3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2 866</w:t>
            </w:r>
          </w:p>
        </w:tc>
        <w:tc>
          <w:tcPr>
            <w:tcW w:w="794" w:type="dxa"/>
          </w:tcPr>
          <w:p w14:paraId="2C1EF6C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2 744</w:t>
            </w:r>
          </w:p>
        </w:tc>
      </w:tr>
      <w:tr w:rsidR="008D6F13" w14:paraId="384198D9" w14:textId="77777777" w:rsidTr="0031078F">
        <w:tc>
          <w:tcPr>
            <w:cnfStyle w:val="001000000000" w:firstRow="0" w:lastRow="0" w:firstColumn="1" w:lastColumn="0" w:oddVBand="0" w:evenVBand="0" w:oddHBand="0" w:evenHBand="0" w:firstRowFirstColumn="0" w:firstRowLastColumn="0" w:lastRowFirstColumn="0" w:lastRowLastColumn="0"/>
            <w:tcW w:w="3828" w:type="dxa"/>
            <w:tcBorders>
              <w:bottom w:val="single" w:sz="6" w:space="0" w:color="auto"/>
            </w:tcBorders>
          </w:tcPr>
          <w:p w14:paraId="6949D0C2" w14:textId="77777777" w:rsidR="008D6F13" w:rsidRDefault="008D6F13" w:rsidP="0031078F">
            <w:r>
              <w:t>Output contingencies not allocated to departments</w:t>
            </w:r>
            <w:r>
              <w:rPr>
                <w:vertAlign w:val="superscript"/>
              </w:rPr>
              <w:t xml:space="preserve"> (c)</w:t>
            </w:r>
          </w:p>
        </w:tc>
        <w:tc>
          <w:tcPr>
            <w:tcW w:w="706" w:type="dxa"/>
            <w:tcBorders>
              <w:bottom w:val="single" w:sz="6" w:space="0" w:color="auto"/>
            </w:tcBorders>
          </w:tcPr>
          <w:p w14:paraId="4FDA8D4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7 134</w:t>
            </w:r>
          </w:p>
        </w:tc>
        <w:tc>
          <w:tcPr>
            <w:tcW w:w="794" w:type="dxa"/>
            <w:tcBorders>
              <w:bottom w:val="single" w:sz="6" w:space="0" w:color="auto"/>
            </w:tcBorders>
          </w:tcPr>
          <w:p w14:paraId="0E69A3E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6 573</w:t>
            </w:r>
          </w:p>
        </w:tc>
        <w:tc>
          <w:tcPr>
            <w:tcW w:w="794" w:type="dxa"/>
            <w:tcBorders>
              <w:bottom w:val="single" w:sz="6" w:space="0" w:color="auto"/>
            </w:tcBorders>
          </w:tcPr>
          <w:p w14:paraId="05C070C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6 735</w:t>
            </w:r>
          </w:p>
        </w:tc>
        <w:tc>
          <w:tcPr>
            <w:tcW w:w="794" w:type="dxa"/>
            <w:tcBorders>
              <w:bottom w:val="single" w:sz="6" w:space="0" w:color="auto"/>
            </w:tcBorders>
          </w:tcPr>
          <w:p w14:paraId="42B2BF0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8 145</w:t>
            </w:r>
          </w:p>
        </w:tc>
        <w:tc>
          <w:tcPr>
            <w:tcW w:w="794" w:type="dxa"/>
            <w:tcBorders>
              <w:bottom w:val="single" w:sz="6" w:space="0" w:color="auto"/>
            </w:tcBorders>
          </w:tcPr>
          <w:p w14:paraId="5E56853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8 946</w:t>
            </w:r>
          </w:p>
        </w:tc>
      </w:tr>
      <w:tr w:rsidR="008D6F13" w14:paraId="23E69058" w14:textId="77777777" w:rsidTr="0031078F">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tcBorders>
          </w:tcPr>
          <w:p w14:paraId="47919F10" w14:textId="77777777" w:rsidR="008D6F13" w:rsidRDefault="008D6F13" w:rsidP="0031078F">
            <w:r>
              <w:rPr>
                <w:b/>
              </w:rPr>
              <w:t>Total expenses by department</w:t>
            </w:r>
          </w:p>
        </w:tc>
        <w:tc>
          <w:tcPr>
            <w:tcW w:w="706" w:type="dxa"/>
            <w:tcBorders>
              <w:top w:val="single" w:sz="6" w:space="0" w:color="auto"/>
            </w:tcBorders>
          </w:tcPr>
          <w:p w14:paraId="389007A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97 716</w:t>
            </w:r>
          </w:p>
        </w:tc>
        <w:tc>
          <w:tcPr>
            <w:tcW w:w="794" w:type="dxa"/>
            <w:tcBorders>
              <w:top w:val="single" w:sz="6" w:space="0" w:color="auto"/>
            </w:tcBorders>
          </w:tcPr>
          <w:p w14:paraId="088329A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108 653</w:t>
            </w:r>
          </w:p>
        </w:tc>
        <w:tc>
          <w:tcPr>
            <w:tcW w:w="794" w:type="dxa"/>
            <w:tcBorders>
              <w:top w:val="single" w:sz="6" w:space="0" w:color="auto"/>
            </w:tcBorders>
          </w:tcPr>
          <w:p w14:paraId="2AE2A3A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94 461</w:t>
            </w:r>
          </w:p>
        </w:tc>
        <w:tc>
          <w:tcPr>
            <w:tcW w:w="794" w:type="dxa"/>
            <w:tcBorders>
              <w:top w:val="single" w:sz="6" w:space="0" w:color="auto"/>
            </w:tcBorders>
          </w:tcPr>
          <w:p w14:paraId="53ADBE7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95 169</w:t>
            </w:r>
          </w:p>
        </w:tc>
        <w:tc>
          <w:tcPr>
            <w:tcW w:w="794" w:type="dxa"/>
            <w:tcBorders>
              <w:top w:val="single" w:sz="6" w:space="0" w:color="auto"/>
            </w:tcBorders>
          </w:tcPr>
          <w:p w14:paraId="4B7007C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97 380</w:t>
            </w:r>
          </w:p>
        </w:tc>
      </w:tr>
      <w:tr w:rsidR="008D6F13" w14:paraId="7A9D9270" w14:textId="77777777" w:rsidTr="0031078F">
        <w:tc>
          <w:tcPr>
            <w:cnfStyle w:val="001000000000" w:firstRow="0" w:lastRow="0" w:firstColumn="1" w:lastColumn="0" w:oddVBand="0" w:evenVBand="0" w:oddHBand="0" w:evenHBand="0" w:firstRowFirstColumn="0" w:firstRowLastColumn="0" w:lastRowFirstColumn="0" w:lastRowLastColumn="0"/>
            <w:tcW w:w="3828" w:type="dxa"/>
            <w:tcBorders>
              <w:bottom w:val="single" w:sz="6" w:space="0" w:color="auto"/>
            </w:tcBorders>
          </w:tcPr>
          <w:p w14:paraId="5F3C44E7" w14:textId="77777777" w:rsidR="008D6F13" w:rsidRDefault="008D6F13" w:rsidP="0031078F">
            <w:r>
              <w:rPr>
                <w:i/>
              </w:rPr>
              <w:t>Less eliminations and adjustments</w:t>
            </w:r>
            <w:r>
              <w:rPr>
                <w:i/>
                <w:vertAlign w:val="superscript"/>
              </w:rPr>
              <w:t xml:space="preserve"> (d)</w:t>
            </w:r>
          </w:p>
        </w:tc>
        <w:tc>
          <w:tcPr>
            <w:tcW w:w="706" w:type="dxa"/>
            <w:tcBorders>
              <w:bottom w:val="single" w:sz="6" w:space="0" w:color="auto"/>
            </w:tcBorders>
          </w:tcPr>
          <w:p w14:paraId="262C2FF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i/>
              </w:rPr>
              <w:t>(11 516)</w:t>
            </w:r>
          </w:p>
        </w:tc>
        <w:tc>
          <w:tcPr>
            <w:tcW w:w="794" w:type="dxa"/>
            <w:tcBorders>
              <w:bottom w:val="single" w:sz="6" w:space="0" w:color="auto"/>
            </w:tcBorders>
          </w:tcPr>
          <w:p w14:paraId="08387BE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i/>
              </w:rPr>
              <w:t>(11 183)</w:t>
            </w:r>
          </w:p>
        </w:tc>
        <w:tc>
          <w:tcPr>
            <w:tcW w:w="794" w:type="dxa"/>
            <w:tcBorders>
              <w:bottom w:val="single" w:sz="6" w:space="0" w:color="auto"/>
            </w:tcBorders>
          </w:tcPr>
          <w:p w14:paraId="79F64C1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i/>
              </w:rPr>
              <w:t>(9 436)</w:t>
            </w:r>
          </w:p>
        </w:tc>
        <w:tc>
          <w:tcPr>
            <w:tcW w:w="794" w:type="dxa"/>
            <w:tcBorders>
              <w:bottom w:val="single" w:sz="6" w:space="0" w:color="auto"/>
            </w:tcBorders>
          </w:tcPr>
          <w:p w14:paraId="78D131B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i/>
              </w:rPr>
              <w:t>(9 678)</w:t>
            </w:r>
          </w:p>
        </w:tc>
        <w:tc>
          <w:tcPr>
            <w:tcW w:w="794" w:type="dxa"/>
            <w:tcBorders>
              <w:bottom w:val="single" w:sz="6" w:space="0" w:color="auto"/>
            </w:tcBorders>
          </w:tcPr>
          <w:p w14:paraId="0C6E32B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i/>
              </w:rPr>
              <w:t>(10 195)</w:t>
            </w:r>
          </w:p>
        </w:tc>
      </w:tr>
      <w:tr w:rsidR="008D6F13" w14:paraId="5852AE46" w14:textId="77777777" w:rsidTr="0031078F">
        <w:tc>
          <w:tcPr>
            <w:cnfStyle w:val="001000000000" w:firstRow="0" w:lastRow="0" w:firstColumn="1" w:lastColumn="0" w:oddVBand="0" w:evenVBand="0" w:oddHBand="0" w:evenHBand="0" w:firstRowFirstColumn="0" w:firstRowLastColumn="0" w:lastRowFirstColumn="0" w:lastRowLastColumn="0"/>
            <w:tcW w:w="3828" w:type="dxa"/>
          </w:tcPr>
          <w:p w14:paraId="0A07D6B7" w14:textId="77777777" w:rsidR="008D6F13" w:rsidRDefault="008D6F13" w:rsidP="0031078F">
            <w:r>
              <w:rPr>
                <w:b/>
              </w:rPr>
              <w:t>Total expenses</w:t>
            </w:r>
          </w:p>
        </w:tc>
        <w:tc>
          <w:tcPr>
            <w:tcW w:w="706" w:type="dxa"/>
          </w:tcPr>
          <w:p w14:paraId="69C4E00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86 200</w:t>
            </w:r>
          </w:p>
        </w:tc>
        <w:tc>
          <w:tcPr>
            <w:tcW w:w="794" w:type="dxa"/>
          </w:tcPr>
          <w:p w14:paraId="40D44E0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97 470</w:t>
            </w:r>
          </w:p>
        </w:tc>
        <w:tc>
          <w:tcPr>
            <w:tcW w:w="794" w:type="dxa"/>
          </w:tcPr>
          <w:p w14:paraId="2BC3482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85 026</w:t>
            </w:r>
          </w:p>
        </w:tc>
        <w:tc>
          <w:tcPr>
            <w:tcW w:w="794" w:type="dxa"/>
          </w:tcPr>
          <w:p w14:paraId="7DB4BF0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85 491</w:t>
            </w:r>
          </w:p>
        </w:tc>
        <w:tc>
          <w:tcPr>
            <w:tcW w:w="794" w:type="dxa"/>
          </w:tcPr>
          <w:p w14:paraId="1A12A50D" w14:textId="45A09081"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87 185</w:t>
            </w:r>
          </w:p>
        </w:tc>
      </w:tr>
    </w:tbl>
    <w:p w14:paraId="76F4A95D" w14:textId="77777777" w:rsidR="008D6F13" w:rsidRPr="00FC6AC0" w:rsidRDefault="008D6F13" w:rsidP="008D6F13">
      <w:pPr>
        <w:pStyle w:val="Note"/>
        <w:ind w:left="0" w:firstLine="0"/>
      </w:pPr>
      <w:r>
        <w:t>Notes:</w:t>
      </w:r>
    </w:p>
    <w:p w14:paraId="2312513E" w14:textId="77777777" w:rsidR="008D6F13" w:rsidRPr="009E03FE" w:rsidRDefault="008D6F13" w:rsidP="008D6F13">
      <w:pPr>
        <w:pStyle w:val="Note"/>
        <w:rPr>
          <w:highlight w:val="yellow"/>
        </w:rPr>
      </w:pPr>
      <w:r w:rsidRPr="00FC6AC0">
        <w:t>(a)</w:t>
      </w:r>
      <w:r w:rsidRPr="00FC6AC0">
        <w:tab/>
      </w:r>
      <w:r w:rsidRPr="00C02B7F">
        <w:t xml:space="preserve">The increase in </w:t>
      </w:r>
      <w:r>
        <w:t xml:space="preserve">the Department of Jobs, Precincts and Regions total expenses </w:t>
      </w:r>
      <w:r w:rsidRPr="00C02B7F">
        <w:t xml:space="preserve">in 2021-22 reflects the support provided to businesses as part of the Government’s COVID-19 pandemic response.  </w:t>
      </w:r>
    </w:p>
    <w:p w14:paraId="10C38620" w14:textId="77777777" w:rsidR="008D6F13" w:rsidRDefault="008D6F13" w:rsidP="008D6F13">
      <w:pPr>
        <w:pStyle w:val="Note"/>
      </w:pPr>
      <w:r>
        <w:t>(b)</w:t>
      </w:r>
      <w:r>
        <w:tab/>
        <w:t>Other general government sector agencies not allocated to departmental portfolios.</w:t>
      </w:r>
    </w:p>
    <w:p w14:paraId="37FD41DB" w14:textId="77777777" w:rsidR="008D6F13" w:rsidRDefault="008D6F13" w:rsidP="008D6F13">
      <w:pPr>
        <w:pStyle w:val="Note"/>
      </w:pPr>
      <w:r>
        <w:t>(c)</w:t>
      </w:r>
      <w:r>
        <w:tab/>
        <w:t>The following table provides a breakdown of the general government output contingencies not allocated to departments.</w:t>
      </w:r>
    </w:p>
    <w:p w14:paraId="09D44C4C" w14:textId="77777777" w:rsidR="008D6F13" w:rsidRDefault="008D6F13" w:rsidP="008D6F13">
      <w:pPr>
        <w:pStyle w:val="Note"/>
      </w:pPr>
      <w:r>
        <w:t>(d)</w:t>
      </w:r>
      <w:r>
        <w:tab/>
        <w:t>Mainly payroll tax, departmental underspend estimates and inter-departmental transfers.</w:t>
      </w:r>
    </w:p>
    <w:p w14:paraId="307FBC01" w14:textId="77777777" w:rsidR="008D6F13" w:rsidRDefault="008D6F13" w:rsidP="008D6F13"/>
    <w:p w14:paraId="2F5C3547" w14:textId="77777777" w:rsidR="008D6F13" w:rsidRDefault="008D6F13" w:rsidP="008D6F13">
      <w:pPr>
        <w:pStyle w:val="TableHeading"/>
      </w:pPr>
      <w:r w:rsidRPr="004D1DC3">
        <w:t>General government output contingencies not allocated to departments</w:t>
      </w:r>
      <w:r w:rsidRPr="004D1DC3">
        <w:tab/>
        <w:t>($ million)</w:t>
      </w:r>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73EAAA08"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7F74A022" w14:textId="0F37D968" w:rsidR="008D6F13" w:rsidRDefault="008D6F13" w:rsidP="0031078F"/>
        </w:tc>
        <w:tc>
          <w:tcPr>
            <w:tcW w:w="794" w:type="dxa"/>
          </w:tcPr>
          <w:p w14:paraId="38303329"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2C277AA5"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0198E21D"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612721AA"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35435A44"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3126F4B6"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C89F21D" w14:textId="77777777" w:rsidR="008D6F13" w:rsidRDefault="008D6F13" w:rsidP="0031078F">
            <w:r>
              <w:t>Decisions made but not yet allocated</w:t>
            </w:r>
            <w:r>
              <w:rPr>
                <w:vertAlign w:val="superscript"/>
              </w:rPr>
              <w:t xml:space="preserve"> (a)</w:t>
            </w:r>
          </w:p>
        </w:tc>
        <w:tc>
          <w:tcPr>
            <w:tcW w:w="794" w:type="dxa"/>
          </w:tcPr>
          <w:p w14:paraId="231A0A1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7 034</w:t>
            </w:r>
          </w:p>
        </w:tc>
        <w:tc>
          <w:tcPr>
            <w:tcW w:w="794" w:type="dxa"/>
          </w:tcPr>
          <w:p w14:paraId="3902001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6 473</w:t>
            </w:r>
          </w:p>
        </w:tc>
        <w:tc>
          <w:tcPr>
            <w:tcW w:w="794" w:type="dxa"/>
          </w:tcPr>
          <w:p w14:paraId="1CCAC6E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6 385</w:t>
            </w:r>
          </w:p>
        </w:tc>
        <w:tc>
          <w:tcPr>
            <w:tcW w:w="794" w:type="dxa"/>
          </w:tcPr>
          <w:p w14:paraId="2A3E580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7 445</w:t>
            </w:r>
          </w:p>
        </w:tc>
        <w:tc>
          <w:tcPr>
            <w:tcW w:w="794" w:type="dxa"/>
          </w:tcPr>
          <w:p w14:paraId="34C2D30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7 846</w:t>
            </w:r>
          </w:p>
        </w:tc>
      </w:tr>
      <w:tr w:rsidR="008D6F13" w14:paraId="002B8169"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3E86A7EF" w14:textId="77777777" w:rsidR="008D6F13" w:rsidRDefault="008D6F13" w:rsidP="0031078F">
            <w:r>
              <w:t>Funding not allocated to specific purposes</w:t>
            </w:r>
            <w:r>
              <w:rPr>
                <w:vertAlign w:val="superscript"/>
              </w:rPr>
              <w:t xml:space="preserve"> (b)</w:t>
            </w:r>
          </w:p>
        </w:tc>
        <w:tc>
          <w:tcPr>
            <w:tcW w:w="794" w:type="dxa"/>
            <w:tcBorders>
              <w:bottom w:val="single" w:sz="6" w:space="0" w:color="auto"/>
            </w:tcBorders>
          </w:tcPr>
          <w:p w14:paraId="4EE5500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100</w:t>
            </w:r>
          </w:p>
        </w:tc>
        <w:tc>
          <w:tcPr>
            <w:tcW w:w="794" w:type="dxa"/>
            <w:tcBorders>
              <w:bottom w:val="single" w:sz="6" w:space="0" w:color="auto"/>
            </w:tcBorders>
          </w:tcPr>
          <w:p w14:paraId="4E3C962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100</w:t>
            </w:r>
          </w:p>
        </w:tc>
        <w:tc>
          <w:tcPr>
            <w:tcW w:w="794" w:type="dxa"/>
            <w:tcBorders>
              <w:bottom w:val="single" w:sz="6" w:space="0" w:color="auto"/>
            </w:tcBorders>
          </w:tcPr>
          <w:p w14:paraId="05584B8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350</w:t>
            </w:r>
          </w:p>
        </w:tc>
        <w:tc>
          <w:tcPr>
            <w:tcW w:w="794" w:type="dxa"/>
            <w:tcBorders>
              <w:bottom w:val="single" w:sz="6" w:space="0" w:color="auto"/>
            </w:tcBorders>
          </w:tcPr>
          <w:p w14:paraId="275738B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700</w:t>
            </w:r>
          </w:p>
        </w:tc>
        <w:tc>
          <w:tcPr>
            <w:tcW w:w="794" w:type="dxa"/>
            <w:tcBorders>
              <w:bottom w:val="single" w:sz="6" w:space="0" w:color="auto"/>
            </w:tcBorders>
          </w:tcPr>
          <w:p w14:paraId="58278BD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1 100</w:t>
            </w:r>
          </w:p>
        </w:tc>
      </w:tr>
      <w:tr w:rsidR="008D6F13" w14:paraId="3C0C54C7"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0103A44" w14:textId="77777777" w:rsidR="008D6F13" w:rsidRDefault="008D6F13" w:rsidP="0031078F">
            <w:r>
              <w:rPr>
                <w:b/>
              </w:rPr>
              <w:t>Total general government output contingencies</w:t>
            </w:r>
          </w:p>
        </w:tc>
        <w:tc>
          <w:tcPr>
            <w:tcW w:w="794" w:type="dxa"/>
          </w:tcPr>
          <w:p w14:paraId="2998011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7 134</w:t>
            </w:r>
          </w:p>
        </w:tc>
        <w:tc>
          <w:tcPr>
            <w:tcW w:w="794" w:type="dxa"/>
          </w:tcPr>
          <w:p w14:paraId="476FCFE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6 573</w:t>
            </w:r>
          </w:p>
        </w:tc>
        <w:tc>
          <w:tcPr>
            <w:tcW w:w="794" w:type="dxa"/>
          </w:tcPr>
          <w:p w14:paraId="2787183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6 735</w:t>
            </w:r>
          </w:p>
        </w:tc>
        <w:tc>
          <w:tcPr>
            <w:tcW w:w="794" w:type="dxa"/>
          </w:tcPr>
          <w:p w14:paraId="04B8231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8 145</w:t>
            </w:r>
          </w:p>
        </w:tc>
        <w:tc>
          <w:tcPr>
            <w:tcW w:w="794" w:type="dxa"/>
          </w:tcPr>
          <w:p w14:paraId="2727C70F" w14:textId="2A26026D"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8 946</w:t>
            </w:r>
          </w:p>
        </w:tc>
      </w:tr>
    </w:tbl>
    <w:p w14:paraId="401D3753" w14:textId="77777777" w:rsidR="008D6F13" w:rsidRPr="00DA1FBC" w:rsidRDefault="008D6F13" w:rsidP="008D6F13">
      <w:pPr>
        <w:pStyle w:val="Note"/>
        <w:ind w:left="0" w:firstLine="0"/>
      </w:pPr>
      <w:r w:rsidRPr="00DA1FBC">
        <w:t>Notes:</w:t>
      </w:r>
    </w:p>
    <w:p w14:paraId="3BE04D9C" w14:textId="77777777" w:rsidR="008D6F13" w:rsidRPr="00DA1FBC" w:rsidRDefault="008D6F13" w:rsidP="008D6F13">
      <w:pPr>
        <w:pStyle w:val="Note"/>
      </w:pPr>
      <w:r w:rsidRPr="00DA1FBC">
        <w:t>(a)</w:t>
      </w:r>
      <w:r w:rsidRPr="00DA1FBC">
        <w:tab/>
        <w:t xml:space="preserve">Reflects existing </w:t>
      </w:r>
      <w:r>
        <w:t>g</w:t>
      </w:r>
      <w:r w:rsidRPr="00DA1FBC">
        <w:t>overnment policy decisions for which funding has yet to be allocated to departments; and provisions not yet allocated to meet additional price and demand growth for health, disability, and education.</w:t>
      </w:r>
    </w:p>
    <w:p w14:paraId="270E2713" w14:textId="77777777" w:rsidR="008D6F13" w:rsidRPr="00DA1FBC" w:rsidRDefault="008D6F13" w:rsidP="008D6F13">
      <w:pPr>
        <w:pStyle w:val="Note"/>
      </w:pPr>
      <w:r w:rsidRPr="00DA1FBC">
        <w:t>(b)</w:t>
      </w:r>
      <w:r w:rsidRPr="00DA1FBC">
        <w:tab/>
        <w:t>An unallocated provision available to contribute to future government policy decisions and commitments.</w:t>
      </w:r>
    </w:p>
    <w:p w14:paraId="64FDCFBA" w14:textId="77777777" w:rsidR="008D6F13" w:rsidRDefault="008D6F13" w:rsidP="008D6F13">
      <w:r>
        <w:br w:type="page"/>
      </w:r>
    </w:p>
    <w:p w14:paraId="78170BE0" w14:textId="77777777" w:rsidR="008D6F13" w:rsidRDefault="008D6F13" w:rsidP="008D6F13">
      <w:pPr>
        <w:pStyle w:val="Heading3"/>
      </w:pPr>
      <w:bookmarkStart w:id="85" w:name="_Toc85767957"/>
      <w:r>
        <w:lastRenderedPageBreak/>
        <w:t>Purchases of non-financial assets by classification of the functions of government and by portfolio department</w:t>
      </w:r>
      <w:bookmarkEnd w:id="85"/>
    </w:p>
    <w:p w14:paraId="272F9380" w14:textId="77777777" w:rsidR="008D6F13" w:rsidRDefault="008D6F13" w:rsidP="008D6F13">
      <w:pPr>
        <w:pStyle w:val="TableHeading"/>
      </w:pPr>
      <w:r>
        <w:t xml:space="preserve">Purchases of non-financial assets by classification of the functions of government </w:t>
      </w:r>
      <w:r>
        <w:tab/>
        <w:t>($ million)</w:t>
      </w:r>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22018E02"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673A6A8B" w14:textId="6774CA0A" w:rsidR="008D6F13" w:rsidRDefault="008D6F13" w:rsidP="0031078F"/>
        </w:tc>
        <w:tc>
          <w:tcPr>
            <w:tcW w:w="794" w:type="dxa"/>
          </w:tcPr>
          <w:p w14:paraId="4716368E"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3A37BA2E"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06EE5353"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7FFF5E1B"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02CA328A"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1CC07EF8"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0B1AD35" w14:textId="77777777" w:rsidR="008D6F13" w:rsidRDefault="008D6F13" w:rsidP="0031078F">
            <w:r>
              <w:t>General public services</w:t>
            </w:r>
          </w:p>
        </w:tc>
        <w:tc>
          <w:tcPr>
            <w:tcW w:w="794" w:type="dxa"/>
          </w:tcPr>
          <w:p w14:paraId="2B4EA9D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213</w:t>
            </w:r>
          </w:p>
        </w:tc>
        <w:tc>
          <w:tcPr>
            <w:tcW w:w="794" w:type="dxa"/>
          </w:tcPr>
          <w:p w14:paraId="03D7547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236</w:t>
            </w:r>
          </w:p>
        </w:tc>
        <w:tc>
          <w:tcPr>
            <w:tcW w:w="794" w:type="dxa"/>
          </w:tcPr>
          <w:p w14:paraId="76CEF54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60</w:t>
            </w:r>
          </w:p>
        </w:tc>
        <w:tc>
          <w:tcPr>
            <w:tcW w:w="794" w:type="dxa"/>
          </w:tcPr>
          <w:p w14:paraId="7CA54FA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46</w:t>
            </w:r>
          </w:p>
        </w:tc>
        <w:tc>
          <w:tcPr>
            <w:tcW w:w="794" w:type="dxa"/>
          </w:tcPr>
          <w:p w14:paraId="6CEEB5C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41</w:t>
            </w:r>
          </w:p>
        </w:tc>
      </w:tr>
      <w:tr w:rsidR="008D6F13" w14:paraId="5E0E230C"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FD3A452" w14:textId="77777777" w:rsidR="008D6F13" w:rsidRDefault="008D6F13" w:rsidP="0031078F">
            <w:r>
              <w:t>Public order and safety</w:t>
            </w:r>
          </w:p>
        </w:tc>
        <w:tc>
          <w:tcPr>
            <w:tcW w:w="794" w:type="dxa"/>
          </w:tcPr>
          <w:p w14:paraId="1553A86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1 983</w:t>
            </w:r>
          </w:p>
        </w:tc>
        <w:tc>
          <w:tcPr>
            <w:tcW w:w="794" w:type="dxa"/>
          </w:tcPr>
          <w:p w14:paraId="4570E76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2 742</w:t>
            </w:r>
          </w:p>
        </w:tc>
        <w:tc>
          <w:tcPr>
            <w:tcW w:w="794" w:type="dxa"/>
          </w:tcPr>
          <w:p w14:paraId="176A9F7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1 036</w:t>
            </w:r>
          </w:p>
        </w:tc>
        <w:tc>
          <w:tcPr>
            <w:tcW w:w="794" w:type="dxa"/>
          </w:tcPr>
          <w:p w14:paraId="7075009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477</w:t>
            </w:r>
          </w:p>
        </w:tc>
        <w:tc>
          <w:tcPr>
            <w:tcW w:w="794" w:type="dxa"/>
          </w:tcPr>
          <w:p w14:paraId="53A4383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247</w:t>
            </w:r>
          </w:p>
        </w:tc>
      </w:tr>
      <w:tr w:rsidR="008D6F13" w14:paraId="0A4A5197"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F63679D" w14:textId="77777777" w:rsidR="008D6F13" w:rsidRDefault="008D6F13" w:rsidP="0031078F">
            <w:r>
              <w:t>Economic affairs</w:t>
            </w:r>
          </w:p>
        </w:tc>
        <w:tc>
          <w:tcPr>
            <w:tcW w:w="794" w:type="dxa"/>
          </w:tcPr>
          <w:p w14:paraId="038ACD3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232</w:t>
            </w:r>
          </w:p>
        </w:tc>
        <w:tc>
          <w:tcPr>
            <w:tcW w:w="794" w:type="dxa"/>
          </w:tcPr>
          <w:p w14:paraId="7EEFDFB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280</w:t>
            </w:r>
          </w:p>
        </w:tc>
        <w:tc>
          <w:tcPr>
            <w:tcW w:w="794" w:type="dxa"/>
          </w:tcPr>
          <w:p w14:paraId="536671C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229</w:t>
            </w:r>
          </w:p>
        </w:tc>
        <w:tc>
          <w:tcPr>
            <w:tcW w:w="794" w:type="dxa"/>
          </w:tcPr>
          <w:p w14:paraId="1C27DAB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191</w:t>
            </w:r>
          </w:p>
        </w:tc>
        <w:tc>
          <w:tcPr>
            <w:tcW w:w="794" w:type="dxa"/>
          </w:tcPr>
          <w:p w14:paraId="3FFDE51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73</w:t>
            </w:r>
          </w:p>
        </w:tc>
      </w:tr>
      <w:tr w:rsidR="008D6F13" w14:paraId="240BBF43"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028C41A" w14:textId="77777777" w:rsidR="008D6F13" w:rsidRDefault="008D6F13" w:rsidP="0031078F">
            <w:r>
              <w:t>Environmental protection</w:t>
            </w:r>
          </w:p>
        </w:tc>
        <w:tc>
          <w:tcPr>
            <w:tcW w:w="794" w:type="dxa"/>
          </w:tcPr>
          <w:p w14:paraId="16F806C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173</w:t>
            </w:r>
          </w:p>
        </w:tc>
        <w:tc>
          <w:tcPr>
            <w:tcW w:w="794" w:type="dxa"/>
          </w:tcPr>
          <w:p w14:paraId="4428679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174</w:t>
            </w:r>
          </w:p>
        </w:tc>
        <w:tc>
          <w:tcPr>
            <w:tcW w:w="794" w:type="dxa"/>
          </w:tcPr>
          <w:p w14:paraId="5D1A01C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127</w:t>
            </w:r>
          </w:p>
        </w:tc>
        <w:tc>
          <w:tcPr>
            <w:tcW w:w="794" w:type="dxa"/>
          </w:tcPr>
          <w:p w14:paraId="49C278B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67</w:t>
            </w:r>
          </w:p>
        </w:tc>
        <w:tc>
          <w:tcPr>
            <w:tcW w:w="794" w:type="dxa"/>
          </w:tcPr>
          <w:p w14:paraId="449F083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46</w:t>
            </w:r>
          </w:p>
        </w:tc>
      </w:tr>
      <w:tr w:rsidR="008D6F13" w14:paraId="643BD229"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1B54288" w14:textId="77777777" w:rsidR="008D6F13" w:rsidRDefault="008D6F13" w:rsidP="0031078F">
            <w:r>
              <w:t>Housing and community amenities</w:t>
            </w:r>
          </w:p>
        </w:tc>
        <w:tc>
          <w:tcPr>
            <w:tcW w:w="794" w:type="dxa"/>
          </w:tcPr>
          <w:p w14:paraId="51C6496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223</w:t>
            </w:r>
          </w:p>
        </w:tc>
        <w:tc>
          <w:tcPr>
            <w:tcW w:w="794" w:type="dxa"/>
          </w:tcPr>
          <w:p w14:paraId="3EFAC0C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61</w:t>
            </w:r>
          </w:p>
        </w:tc>
        <w:tc>
          <w:tcPr>
            <w:tcW w:w="794" w:type="dxa"/>
          </w:tcPr>
          <w:p w14:paraId="34C222E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16C2C46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51</w:t>
            </w:r>
          </w:p>
        </w:tc>
        <w:tc>
          <w:tcPr>
            <w:tcW w:w="794" w:type="dxa"/>
          </w:tcPr>
          <w:p w14:paraId="48F46E6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w:t>
            </w:r>
          </w:p>
        </w:tc>
      </w:tr>
      <w:tr w:rsidR="008D6F13" w14:paraId="743F3BC7"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5FA54F2" w14:textId="77777777" w:rsidR="008D6F13" w:rsidRDefault="008D6F13" w:rsidP="0031078F">
            <w:r>
              <w:t>Health</w:t>
            </w:r>
          </w:p>
        </w:tc>
        <w:tc>
          <w:tcPr>
            <w:tcW w:w="794" w:type="dxa"/>
          </w:tcPr>
          <w:p w14:paraId="4F99B0E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2 135</w:t>
            </w:r>
          </w:p>
        </w:tc>
        <w:tc>
          <w:tcPr>
            <w:tcW w:w="794" w:type="dxa"/>
          </w:tcPr>
          <w:p w14:paraId="5623E0A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2 133</w:t>
            </w:r>
          </w:p>
        </w:tc>
        <w:tc>
          <w:tcPr>
            <w:tcW w:w="794" w:type="dxa"/>
          </w:tcPr>
          <w:p w14:paraId="396E985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1 544</w:t>
            </w:r>
          </w:p>
        </w:tc>
        <w:tc>
          <w:tcPr>
            <w:tcW w:w="794" w:type="dxa"/>
          </w:tcPr>
          <w:p w14:paraId="62D6755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1 305</w:t>
            </w:r>
          </w:p>
        </w:tc>
        <w:tc>
          <w:tcPr>
            <w:tcW w:w="794" w:type="dxa"/>
          </w:tcPr>
          <w:p w14:paraId="585FF4C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532</w:t>
            </w:r>
          </w:p>
        </w:tc>
      </w:tr>
      <w:tr w:rsidR="008D6F13" w14:paraId="7B074E26"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8E5434B" w14:textId="77777777" w:rsidR="008D6F13" w:rsidRDefault="008D6F13" w:rsidP="0031078F">
            <w:r>
              <w:t xml:space="preserve">Recreation, </w:t>
            </w:r>
            <w:proofErr w:type="gramStart"/>
            <w:r>
              <w:t>culture</w:t>
            </w:r>
            <w:proofErr w:type="gramEnd"/>
            <w:r>
              <w:t xml:space="preserve"> and religion</w:t>
            </w:r>
          </w:p>
        </w:tc>
        <w:tc>
          <w:tcPr>
            <w:tcW w:w="794" w:type="dxa"/>
          </w:tcPr>
          <w:p w14:paraId="4E5373C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158</w:t>
            </w:r>
          </w:p>
        </w:tc>
        <w:tc>
          <w:tcPr>
            <w:tcW w:w="794" w:type="dxa"/>
          </w:tcPr>
          <w:p w14:paraId="728D89D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154</w:t>
            </w:r>
          </w:p>
        </w:tc>
        <w:tc>
          <w:tcPr>
            <w:tcW w:w="794" w:type="dxa"/>
          </w:tcPr>
          <w:p w14:paraId="3AEDA9D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218</w:t>
            </w:r>
          </w:p>
        </w:tc>
        <w:tc>
          <w:tcPr>
            <w:tcW w:w="794" w:type="dxa"/>
          </w:tcPr>
          <w:p w14:paraId="4A99618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150</w:t>
            </w:r>
          </w:p>
        </w:tc>
        <w:tc>
          <w:tcPr>
            <w:tcW w:w="794" w:type="dxa"/>
          </w:tcPr>
          <w:p w14:paraId="793ED89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269</w:t>
            </w:r>
          </w:p>
        </w:tc>
      </w:tr>
      <w:tr w:rsidR="008D6F13" w14:paraId="0FC615D4"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24E0469" w14:textId="77777777" w:rsidR="008D6F13" w:rsidRDefault="008D6F13" w:rsidP="0031078F">
            <w:r>
              <w:t>Education</w:t>
            </w:r>
          </w:p>
        </w:tc>
        <w:tc>
          <w:tcPr>
            <w:tcW w:w="794" w:type="dxa"/>
          </w:tcPr>
          <w:p w14:paraId="660C0CA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2 311</w:t>
            </w:r>
          </w:p>
        </w:tc>
        <w:tc>
          <w:tcPr>
            <w:tcW w:w="794" w:type="dxa"/>
          </w:tcPr>
          <w:p w14:paraId="774F558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2 448</w:t>
            </w:r>
          </w:p>
        </w:tc>
        <w:tc>
          <w:tcPr>
            <w:tcW w:w="794" w:type="dxa"/>
          </w:tcPr>
          <w:p w14:paraId="399253C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2 112</w:t>
            </w:r>
          </w:p>
        </w:tc>
        <w:tc>
          <w:tcPr>
            <w:tcW w:w="794" w:type="dxa"/>
          </w:tcPr>
          <w:p w14:paraId="3DA594E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1 093</w:t>
            </w:r>
          </w:p>
        </w:tc>
        <w:tc>
          <w:tcPr>
            <w:tcW w:w="794" w:type="dxa"/>
          </w:tcPr>
          <w:p w14:paraId="144E029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385</w:t>
            </w:r>
          </w:p>
        </w:tc>
      </w:tr>
      <w:tr w:rsidR="008D6F13" w14:paraId="4B818B94"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D40179E" w14:textId="77777777" w:rsidR="008D6F13" w:rsidRDefault="008D6F13" w:rsidP="0031078F">
            <w:r>
              <w:t>Social protection</w:t>
            </w:r>
          </w:p>
        </w:tc>
        <w:tc>
          <w:tcPr>
            <w:tcW w:w="794" w:type="dxa"/>
          </w:tcPr>
          <w:p w14:paraId="5ED6EBA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1 788</w:t>
            </w:r>
          </w:p>
        </w:tc>
        <w:tc>
          <w:tcPr>
            <w:tcW w:w="794" w:type="dxa"/>
          </w:tcPr>
          <w:p w14:paraId="761C3F8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756</w:t>
            </w:r>
          </w:p>
        </w:tc>
        <w:tc>
          <w:tcPr>
            <w:tcW w:w="794" w:type="dxa"/>
          </w:tcPr>
          <w:p w14:paraId="34BE55F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788</w:t>
            </w:r>
          </w:p>
        </w:tc>
        <w:tc>
          <w:tcPr>
            <w:tcW w:w="794" w:type="dxa"/>
          </w:tcPr>
          <w:p w14:paraId="04F5C86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621</w:t>
            </w:r>
          </w:p>
        </w:tc>
        <w:tc>
          <w:tcPr>
            <w:tcW w:w="794" w:type="dxa"/>
          </w:tcPr>
          <w:p w14:paraId="64166DD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258</w:t>
            </w:r>
          </w:p>
        </w:tc>
      </w:tr>
      <w:tr w:rsidR="008D6F13" w14:paraId="04D1F8BA"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3D493DE" w14:textId="77777777" w:rsidR="008D6F13" w:rsidRDefault="008D6F13" w:rsidP="0031078F">
            <w:r>
              <w:t>Transport</w:t>
            </w:r>
          </w:p>
        </w:tc>
        <w:tc>
          <w:tcPr>
            <w:tcW w:w="794" w:type="dxa"/>
          </w:tcPr>
          <w:p w14:paraId="4D39831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13 875</w:t>
            </w:r>
          </w:p>
        </w:tc>
        <w:tc>
          <w:tcPr>
            <w:tcW w:w="794" w:type="dxa"/>
          </w:tcPr>
          <w:p w14:paraId="3266E23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13 033</w:t>
            </w:r>
          </w:p>
        </w:tc>
        <w:tc>
          <w:tcPr>
            <w:tcW w:w="794" w:type="dxa"/>
          </w:tcPr>
          <w:p w14:paraId="3001688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15 330</w:t>
            </w:r>
          </w:p>
        </w:tc>
        <w:tc>
          <w:tcPr>
            <w:tcW w:w="794" w:type="dxa"/>
          </w:tcPr>
          <w:p w14:paraId="4113788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15 423</w:t>
            </w:r>
          </w:p>
        </w:tc>
        <w:tc>
          <w:tcPr>
            <w:tcW w:w="794" w:type="dxa"/>
          </w:tcPr>
          <w:p w14:paraId="2304A8F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13 398</w:t>
            </w:r>
          </w:p>
        </w:tc>
      </w:tr>
      <w:tr w:rsidR="008D6F13" w14:paraId="2A86DE74"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063F9C84" w14:textId="77777777" w:rsidR="008D6F13" w:rsidRDefault="008D6F13" w:rsidP="0031078F">
            <w:r>
              <w:t>Not allocated by purpose</w:t>
            </w:r>
            <w:r>
              <w:rPr>
                <w:vertAlign w:val="superscript"/>
              </w:rPr>
              <w:t xml:space="preserve"> (a)</w:t>
            </w:r>
          </w:p>
        </w:tc>
        <w:tc>
          <w:tcPr>
            <w:tcW w:w="794" w:type="dxa"/>
            <w:tcBorders>
              <w:bottom w:val="single" w:sz="6" w:space="0" w:color="auto"/>
            </w:tcBorders>
          </w:tcPr>
          <w:p w14:paraId="5164161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(3 259)</w:t>
            </w:r>
          </w:p>
        </w:tc>
        <w:tc>
          <w:tcPr>
            <w:tcW w:w="794" w:type="dxa"/>
            <w:tcBorders>
              <w:bottom w:val="single" w:sz="6" w:space="0" w:color="auto"/>
            </w:tcBorders>
          </w:tcPr>
          <w:p w14:paraId="07B1768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(8 451)</w:t>
            </w:r>
          </w:p>
        </w:tc>
        <w:tc>
          <w:tcPr>
            <w:tcW w:w="794" w:type="dxa"/>
            <w:tcBorders>
              <w:bottom w:val="single" w:sz="6" w:space="0" w:color="auto"/>
            </w:tcBorders>
          </w:tcPr>
          <w:p w14:paraId="3E1C2B8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(4 110)</w:t>
            </w:r>
          </w:p>
        </w:tc>
        <w:tc>
          <w:tcPr>
            <w:tcW w:w="794" w:type="dxa"/>
            <w:tcBorders>
              <w:bottom w:val="single" w:sz="6" w:space="0" w:color="auto"/>
            </w:tcBorders>
          </w:tcPr>
          <w:p w14:paraId="59BD91E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845</w:t>
            </w:r>
          </w:p>
        </w:tc>
        <w:tc>
          <w:tcPr>
            <w:tcW w:w="794" w:type="dxa"/>
            <w:tcBorders>
              <w:bottom w:val="single" w:sz="6" w:space="0" w:color="auto"/>
            </w:tcBorders>
          </w:tcPr>
          <w:p w14:paraId="58936B4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6 227</w:t>
            </w:r>
          </w:p>
        </w:tc>
      </w:tr>
      <w:tr w:rsidR="008D6F13" w14:paraId="1C834244"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310DE50" w14:textId="77777777" w:rsidR="008D6F13" w:rsidRDefault="008D6F13" w:rsidP="0031078F">
            <w:r>
              <w:rPr>
                <w:b/>
              </w:rPr>
              <w:t>Total purchases of non</w:t>
            </w:r>
            <w:r>
              <w:rPr>
                <w:b/>
              </w:rPr>
              <w:noBreakHyphen/>
              <w:t>financial assets</w:t>
            </w:r>
          </w:p>
        </w:tc>
        <w:tc>
          <w:tcPr>
            <w:tcW w:w="794" w:type="dxa"/>
          </w:tcPr>
          <w:p w14:paraId="092D523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19 833</w:t>
            </w:r>
          </w:p>
        </w:tc>
        <w:tc>
          <w:tcPr>
            <w:tcW w:w="794" w:type="dxa"/>
          </w:tcPr>
          <w:p w14:paraId="2AB7054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13 566</w:t>
            </w:r>
          </w:p>
        </w:tc>
        <w:tc>
          <w:tcPr>
            <w:tcW w:w="794" w:type="dxa"/>
          </w:tcPr>
          <w:p w14:paraId="4A53639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17 338</w:t>
            </w:r>
          </w:p>
        </w:tc>
        <w:tc>
          <w:tcPr>
            <w:tcW w:w="794" w:type="dxa"/>
          </w:tcPr>
          <w:p w14:paraId="7C1F908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20 269</w:t>
            </w:r>
          </w:p>
        </w:tc>
        <w:tc>
          <w:tcPr>
            <w:tcW w:w="794" w:type="dxa"/>
          </w:tcPr>
          <w:p w14:paraId="61F8AFF5" w14:textId="36293F79"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21 500</w:t>
            </w:r>
          </w:p>
        </w:tc>
      </w:tr>
    </w:tbl>
    <w:p w14:paraId="7291F2A2" w14:textId="77777777" w:rsidR="008D6F13" w:rsidRPr="00DA1FBC" w:rsidRDefault="008D6F13" w:rsidP="008D6F13">
      <w:pPr>
        <w:pStyle w:val="Note"/>
        <w:ind w:left="0" w:firstLine="0"/>
      </w:pPr>
      <w:r w:rsidRPr="00DA1FBC">
        <w:t>Note:</w:t>
      </w:r>
    </w:p>
    <w:p w14:paraId="64161913" w14:textId="77777777" w:rsidR="008D6F13" w:rsidRDefault="008D6F13" w:rsidP="008D6F13">
      <w:pPr>
        <w:pStyle w:val="Note"/>
      </w:pPr>
      <w:r w:rsidRPr="00DA1FBC">
        <w:t>(a)</w:t>
      </w:r>
      <w:r w:rsidRPr="00DA1FBC">
        <w:tab/>
        <w:t>Estimated amount available to be allocated to departments and projects in future budgets, including major capital investment. It also includes estimated underspends, which may be subject to carryover.</w:t>
      </w:r>
    </w:p>
    <w:p w14:paraId="3ECCE138" w14:textId="77777777" w:rsidR="008D6F13" w:rsidRDefault="008D6F13" w:rsidP="008D6F13"/>
    <w:p w14:paraId="54E8E9B9" w14:textId="77777777" w:rsidR="008D6F13" w:rsidRDefault="008D6F13" w:rsidP="008D6F13">
      <w:pPr>
        <w:pStyle w:val="TableHeading"/>
      </w:pPr>
      <w:r w:rsidRPr="00181E4A">
        <w:t>Purchases of non-financial assets by portfolio department</w:t>
      </w:r>
      <w:r w:rsidRPr="00181E4A">
        <w:tab/>
        <w:t>($ million)</w:t>
      </w:r>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07183663"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065B49E2" w14:textId="4FD93E08" w:rsidR="008D6F13" w:rsidRDefault="008D6F13" w:rsidP="0031078F"/>
        </w:tc>
        <w:tc>
          <w:tcPr>
            <w:tcW w:w="794" w:type="dxa"/>
          </w:tcPr>
          <w:p w14:paraId="772E1740"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3E3EDC46"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0C95442C"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5564FE2F"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1E7845BD"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4F168D36"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6EB1575" w14:textId="77777777" w:rsidR="008D6F13" w:rsidRDefault="008D6F13" w:rsidP="0031078F">
            <w:r>
              <w:t>Education and Training</w:t>
            </w:r>
          </w:p>
        </w:tc>
        <w:tc>
          <w:tcPr>
            <w:tcW w:w="794" w:type="dxa"/>
          </w:tcPr>
          <w:p w14:paraId="43A30AC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2 324</w:t>
            </w:r>
          </w:p>
        </w:tc>
        <w:tc>
          <w:tcPr>
            <w:tcW w:w="794" w:type="dxa"/>
          </w:tcPr>
          <w:p w14:paraId="60E0ABD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2 358</w:t>
            </w:r>
          </w:p>
        </w:tc>
        <w:tc>
          <w:tcPr>
            <w:tcW w:w="794" w:type="dxa"/>
          </w:tcPr>
          <w:p w14:paraId="262D182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2 047</w:t>
            </w:r>
          </w:p>
        </w:tc>
        <w:tc>
          <w:tcPr>
            <w:tcW w:w="794" w:type="dxa"/>
          </w:tcPr>
          <w:p w14:paraId="2B04106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945</w:t>
            </w:r>
          </w:p>
        </w:tc>
        <w:tc>
          <w:tcPr>
            <w:tcW w:w="794" w:type="dxa"/>
          </w:tcPr>
          <w:p w14:paraId="55F5BB1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335</w:t>
            </w:r>
          </w:p>
        </w:tc>
      </w:tr>
      <w:tr w:rsidR="008D6F13" w14:paraId="4F869F77"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F342B22" w14:textId="77777777" w:rsidR="008D6F13" w:rsidRDefault="008D6F13" w:rsidP="0031078F">
            <w:r>
              <w:t>Environment, Land, Water and Planning</w:t>
            </w:r>
          </w:p>
        </w:tc>
        <w:tc>
          <w:tcPr>
            <w:tcW w:w="794" w:type="dxa"/>
          </w:tcPr>
          <w:p w14:paraId="7F677B0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216</w:t>
            </w:r>
          </w:p>
        </w:tc>
        <w:tc>
          <w:tcPr>
            <w:tcW w:w="794" w:type="dxa"/>
          </w:tcPr>
          <w:p w14:paraId="3FE6FCC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280</w:t>
            </w:r>
          </w:p>
        </w:tc>
        <w:tc>
          <w:tcPr>
            <w:tcW w:w="794" w:type="dxa"/>
          </w:tcPr>
          <w:p w14:paraId="1B7B49D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258</w:t>
            </w:r>
          </w:p>
        </w:tc>
        <w:tc>
          <w:tcPr>
            <w:tcW w:w="794" w:type="dxa"/>
          </w:tcPr>
          <w:p w14:paraId="63CD5D4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156</w:t>
            </w:r>
          </w:p>
        </w:tc>
        <w:tc>
          <w:tcPr>
            <w:tcW w:w="794" w:type="dxa"/>
          </w:tcPr>
          <w:p w14:paraId="58805D4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95</w:t>
            </w:r>
          </w:p>
        </w:tc>
      </w:tr>
      <w:tr w:rsidR="008D6F13" w14:paraId="4CC6F631"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AA0870C" w14:textId="77777777" w:rsidR="008D6F13" w:rsidRDefault="008D6F13" w:rsidP="0031078F">
            <w:r>
              <w:t>Families, Fairness and Housing</w:t>
            </w:r>
          </w:p>
        </w:tc>
        <w:tc>
          <w:tcPr>
            <w:tcW w:w="794" w:type="dxa"/>
          </w:tcPr>
          <w:p w14:paraId="7B69C9F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96</w:t>
            </w:r>
          </w:p>
        </w:tc>
        <w:tc>
          <w:tcPr>
            <w:tcW w:w="794" w:type="dxa"/>
          </w:tcPr>
          <w:p w14:paraId="2477388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109</w:t>
            </w:r>
          </w:p>
        </w:tc>
        <w:tc>
          <w:tcPr>
            <w:tcW w:w="794" w:type="dxa"/>
          </w:tcPr>
          <w:p w14:paraId="0CC0FE8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54</w:t>
            </w:r>
          </w:p>
        </w:tc>
        <w:tc>
          <w:tcPr>
            <w:tcW w:w="794" w:type="dxa"/>
          </w:tcPr>
          <w:p w14:paraId="62F1F05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53</w:t>
            </w:r>
          </w:p>
        </w:tc>
        <w:tc>
          <w:tcPr>
            <w:tcW w:w="794" w:type="dxa"/>
          </w:tcPr>
          <w:p w14:paraId="769EFFC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51</w:t>
            </w:r>
          </w:p>
        </w:tc>
      </w:tr>
      <w:tr w:rsidR="008D6F13" w14:paraId="21065D79"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7DF9689" w14:textId="77777777" w:rsidR="008D6F13" w:rsidRDefault="008D6F13" w:rsidP="0031078F">
            <w:r>
              <w:t>Health</w:t>
            </w:r>
          </w:p>
        </w:tc>
        <w:tc>
          <w:tcPr>
            <w:tcW w:w="794" w:type="dxa"/>
          </w:tcPr>
          <w:p w14:paraId="279ECC5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1 721</w:t>
            </w:r>
          </w:p>
        </w:tc>
        <w:tc>
          <w:tcPr>
            <w:tcW w:w="794" w:type="dxa"/>
          </w:tcPr>
          <w:p w14:paraId="1212769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1 918</w:t>
            </w:r>
          </w:p>
        </w:tc>
        <w:tc>
          <w:tcPr>
            <w:tcW w:w="794" w:type="dxa"/>
          </w:tcPr>
          <w:p w14:paraId="695BFC7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820</w:t>
            </w:r>
          </w:p>
        </w:tc>
        <w:tc>
          <w:tcPr>
            <w:tcW w:w="794" w:type="dxa"/>
          </w:tcPr>
          <w:p w14:paraId="08F0F58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494</w:t>
            </w:r>
          </w:p>
        </w:tc>
        <w:tc>
          <w:tcPr>
            <w:tcW w:w="794" w:type="dxa"/>
          </w:tcPr>
          <w:p w14:paraId="1F086B3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178</w:t>
            </w:r>
          </w:p>
        </w:tc>
      </w:tr>
      <w:tr w:rsidR="008D6F13" w14:paraId="237BA349"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C3CB6CA" w14:textId="77777777" w:rsidR="008D6F13" w:rsidRDefault="008D6F13" w:rsidP="0031078F">
            <w:r>
              <w:t>Jobs, Precincts and Regions</w:t>
            </w:r>
          </w:p>
        </w:tc>
        <w:tc>
          <w:tcPr>
            <w:tcW w:w="794" w:type="dxa"/>
          </w:tcPr>
          <w:p w14:paraId="103D0FF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96</w:t>
            </w:r>
          </w:p>
        </w:tc>
        <w:tc>
          <w:tcPr>
            <w:tcW w:w="794" w:type="dxa"/>
          </w:tcPr>
          <w:p w14:paraId="119A537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87</w:t>
            </w:r>
          </w:p>
        </w:tc>
        <w:tc>
          <w:tcPr>
            <w:tcW w:w="794" w:type="dxa"/>
          </w:tcPr>
          <w:p w14:paraId="6881DDA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123</w:t>
            </w:r>
          </w:p>
        </w:tc>
        <w:tc>
          <w:tcPr>
            <w:tcW w:w="794" w:type="dxa"/>
          </w:tcPr>
          <w:p w14:paraId="5921BB3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119</w:t>
            </w:r>
          </w:p>
        </w:tc>
        <w:tc>
          <w:tcPr>
            <w:tcW w:w="794" w:type="dxa"/>
          </w:tcPr>
          <w:p w14:paraId="7E19165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42</w:t>
            </w:r>
          </w:p>
        </w:tc>
      </w:tr>
      <w:tr w:rsidR="008D6F13" w14:paraId="2728D223"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933F5AB" w14:textId="77777777" w:rsidR="008D6F13" w:rsidRDefault="008D6F13" w:rsidP="0031078F">
            <w:r>
              <w:t>Justice and Community Safety</w:t>
            </w:r>
          </w:p>
        </w:tc>
        <w:tc>
          <w:tcPr>
            <w:tcW w:w="794" w:type="dxa"/>
          </w:tcPr>
          <w:p w14:paraId="39648C4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1 443</w:t>
            </w:r>
          </w:p>
        </w:tc>
        <w:tc>
          <w:tcPr>
            <w:tcW w:w="794" w:type="dxa"/>
          </w:tcPr>
          <w:p w14:paraId="6166032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1 541</w:t>
            </w:r>
          </w:p>
        </w:tc>
        <w:tc>
          <w:tcPr>
            <w:tcW w:w="794" w:type="dxa"/>
          </w:tcPr>
          <w:p w14:paraId="219442C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569</w:t>
            </w:r>
          </w:p>
        </w:tc>
        <w:tc>
          <w:tcPr>
            <w:tcW w:w="794" w:type="dxa"/>
          </w:tcPr>
          <w:p w14:paraId="4FD2313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103</w:t>
            </w:r>
          </w:p>
        </w:tc>
        <w:tc>
          <w:tcPr>
            <w:tcW w:w="794" w:type="dxa"/>
          </w:tcPr>
          <w:p w14:paraId="4DB801C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100</w:t>
            </w:r>
          </w:p>
        </w:tc>
      </w:tr>
      <w:tr w:rsidR="008D6F13" w14:paraId="062D9DA5"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4124DF2" w14:textId="77777777" w:rsidR="008D6F13" w:rsidRDefault="008D6F13" w:rsidP="0031078F">
            <w:r>
              <w:t>Premier and Cabinet</w:t>
            </w:r>
          </w:p>
        </w:tc>
        <w:tc>
          <w:tcPr>
            <w:tcW w:w="794" w:type="dxa"/>
          </w:tcPr>
          <w:p w14:paraId="2D4536D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30</w:t>
            </w:r>
          </w:p>
        </w:tc>
        <w:tc>
          <w:tcPr>
            <w:tcW w:w="794" w:type="dxa"/>
          </w:tcPr>
          <w:p w14:paraId="5355046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45</w:t>
            </w:r>
          </w:p>
        </w:tc>
        <w:tc>
          <w:tcPr>
            <w:tcW w:w="794" w:type="dxa"/>
          </w:tcPr>
          <w:p w14:paraId="7F97F09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w:t>
            </w:r>
          </w:p>
        </w:tc>
        <w:tc>
          <w:tcPr>
            <w:tcW w:w="794" w:type="dxa"/>
          </w:tcPr>
          <w:p w14:paraId="02F68C2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w:t>
            </w:r>
          </w:p>
        </w:tc>
        <w:tc>
          <w:tcPr>
            <w:tcW w:w="794" w:type="dxa"/>
          </w:tcPr>
          <w:p w14:paraId="476B9B3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w:t>
            </w:r>
          </w:p>
        </w:tc>
      </w:tr>
      <w:tr w:rsidR="008D6F13" w14:paraId="7D399968"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F056A35" w14:textId="77777777" w:rsidR="008D6F13" w:rsidRDefault="008D6F13" w:rsidP="0031078F">
            <w:r>
              <w:t>Transport</w:t>
            </w:r>
          </w:p>
        </w:tc>
        <w:tc>
          <w:tcPr>
            <w:tcW w:w="794" w:type="dxa"/>
          </w:tcPr>
          <w:p w14:paraId="2DC82DA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7 969</w:t>
            </w:r>
          </w:p>
        </w:tc>
        <w:tc>
          <w:tcPr>
            <w:tcW w:w="794" w:type="dxa"/>
          </w:tcPr>
          <w:p w14:paraId="738B19B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10 788</w:t>
            </w:r>
          </w:p>
        </w:tc>
        <w:tc>
          <w:tcPr>
            <w:tcW w:w="794" w:type="dxa"/>
          </w:tcPr>
          <w:p w14:paraId="3A6612A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6 112</w:t>
            </w:r>
          </w:p>
        </w:tc>
        <w:tc>
          <w:tcPr>
            <w:tcW w:w="794" w:type="dxa"/>
          </w:tcPr>
          <w:p w14:paraId="78E5E7F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4 096</w:t>
            </w:r>
          </w:p>
        </w:tc>
        <w:tc>
          <w:tcPr>
            <w:tcW w:w="794" w:type="dxa"/>
          </w:tcPr>
          <w:p w14:paraId="2701703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2 011</w:t>
            </w:r>
          </w:p>
        </w:tc>
      </w:tr>
      <w:tr w:rsidR="008D6F13" w14:paraId="7C16A7CC"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5BF1EEC" w14:textId="77777777" w:rsidR="008D6F13" w:rsidRDefault="008D6F13" w:rsidP="0031078F">
            <w:r>
              <w:t>Treasury and Finance</w:t>
            </w:r>
          </w:p>
        </w:tc>
        <w:tc>
          <w:tcPr>
            <w:tcW w:w="794" w:type="dxa"/>
          </w:tcPr>
          <w:p w14:paraId="30120C3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178</w:t>
            </w:r>
          </w:p>
        </w:tc>
        <w:tc>
          <w:tcPr>
            <w:tcW w:w="794" w:type="dxa"/>
          </w:tcPr>
          <w:p w14:paraId="3F6A801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178</w:t>
            </w:r>
          </w:p>
        </w:tc>
        <w:tc>
          <w:tcPr>
            <w:tcW w:w="794" w:type="dxa"/>
          </w:tcPr>
          <w:p w14:paraId="73C055A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32</w:t>
            </w:r>
          </w:p>
        </w:tc>
        <w:tc>
          <w:tcPr>
            <w:tcW w:w="794" w:type="dxa"/>
          </w:tcPr>
          <w:p w14:paraId="34A2F86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w:t>
            </w:r>
          </w:p>
        </w:tc>
        <w:tc>
          <w:tcPr>
            <w:tcW w:w="794" w:type="dxa"/>
          </w:tcPr>
          <w:p w14:paraId="6B216B1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w:t>
            </w:r>
          </w:p>
        </w:tc>
      </w:tr>
      <w:tr w:rsidR="008D6F13" w14:paraId="537A3CEB"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C3037EC" w14:textId="77777777" w:rsidR="008D6F13" w:rsidRDefault="008D6F13" w:rsidP="0031078F">
            <w:r>
              <w:t>Parliament</w:t>
            </w:r>
          </w:p>
        </w:tc>
        <w:tc>
          <w:tcPr>
            <w:tcW w:w="794" w:type="dxa"/>
          </w:tcPr>
          <w:p w14:paraId="30DE011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w:t>
            </w:r>
          </w:p>
        </w:tc>
        <w:tc>
          <w:tcPr>
            <w:tcW w:w="794" w:type="dxa"/>
          </w:tcPr>
          <w:p w14:paraId="4FDDD86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29</w:t>
            </w:r>
          </w:p>
        </w:tc>
        <w:tc>
          <w:tcPr>
            <w:tcW w:w="794" w:type="dxa"/>
          </w:tcPr>
          <w:p w14:paraId="0CC4C97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w:t>
            </w:r>
          </w:p>
        </w:tc>
        <w:tc>
          <w:tcPr>
            <w:tcW w:w="794" w:type="dxa"/>
          </w:tcPr>
          <w:p w14:paraId="74714AA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39497E2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w:t>
            </w:r>
          </w:p>
        </w:tc>
      </w:tr>
      <w:tr w:rsidR="008D6F13" w14:paraId="0EDACD7D"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37FE288" w14:textId="77777777" w:rsidR="008D6F13" w:rsidRDefault="008D6F13" w:rsidP="0031078F">
            <w:r>
              <w:t>Courts</w:t>
            </w:r>
          </w:p>
        </w:tc>
        <w:tc>
          <w:tcPr>
            <w:tcW w:w="794" w:type="dxa"/>
          </w:tcPr>
          <w:p w14:paraId="2C22491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221</w:t>
            </w:r>
          </w:p>
        </w:tc>
        <w:tc>
          <w:tcPr>
            <w:tcW w:w="794" w:type="dxa"/>
          </w:tcPr>
          <w:p w14:paraId="3A5B788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628</w:t>
            </w:r>
          </w:p>
        </w:tc>
        <w:tc>
          <w:tcPr>
            <w:tcW w:w="794" w:type="dxa"/>
          </w:tcPr>
          <w:p w14:paraId="622AFC0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73</w:t>
            </w:r>
          </w:p>
        </w:tc>
        <w:tc>
          <w:tcPr>
            <w:tcW w:w="794" w:type="dxa"/>
          </w:tcPr>
          <w:p w14:paraId="26145CF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w:t>
            </w:r>
          </w:p>
        </w:tc>
        <w:tc>
          <w:tcPr>
            <w:tcW w:w="794" w:type="dxa"/>
          </w:tcPr>
          <w:p w14:paraId="763FF65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w:t>
            </w:r>
          </w:p>
        </w:tc>
      </w:tr>
      <w:tr w:rsidR="008D6F13" w14:paraId="77761DE2"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B09F25F" w14:textId="77777777" w:rsidR="008D6F13" w:rsidRDefault="008D6F13" w:rsidP="0031078F">
            <w:r>
              <w:t>Regulatory bodies and other part funded agencies</w:t>
            </w:r>
            <w:r>
              <w:rPr>
                <w:vertAlign w:val="superscript"/>
              </w:rPr>
              <w:t xml:space="preserve"> (a)</w:t>
            </w:r>
          </w:p>
        </w:tc>
        <w:tc>
          <w:tcPr>
            <w:tcW w:w="794" w:type="dxa"/>
          </w:tcPr>
          <w:p w14:paraId="47A42F0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226</w:t>
            </w:r>
          </w:p>
        </w:tc>
        <w:tc>
          <w:tcPr>
            <w:tcW w:w="794" w:type="dxa"/>
          </w:tcPr>
          <w:p w14:paraId="00AD1DF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225</w:t>
            </w:r>
          </w:p>
        </w:tc>
        <w:tc>
          <w:tcPr>
            <w:tcW w:w="794" w:type="dxa"/>
          </w:tcPr>
          <w:p w14:paraId="0C62B72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143</w:t>
            </w:r>
          </w:p>
        </w:tc>
        <w:tc>
          <w:tcPr>
            <w:tcW w:w="794" w:type="dxa"/>
          </w:tcPr>
          <w:p w14:paraId="42198F7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127</w:t>
            </w:r>
          </w:p>
        </w:tc>
        <w:tc>
          <w:tcPr>
            <w:tcW w:w="794" w:type="dxa"/>
          </w:tcPr>
          <w:p w14:paraId="69A198F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111</w:t>
            </w:r>
          </w:p>
        </w:tc>
      </w:tr>
      <w:tr w:rsidR="008D6F13" w14:paraId="04C0A7A6"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965655C" w14:textId="77777777" w:rsidR="008D6F13" w:rsidRDefault="008D6F13" w:rsidP="0031078F">
            <w:r>
              <w:t>Asset contingencies not allocated to departments</w:t>
            </w:r>
            <w:r>
              <w:rPr>
                <w:vertAlign w:val="superscript"/>
              </w:rPr>
              <w:t xml:space="preserve"> (b)</w:t>
            </w:r>
          </w:p>
        </w:tc>
        <w:tc>
          <w:tcPr>
            <w:tcW w:w="794" w:type="dxa"/>
          </w:tcPr>
          <w:p w14:paraId="11EE307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9 138</w:t>
            </w:r>
          </w:p>
        </w:tc>
        <w:tc>
          <w:tcPr>
            <w:tcW w:w="794" w:type="dxa"/>
          </w:tcPr>
          <w:p w14:paraId="79C55DD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3 728</w:t>
            </w:r>
          </w:p>
        </w:tc>
        <w:tc>
          <w:tcPr>
            <w:tcW w:w="794" w:type="dxa"/>
          </w:tcPr>
          <w:p w14:paraId="23AD74B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10 973</w:t>
            </w:r>
          </w:p>
        </w:tc>
        <w:tc>
          <w:tcPr>
            <w:tcW w:w="794" w:type="dxa"/>
          </w:tcPr>
          <w:p w14:paraId="5064781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13 873</w:t>
            </w:r>
          </w:p>
        </w:tc>
        <w:tc>
          <w:tcPr>
            <w:tcW w:w="794" w:type="dxa"/>
          </w:tcPr>
          <w:p w14:paraId="395ECBE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13 167</w:t>
            </w:r>
          </w:p>
        </w:tc>
      </w:tr>
      <w:tr w:rsidR="008D6F13" w14:paraId="2CE90958"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6DEC3929" w14:textId="77777777" w:rsidR="008D6F13" w:rsidRDefault="008D6F13" w:rsidP="0031078F">
            <w:r>
              <w:t>Adjustments</w:t>
            </w:r>
            <w:r>
              <w:rPr>
                <w:vertAlign w:val="superscript"/>
              </w:rPr>
              <w:t xml:space="preserve"> (c)</w:t>
            </w:r>
          </w:p>
        </w:tc>
        <w:tc>
          <w:tcPr>
            <w:tcW w:w="794" w:type="dxa"/>
            <w:tcBorders>
              <w:bottom w:val="single" w:sz="6" w:space="0" w:color="auto"/>
            </w:tcBorders>
          </w:tcPr>
          <w:p w14:paraId="1A59BA0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(3 842)</w:t>
            </w:r>
          </w:p>
        </w:tc>
        <w:tc>
          <w:tcPr>
            <w:tcW w:w="794" w:type="dxa"/>
            <w:tcBorders>
              <w:bottom w:val="single" w:sz="6" w:space="0" w:color="auto"/>
            </w:tcBorders>
          </w:tcPr>
          <w:p w14:paraId="7F427A2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(8 349)</w:t>
            </w:r>
          </w:p>
        </w:tc>
        <w:tc>
          <w:tcPr>
            <w:tcW w:w="794" w:type="dxa"/>
            <w:tcBorders>
              <w:bottom w:val="single" w:sz="6" w:space="0" w:color="auto"/>
            </w:tcBorders>
          </w:tcPr>
          <w:p w14:paraId="3456162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(3 898)</w:t>
            </w:r>
          </w:p>
        </w:tc>
        <w:tc>
          <w:tcPr>
            <w:tcW w:w="794" w:type="dxa"/>
            <w:tcBorders>
              <w:bottom w:val="single" w:sz="6" w:space="0" w:color="auto"/>
            </w:tcBorders>
          </w:tcPr>
          <w:p w14:paraId="659D595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239</w:t>
            </w:r>
          </w:p>
        </w:tc>
        <w:tc>
          <w:tcPr>
            <w:tcW w:w="794" w:type="dxa"/>
            <w:tcBorders>
              <w:bottom w:val="single" w:sz="6" w:space="0" w:color="auto"/>
            </w:tcBorders>
          </w:tcPr>
          <w:p w14:paraId="60796A1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5 358</w:t>
            </w:r>
          </w:p>
        </w:tc>
      </w:tr>
      <w:tr w:rsidR="008D6F13" w14:paraId="5CA4C654"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31845E5" w14:textId="77777777" w:rsidR="008D6F13" w:rsidRDefault="008D6F13" w:rsidP="0031078F">
            <w:r>
              <w:rPr>
                <w:b/>
              </w:rPr>
              <w:t>Total purchases of non</w:t>
            </w:r>
            <w:r>
              <w:rPr>
                <w:b/>
              </w:rPr>
              <w:noBreakHyphen/>
              <w:t>financial assets</w:t>
            </w:r>
          </w:p>
        </w:tc>
        <w:tc>
          <w:tcPr>
            <w:tcW w:w="794" w:type="dxa"/>
          </w:tcPr>
          <w:p w14:paraId="553E1C4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19 833</w:t>
            </w:r>
          </w:p>
        </w:tc>
        <w:tc>
          <w:tcPr>
            <w:tcW w:w="794" w:type="dxa"/>
          </w:tcPr>
          <w:p w14:paraId="4ACF076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13 566</w:t>
            </w:r>
          </w:p>
        </w:tc>
        <w:tc>
          <w:tcPr>
            <w:tcW w:w="794" w:type="dxa"/>
          </w:tcPr>
          <w:p w14:paraId="035C4C8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17 338</w:t>
            </w:r>
          </w:p>
        </w:tc>
        <w:tc>
          <w:tcPr>
            <w:tcW w:w="794" w:type="dxa"/>
          </w:tcPr>
          <w:p w14:paraId="06F04A1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20 269</w:t>
            </w:r>
          </w:p>
        </w:tc>
        <w:tc>
          <w:tcPr>
            <w:tcW w:w="794" w:type="dxa"/>
          </w:tcPr>
          <w:p w14:paraId="4B56D135" w14:textId="4A162D6B"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21 500</w:t>
            </w:r>
          </w:p>
        </w:tc>
      </w:tr>
    </w:tbl>
    <w:p w14:paraId="385969D2" w14:textId="77777777" w:rsidR="008D6F13" w:rsidRPr="00DA1FBC" w:rsidRDefault="008D6F13" w:rsidP="008D6F13">
      <w:pPr>
        <w:pStyle w:val="Note"/>
        <w:ind w:left="0" w:firstLine="0"/>
      </w:pPr>
      <w:r w:rsidRPr="00DA1FBC">
        <w:t>Notes:</w:t>
      </w:r>
    </w:p>
    <w:p w14:paraId="593D66F1" w14:textId="77777777" w:rsidR="008D6F13" w:rsidRPr="00DA1FBC" w:rsidRDefault="008D6F13" w:rsidP="008D6F13">
      <w:pPr>
        <w:pStyle w:val="Note"/>
      </w:pPr>
      <w:r w:rsidRPr="00DA1FBC">
        <w:t>(a)</w:t>
      </w:r>
      <w:r w:rsidRPr="00DA1FBC">
        <w:tab/>
        <w:t>Other general government sector agencies not allocated to departmental portfolios.</w:t>
      </w:r>
    </w:p>
    <w:p w14:paraId="23A31A99" w14:textId="77777777" w:rsidR="008D6F13" w:rsidRPr="00DA1FBC" w:rsidRDefault="008D6F13" w:rsidP="008D6F13">
      <w:pPr>
        <w:pStyle w:val="Note"/>
      </w:pPr>
      <w:r w:rsidRPr="00DA1FBC">
        <w:t>(b)</w:t>
      </w:r>
      <w:r w:rsidRPr="00DA1FBC">
        <w:tab/>
        <w:t>The following table provides a breakdown of the general government sector asset contingencies not allocated to departments.</w:t>
      </w:r>
    </w:p>
    <w:p w14:paraId="43401A67" w14:textId="77777777" w:rsidR="008D6F13" w:rsidRPr="00DA1FBC" w:rsidRDefault="008D6F13" w:rsidP="008D6F13">
      <w:pPr>
        <w:pStyle w:val="Note"/>
      </w:pPr>
      <w:r w:rsidRPr="00DA1FBC">
        <w:t>(c)</w:t>
      </w:r>
      <w:r w:rsidRPr="00DA1FBC">
        <w:tab/>
        <w:t>Mainly comprises estimated departmental underspend, which may be subject to carryover, and estimated underspends by other regulatory bodies and other part</w:t>
      </w:r>
      <w:r w:rsidRPr="00DA1FBC">
        <w:noBreakHyphen/>
        <w:t>funded agencies.</w:t>
      </w:r>
    </w:p>
    <w:p w14:paraId="0D41AB73" w14:textId="77777777" w:rsidR="008D6F13" w:rsidRDefault="008D6F13" w:rsidP="008D6F13">
      <w:r>
        <w:br w:type="page"/>
      </w:r>
    </w:p>
    <w:p w14:paraId="2B5B1FF0" w14:textId="77777777" w:rsidR="008D6F13" w:rsidRDefault="008D6F13" w:rsidP="008D6F13">
      <w:pPr>
        <w:pStyle w:val="TableHeading"/>
      </w:pPr>
      <w:r w:rsidRPr="00181E4A">
        <w:lastRenderedPageBreak/>
        <w:t xml:space="preserve">General government asset contingencies not allocated to departments </w:t>
      </w:r>
      <w:r w:rsidRPr="00181E4A">
        <w:tab/>
        <w:t>($ million)</w:t>
      </w:r>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3DC1D197"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61E506C3" w14:textId="66EE5CB8" w:rsidR="008D6F13" w:rsidRDefault="008D6F13" w:rsidP="0031078F"/>
        </w:tc>
        <w:tc>
          <w:tcPr>
            <w:tcW w:w="794" w:type="dxa"/>
          </w:tcPr>
          <w:p w14:paraId="2A41591B"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28043AB9"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454DA3D9"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4E93911A"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0E32610C"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1D10D0AA"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F926B97" w14:textId="77777777" w:rsidR="008D6F13" w:rsidRDefault="008D6F13" w:rsidP="0031078F">
            <w:r>
              <w:t>Decisions made but not yet allocated</w:t>
            </w:r>
            <w:r>
              <w:rPr>
                <w:vertAlign w:val="superscript"/>
              </w:rPr>
              <w:t xml:space="preserve"> (a)(b)</w:t>
            </w:r>
          </w:p>
        </w:tc>
        <w:tc>
          <w:tcPr>
            <w:tcW w:w="794" w:type="dxa"/>
          </w:tcPr>
          <w:p w14:paraId="3F36629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9 588</w:t>
            </w:r>
          </w:p>
        </w:tc>
        <w:tc>
          <w:tcPr>
            <w:tcW w:w="794" w:type="dxa"/>
          </w:tcPr>
          <w:p w14:paraId="2471E3F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4 155</w:t>
            </w:r>
          </w:p>
        </w:tc>
        <w:tc>
          <w:tcPr>
            <w:tcW w:w="794" w:type="dxa"/>
          </w:tcPr>
          <w:p w14:paraId="40429C9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11 311</w:t>
            </w:r>
          </w:p>
        </w:tc>
        <w:tc>
          <w:tcPr>
            <w:tcW w:w="794" w:type="dxa"/>
          </w:tcPr>
          <w:p w14:paraId="567F543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15 454</w:t>
            </w:r>
          </w:p>
        </w:tc>
        <w:tc>
          <w:tcPr>
            <w:tcW w:w="794" w:type="dxa"/>
          </w:tcPr>
          <w:p w14:paraId="6DCE43E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14 393</w:t>
            </w:r>
          </w:p>
        </w:tc>
      </w:tr>
      <w:tr w:rsidR="008D6F13" w14:paraId="43E1C2CC"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2921BD16" w14:textId="77777777" w:rsidR="008D6F13" w:rsidRDefault="008D6F13" w:rsidP="0031078F">
            <w:r>
              <w:t>Funding not allocated to specific purposes</w:t>
            </w:r>
            <w:r>
              <w:rPr>
                <w:vertAlign w:val="superscript"/>
              </w:rPr>
              <w:t xml:space="preserve"> (c)</w:t>
            </w:r>
          </w:p>
        </w:tc>
        <w:tc>
          <w:tcPr>
            <w:tcW w:w="794" w:type="dxa"/>
            <w:tcBorders>
              <w:bottom w:val="single" w:sz="6" w:space="0" w:color="auto"/>
            </w:tcBorders>
          </w:tcPr>
          <w:p w14:paraId="0E5FB8B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093E993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41882D5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250</w:t>
            </w:r>
          </w:p>
        </w:tc>
        <w:tc>
          <w:tcPr>
            <w:tcW w:w="794" w:type="dxa"/>
            <w:tcBorders>
              <w:bottom w:val="single" w:sz="6" w:space="0" w:color="auto"/>
            </w:tcBorders>
          </w:tcPr>
          <w:p w14:paraId="204141F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600</w:t>
            </w:r>
          </w:p>
        </w:tc>
        <w:tc>
          <w:tcPr>
            <w:tcW w:w="794" w:type="dxa"/>
            <w:tcBorders>
              <w:bottom w:val="single" w:sz="6" w:space="0" w:color="auto"/>
            </w:tcBorders>
          </w:tcPr>
          <w:p w14:paraId="028BAFB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900</w:t>
            </w:r>
          </w:p>
        </w:tc>
      </w:tr>
      <w:tr w:rsidR="008D6F13" w14:paraId="6B710B73"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6FADD7C" w14:textId="77777777" w:rsidR="008D6F13" w:rsidRDefault="008D6F13" w:rsidP="0031078F">
            <w:r>
              <w:rPr>
                <w:b/>
              </w:rPr>
              <w:t>Total general government asset contingencies</w:t>
            </w:r>
          </w:p>
        </w:tc>
        <w:tc>
          <w:tcPr>
            <w:tcW w:w="794" w:type="dxa"/>
          </w:tcPr>
          <w:p w14:paraId="210FB29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9 588</w:t>
            </w:r>
          </w:p>
        </w:tc>
        <w:tc>
          <w:tcPr>
            <w:tcW w:w="794" w:type="dxa"/>
          </w:tcPr>
          <w:p w14:paraId="72423A5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4 155</w:t>
            </w:r>
          </w:p>
        </w:tc>
        <w:tc>
          <w:tcPr>
            <w:tcW w:w="794" w:type="dxa"/>
          </w:tcPr>
          <w:p w14:paraId="71C426D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11 561</w:t>
            </w:r>
          </w:p>
        </w:tc>
        <w:tc>
          <w:tcPr>
            <w:tcW w:w="794" w:type="dxa"/>
          </w:tcPr>
          <w:p w14:paraId="0D13ECC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16 054</w:t>
            </w:r>
          </w:p>
        </w:tc>
        <w:tc>
          <w:tcPr>
            <w:tcW w:w="794" w:type="dxa"/>
          </w:tcPr>
          <w:p w14:paraId="506FC8A4" w14:textId="41514C71"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15 293</w:t>
            </w:r>
          </w:p>
        </w:tc>
      </w:tr>
    </w:tbl>
    <w:p w14:paraId="6AD12CBE" w14:textId="77777777" w:rsidR="008D6F13" w:rsidRPr="00DA1FBC" w:rsidRDefault="008D6F13" w:rsidP="008D6F13">
      <w:pPr>
        <w:pStyle w:val="Note"/>
        <w:ind w:left="0" w:firstLine="0"/>
      </w:pPr>
      <w:r w:rsidRPr="00DA1FBC">
        <w:t>Notes:</w:t>
      </w:r>
    </w:p>
    <w:p w14:paraId="75AE5980" w14:textId="77777777" w:rsidR="008D6F13" w:rsidRPr="00DA1FBC" w:rsidRDefault="008D6F13" w:rsidP="008D6F13">
      <w:pPr>
        <w:pStyle w:val="Note"/>
      </w:pPr>
      <w:r w:rsidRPr="00DA1FBC">
        <w:t>(a)</w:t>
      </w:r>
      <w:r w:rsidRPr="00DA1FBC">
        <w:tab/>
        <w:t>A provision to account for asset policy decisions for which the funding has yet to be allocated to departments.</w:t>
      </w:r>
    </w:p>
    <w:p w14:paraId="3CAC73AB" w14:textId="77777777" w:rsidR="008D6F13" w:rsidRPr="00DA1FBC" w:rsidRDefault="008D6F13" w:rsidP="008D6F13">
      <w:pPr>
        <w:pStyle w:val="Note"/>
      </w:pPr>
      <w:r w:rsidRPr="00DA1FBC">
        <w:t>(b)</w:t>
      </w:r>
      <w:r w:rsidRPr="00DA1FBC">
        <w:tab/>
        <w:t>Asset contingencies include equity contributions to other sectors for capital projects which are included as part of net cash flows from investments in financial assets for policy purposes, rather than purchases of non-financial assets, on the cash flow statement.</w:t>
      </w:r>
    </w:p>
    <w:p w14:paraId="3EDE3DD0" w14:textId="77777777" w:rsidR="008D6F13" w:rsidRDefault="008D6F13" w:rsidP="008D6F13">
      <w:pPr>
        <w:pStyle w:val="Note"/>
      </w:pPr>
      <w:r w:rsidRPr="00DA1FBC">
        <w:t>(c)</w:t>
      </w:r>
      <w:r w:rsidRPr="00DA1FBC">
        <w:tab/>
        <w:t>An unallocated provision available for future government asset investment decisions.</w:t>
      </w:r>
    </w:p>
    <w:p w14:paraId="6EF63478" w14:textId="77777777" w:rsidR="008D6F13" w:rsidRPr="00A4543A" w:rsidRDefault="008D6F13" w:rsidP="008D6F13"/>
    <w:p w14:paraId="7647CC9D" w14:textId="77777777" w:rsidR="008D6F13" w:rsidRPr="00197CF0" w:rsidRDefault="008D6F13" w:rsidP="008D6F13">
      <w:pPr>
        <w:pStyle w:val="Heading3"/>
        <w:spacing w:after="60"/>
        <w:rPr>
          <w:sz w:val="20"/>
          <w:szCs w:val="20"/>
        </w:rPr>
      </w:pPr>
      <w:bookmarkStart w:id="86" w:name="_Toc85767958"/>
      <w:r w:rsidRPr="00A4543A">
        <w:rPr>
          <w:sz w:val="20"/>
          <w:szCs w:val="20"/>
        </w:rPr>
        <w:t>Net acquisition of non-financial assets from transactions</w:t>
      </w:r>
      <w:r w:rsidRPr="00A4543A">
        <w:rPr>
          <w:sz w:val="20"/>
          <w:szCs w:val="20"/>
        </w:rPr>
        <w:tab/>
        <w:t>($ million)</w:t>
      </w:r>
      <w:bookmarkEnd w:id="86"/>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76957E0D"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3B8187F7" w14:textId="2F90B5B2" w:rsidR="008D6F13" w:rsidRDefault="008D6F13" w:rsidP="0031078F"/>
        </w:tc>
        <w:tc>
          <w:tcPr>
            <w:tcW w:w="794" w:type="dxa"/>
          </w:tcPr>
          <w:p w14:paraId="7349DBFB"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7389106F"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6C487406"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3297F434"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0A8049A2"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20DA5284"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011AD62" w14:textId="77777777" w:rsidR="008D6F13" w:rsidRDefault="008D6F13" w:rsidP="0031078F">
            <w:r>
              <w:t>Purchases of non</w:t>
            </w:r>
            <w:r>
              <w:noBreakHyphen/>
              <w:t>financial assets (including change in inventories)</w:t>
            </w:r>
          </w:p>
        </w:tc>
        <w:tc>
          <w:tcPr>
            <w:tcW w:w="794" w:type="dxa"/>
          </w:tcPr>
          <w:p w14:paraId="213581C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19 513</w:t>
            </w:r>
          </w:p>
        </w:tc>
        <w:tc>
          <w:tcPr>
            <w:tcW w:w="794" w:type="dxa"/>
          </w:tcPr>
          <w:p w14:paraId="1CBFE4A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13 247</w:t>
            </w:r>
          </w:p>
        </w:tc>
        <w:tc>
          <w:tcPr>
            <w:tcW w:w="794" w:type="dxa"/>
          </w:tcPr>
          <w:p w14:paraId="08B42AE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16 946</w:t>
            </w:r>
          </w:p>
        </w:tc>
        <w:tc>
          <w:tcPr>
            <w:tcW w:w="794" w:type="dxa"/>
          </w:tcPr>
          <w:p w14:paraId="02DE649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20 273</w:t>
            </w:r>
          </w:p>
        </w:tc>
        <w:tc>
          <w:tcPr>
            <w:tcW w:w="794" w:type="dxa"/>
          </w:tcPr>
          <w:p w14:paraId="28C4CC3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21 504</w:t>
            </w:r>
          </w:p>
        </w:tc>
      </w:tr>
      <w:tr w:rsidR="008D6F13" w14:paraId="3298A6DA"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29C4CD8" w14:textId="77777777" w:rsidR="008D6F13" w:rsidRDefault="008D6F13" w:rsidP="0031078F">
            <w:r>
              <w:t>Less: Sales of non</w:t>
            </w:r>
            <w:r>
              <w:noBreakHyphen/>
              <w:t>financial assets</w:t>
            </w:r>
          </w:p>
        </w:tc>
        <w:tc>
          <w:tcPr>
            <w:tcW w:w="794" w:type="dxa"/>
          </w:tcPr>
          <w:p w14:paraId="713CF1D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(570)</w:t>
            </w:r>
          </w:p>
        </w:tc>
        <w:tc>
          <w:tcPr>
            <w:tcW w:w="794" w:type="dxa"/>
          </w:tcPr>
          <w:p w14:paraId="4A16397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(293)</w:t>
            </w:r>
          </w:p>
        </w:tc>
        <w:tc>
          <w:tcPr>
            <w:tcW w:w="794" w:type="dxa"/>
          </w:tcPr>
          <w:p w14:paraId="51A86AC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(654)</w:t>
            </w:r>
          </w:p>
        </w:tc>
        <w:tc>
          <w:tcPr>
            <w:tcW w:w="794" w:type="dxa"/>
          </w:tcPr>
          <w:p w14:paraId="4514D2C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(552)</w:t>
            </w:r>
          </w:p>
        </w:tc>
        <w:tc>
          <w:tcPr>
            <w:tcW w:w="794" w:type="dxa"/>
          </w:tcPr>
          <w:p w14:paraId="4AE79DA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(449)</w:t>
            </w:r>
          </w:p>
        </w:tc>
      </w:tr>
      <w:tr w:rsidR="008D6F13" w14:paraId="0369E1F9"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545CB18" w14:textId="77777777" w:rsidR="008D6F13" w:rsidRDefault="008D6F13" w:rsidP="0031078F">
            <w:r>
              <w:t>Less: Depreciation and amortisation</w:t>
            </w:r>
          </w:p>
        </w:tc>
        <w:tc>
          <w:tcPr>
            <w:tcW w:w="794" w:type="dxa"/>
          </w:tcPr>
          <w:p w14:paraId="018D1FA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(4 399)</w:t>
            </w:r>
          </w:p>
        </w:tc>
        <w:tc>
          <w:tcPr>
            <w:tcW w:w="794" w:type="dxa"/>
          </w:tcPr>
          <w:p w14:paraId="1E040B8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(4 367)</w:t>
            </w:r>
          </w:p>
        </w:tc>
        <w:tc>
          <w:tcPr>
            <w:tcW w:w="794" w:type="dxa"/>
          </w:tcPr>
          <w:p w14:paraId="1C3B2D4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(4 481)</w:t>
            </w:r>
          </w:p>
        </w:tc>
        <w:tc>
          <w:tcPr>
            <w:tcW w:w="794" w:type="dxa"/>
          </w:tcPr>
          <w:p w14:paraId="2545166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(4 531)</w:t>
            </w:r>
          </w:p>
        </w:tc>
        <w:tc>
          <w:tcPr>
            <w:tcW w:w="794" w:type="dxa"/>
          </w:tcPr>
          <w:p w14:paraId="667A786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(4 923)</w:t>
            </w:r>
          </w:p>
        </w:tc>
      </w:tr>
      <w:tr w:rsidR="008D6F13" w14:paraId="360B9A6E"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100EC176" w14:textId="77777777" w:rsidR="008D6F13" w:rsidRDefault="008D6F13" w:rsidP="0031078F">
            <w:r>
              <w:t>Less: Other movements in non</w:t>
            </w:r>
            <w:r>
              <w:noBreakHyphen/>
              <w:t>financial assets</w:t>
            </w:r>
            <w:r>
              <w:rPr>
                <w:vertAlign w:val="superscript"/>
              </w:rPr>
              <w:t xml:space="preserve"> (a)(b)</w:t>
            </w:r>
          </w:p>
        </w:tc>
        <w:tc>
          <w:tcPr>
            <w:tcW w:w="794" w:type="dxa"/>
            <w:tcBorders>
              <w:bottom w:val="single" w:sz="6" w:space="0" w:color="auto"/>
            </w:tcBorders>
          </w:tcPr>
          <w:p w14:paraId="2120819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(7 101)</w:t>
            </w:r>
          </w:p>
        </w:tc>
        <w:tc>
          <w:tcPr>
            <w:tcW w:w="794" w:type="dxa"/>
            <w:tcBorders>
              <w:bottom w:val="single" w:sz="6" w:space="0" w:color="auto"/>
            </w:tcBorders>
          </w:tcPr>
          <w:p w14:paraId="771860C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417</w:t>
            </w:r>
          </w:p>
        </w:tc>
        <w:tc>
          <w:tcPr>
            <w:tcW w:w="794" w:type="dxa"/>
            <w:tcBorders>
              <w:bottom w:val="single" w:sz="6" w:space="0" w:color="auto"/>
            </w:tcBorders>
          </w:tcPr>
          <w:p w14:paraId="7D44E9A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(4 717)</w:t>
            </w:r>
          </w:p>
        </w:tc>
        <w:tc>
          <w:tcPr>
            <w:tcW w:w="794" w:type="dxa"/>
            <w:tcBorders>
              <w:bottom w:val="single" w:sz="6" w:space="0" w:color="auto"/>
            </w:tcBorders>
          </w:tcPr>
          <w:p w14:paraId="57C5DE7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(2 498)</w:t>
            </w:r>
          </w:p>
        </w:tc>
        <w:tc>
          <w:tcPr>
            <w:tcW w:w="794" w:type="dxa"/>
            <w:tcBorders>
              <w:bottom w:val="single" w:sz="6" w:space="0" w:color="auto"/>
            </w:tcBorders>
          </w:tcPr>
          <w:p w14:paraId="5CF4CA8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(2 959)</w:t>
            </w:r>
          </w:p>
        </w:tc>
      </w:tr>
      <w:tr w:rsidR="008D6F13" w14:paraId="05BCF7BE"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6303690" w14:textId="77777777" w:rsidR="008D6F13" w:rsidRDefault="008D6F13" w:rsidP="0031078F">
            <w:r>
              <w:rPr>
                <w:b/>
              </w:rPr>
              <w:t>Total net acquisition of non</w:t>
            </w:r>
            <w:r>
              <w:rPr>
                <w:b/>
              </w:rPr>
              <w:noBreakHyphen/>
              <w:t>financial assets from transactions</w:t>
            </w:r>
          </w:p>
        </w:tc>
        <w:tc>
          <w:tcPr>
            <w:tcW w:w="794" w:type="dxa"/>
          </w:tcPr>
          <w:p w14:paraId="32AA32E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7 442</w:t>
            </w:r>
          </w:p>
        </w:tc>
        <w:tc>
          <w:tcPr>
            <w:tcW w:w="794" w:type="dxa"/>
          </w:tcPr>
          <w:p w14:paraId="466F22F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9 004</w:t>
            </w:r>
          </w:p>
        </w:tc>
        <w:tc>
          <w:tcPr>
            <w:tcW w:w="794" w:type="dxa"/>
          </w:tcPr>
          <w:p w14:paraId="309DBBF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7 095</w:t>
            </w:r>
          </w:p>
        </w:tc>
        <w:tc>
          <w:tcPr>
            <w:tcW w:w="794" w:type="dxa"/>
          </w:tcPr>
          <w:p w14:paraId="2E40E93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12 691</w:t>
            </w:r>
          </w:p>
        </w:tc>
        <w:tc>
          <w:tcPr>
            <w:tcW w:w="794" w:type="dxa"/>
          </w:tcPr>
          <w:p w14:paraId="0B3EDD50" w14:textId="08152DF5"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13 172</w:t>
            </w:r>
          </w:p>
        </w:tc>
      </w:tr>
    </w:tbl>
    <w:p w14:paraId="3D78F7E9" w14:textId="77777777" w:rsidR="008D6F13" w:rsidRPr="00DA1FBC" w:rsidRDefault="008D6F13" w:rsidP="008D6F13">
      <w:pPr>
        <w:pStyle w:val="Note"/>
        <w:ind w:left="0" w:firstLine="0"/>
      </w:pPr>
      <w:r w:rsidRPr="00DA1FBC">
        <w:t>Notes:</w:t>
      </w:r>
    </w:p>
    <w:p w14:paraId="64CB6ED9" w14:textId="77777777" w:rsidR="008D6F13" w:rsidRPr="00DA1FBC" w:rsidRDefault="008D6F13" w:rsidP="008D6F13">
      <w:pPr>
        <w:pStyle w:val="Note"/>
      </w:pPr>
      <w:bookmarkStart w:id="87" w:name="_Hlk5278972"/>
      <w:r w:rsidRPr="00DA1FBC">
        <w:t>(a)</w:t>
      </w:r>
      <w:r w:rsidRPr="00DA1FBC">
        <w:tab/>
        <w:t>Other movements in non-financial assets includes transferring fixed assets to other sectors of government, recognising the right</w:t>
      </w:r>
      <w:r w:rsidRPr="00DA1FBC">
        <w:noBreakHyphen/>
        <w:t>of</w:t>
      </w:r>
      <w:r w:rsidRPr="00DA1FBC">
        <w:noBreakHyphen/>
        <w:t xml:space="preserve">use assets under lease arrangements, and recognising service concession arrangements, including from public private partnerships. </w:t>
      </w:r>
    </w:p>
    <w:bookmarkEnd w:id="87"/>
    <w:p w14:paraId="6B68666D" w14:textId="77777777" w:rsidR="008D6F13" w:rsidRPr="00DA1FBC" w:rsidRDefault="008D6F13" w:rsidP="008D6F13">
      <w:pPr>
        <w:pStyle w:val="Note"/>
      </w:pPr>
      <w:r w:rsidRPr="00DA1FBC">
        <w:t>(b)</w:t>
      </w:r>
      <w:r w:rsidRPr="00DA1FBC">
        <w:tab/>
      </w:r>
      <w:bookmarkStart w:id="88" w:name="_Hlk5279049"/>
      <w:r w:rsidRPr="00DA1FBC">
        <w:t xml:space="preserve">The public private partnerships across the budget and forward estimates relate to the </w:t>
      </w:r>
      <w:proofErr w:type="gramStart"/>
      <w:r w:rsidRPr="00DA1FBC">
        <w:t>High Capacity</w:t>
      </w:r>
      <w:proofErr w:type="gramEnd"/>
      <w:r w:rsidRPr="00DA1FBC">
        <w:t xml:space="preserve"> Metro Trains Project, the Metro Tunnel, the new Footscray Hospital, Frankston Hospital Redevelopment</w:t>
      </w:r>
      <w:r>
        <w:t xml:space="preserve">, </w:t>
      </w:r>
      <w:r w:rsidRPr="00DA1FBC">
        <w:t>the Western Roads Upgrade</w:t>
      </w:r>
      <w:bookmarkEnd w:id="88"/>
      <w:r>
        <w:t>, and the West Gate Tunnel Project.</w:t>
      </w:r>
      <w:r w:rsidRPr="00DA1FBC">
        <w:t xml:space="preserve"> </w:t>
      </w:r>
    </w:p>
    <w:p w14:paraId="1F2E5D82" w14:textId="77777777" w:rsidR="008D6F13" w:rsidRPr="00DA1FBC" w:rsidRDefault="008D6F13" w:rsidP="008D6F13"/>
    <w:bookmarkEnd w:id="80"/>
    <w:p w14:paraId="50C60C15" w14:textId="77777777" w:rsidR="008D6F13" w:rsidRDefault="008D6F13" w:rsidP="008D6F13"/>
    <w:p w14:paraId="58CA62E2" w14:textId="77777777" w:rsidR="008D6F13" w:rsidRDefault="008D6F13" w:rsidP="008D6F13">
      <w:pPr>
        <w:sectPr w:rsidR="008D6F13" w:rsidSect="0031078F">
          <w:type w:val="continuous"/>
          <w:pgSz w:w="9979" w:h="14175" w:code="9"/>
          <w:pgMar w:top="1134" w:right="1134" w:bottom="1134" w:left="1134" w:header="624" w:footer="567" w:gutter="0"/>
          <w:cols w:space="708"/>
          <w:titlePg/>
          <w:docGrid w:linePitch="360"/>
        </w:sectPr>
      </w:pPr>
    </w:p>
    <w:p w14:paraId="67406F76" w14:textId="77777777" w:rsidR="008D6F13" w:rsidRPr="00890874" w:rsidRDefault="008D6F13" w:rsidP="008D6F13">
      <w:pPr>
        <w:pStyle w:val="Heading2"/>
        <w:sectPr w:rsidR="008D6F13" w:rsidRPr="00890874" w:rsidSect="0031078F">
          <w:pgSz w:w="9979" w:h="14175" w:code="9"/>
          <w:pgMar w:top="1134" w:right="1134" w:bottom="1134" w:left="1134" w:header="624" w:footer="567" w:gutter="0"/>
          <w:cols w:space="708"/>
          <w:titlePg/>
          <w:docGrid w:linePitch="360"/>
        </w:sectPr>
      </w:pPr>
      <w:r w:rsidRPr="00890874">
        <w:lastRenderedPageBreak/>
        <w:t>MAJOR ASSETS AND INVESTMENTS</w:t>
      </w:r>
    </w:p>
    <w:p w14:paraId="2E00E945" w14:textId="77777777" w:rsidR="008D6F13" w:rsidRPr="00CB3BFE" w:rsidRDefault="008D6F13" w:rsidP="008D6F13">
      <w:pPr>
        <w:pStyle w:val="Heading30"/>
      </w:pPr>
      <w:r w:rsidRPr="00890874">
        <w:t>Introduction</w:t>
      </w:r>
    </w:p>
    <w:p w14:paraId="7401C904" w14:textId="77777777" w:rsidR="008D6F13" w:rsidRDefault="008D6F13" w:rsidP="008D6F13">
      <w:r>
        <w:t xml:space="preserve">This </w:t>
      </w:r>
      <w:r w:rsidRPr="00890874">
        <w:t>section</w:t>
      </w:r>
      <w:r>
        <w:t xml:space="preserve"> outlines the major assets that the general government sector controls </w:t>
      </w:r>
      <w:r w:rsidRPr="00CB3BFE">
        <w:t>reflecting</w:t>
      </w:r>
      <w:r>
        <w:t xml:space="preserve"> investing activities in the prior, current, and future years.</w:t>
      </w:r>
    </w:p>
    <w:p w14:paraId="03898D33" w14:textId="77777777" w:rsidR="008D6F13" w:rsidRPr="00CB3BFE" w:rsidRDefault="008D6F13" w:rsidP="008D6F13">
      <w:pPr>
        <w:pStyle w:val="Heading30"/>
      </w:pPr>
      <w:r>
        <w:br w:type="column"/>
      </w:r>
      <w:r w:rsidRPr="00890874">
        <w:t>Structure</w:t>
      </w:r>
    </w:p>
    <w:p w14:paraId="4EFAA2FC" w14:textId="7A2E2B4D" w:rsidR="008D6F13" w:rsidRDefault="008D6F13" w:rsidP="008D6F13">
      <w:pPr>
        <w:pStyle w:val="TOC9"/>
        <w:rPr>
          <w:rFonts w:eastAsiaTheme="minorEastAsia"/>
          <w:noProof/>
          <w:spacing w:val="0"/>
          <w:lang w:eastAsia="en-AU"/>
        </w:rPr>
      </w:pPr>
      <w:r>
        <w:fldChar w:fldCharType="begin"/>
      </w:r>
      <w:r>
        <w:instrText xml:space="preserve"> TOC \h \z \t "Heading 3 (#),9" \b Section_4 \* MERGEFORMAT </w:instrText>
      </w:r>
      <w:r>
        <w:fldChar w:fldCharType="separate"/>
      </w:r>
      <w:hyperlink w:anchor="_Toc85795663" w:history="1">
        <w:r w:rsidRPr="00C461A8">
          <w:rPr>
            <w:rStyle w:val="Hyperlink"/>
            <w:noProof/>
          </w:rPr>
          <w:t>4.4.1</w:t>
        </w:r>
        <w:r>
          <w:rPr>
            <w:rFonts w:eastAsiaTheme="minorEastAsia"/>
            <w:noProof/>
            <w:spacing w:val="0"/>
            <w:lang w:eastAsia="en-AU"/>
          </w:rPr>
          <w:tab/>
        </w:r>
        <w:r w:rsidRPr="00C461A8">
          <w:rPr>
            <w:rStyle w:val="Hyperlink"/>
            <w:noProof/>
          </w:rPr>
          <w:t>Total land, buildings, infrastructure, plant and equipment</w:t>
        </w:r>
        <w:r>
          <w:rPr>
            <w:noProof/>
            <w:webHidden/>
          </w:rPr>
          <w:tab/>
        </w:r>
        <w:r>
          <w:rPr>
            <w:noProof/>
            <w:webHidden/>
          </w:rPr>
          <w:fldChar w:fldCharType="begin"/>
        </w:r>
        <w:r>
          <w:rPr>
            <w:noProof/>
            <w:webHidden/>
          </w:rPr>
          <w:instrText xml:space="preserve"> PAGEREF _Toc85795663 \h </w:instrText>
        </w:r>
        <w:r>
          <w:rPr>
            <w:noProof/>
            <w:webHidden/>
          </w:rPr>
        </w:r>
        <w:r>
          <w:rPr>
            <w:noProof/>
            <w:webHidden/>
          </w:rPr>
          <w:fldChar w:fldCharType="separate"/>
        </w:r>
        <w:r w:rsidR="00104E8F">
          <w:rPr>
            <w:noProof/>
            <w:webHidden/>
          </w:rPr>
          <w:t>72</w:t>
        </w:r>
        <w:r>
          <w:rPr>
            <w:noProof/>
            <w:webHidden/>
          </w:rPr>
          <w:fldChar w:fldCharType="end"/>
        </w:r>
      </w:hyperlink>
    </w:p>
    <w:p w14:paraId="004B8600" w14:textId="2DF1B245" w:rsidR="008D6F13" w:rsidRDefault="005D5407" w:rsidP="008D6F13">
      <w:pPr>
        <w:pStyle w:val="TOC9"/>
        <w:rPr>
          <w:rFonts w:eastAsiaTheme="minorEastAsia"/>
          <w:noProof/>
          <w:spacing w:val="0"/>
          <w:lang w:eastAsia="en-AU"/>
        </w:rPr>
      </w:pPr>
      <w:hyperlink w:anchor="_Toc85795664" w:history="1">
        <w:r w:rsidR="008D6F13" w:rsidRPr="00C461A8">
          <w:rPr>
            <w:rStyle w:val="Hyperlink"/>
            <w:noProof/>
          </w:rPr>
          <w:t>4.4.2</w:t>
        </w:r>
        <w:r w:rsidR="008D6F13">
          <w:rPr>
            <w:rFonts w:eastAsiaTheme="minorEastAsia"/>
            <w:noProof/>
            <w:spacing w:val="0"/>
            <w:lang w:eastAsia="en-AU"/>
          </w:rPr>
          <w:tab/>
        </w:r>
        <w:r w:rsidR="008D6F13" w:rsidRPr="00C461A8">
          <w:rPr>
            <w:rStyle w:val="Hyperlink"/>
            <w:noProof/>
          </w:rPr>
          <w:t>Depreciation</w:t>
        </w:r>
        <w:r w:rsidR="008D6F13">
          <w:rPr>
            <w:noProof/>
            <w:webHidden/>
          </w:rPr>
          <w:tab/>
        </w:r>
        <w:r w:rsidR="008D6F13">
          <w:rPr>
            <w:noProof/>
            <w:webHidden/>
          </w:rPr>
          <w:fldChar w:fldCharType="begin"/>
        </w:r>
        <w:r w:rsidR="008D6F13">
          <w:rPr>
            <w:noProof/>
            <w:webHidden/>
          </w:rPr>
          <w:instrText xml:space="preserve"> PAGEREF _Toc85795664 \h </w:instrText>
        </w:r>
        <w:r w:rsidR="008D6F13">
          <w:rPr>
            <w:noProof/>
            <w:webHidden/>
          </w:rPr>
        </w:r>
        <w:r w:rsidR="008D6F13">
          <w:rPr>
            <w:noProof/>
            <w:webHidden/>
          </w:rPr>
          <w:fldChar w:fldCharType="separate"/>
        </w:r>
        <w:r w:rsidR="00104E8F">
          <w:rPr>
            <w:noProof/>
            <w:webHidden/>
          </w:rPr>
          <w:t>74</w:t>
        </w:r>
        <w:r w:rsidR="008D6F13">
          <w:rPr>
            <w:noProof/>
            <w:webHidden/>
          </w:rPr>
          <w:fldChar w:fldCharType="end"/>
        </w:r>
      </w:hyperlink>
    </w:p>
    <w:p w14:paraId="6C60696A" w14:textId="322A87A4" w:rsidR="008D6F13" w:rsidRDefault="005D5407" w:rsidP="008D6F13">
      <w:pPr>
        <w:pStyle w:val="TOC9"/>
        <w:rPr>
          <w:rFonts w:eastAsiaTheme="minorEastAsia"/>
          <w:noProof/>
          <w:spacing w:val="0"/>
          <w:lang w:eastAsia="en-AU"/>
        </w:rPr>
      </w:pPr>
      <w:hyperlink w:anchor="_Toc85795665" w:history="1">
        <w:r w:rsidR="008D6F13" w:rsidRPr="00C461A8">
          <w:rPr>
            <w:rStyle w:val="Hyperlink"/>
            <w:noProof/>
          </w:rPr>
          <w:t>4.4.3</w:t>
        </w:r>
        <w:r w:rsidR="008D6F13">
          <w:rPr>
            <w:rFonts w:eastAsiaTheme="minorEastAsia"/>
            <w:noProof/>
            <w:spacing w:val="0"/>
            <w:lang w:eastAsia="en-AU"/>
          </w:rPr>
          <w:tab/>
        </w:r>
        <w:r w:rsidR="008D6F13" w:rsidRPr="00C461A8">
          <w:rPr>
            <w:rStyle w:val="Hyperlink"/>
            <w:noProof/>
          </w:rPr>
          <w:t xml:space="preserve">Reconciliation of movements in </w:t>
        </w:r>
        <w:r w:rsidR="008D6F13">
          <w:rPr>
            <w:rStyle w:val="Hyperlink"/>
            <w:noProof/>
          </w:rPr>
          <w:br/>
        </w:r>
        <w:r w:rsidR="008D6F13" w:rsidRPr="00C461A8">
          <w:rPr>
            <w:rStyle w:val="Hyperlink"/>
            <w:noProof/>
          </w:rPr>
          <w:t xml:space="preserve">land, buildings, infrastructure,  </w:t>
        </w:r>
        <w:r w:rsidR="008D6F13">
          <w:rPr>
            <w:rStyle w:val="Hyperlink"/>
            <w:noProof/>
          </w:rPr>
          <w:br/>
        </w:r>
        <w:r w:rsidR="008D6F13" w:rsidRPr="00C461A8">
          <w:rPr>
            <w:rStyle w:val="Hyperlink"/>
            <w:noProof/>
          </w:rPr>
          <w:t>plant and equipment</w:t>
        </w:r>
        <w:r w:rsidR="008D6F13">
          <w:rPr>
            <w:noProof/>
            <w:webHidden/>
          </w:rPr>
          <w:tab/>
        </w:r>
        <w:r w:rsidR="008D6F13">
          <w:rPr>
            <w:noProof/>
            <w:webHidden/>
          </w:rPr>
          <w:fldChar w:fldCharType="begin"/>
        </w:r>
        <w:r w:rsidR="008D6F13">
          <w:rPr>
            <w:noProof/>
            <w:webHidden/>
          </w:rPr>
          <w:instrText xml:space="preserve"> PAGEREF _Toc85795665 \h </w:instrText>
        </w:r>
        <w:r w:rsidR="008D6F13">
          <w:rPr>
            <w:noProof/>
            <w:webHidden/>
          </w:rPr>
        </w:r>
        <w:r w:rsidR="008D6F13">
          <w:rPr>
            <w:noProof/>
            <w:webHidden/>
          </w:rPr>
          <w:fldChar w:fldCharType="separate"/>
        </w:r>
        <w:r w:rsidR="00104E8F">
          <w:rPr>
            <w:noProof/>
            <w:webHidden/>
          </w:rPr>
          <w:t>75</w:t>
        </w:r>
        <w:r w:rsidR="008D6F13">
          <w:rPr>
            <w:noProof/>
            <w:webHidden/>
          </w:rPr>
          <w:fldChar w:fldCharType="end"/>
        </w:r>
      </w:hyperlink>
    </w:p>
    <w:p w14:paraId="49B90949" w14:textId="03F60075" w:rsidR="008D6F13" w:rsidRDefault="005D5407" w:rsidP="008D6F13">
      <w:pPr>
        <w:pStyle w:val="TOC9"/>
        <w:rPr>
          <w:rFonts w:eastAsiaTheme="minorEastAsia"/>
          <w:noProof/>
          <w:spacing w:val="0"/>
          <w:lang w:eastAsia="en-AU"/>
        </w:rPr>
      </w:pPr>
      <w:hyperlink w:anchor="_Toc85795666" w:history="1">
        <w:r w:rsidR="008D6F13" w:rsidRPr="00C461A8">
          <w:rPr>
            <w:rStyle w:val="Hyperlink"/>
            <w:noProof/>
          </w:rPr>
          <w:t>4.4.4</w:t>
        </w:r>
        <w:r w:rsidR="008D6F13">
          <w:rPr>
            <w:rFonts w:eastAsiaTheme="minorEastAsia"/>
            <w:noProof/>
            <w:spacing w:val="0"/>
            <w:lang w:eastAsia="en-AU"/>
          </w:rPr>
          <w:tab/>
        </w:r>
        <w:r w:rsidR="008D6F13" w:rsidRPr="00C461A8">
          <w:rPr>
            <w:rStyle w:val="Hyperlink"/>
            <w:noProof/>
          </w:rPr>
          <w:t>Other non-financial assets</w:t>
        </w:r>
        <w:r w:rsidR="008D6F13">
          <w:rPr>
            <w:noProof/>
            <w:webHidden/>
          </w:rPr>
          <w:tab/>
        </w:r>
        <w:r w:rsidR="008D6F13">
          <w:rPr>
            <w:noProof/>
            <w:webHidden/>
          </w:rPr>
          <w:fldChar w:fldCharType="begin"/>
        </w:r>
        <w:r w:rsidR="008D6F13">
          <w:rPr>
            <w:noProof/>
            <w:webHidden/>
          </w:rPr>
          <w:instrText xml:space="preserve"> PAGEREF _Toc85795666 \h </w:instrText>
        </w:r>
        <w:r w:rsidR="008D6F13">
          <w:rPr>
            <w:noProof/>
            <w:webHidden/>
          </w:rPr>
        </w:r>
        <w:r w:rsidR="008D6F13">
          <w:rPr>
            <w:noProof/>
            <w:webHidden/>
          </w:rPr>
          <w:fldChar w:fldCharType="separate"/>
        </w:r>
        <w:r w:rsidR="00104E8F">
          <w:rPr>
            <w:noProof/>
            <w:webHidden/>
          </w:rPr>
          <w:t>75</w:t>
        </w:r>
        <w:r w:rsidR="008D6F13">
          <w:rPr>
            <w:noProof/>
            <w:webHidden/>
          </w:rPr>
          <w:fldChar w:fldCharType="end"/>
        </w:r>
      </w:hyperlink>
    </w:p>
    <w:p w14:paraId="5AA60E75" w14:textId="2CCAF5B6" w:rsidR="008D6F13" w:rsidRDefault="005D5407" w:rsidP="008D6F13">
      <w:pPr>
        <w:pStyle w:val="TOC9"/>
        <w:rPr>
          <w:rFonts w:eastAsiaTheme="minorEastAsia"/>
          <w:noProof/>
          <w:spacing w:val="0"/>
          <w:lang w:eastAsia="en-AU"/>
        </w:rPr>
      </w:pPr>
      <w:hyperlink w:anchor="_Toc85795667" w:history="1">
        <w:r w:rsidR="008D6F13" w:rsidRPr="00C461A8">
          <w:rPr>
            <w:rStyle w:val="Hyperlink"/>
            <w:noProof/>
          </w:rPr>
          <w:t>4.4.5</w:t>
        </w:r>
        <w:r w:rsidR="008D6F13">
          <w:rPr>
            <w:rFonts w:eastAsiaTheme="minorEastAsia"/>
            <w:noProof/>
            <w:spacing w:val="0"/>
            <w:lang w:eastAsia="en-AU"/>
          </w:rPr>
          <w:tab/>
        </w:r>
        <w:r w:rsidR="008D6F13" w:rsidRPr="00C461A8">
          <w:rPr>
            <w:rStyle w:val="Hyperlink"/>
            <w:noProof/>
          </w:rPr>
          <w:t>Total assets by classification of the functions of government</w:t>
        </w:r>
        <w:r w:rsidR="008D6F13">
          <w:rPr>
            <w:noProof/>
            <w:webHidden/>
          </w:rPr>
          <w:tab/>
        </w:r>
        <w:r w:rsidR="008D6F13">
          <w:rPr>
            <w:noProof/>
            <w:webHidden/>
          </w:rPr>
          <w:fldChar w:fldCharType="begin"/>
        </w:r>
        <w:r w:rsidR="008D6F13">
          <w:rPr>
            <w:noProof/>
            <w:webHidden/>
          </w:rPr>
          <w:instrText xml:space="preserve"> PAGEREF _Toc85795667 \h </w:instrText>
        </w:r>
        <w:r w:rsidR="008D6F13">
          <w:rPr>
            <w:noProof/>
            <w:webHidden/>
          </w:rPr>
        </w:r>
        <w:r w:rsidR="008D6F13">
          <w:rPr>
            <w:noProof/>
            <w:webHidden/>
          </w:rPr>
          <w:fldChar w:fldCharType="separate"/>
        </w:r>
        <w:r w:rsidR="00104E8F">
          <w:rPr>
            <w:noProof/>
            <w:webHidden/>
          </w:rPr>
          <w:t>76</w:t>
        </w:r>
        <w:r w:rsidR="008D6F13">
          <w:rPr>
            <w:noProof/>
            <w:webHidden/>
          </w:rPr>
          <w:fldChar w:fldCharType="end"/>
        </w:r>
      </w:hyperlink>
    </w:p>
    <w:p w14:paraId="2F858FA6" w14:textId="77777777" w:rsidR="008D6F13" w:rsidRDefault="008D6F13" w:rsidP="008D6F13">
      <w:pPr>
        <w:pStyle w:val="TOC9"/>
      </w:pPr>
      <w:r>
        <w:rPr>
          <w:b/>
          <w:bCs/>
          <w:noProof/>
          <w:lang w:val="en-US"/>
        </w:rPr>
        <w:fldChar w:fldCharType="end"/>
      </w:r>
    </w:p>
    <w:p w14:paraId="31E4916C" w14:textId="77777777" w:rsidR="008D6F13" w:rsidRDefault="008D6F13" w:rsidP="008D6F13">
      <w:pPr>
        <w:sectPr w:rsidR="008D6F13" w:rsidSect="0031078F">
          <w:type w:val="continuous"/>
          <w:pgSz w:w="9979" w:h="14175" w:code="9"/>
          <w:pgMar w:top="1134" w:right="1134" w:bottom="1134" w:left="1134" w:header="624" w:footer="567" w:gutter="0"/>
          <w:cols w:num="2" w:space="708"/>
          <w:titlePg/>
          <w:docGrid w:linePitch="360"/>
        </w:sectPr>
      </w:pPr>
    </w:p>
    <w:p w14:paraId="28ABA5F7" w14:textId="77777777" w:rsidR="008D6F13" w:rsidRPr="00197CF0" w:rsidRDefault="008D6F13" w:rsidP="008D6F13">
      <w:pPr>
        <w:pStyle w:val="Heading3"/>
        <w:spacing w:after="60"/>
        <w:rPr>
          <w:sz w:val="20"/>
          <w:szCs w:val="20"/>
        </w:rPr>
      </w:pPr>
      <w:bookmarkStart w:id="89" w:name="_Toc85795663"/>
      <w:bookmarkStart w:id="90" w:name="Section_4"/>
      <w:r w:rsidRPr="00D804E7">
        <w:rPr>
          <w:sz w:val="20"/>
          <w:szCs w:val="20"/>
        </w:rPr>
        <w:t xml:space="preserve">Total land, buildings, infrastructure, </w:t>
      </w:r>
      <w:proofErr w:type="gramStart"/>
      <w:r w:rsidRPr="00D804E7">
        <w:rPr>
          <w:sz w:val="20"/>
          <w:szCs w:val="20"/>
        </w:rPr>
        <w:t>plant</w:t>
      </w:r>
      <w:proofErr w:type="gramEnd"/>
      <w:r w:rsidRPr="00D804E7">
        <w:rPr>
          <w:sz w:val="20"/>
          <w:szCs w:val="20"/>
        </w:rPr>
        <w:t xml:space="preserve"> and equipment </w:t>
      </w:r>
      <w:r w:rsidRPr="00D804E7">
        <w:rPr>
          <w:sz w:val="20"/>
          <w:szCs w:val="20"/>
          <w:vertAlign w:val="superscript"/>
        </w:rPr>
        <w:t>(a)</w:t>
      </w:r>
      <w:r w:rsidRPr="00D804E7">
        <w:rPr>
          <w:sz w:val="20"/>
          <w:szCs w:val="20"/>
        </w:rPr>
        <w:tab/>
        <w:t>($ million)</w:t>
      </w:r>
      <w:bookmarkEnd w:id="89"/>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378E9F5E"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5C0AC461" w14:textId="256F9739" w:rsidR="008D6F13" w:rsidRDefault="008D6F13" w:rsidP="0031078F"/>
        </w:tc>
        <w:tc>
          <w:tcPr>
            <w:tcW w:w="794" w:type="dxa"/>
          </w:tcPr>
          <w:p w14:paraId="241C9A4D"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br/>
              <w:t>budget</w:t>
            </w:r>
          </w:p>
        </w:tc>
        <w:tc>
          <w:tcPr>
            <w:tcW w:w="794" w:type="dxa"/>
          </w:tcPr>
          <w:p w14:paraId="78584660"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br/>
              <w:t>revised</w:t>
            </w:r>
          </w:p>
        </w:tc>
        <w:tc>
          <w:tcPr>
            <w:tcW w:w="794" w:type="dxa"/>
          </w:tcPr>
          <w:p w14:paraId="6D90B8DF"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br/>
              <w:t>estimate</w:t>
            </w:r>
          </w:p>
        </w:tc>
        <w:tc>
          <w:tcPr>
            <w:tcW w:w="794" w:type="dxa"/>
          </w:tcPr>
          <w:p w14:paraId="641147B5"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br/>
              <w:t>estimate</w:t>
            </w:r>
          </w:p>
        </w:tc>
        <w:tc>
          <w:tcPr>
            <w:tcW w:w="794" w:type="dxa"/>
          </w:tcPr>
          <w:p w14:paraId="05F8DEF9"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2025</w:t>
            </w:r>
            <w:r>
              <w:br/>
              <w:t>estimate</w:t>
            </w:r>
          </w:p>
        </w:tc>
      </w:tr>
      <w:tr w:rsidR="008D6F13" w14:paraId="593EF10E"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584B9BA" w14:textId="77777777" w:rsidR="008D6F13" w:rsidRDefault="008D6F13" w:rsidP="0031078F">
            <w:r>
              <w:t>Buildings</w:t>
            </w:r>
          </w:p>
        </w:tc>
        <w:tc>
          <w:tcPr>
            <w:tcW w:w="794" w:type="dxa"/>
          </w:tcPr>
          <w:p w14:paraId="7FD619F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49 077</w:t>
            </w:r>
          </w:p>
        </w:tc>
        <w:tc>
          <w:tcPr>
            <w:tcW w:w="794" w:type="dxa"/>
          </w:tcPr>
          <w:p w14:paraId="53AE18A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47 683</w:t>
            </w:r>
          </w:p>
        </w:tc>
        <w:tc>
          <w:tcPr>
            <w:tcW w:w="794" w:type="dxa"/>
          </w:tcPr>
          <w:p w14:paraId="58F594D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50 072</w:t>
            </w:r>
          </w:p>
        </w:tc>
        <w:tc>
          <w:tcPr>
            <w:tcW w:w="794" w:type="dxa"/>
          </w:tcPr>
          <w:p w14:paraId="605CD15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52 198</w:t>
            </w:r>
          </w:p>
        </w:tc>
        <w:tc>
          <w:tcPr>
            <w:tcW w:w="794" w:type="dxa"/>
          </w:tcPr>
          <w:p w14:paraId="63D764B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56 209</w:t>
            </w:r>
          </w:p>
        </w:tc>
      </w:tr>
      <w:tr w:rsidR="008D6F13" w14:paraId="3C743AD8"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EB2919B" w14:textId="77777777" w:rsidR="008D6F13" w:rsidRDefault="008D6F13" w:rsidP="0031078F">
            <w:r>
              <w:t>Land and national parks</w:t>
            </w:r>
          </w:p>
        </w:tc>
        <w:tc>
          <w:tcPr>
            <w:tcW w:w="794" w:type="dxa"/>
          </w:tcPr>
          <w:p w14:paraId="0388DA4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77 609</w:t>
            </w:r>
          </w:p>
        </w:tc>
        <w:tc>
          <w:tcPr>
            <w:tcW w:w="794" w:type="dxa"/>
          </w:tcPr>
          <w:p w14:paraId="3429952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78 034</w:t>
            </w:r>
          </w:p>
        </w:tc>
        <w:tc>
          <w:tcPr>
            <w:tcW w:w="794" w:type="dxa"/>
          </w:tcPr>
          <w:p w14:paraId="3A4BD31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79 002</w:t>
            </w:r>
          </w:p>
        </w:tc>
        <w:tc>
          <w:tcPr>
            <w:tcW w:w="794" w:type="dxa"/>
          </w:tcPr>
          <w:p w14:paraId="09EDA54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84 192</w:t>
            </w:r>
          </w:p>
        </w:tc>
        <w:tc>
          <w:tcPr>
            <w:tcW w:w="794" w:type="dxa"/>
          </w:tcPr>
          <w:p w14:paraId="7CEA1D5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88 036</w:t>
            </w:r>
          </w:p>
        </w:tc>
      </w:tr>
      <w:tr w:rsidR="008D6F13" w14:paraId="187FD5D2"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20238C6" w14:textId="77777777" w:rsidR="008D6F13" w:rsidRDefault="008D6F13" w:rsidP="0031078F">
            <w:r>
              <w:t>Infrastructure systems</w:t>
            </w:r>
          </w:p>
        </w:tc>
        <w:tc>
          <w:tcPr>
            <w:tcW w:w="794" w:type="dxa"/>
          </w:tcPr>
          <w:p w14:paraId="3A48E8A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17 476</w:t>
            </w:r>
          </w:p>
        </w:tc>
        <w:tc>
          <w:tcPr>
            <w:tcW w:w="794" w:type="dxa"/>
          </w:tcPr>
          <w:p w14:paraId="1A116D7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20 518</w:t>
            </w:r>
          </w:p>
        </w:tc>
        <w:tc>
          <w:tcPr>
            <w:tcW w:w="794" w:type="dxa"/>
          </w:tcPr>
          <w:p w14:paraId="29A217B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24 796</w:t>
            </w:r>
          </w:p>
        </w:tc>
        <w:tc>
          <w:tcPr>
            <w:tcW w:w="794" w:type="dxa"/>
          </w:tcPr>
          <w:p w14:paraId="4A73E5D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29 849</w:t>
            </w:r>
          </w:p>
        </w:tc>
        <w:tc>
          <w:tcPr>
            <w:tcW w:w="794" w:type="dxa"/>
          </w:tcPr>
          <w:p w14:paraId="5B459C0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33 980</w:t>
            </w:r>
          </w:p>
        </w:tc>
      </w:tr>
      <w:tr w:rsidR="008D6F13" w14:paraId="0753137B"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B3A96E0" w14:textId="77777777" w:rsidR="008D6F13" w:rsidRDefault="008D6F13" w:rsidP="0031078F">
            <w:r>
              <w:t xml:space="preserve">Plant, </w:t>
            </w:r>
            <w:proofErr w:type="gramStart"/>
            <w:r>
              <w:t>equipment</w:t>
            </w:r>
            <w:proofErr w:type="gramEnd"/>
            <w:r>
              <w:t xml:space="preserve"> and vehicles</w:t>
            </w:r>
          </w:p>
        </w:tc>
        <w:tc>
          <w:tcPr>
            <w:tcW w:w="794" w:type="dxa"/>
          </w:tcPr>
          <w:p w14:paraId="11BB1B6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4 748</w:t>
            </w:r>
          </w:p>
        </w:tc>
        <w:tc>
          <w:tcPr>
            <w:tcW w:w="794" w:type="dxa"/>
          </w:tcPr>
          <w:p w14:paraId="52179E1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5 385</w:t>
            </w:r>
          </w:p>
        </w:tc>
        <w:tc>
          <w:tcPr>
            <w:tcW w:w="794" w:type="dxa"/>
          </w:tcPr>
          <w:p w14:paraId="6F1846A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5 467</w:t>
            </w:r>
          </w:p>
        </w:tc>
        <w:tc>
          <w:tcPr>
            <w:tcW w:w="794" w:type="dxa"/>
          </w:tcPr>
          <w:p w14:paraId="115C136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5 385</w:t>
            </w:r>
          </w:p>
        </w:tc>
        <w:tc>
          <w:tcPr>
            <w:tcW w:w="794" w:type="dxa"/>
          </w:tcPr>
          <w:p w14:paraId="1461CF1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4 957</w:t>
            </w:r>
          </w:p>
        </w:tc>
      </w:tr>
      <w:tr w:rsidR="008D6F13" w14:paraId="4622D154"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91F12E7" w14:textId="77777777" w:rsidR="008D6F13" w:rsidRDefault="008D6F13" w:rsidP="0031078F">
            <w:r>
              <w:t>Roads and road infrastructure</w:t>
            </w:r>
          </w:p>
        </w:tc>
        <w:tc>
          <w:tcPr>
            <w:tcW w:w="794" w:type="dxa"/>
          </w:tcPr>
          <w:p w14:paraId="5824EAC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38 597</w:t>
            </w:r>
          </w:p>
        </w:tc>
        <w:tc>
          <w:tcPr>
            <w:tcW w:w="794" w:type="dxa"/>
          </w:tcPr>
          <w:p w14:paraId="1B4EC8D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37 392</w:t>
            </w:r>
          </w:p>
        </w:tc>
        <w:tc>
          <w:tcPr>
            <w:tcW w:w="794" w:type="dxa"/>
          </w:tcPr>
          <w:p w14:paraId="387C2BC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44 568</w:t>
            </w:r>
          </w:p>
        </w:tc>
        <w:tc>
          <w:tcPr>
            <w:tcW w:w="794" w:type="dxa"/>
          </w:tcPr>
          <w:p w14:paraId="0EA7A62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51 593</w:t>
            </w:r>
          </w:p>
        </w:tc>
        <w:tc>
          <w:tcPr>
            <w:tcW w:w="794" w:type="dxa"/>
          </w:tcPr>
          <w:p w14:paraId="509D85C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62 616</w:t>
            </w:r>
          </w:p>
        </w:tc>
      </w:tr>
      <w:tr w:rsidR="008D6F13" w14:paraId="6686CF50"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0C564C6" w14:textId="77777777" w:rsidR="008D6F13" w:rsidRDefault="008D6F13" w:rsidP="0031078F">
            <w:r>
              <w:t>Earthworks</w:t>
            </w:r>
          </w:p>
        </w:tc>
        <w:tc>
          <w:tcPr>
            <w:tcW w:w="794" w:type="dxa"/>
          </w:tcPr>
          <w:p w14:paraId="6FB7D0E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10 001</w:t>
            </w:r>
          </w:p>
        </w:tc>
        <w:tc>
          <w:tcPr>
            <w:tcW w:w="794" w:type="dxa"/>
          </w:tcPr>
          <w:p w14:paraId="79D6FB7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10 001</w:t>
            </w:r>
          </w:p>
        </w:tc>
        <w:tc>
          <w:tcPr>
            <w:tcW w:w="794" w:type="dxa"/>
          </w:tcPr>
          <w:p w14:paraId="477B2A7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9 804</w:t>
            </w:r>
          </w:p>
        </w:tc>
        <w:tc>
          <w:tcPr>
            <w:tcW w:w="794" w:type="dxa"/>
          </w:tcPr>
          <w:p w14:paraId="5B186C9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9 719</w:t>
            </w:r>
          </w:p>
        </w:tc>
        <w:tc>
          <w:tcPr>
            <w:tcW w:w="794" w:type="dxa"/>
          </w:tcPr>
          <w:p w14:paraId="530AF5D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9 826</w:t>
            </w:r>
          </w:p>
        </w:tc>
      </w:tr>
      <w:tr w:rsidR="008D6F13" w14:paraId="6BFEFBD4"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5CCC1A76" w14:textId="77777777" w:rsidR="008D6F13" w:rsidRDefault="008D6F13" w:rsidP="0031078F">
            <w:r>
              <w:t>Cultural assets</w:t>
            </w:r>
          </w:p>
        </w:tc>
        <w:tc>
          <w:tcPr>
            <w:tcW w:w="794" w:type="dxa"/>
            <w:tcBorders>
              <w:bottom w:val="single" w:sz="6" w:space="0" w:color="auto"/>
            </w:tcBorders>
          </w:tcPr>
          <w:p w14:paraId="1D1FF80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6 543</w:t>
            </w:r>
          </w:p>
        </w:tc>
        <w:tc>
          <w:tcPr>
            <w:tcW w:w="794" w:type="dxa"/>
            <w:tcBorders>
              <w:bottom w:val="single" w:sz="6" w:space="0" w:color="auto"/>
            </w:tcBorders>
          </w:tcPr>
          <w:p w14:paraId="6E7A481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6 548</w:t>
            </w:r>
          </w:p>
        </w:tc>
        <w:tc>
          <w:tcPr>
            <w:tcW w:w="794" w:type="dxa"/>
            <w:tcBorders>
              <w:bottom w:val="single" w:sz="6" w:space="0" w:color="auto"/>
            </w:tcBorders>
          </w:tcPr>
          <w:p w14:paraId="642C21E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6 545</w:t>
            </w:r>
          </w:p>
        </w:tc>
        <w:tc>
          <w:tcPr>
            <w:tcW w:w="794" w:type="dxa"/>
            <w:tcBorders>
              <w:bottom w:val="single" w:sz="6" w:space="0" w:color="auto"/>
            </w:tcBorders>
          </w:tcPr>
          <w:p w14:paraId="0C1E41E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6 561</w:t>
            </w:r>
          </w:p>
        </w:tc>
        <w:tc>
          <w:tcPr>
            <w:tcW w:w="794" w:type="dxa"/>
            <w:tcBorders>
              <w:bottom w:val="single" w:sz="6" w:space="0" w:color="auto"/>
            </w:tcBorders>
          </w:tcPr>
          <w:p w14:paraId="7FD3660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7 182</w:t>
            </w:r>
          </w:p>
        </w:tc>
      </w:tr>
      <w:tr w:rsidR="008D6F13" w14:paraId="2C8E188B"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00FDEA4" w14:textId="77777777" w:rsidR="008D6F13" w:rsidRDefault="008D6F13" w:rsidP="0031078F">
            <w:r>
              <w:rPr>
                <w:b/>
              </w:rPr>
              <w:t xml:space="preserve">Total land, buildings, infrastructure, </w:t>
            </w:r>
            <w:proofErr w:type="gramStart"/>
            <w:r>
              <w:rPr>
                <w:b/>
              </w:rPr>
              <w:t>plant</w:t>
            </w:r>
            <w:proofErr w:type="gramEnd"/>
            <w:r>
              <w:rPr>
                <w:b/>
              </w:rPr>
              <w:t xml:space="preserve"> and equipment</w:t>
            </w:r>
          </w:p>
        </w:tc>
        <w:tc>
          <w:tcPr>
            <w:tcW w:w="794" w:type="dxa"/>
          </w:tcPr>
          <w:p w14:paraId="6BDCFF5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204 051</w:t>
            </w:r>
          </w:p>
        </w:tc>
        <w:tc>
          <w:tcPr>
            <w:tcW w:w="794" w:type="dxa"/>
          </w:tcPr>
          <w:p w14:paraId="183C643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205 561</w:t>
            </w:r>
          </w:p>
        </w:tc>
        <w:tc>
          <w:tcPr>
            <w:tcW w:w="794" w:type="dxa"/>
          </w:tcPr>
          <w:p w14:paraId="5FDCF05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220 254</w:t>
            </w:r>
          </w:p>
        </w:tc>
        <w:tc>
          <w:tcPr>
            <w:tcW w:w="794" w:type="dxa"/>
          </w:tcPr>
          <w:p w14:paraId="39FCFE1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239 497</w:t>
            </w:r>
          </w:p>
        </w:tc>
        <w:tc>
          <w:tcPr>
            <w:tcW w:w="794" w:type="dxa"/>
          </w:tcPr>
          <w:p w14:paraId="39AC92F2" w14:textId="60407FB1"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262 807</w:t>
            </w:r>
          </w:p>
        </w:tc>
      </w:tr>
    </w:tbl>
    <w:p w14:paraId="62506309" w14:textId="77777777" w:rsidR="008D6F13" w:rsidRPr="003A1BED" w:rsidRDefault="008D6F13" w:rsidP="008D6F13">
      <w:pPr>
        <w:pStyle w:val="Note"/>
        <w:ind w:left="0" w:firstLine="0"/>
      </w:pPr>
      <w:r w:rsidRPr="003A1BED">
        <w:t>Note:</w:t>
      </w:r>
    </w:p>
    <w:p w14:paraId="40F4489B" w14:textId="77777777" w:rsidR="008D6F13" w:rsidRPr="003A1BED" w:rsidRDefault="008D6F13" w:rsidP="008D6F13">
      <w:pPr>
        <w:pStyle w:val="Note"/>
      </w:pPr>
      <w:r w:rsidRPr="003A1BED">
        <w:t>(a)</w:t>
      </w:r>
      <w:r w:rsidRPr="003A1BED">
        <w:tab/>
        <w:t>The balances for each class of assets includes those related to service concession arrangement assets and right-of-use assets.</w:t>
      </w:r>
    </w:p>
    <w:p w14:paraId="76923135" w14:textId="77777777" w:rsidR="008D6F13" w:rsidRPr="003A1BED" w:rsidRDefault="008D6F13" w:rsidP="008D6F13"/>
    <w:p w14:paraId="6176A25B" w14:textId="77777777" w:rsidR="008D6F13" w:rsidRPr="003A1BED" w:rsidRDefault="008D6F13" w:rsidP="008D6F13">
      <w:pPr>
        <w:pageBreakBefore/>
      </w:pPr>
      <w:r w:rsidRPr="003A1BED">
        <w:lastRenderedPageBreak/>
        <w:t xml:space="preserve">The following two tables are subsets of total land, buildings, infrastructure, </w:t>
      </w:r>
      <w:proofErr w:type="gramStart"/>
      <w:r w:rsidRPr="003A1BED">
        <w:t>plant</w:t>
      </w:r>
      <w:proofErr w:type="gramEnd"/>
      <w:r w:rsidRPr="003A1BED">
        <w:t xml:space="preserve"> and equipment by right-of-use (leased) assets and service concession assets.</w:t>
      </w:r>
    </w:p>
    <w:p w14:paraId="1F3F70AD" w14:textId="77777777" w:rsidR="008D6F13" w:rsidRPr="003A1BED" w:rsidRDefault="008D6F13" w:rsidP="008D6F13">
      <w:pPr>
        <w:pStyle w:val="TableHeading"/>
      </w:pPr>
      <w:r w:rsidRPr="003A1BED">
        <w:t xml:space="preserve">Total right-of-use (leased) assets: land, buildings, infrastructure, </w:t>
      </w:r>
      <w:proofErr w:type="gramStart"/>
      <w:r w:rsidRPr="003A1BED">
        <w:t>plant</w:t>
      </w:r>
      <w:proofErr w:type="gramEnd"/>
      <w:r w:rsidRPr="003A1BED">
        <w:t xml:space="preserve"> and equipment</w:t>
      </w:r>
    </w:p>
    <w:p w14:paraId="5FD25ABD" w14:textId="77777777" w:rsidR="008D6F13" w:rsidRDefault="008D6F13" w:rsidP="008D6F13">
      <w:pPr>
        <w:pStyle w:val="TableUnits"/>
      </w:pPr>
      <w:r w:rsidRPr="003A1BED">
        <w:t>($ million)</w:t>
      </w:r>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52FD4587"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23EFDFDA" w14:textId="550351FA" w:rsidR="008D6F13" w:rsidRDefault="008D6F13" w:rsidP="0031078F"/>
        </w:tc>
        <w:tc>
          <w:tcPr>
            <w:tcW w:w="794" w:type="dxa"/>
          </w:tcPr>
          <w:p w14:paraId="446B63D8"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br/>
              <w:t>budget</w:t>
            </w:r>
          </w:p>
        </w:tc>
        <w:tc>
          <w:tcPr>
            <w:tcW w:w="794" w:type="dxa"/>
          </w:tcPr>
          <w:p w14:paraId="66E23167"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br/>
              <w:t>revised</w:t>
            </w:r>
          </w:p>
        </w:tc>
        <w:tc>
          <w:tcPr>
            <w:tcW w:w="794" w:type="dxa"/>
          </w:tcPr>
          <w:p w14:paraId="0E8E37C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br/>
              <w:t>estimate</w:t>
            </w:r>
          </w:p>
        </w:tc>
        <w:tc>
          <w:tcPr>
            <w:tcW w:w="794" w:type="dxa"/>
          </w:tcPr>
          <w:p w14:paraId="00FD99D8"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br/>
              <w:t>estimate</w:t>
            </w:r>
          </w:p>
        </w:tc>
        <w:tc>
          <w:tcPr>
            <w:tcW w:w="794" w:type="dxa"/>
          </w:tcPr>
          <w:p w14:paraId="1C03A5D3"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2025</w:t>
            </w:r>
            <w:r>
              <w:br/>
              <w:t>estimate</w:t>
            </w:r>
          </w:p>
        </w:tc>
      </w:tr>
      <w:tr w:rsidR="008D6F13" w14:paraId="37EDE230"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9612206" w14:textId="77777777" w:rsidR="008D6F13" w:rsidRDefault="008D6F13" w:rsidP="0031078F">
            <w:r>
              <w:t>Buildings</w:t>
            </w:r>
          </w:p>
        </w:tc>
        <w:tc>
          <w:tcPr>
            <w:tcW w:w="794" w:type="dxa"/>
          </w:tcPr>
          <w:p w14:paraId="7E63176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7 675</w:t>
            </w:r>
          </w:p>
        </w:tc>
        <w:tc>
          <w:tcPr>
            <w:tcW w:w="794" w:type="dxa"/>
          </w:tcPr>
          <w:p w14:paraId="3A85680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8 079</w:t>
            </w:r>
          </w:p>
        </w:tc>
        <w:tc>
          <w:tcPr>
            <w:tcW w:w="794" w:type="dxa"/>
          </w:tcPr>
          <w:p w14:paraId="2AF431B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7 538</w:t>
            </w:r>
          </w:p>
        </w:tc>
        <w:tc>
          <w:tcPr>
            <w:tcW w:w="794" w:type="dxa"/>
          </w:tcPr>
          <w:p w14:paraId="75238E7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7 007</w:t>
            </w:r>
          </w:p>
        </w:tc>
        <w:tc>
          <w:tcPr>
            <w:tcW w:w="794" w:type="dxa"/>
          </w:tcPr>
          <w:p w14:paraId="701D87C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6 443</w:t>
            </w:r>
          </w:p>
        </w:tc>
      </w:tr>
      <w:tr w:rsidR="008D6F13" w14:paraId="4D17B9E4"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C0B14A5" w14:textId="77777777" w:rsidR="008D6F13" w:rsidRDefault="008D6F13" w:rsidP="0031078F">
            <w:r>
              <w:t>Infrastructure systems</w:t>
            </w:r>
          </w:p>
        </w:tc>
        <w:tc>
          <w:tcPr>
            <w:tcW w:w="794" w:type="dxa"/>
          </w:tcPr>
          <w:p w14:paraId="1023C3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470368E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68DBE0F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56528AB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37A1968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w:t>
            </w:r>
          </w:p>
        </w:tc>
      </w:tr>
      <w:tr w:rsidR="008D6F13" w14:paraId="43F98674"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2243304E" w14:textId="77777777" w:rsidR="008D6F13" w:rsidRDefault="008D6F13" w:rsidP="0031078F">
            <w:r>
              <w:t xml:space="preserve">Plant, </w:t>
            </w:r>
            <w:proofErr w:type="gramStart"/>
            <w:r>
              <w:t>equipment</w:t>
            </w:r>
            <w:proofErr w:type="gramEnd"/>
            <w:r>
              <w:t xml:space="preserve"> and vehicles</w:t>
            </w:r>
          </w:p>
        </w:tc>
        <w:tc>
          <w:tcPr>
            <w:tcW w:w="794" w:type="dxa"/>
            <w:tcBorders>
              <w:bottom w:val="single" w:sz="6" w:space="0" w:color="auto"/>
            </w:tcBorders>
          </w:tcPr>
          <w:p w14:paraId="06A0D6F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464</w:t>
            </w:r>
          </w:p>
        </w:tc>
        <w:tc>
          <w:tcPr>
            <w:tcW w:w="794" w:type="dxa"/>
            <w:tcBorders>
              <w:bottom w:val="single" w:sz="6" w:space="0" w:color="auto"/>
            </w:tcBorders>
          </w:tcPr>
          <w:p w14:paraId="63635EC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463</w:t>
            </w:r>
          </w:p>
        </w:tc>
        <w:tc>
          <w:tcPr>
            <w:tcW w:w="794" w:type="dxa"/>
            <w:tcBorders>
              <w:bottom w:val="single" w:sz="6" w:space="0" w:color="auto"/>
            </w:tcBorders>
          </w:tcPr>
          <w:p w14:paraId="7638CA9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378</w:t>
            </w:r>
          </w:p>
        </w:tc>
        <w:tc>
          <w:tcPr>
            <w:tcW w:w="794" w:type="dxa"/>
            <w:tcBorders>
              <w:bottom w:val="single" w:sz="6" w:space="0" w:color="auto"/>
            </w:tcBorders>
          </w:tcPr>
          <w:p w14:paraId="7BC1072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292</w:t>
            </w:r>
          </w:p>
        </w:tc>
        <w:tc>
          <w:tcPr>
            <w:tcW w:w="794" w:type="dxa"/>
            <w:tcBorders>
              <w:bottom w:val="single" w:sz="6" w:space="0" w:color="auto"/>
            </w:tcBorders>
          </w:tcPr>
          <w:p w14:paraId="373D412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208</w:t>
            </w:r>
          </w:p>
        </w:tc>
      </w:tr>
      <w:tr w:rsidR="008D6F13" w14:paraId="291521AB"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6A7F1B2" w14:textId="77777777" w:rsidR="008D6F13" w:rsidRDefault="008D6F13" w:rsidP="0031078F">
            <w:r>
              <w:rPr>
                <w:b/>
              </w:rPr>
              <w:t>Total right</w:t>
            </w:r>
            <w:r>
              <w:rPr>
                <w:b/>
              </w:rPr>
              <w:noBreakHyphen/>
              <w:t>of</w:t>
            </w:r>
            <w:r>
              <w:rPr>
                <w:b/>
              </w:rPr>
              <w:noBreakHyphen/>
              <w:t xml:space="preserve">use assets: land, buildings, infrastructure, </w:t>
            </w:r>
            <w:proofErr w:type="gramStart"/>
            <w:r>
              <w:rPr>
                <w:b/>
              </w:rPr>
              <w:t>plant</w:t>
            </w:r>
            <w:proofErr w:type="gramEnd"/>
            <w:r>
              <w:rPr>
                <w:b/>
              </w:rPr>
              <w:t xml:space="preserve"> and equipment</w:t>
            </w:r>
          </w:p>
        </w:tc>
        <w:tc>
          <w:tcPr>
            <w:tcW w:w="794" w:type="dxa"/>
          </w:tcPr>
          <w:p w14:paraId="03F0268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8 141</w:t>
            </w:r>
          </w:p>
        </w:tc>
        <w:tc>
          <w:tcPr>
            <w:tcW w:w="794" w:type="dxa"/>
          </w:tcPr>
          <w:p w14:paraId="2F032CB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8 544</w:t>
            </w:r>
          </w:p>
        </w:tc>
        <w:tc>
          <w:tcPr>
            <w:tcW w:w="794" w:type="dxa"/>
          </w:tcPr>
          <w:p w14:paraId="27D62A6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7 918</w:t>
            </w:r>
          </w:p>
        </w:tc>
        <w:tc>
          <w:tcPr>
            <w:tcW w:w="794" w:type="dxa"/>
          </w:tcPr>
          <w:p w14:paraId="5E24F89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7 302</w:t>
            </w:r>
          </w:p>
        </w:tc>
        <w:tc>
          <w:tcPr>
            <w:tcW w:w="794" w:type="dxa"/>
          </w:tcPr>
          <w:p w14:paraId="4B62D1BD" w14:textId="6A5EE1A4"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6 655</w:t>
            </w:r>
          </w:p>
        </w:tc>
      </w:tr>
    </w:tbl>
    <w:p w14:paraId="2AB96714" w14:textId="77777777" w:rsidR="008D6F13" w:rsidRDefault="008D6F13" w:rsidP="008D6F13"/>
    <w:p w14:paraId="25B42875" w14:textId="77777777" w:rsidR="008D6F13" w:rsidRDefault="008D6F13" w:rsidP="008D6F13">
      <w:pPr>
        <w:pStyle w:val="TableHeading"/>
      </w:pPr>
      <w:r>
        <w:t xml:space="preserve">Total service concession assets: land, buildings, infrastructure, </w:t>
      </w:r>
      <w:proofErr w:type="gramStart"/>
      <w:r>
        <w:t>plant</w:t>
      </w:r>
      <w:proofErr w:type="gramEnd"/>
      <w:r>
        <w:t xml:space="preserve"> and equipment </w:t>
      </w:r>
    </w:p>
    <w:p w14:paraId="0B80E135" w14:textId="77777777" w:rsidR="008D6F13" w:rsidRDefault="008D6F13" w:rsidP="008D6F13">
      <w:pPr>
        <w:pStyle w:val="TableUnits"/>
      </w:pPr>
      <w:r>
        <w:t>($ million)</w:t>
      </w:r>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00A56FC6"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6A4C536B" w14:textId="049A0FC2" w:rsidR="008D6F13" w:rsidRDefault="008D6F13" w:rsidP="0031078F"/>
        </w:tc>
        <w:tc>
          <w:tcPr>
            <w:tcW w:w="794" w:type="dxa"/>
          </w:tcPr>
          <w:p w14:paraId="0D290D4F"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br/>
              <w:t>budget</w:t>
            </w:r>
          </w:p>
        </w:tc>
        <w:tc>
          <w:tcPr>
            <w:tcW w:w="794" w:type="dxa"/>
          </w:tcPr>
          <w:p w14:paraId="7AF05694"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br/>
              <w:t>revised</w:t>
            </w:r>
          </w:p>
        </w:tc>
        <w:tc>
          <w:tcPr>
            <w:tcW w:w="794" w:type="dxa"/>
          </w:tcPr>
          <w:p w14:paraId="71366585"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br/>
              <w:t>estimate</w:t>
            </w:r>
          </w:p>
        </w:tc>
        <w:tc>
          <w:tcPr>
            <w:tcW w:w="794" w:type="dxa"/>
          </w:tcPr>
          <w:p w14:paraId="4EE1A5F6"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br/>
              <w:t>estimate</w:t>
            </w:r>
          </w:p>
        </w:tc>
        <w:tc>
          <w:tcPr>
            <w:tcW w:w="794" w:type="dxa"/>
          </w:tcPr>
          <w:p w14:paraId="41A8B7F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2025</w:t>
            </w:r>
            <w:r>
              <w:br/>
              <w:t>estimate</w:t>
            </w:r>
          </w:p>
        </w:tc>
      </w:tr>
      <w:tr w:rsidR="008D6F13" w14:paraId="5ECB7EC1"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5BD9C86" w14:textId="77777777" w:rsidR="008D6F13" w:rsidRDefault="008D6F13" w:rsidP="0031078F">
            <w:r>
              <w:t>Buildings</w:t>
            </w:r>
          </w:p>
        </w:tc>
        <w:tc>
          <w:tcPr>
            <w:tcW w:w="794" w:type="dxa"/>
          </w:tcPr>
          <w:p w14:paraId="362AB73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1 963</w:t>
            </w:r>
          </w:p>
        </w:tc>
        <w:tc>
          <w:tcPr>
            <w:tcW w:w="794" w:type="dxa"/>
          </w:tcPr>
          <w:p w14:paraId="1FC3ABE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1 963</w:t>
            </w:r>
          </w:p>
        </w:tc>
        <w:tc>
          <w:tcPr>
            <w:tcW w:w="794" w:type="dxa"/>
          </w:tcPr>
          <w:p w14:paraId="30A748A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1 911</w:t>
            </w:r>
          </w:p>
        </w:tc>
        <w:tc>
          <w:tcPr>
            <w:tcW w:w="794" w:type="dxa"/>
          </w:tcPr>
          <w:p w14:paraId="1C9A6F2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1 860</w:t>
            </w:r>
          </w:p>
        </w:tc>
        <w:tc>
          <w:tcPr>
            <w:tcW w:w="794" w:type="dxa"/>
          </w:tcPr>
          <w:p w14:paraId="6BA61DA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1 809</w:t>
            </w:r>
          </w:p>
        </w:tc>
      </w:tr>
      <w:tr w:rsidR="008D6F13" w14:paraId="1F962B73"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FCAA73A" w14:textId="77777777" w:rsidR="008D6F13" w:rsidRDefault="008D6F13" w:rsidP="0031078F">
            <w:r>
              <w:t>Land</w:t>
            </w:r>
          </w:p>
        </w:tc>
        <w:tc>
          <w:tcPr>
            <w:tcW w:w="794" w:type="dxa"/>
          </w:tcPr>
          <w:p w14:paraId="5C7E323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2 876</w:t>
            </w:r>
          </w:p>
        </w:tc>
        <w:tc>
          <w:tcPr>
            <w:tcW w:w="794" w:type="dxa"/>
          </w:tcPr>
          <w:p w14:paraId="705A23A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2 876</w:t>
            </w:r>
          </w:p>
        </w:tc>
        <w:tc>
          <w:tcPr>
            <w:tcW w:w="794" w:type="dxa"/>
          </w:tcPr>
          <w:p w14:paraId="4D16A12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2 876</w:t>
            </w:r>
          </w:p>
        </w:tc>
        <w:tc>
          <w:tcPr>
            <w:tcW w:w="794" w:type="dxa"/>
          </w:tcPr>
          <w:p w14:paraId="7831F73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2 876</w:t>
            </w:r>
          </w:p>
        </w:tc>
        <w:tc>
          <w:tcPr>
            <w:tcW w:w="794" w:type="dxa"/>
          </w:tcPr>
          <w:p w14:paraId="2FE5D7D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3 177</w:t>
            </w:r>
          </w:p>
        </w:tc>
      </w:tr>
      <w:tr w:rsidR="008D6F13" w14:paraId="26E708CC"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F0D942C" w14:textId="77777777" w:rsidR="008D6F13" w:rsidRDefault="008D6F13" w:rsidP="0031078F">
            <w:r>
              <w:t>Infrastructure systems</w:t>
            </w:r>
          </w:p>
        </w:tc>
        <w:tc>
          <w:tcPr>
            <w:tcW w:w="794" w:type="dxa"/>
          </w:tcPr>
          <w:p w14:paraId="26FA3B1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7 627</w:t>
            </w:r>
          </w:p>
        </w:tc>
        <w:tc>
          <w:tcPr>
            <w:tcW w:w="794" w:type="dxa"/>
          </w:tcPr>
          <w:p w14:paraId="68B8E84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7 673</w:t>
            </w:r>
          </w:p>
        </w:tc>
        <w:tc>
          <w:tcPr>
            <w:tcW w:w="794" w:type="dxa"/>
          </w:tcPr>
          <w:p w14:paraId="18B38AE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9 248</w:t>
            </w:r>
          </w:p>
        </w:tc>
        <w:tc>
          <w:tcPr>
            <w:tcW w:w="794" w:type="dxa"/>
          </w:tcPr>
          <w:p w14:paraId="3AE40EE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9 984</w:t>
            </w:r>
          </w:p>
        </w:tc>
        <w:tc>
          <w:tcPr>
            <w:tcW w:w="794" w:type="dxa"/>
          </w:tcPr>
          <w:p w14:paraId="5A1D08C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10 071</w:t>
            </w:r>
          </w:p>
        </w:tc>
      </w:tr>
      <w:tr w:rsidR="008D6F13" w14:paraId="2D7A4590"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84944AB" w14:textId="77777777" w:rsidR="008D6F13" w:rsidRDefault="008D6F13" w:rsidP="0031078F">
            <w:r>
              <w:t xml:space="preserve">Plant, </w:t>
            </w:r>
            <w:proofErr w:type="gramStart"/>
            <w:r>
              <w:t>equipment</w:t>
            </w:r>
            <w:proofErr w:type="gramEnd"/>
            <w:r>
              <w:t xml:space="preserve"> and vehicles</w:t>
            </w:r>
          </w:p>
        </w:tc>
        <w:tc>
          <w:tcPr>
            <w:tcW w:w="794" w:type="dxa"/>
          </w:tcPr>
          <w:p w14:paraId="7DDBFD5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1 013</w:t>
            </w:r>
          </w:p>
        </w:tc>
        <w:tc>
          <w:tcPr>
            <w:tcW w:w="794" w:type="dxa"/>
          </w:tcPr>
          <w:p w14:paraId="7B927BF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1 124</w:t>
            </w:r>
          </w:p>
        </w:tc>
        <w:tc>
          <w:tcPr>
            <w:tcW w:w="794" w:type="dxa"/>
          </w:tcPr>
          <w:p w14:paraId="3DAACE0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1 351</w:t>
            </w:r>
          </w:p>
        </w:tc>
        <w:tc>
          <w:tcPr>
            <w:tcW w:w="794" w:type="dxa"/>
          </w:tcPr>
          <w:p w14:paraId="5CAFDDC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1 571</w:t>
            </w:r>
          </w:p>
        </w:tc>
        <w:tc>
          <w:tcPr>
            <w:tcW w:w="794" w:type="dxa"/>
          </w:tcPr>
          <w:p w14:paraId="61DB19D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1 598</w:t>
            </w:r>
          </w:p>
        </w:tc>
      </w:tr>
      <w:tr w:rsidR="008D6F13" w14:paraId="58E4F44D"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6CB6899" w14:textId="77777777" w:rsidR="008D6F13" w:rsidRDefault="008D6F13" w:rsidP="0031078F">
            <w:r>
              <w:t>Roads and road infrastructure</w:t>
            </w:r>
          </w:p>
        </w:tc>
        <w:tc>
          <w:tcPr>
            <w:tcW w:w="794" w:type="dxa"/>
          </w:tcPr>
          <w:p w14:paraId="047893C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12 538</w:t>
            </w:r>
          </w:p>
        </w:tc>
        <w:tc>
          <w:tcPr>
            <w:tcW w:w="794" w:type="dxa"/>
          </w:tcPr>
          <w:p w14:paraId="20C9AC6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12 551</w:t>
            </w:r>
          </w:p>
        </w:tc>
        <w:tc>
          <w:tcPr>
            <w:tcW w:w="794" w:type="dxa"/>
          </w:tcPr>
          <w:p w14:paraId="73E7E25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13 651</w:t>
            </w:r>
          </w:p>
        </w:tc>
        <w:tc>
          <w:tcPr>
            <w:tcW w:w="794" w:type="dxa"/>
          </w:tcPr>
          <w:p w14:paraId="21E2947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14 522</w:t>
            </w:r>
          </w:p>
        </w:tc>
        <w:tc>
          <w:tcPr>
            <w:tcW w:w="794" w:type="dxa"/>
          </w:tcPr>
          <w:p w14:paraId="0C66A56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15 092</w:t>
            </w:r>
          </w:p>
        </w:tc>
      </w:tr>
      <w:tr w:rsidR="008D6F13" w14:paraId="404044FB"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627D2688" w14:textId="77777777" w:rsidR="008D6F13" w:rsidRDefault="008D6F13" w:rsidP="0031078F">
            <w:r>
              <w:t>Earthworks</w:t>
            </w:r>
          </w:p>
        </w:tc>
        <w:tc>
          <w:tcPr>
            <w:tcW w:w="794" w:type="dxa"/>
            <w:tcBorders>
              <w:bottom w:val="single" w:sz="6" w:space="0" w:color="auto"/>
            </w:tcBorders>
          </w:tcPr>
          <w:p w14:paraId="763C133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924</w:t>
            </w:r>
          </w:p>
        </w:tc>
        <w:tc>
          <w:tcPr>
            <w:tcW w:w="794" w:type="dxa"/>
            <w:tcBorders>
              <w:bottom w:val="single" w:sz="6" w:space="0" w:color="auto"/>
            </w:tcBorders>
          </w:tcPr>
          <w:p w14:paraId="79B9D65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924</w:t>
            </w:r>
          </w:p>
        </w:tc>
        <w:tc>
          <w:tcPr>
            <w:tcW w:w="794" w:type="dxa"/>
            <w:tcBorders>
              <w:bottom w:val="single" w:sz="6" w:space="0" w:color="auto"/>
            </w:tcBorders>
          </w:tcPr>
          <w:p w14:paraId="696155D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924</w:t>
            </w:r>
          </w:p>
        </w:tc>
        <w:tc>
          <w:tcPr>
            <w:tcW w:w="794" w:type="dxa"/>
            <w:tcBorders>
              <w:bottom w:val="single" w:sz="6" w:space="0" w:color="auto"/>
            </w:tcBorders>
          </w:tcPr>
          <w:p w14:paraId="56282CB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924</w:t>
            </w:r>
          </w:p>
        </w:tc>
        <w:tc>
          <w:tcPr>
            <w:tcW w:w="794" w:type="dxa"/>
            <w:tcBorders>
              <w:bottom w:val="single" w:sz="6" w:space="0" w:color="auto"/>
            </w:tcBorders>
          </w:tcPr>
          <w:p w14:paraId="5E4961F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999</w:t>
            </w:r>
          </w:p>
        </w:tc>
      </w:tr>
      <w:tr w:rsidR="008D6F13" w14:paraId="0DAE933B"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CA31B82" w14:textId="77777777" w:rsidR="008D6F13" w:rsidRDefault="008D6F13" w:rsidP="0031078F">
            <w:r>
              <w:rPr>
                <w:b/>
              </w:rPr>
              <w:t xml:space="preserve">Total service concession assets: land, buildings, infrastructure, </w:t>
            </w:r>
            <w:proofErr w:type="gramStart"/>
            <w:r>
              <w:rPr>
                <w:b/>
              </w:rPr>
              <w:t>plant</w:t>
            </w:r>
            <w:proofErr w:type="gramEnd"/>
            <w:r>
              <w:rPr>
                <w:b/>
              </w:rPr>
              <w:t xml:space="preserve"> and equipment</w:t>
            </w:r>
          </w:p>
        </w:tc>
        <w:tc>
          <w:tcPr>
            <w:tcW w:w="794" w:type="dxa"/>
          </w:tcPr>
          <w:p w14:paraId="186351A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26 018</w:t>
            </w:r>
          </w:p>
        </w:tc>
        <w:tc>
          <w:tcPr>
            <w:tcW w:w="794" w:type="dxa"/>
          </w:tcPr>
          <w:p w14:paraId="353F234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26 188</w:t>
            </w:r>
          </w:p>
        </w:tc>
        <w:tc>
          <w:tcPr>
            <w:tcW w:w="794" w:type="dxa"/>
          </w:tcPr>
          <w:p w14:paraId="5239C89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29 038</w:t>
            </w:r>
          </w:p>
        </w:tc>
        <w:tc>
          <w:tcPr>
            <w:tcW w:w="794" w:type="dxa"/>
          </w:tcPr>
          <w:p w14:paraId="0DD21D1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30 814</w:t>
            </w:r>
          </w:p>
        </w:tc>
        <w:tc>
          <w:tcPr>
            <w:tcW w:w="794" w:type="dxa"/>
          </w:tcPr>
          <w:p w14:paraId="50B36821" w14:textId="3FF712D3"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31 747</w:t>
            </w:r>
          </w:p>
        </w:tc>
      </w:tr>
    </w:tbl>
    <w:p w14:paraId="7D52FEB8" w14:textId="77777777" w:rsidR="008D6F13" w:rsidRDefault="008D6F13" w:rsidP="008D6F13"/>
    <w:p w14:paraId="7402D333" w14:textId="77777777" w:rsidR="008D6F13" w:rsidRDefault="008D6F13" w:rsidP="008D6F13"/>
    <w:p w14:paraId="2B6D3D32" w14:textId="77777777" w:rsidR="008D6F13" w:rsidRDefault="008D6F13" w:rsidP="008D6F13">
      <w:pPr>
        <w:pStyle w:val="Heading3"/>
        <w:pageBreakBefore/>
        <w:spacing w:after="60"/>
        <w:rPr>
          <w:sz w:val="20"/>
          <w:szCs w:val="20"/>
        </w:rPr>
      </w:pPr>
      <w:bookmarkStart w:id="91" w:name="_Toc85795664"/>
      <w:r w:rsidRPr="00D804E7">
        <w:rPr>
          <w:sz w:val="20"/>
          <w:szCs w:val="20"/>
        </w:rPr>
        <w:lastRenderedPageBreak/>
        <w:t>Depreciation</w:t>
      </w:r>
      <w:r w:rsidRPr="00D804E7">
        <w:rPr>
          <w:sz w:val="20"/>
          <w:szCs w:val="20"/>
        </w:rPr>
        <w:tab/>
        <w:t>($ million)</w:t>
      </w:r>
      <w:bookmarkEnd w:id="91"/>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0DF9CDD2"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18D16FC6" w14:textId="4D05F1E0" w:rsidR="008D6F13" w:rsidRDefault="008D6F13" w:rsidP="0031078F"/>
        </w:tc>
        <w:tc>
          <w:tcPr>
            <w:tcW w:w="794" w:type="dxa"/>
          </w:tcPr>
          <w:p w14:paraId="35B9B2C8"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300C70CF"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685079FB"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726488A4"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15DB0274"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18510AFA"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359B52D" w14:textId="77777777" w:rsidR="008D6F13" w:rsidRDefault="008D6F13" w:rsidP="0031078F">
            <w:r>
              <w:t>Buildings</w:t>
            </w:r>
            <w:r>
              <w:rPr>
                <w:vertAlign w:val="superscript"/>
              </w:rPr>
              <w:t xml:space="preserve"> (a)</w:t>
            </w:r>
          </w:p>
        </w:tc>
        <w:tc>
          <w:tcPr>
            <w:tcW w:w="794" w:type="dxa"/>
          </w:tcPr>
          <w:p w14:paraId="6388488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2 245</w:t>
            </w:r>
          </w:p>
        </w:tc>
        <w:tc>
          <w:tcPr>
            <w:tcW w:w="794" w:type="dxa"/>
          </w:tcPr>
          <w:p w14:paraId="7E5434D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2 216</w:t>
            </w:r>
          </w:p>
        </w:tc>
        <w:tc>
          <w:tcPr>
            <w:tcW w:w="794" w:type="dxa"/>
          </w:tcPr>
          <w:p w14:paraId="7F7B2FD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2 316</w:t>
            </w:r>
          </w:p>
        </w:tc>
        <w:tc>
          <w:tcPr>
            <w:tcW w:w="794" w:type="dxa"/>
          </w:tcPr>
          <w:p w14:paraId="33E6EC9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2 360</w:t>
            </w:r>
          </w:p>
        </w:tc>
        <w:tc>
          <w:tcPr>
            <w:tcW w:w="794" w:type="dxa"/>
          </w:tcPr>
          <w:p w14:paraId="3D0F8AE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2 532</w:t>
            </w:r>
          </w:p>
        </w:tc>
      </w:tr>
      <w:tr w:rsidR="008D6F13" w14:paraId="34854F21"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81ED5BC" w14:textId="77777777" w:rsidR="008D6F13" w:rsidRDefault="008D6F13" w:rsidP="0031078F">
            <w:r>
              <w:t>Infrastructure systems</w:t>
            </w:r>
          </w:p>
        </w:tc>
        <w:tc>
          <w:tcPr>
            <w:tcW w:w="794" w:type="dxa"/>
          </w:tcPr>
          <w:p w14:paraId="51FA80F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52</w:t>
            </w:r>
          </w:p>
        </w:tc>
        <w:tc>
          <w:tcPr>
            <w:tcW w:w="794" w:type="dxa"/>
          </w:tcPr>
          <w:p w14:paraId="12332EC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51</w:t>
            </w:r>
          </w:p>
        </w:tc>
        <w:tc>
          <w:tcPr>
            <w:tcW w:w="794" w:type="dxa"/>
          </w:tcPr>
          <w:p w14:paraId="509612A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53</w:t>
            </w:r>
          </w:p>
        </w:tc>
        <w:tc>
          <w:tcPr>
            <w:tcW w:w="794" w:type="dxa"/>
          </w:tcPr>
          <w:p w14:paraId="2855AD3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53</w:t>
            </w:r>
          </w:p>
        </w:tc>
        <w:tc>
          <w:tcPr>
            <w:tcW w:w="794" w:type="dxa"/>
          </w:tcPr>
          <w:p w14:paraId="79E3D59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59</w:t>
            </w:r>
          </w:p>
        </w:tc>
      </w:tr>
      <w:tr w:rsidR="008D6F13" w14:paraId="4C2E5C28"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9398006" w14:textId="77777777" w:rsidR="008D6F13" w:rsidRDefault="008D6F13" w:rsidP="0031078F">
            <w:r>
              <w:t xml:space="preserve">Plant, </w:t>
            </w:r>
            <w:proofErr w:type="gramStart"/>
            <w:r>
              <w:t>equipment</w:t>
            </w:r>
            <w:proofErr w:type="gramEnd"/>
            <w:r>
              <w:t xml:space="preserve"> and vehicles</w:t>
            </w:r>
            <w:r>
              <w:rPr>
                <w:vertAlign w:val="superscript"/>
              </w:rPr>
              <w:t xml:space="preserve"> (a)</w:t>
            </w:r>
          </w:p>
        </w:tc>
        <w:tc>
          <w:tcPr>
            <w:tcW w:w="794" w:type="dxa"/>
          </w:tcPr>
          <w:p w14:paraId="2DF15A9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852</w:t>
            </w:r>
          </w:p>
        </w:tc>
        <w:tc>
          <w:tcPr>
            <w:tcW w:w="794" w:type="dxa"/>
          </w:tcPr>
          <w:p w14:paraId="1F2E43B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855</w:t>
            </w:r>
          </w:p>
        </w:tc>
        <w:tc>
          <w:tcPr>
            <w:tcW w:w="794" w:type="dxa"/>
          </w:tcPr>
          <w:p w14:paraId="4CE918B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853</w:t>
            </w:r>
          </w:p>
        </w:tc>
        <w:tc>
          <w:tcPr>
            <w:tcW w:w="794" w:type="dxa"/>
          </w:tcPr>
          <w:p w14:paraId="25666F7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848</w:t>
            </w:r>
          </w:p>
        </w:tc>
        <w:tc>
          <w:tcPr>
            <w:tcW w:w="794" w:type="dxa"/>
          </w:tcPr>
          <w:p w14:paraId="65CEDE2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850</w:t>
            </w:r>
          </w:p>
        </w:tc>
      </w:tr>
      <w:tr w:rsidR="008D6F13" w14:paraId="6F6A48A8"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9925561" w14:textId="77777777" w:rsidR="008D6F13" w:rsidRDefault="008D6F13" w:rsidP="0031078F">
            <w:r>
              <w:t>Roads and road networks</w:t>
            </w:r>
            <w:r>
              <w:rPr>
                <w:vertAlign w:val="superscript"/>
              </w:rPr>
              <w:t xml:space="preserve"> (a)</w:t>
            </w:r>
          </w:p>
        </w:tc>
        <w:tc>
          <w:tcPr>
            <w:tcW w:w="794" w:type="dxa"/>
          </w:tcPr>
          <w:p w14:paraId="6DE244D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970</w:t>
            </w:r>
          </w:p>
        </w:tc>
        <w:tc>
          <w:tcPr>
            <w:tcW w:w="794" w:type="dxa"/>
          </w:tcPr>
          <w:p w14:paraId="1C7743A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968</w:t>
            </w:r>
          </w:p>
        </w:tc>
        <w:tc>
          <w:tcPr>
            <w:tcW w:w="794" w:type="dxa"/>
          </w:tcPr>
          <w:p w14:paraId="266AE77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983</w:t>
            </w:r>
          </w:p>
        </w:tc>
        <w:tc>
          <w:tcPr>
            <w:tcW w:w="794" w:type="dxa"/>
          </w:tcPr>
          <w:p w14:paraId="6E3F520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995</w:t>
            </w:r>
          </w:p>
        </w:tc>
        <w:tc>
          <w:tcPr>
            <w:tcW w:w="794" w:type="dxa"/>
          </w:tcPr>
          <w:p w14:paraId="0E3A58B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1 205</w:t>
            </w:r>
          </w:p>
        </w:tc>
      </w:tr>
      <w:tr w:rsidR="008D6F13" w14:paraId="0A0F0BB6"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B724F9D" w14:textId="77777777" w:rsidR="008D6F13" w:rsidRDefault="008D6F13" w:rsidP="0031078F">
            <w:r>
              <w:t>Cultural assets</w:t>
            </w:r>
          </w:p>
        </w:tc>
        <w:tc>
          <w:tcPr>
            <w:tcW w:w="794" w:type="dxa"/>
          </w:tcPr>
          <w:p w14:paraId="4B651A2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w:t>
            </w:r>
          </w:p>
        </w:tc>
        <w:tc>
          <w:tcPr>
            <w:tcW w:w="794" w:type="dxa"/>
          </w:tcPr>
          <w:p w14:paraId="00A9BF3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w:t>
            </w:r>
          </w:p>
        </w:tc>
        <w:tc>
          <w:tcPr>
            <w:tcW w:w="794" w:type="dxa"/>
          </w:tcPr>
          <w:p w14:paraId="0B18469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w:t>
            </w:r>
          </w:p>
        </w:tc>
        <w:tc>
          <w:tcPr>
            <w:tcW w:w="794" w:type="dxa"/>
          </w:tcPr>
          <w:p w14:paraId="3D57F00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w:t>
            </w:r>
          </w:p>
        </w:tc>
        <w:tc>
          <w:tcPr>
            <w:tcW w:w="794" w:type="dxa"/>
          </w:tcPr>
          <w:p w14:paraId="719F5F1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w:t>
            </w:r>
          </w:p>
        </w:tc>
      </w:tr>
      <w:tr w:rsidR="008D6F13" w14:paraId="31D6752E"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7E40F465" w14:textId="77777777" w:rsidR="008D6F13" w:rsidRDefault="008D6F13" w:rsidP="0031078F">
            <w:r>
              <w:t>Intangible produced assets</w:t>
            </w:r>
            <w:r>
              <w:rPr>
                <w:vertAlign w:val="superscript"/>
              </w:rPr>
              <w:t xml:space="preserve"> (b)</w:t>
            </w:r>
          </w:p>
        </w:tc>
        <w:tc>
          <w:tcPr>
            <w:tcW w:w="794" w:type="dxa"/>
            <w:tcBorders>
              <w:bottom w:val="single" w:sz="6" w:space="0" w:color="auto"/>
            </w:tcBorders>
          </w:tcPr>
          <w:p w14:paraId="1CECB82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260</w:t>
            </w:r>
          </w:p>
        </w:tc>
        <w:tc>
          <w:tcPr>
            <w:tcW w:w="794" w:type="dxa"/>
            <w:tcBorders>
              <w:bottom w:val="single" w:sz="6" w:space="0" w:color="auto"/>
            </w:tcBorders>
          </w:tcPr>
          <w:p w14:paraId="4060CA7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261</w:t>
            </w:r>
          </w:p>
        </w:tc>
        <w:tc>
          <w:tcPr>
            <w:tcW w:w="794" w:type="dxa"/>
            <w:tcBorders>
              <w:bottom w:val="single" w:sz="6" w:space="0" w:color="auto"/>
            </w:tcBorders>
          </w:tcPr>
          <w:p w14:paraId="5C450AF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260</w:t>
            </w:r>
          </w:p>
        </w:tc>
        <w:tc>
          <w:tcPr>
            <w:tcW w:w="794" w:type="dxa"/>
            <w:tcBorders>
              <w:bottom w:val="single" w:sz="6" w:space="0" w:color="auto"/>
            </w:tcBorders>
          </w:tcPr>
          <w:p w14:paraId="5FC221E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258</w:t>
            </w:r>
          </w:p>
        </w:tc>
        <w:tc>
          <w:tcPr>
            <w:tcW w:w="794" w:type="dxa"/>
            <w:tcBorders>
              <w:bottom w:val="single" w:sz="6" w:space="0" w:color="auto"/>
            </w:tcBorders>
          </w:tcPr>
          <w:p w14:paraId="359BB75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261</w:t>
            </w:r>
          </w:p>
        </w:tc>
      </w:tr>
      <w:tr w:rsidR="008D6F13" w14:paraId="7F5EE4B3"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B5A2BFF" w14:textId="77777777" w:rsidR="008D6F13" w:rsidRDefault="008D6F13" w:rsidP="0031078F">
            <w:r>
              <w:rPr>
                <w:b/>
              </w:rPr>
              <w:t>Total depreciation</w:t>
            </w:r>
          </w:p>
        </w:tc>
        <w:tc>
          <w:tcPr>
            <w:tcW w:w="794" w:type="dxa"/>
          </w:tcPr>
          <w:p w14:paraId="1D5697A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4 399</w:t>
            </w:r>
          </w:p>
        </w:tc>
        <w:tc>
          <w:tcPr>
            <w:tcW w:w="794" w:type="dxa"/>
          </w:tcPr>
          <w:p w14:paraId="1E04961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4 367</w:t>
            </w:r>
          </w:p>
        </w:tc>
        <w:tc>
          <w:tcPr>
            <w:tcW w:w="794" w:type="dxa"/>
          </w:tcPr>
          <w:p w14:paraId="30FFDC6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4 481</w:t>
            </w:r>
          </w:p>
        </w:tc>
        <w:tc>
          <w:tcPr>
            <w:tcW w:w="794" w:type="dxa"/>
          </w:tcPr>
          <w:p w14:paraId="62B8588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4 531</w:t>
            </w:r>
          </w:p>
        </w:tc>
        <w:tc>
          <w:tcPr>
            <w:tcW w:w="794" w:type="dxa"/>
          </w:tcPr>
          <w:p w14:paraId="55281FF5" w14:textId="7CBF2BF3"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4 923</w:t>
            </w:r>
          </w:p>
        </w:tc>
      </w:tr>
    </w:tbl>
    <w:p w14:paraId="76789A0A" w14:textId="77777777" w:rsidR="008D6F13" w:rsidRPr="003A1BED" w:rsidRDefault="008D6F13" w:rsidP="008D6F13">
      <w:pPr>
        <w:pStyle w:val="Note"/>
        <w:ind w:left="0" w:firstLine="0"/>
      </w:pPr>
      <w:r w:rsidRPr="003A1BED">
        <w:t>Notes:</w:t>
      </w:r>
    </w:p>
    <w:p w14:paraId="0BBA6AF2" w14:textId="77777777" w:rsidR="008D6F13" w:rsidRPr="003A1BED" w:rsidRDefault="008D6F13" w:rsidP="008D6F13">
      <w:pPr>
        <w:pStyle w:val="Note"/>
      </w:pPr>
      <w:r w:rsidRPr="003A1BED">
        <w:t>(a)</w:t>
      </w:r>
      <w:r w:rsidRPr="003A1BED">
        <w:tab/>
        <w:t>Includes estimated depreciation on amounts not yet allocated to projects in 2021-22 to 2024-25.</w:t>
      </w:r>
    </w:p>
    <w:p w14:paraId="09A57C64" w14:textId="77777777" w:rsidR="008D6F13" w:rsidRPr="003A1BED" w:rsidRDefault="008D6F13" w:rsidP="008D6F13">
      <w:pPr>
        <w:pStyle w:val="Note"/>
      </w:pPr>
      <w:r w:rsidRPr="003A1BED">
        <w:t>(b)</w:t>
      </w:r>
      <w:r w:rsidRPr="003A1BED">
        <w:tab/>
        <w:t>Amortisation of intangible non-produced assets is included under other gains/(losses) from other economic flows.</w:t>
      </w:r>
    </w:p>
    <w:p w14:paraId="2CA1BDD4" w14:textId="77777777" w:rsidR="008D6F13" w:rsidRPr="003A1BED" w:rsidRDefault="008D6F13" w:rsidP="008D6F13"/>
    <w:p w14:paraId="53FC3C04" w14:textId="77777777" w:rsidR="008D6F13" w:rsidRPr="003A1BED" w:rsidRDefault="008D6F13" w:rsidP="008D6F13">
      <w:r w:rsidRPr="003A1BED">
        <w:t>The following two tables are subsets of total depreciation expense.</w:t>
      </w:r>
    </w:p>
    <w:p w14:paraId="0E9742AB" w14:textId="77777777" w:rsidR="008D6F13" w:rsidRDefault="008D6F13" w:rsidP="008D6F13">
      <w:pPr>
        <w:pStyle w:val="TableHeading"/>
      </w:pPr>
      <w:r w:rsidRPr="003A1BED">
        <w:t>Depreciation of right-of-use (leased) assets</w:t>
      </w:r>
      <w:r w:rsidRPr="003A1BED">
        <w:tab/>
        <w:t>($ million)</w:t>
      </w:r>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1321E91A"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5BE54C19" w14:textId="3D0F47A0" w:rsidR="008D6F13" w:rsidRDefault="008D6F13" w:rsidP="0031078F"/>
        </w:tc>
        <w:tc>
          <w:tcPr>
            <w:tcW w:w="794" w:type="dxa"/>
          </w:tcPr>
          <w:p w14:paraId="06A53AD8"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0BCF293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256C0389"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3BD0643B"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44A1ED85"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5EF7016D"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nil"/>
            </w:tcBorders>
          </w:tcPr>
          <w:p w14:paraId="16F83F7F" w14:textId="77777777" w:rsidR="008D6F13" w:rsidRDefault="008D6F13" w:rsidP="0031078F">
            <w:r>
              <w:t>Buildings</w:t>
            </w:r>
          </w:p>
        </w:tc>
        <w:tc>
          <w:tcPr>
            <w:tcW w:w="794" w:type="dxa"/>
            <w:tcBorders>
              <w:bottom w:val="nil"/>
            </w:tcBorders>
          </w:tcPr>
          <w:p w14:paraId="4CA8B5B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658</w:t>
            </w:r>
          </w:p>
        </w:tc>
        <w:tc>
          <w:tcPr>
            <w:tcW w:w="794" w:type="dxa"/>
            <w:tcBorders>
              <w:bottom w:val="nil"/>
            </w:tcBorders>
          </w:tcPr>
          <w:p w14:paraId="7F4F16D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696</w:t>
            </w:r>
          </w:p>
        </w:tc>
        <w:tc>
          <w:tcPr>
            <w:tcW w:w="794" w:type="dxa"/>
            <w:tcBorders>
              <w:bottom w:val="nil"/>
            </w:tcBorders>
          </w:tcPr>
          <w:p w14:paraId="182D657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692</w:t>
            </w:r>
          </w:p>
        </w:tc>
        <w:tc>
          <w:tcPr>
            <w:tcW w:w="794" w:type="dxa"/>
            <w:tcBorders>
              <w:bottom w:val="nil"/>
            </w:tcBorders>
          </w:tcPr>
          <w:p w14:paraId="209A7B3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654</w:t>
            </w:r>
          </w:p>
        </w:tc>
        <w:tc>
          <w:tcPr>
            <w:tcW w:w="794" w:type="dxa"/>
            <w:tcBorders>
              <w:bottom w:val="nil"/>
            </w:tcBorders>
          </w:tcPr>
          <w:p w14:paraId="6174F56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707</w:t>
            </w:r>
          </w:p>
        </w:tc>
      </w:tr>
      <w:tr w:rsidR="008D6F13" w14:paraId="279F1191"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4" w:space="0" w:color="auto"/>
            </w:tcBorders>
          </w:tcPr>
          <w:p w14:paraId="44FE955A" w14:textId="77777777" w:rsidR="008D6F13" w:rsidRDefault="008D6F13" w:rsidP="0031078F">
            <w:r>
              <w:t xml:space="preserve">Plant, </w:t>
            </w:r>
            <w:proofErr w:type="gramStart"/>
            <w:r>
              <w:t>equipment</w:t>
            </w:r>
            <w:proofErr w:type="gramEnd"/>
            <w:r>
              <w:t xml:space="preserve"> and vehicles</w:t>
            </w:r>
          </w:p>
        </w:tc>
        <w:tc>
          <w:tcPr>
            <w:tcW w:w="794" w:type="dxa"/>
            <w:tcBorders>
              <w:bottom w:val="single" w:sz="4" w:space="0" w:color="auto"/>
            </w:tcBorders>
          </w:tcPr>
          <w:p w14:paraId="75B486F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120</w:t>
            </w:r>
          </w:p>
        </w:tc>
        <w:tc>
          <w:tcPr>
            <w:tcW w:w="794" w:type="dxa"/>
            <w:tcBorders>
              <w:bottom w:val="single" w:sz="4" w:space="0" w:color="auto"/>
            </w:tcBorders>
          </w:tcPr>
          <w:p w14:paraId="29AAB9C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128</w:t>
            </w:r>
          </w:p>
        </w:tc>
        <w:tc>
          <w:tcPr>
            <w:tcW w:w="794" w:type="dxa"/>
            <w:tcBorders>
              <w:bottom w:val="single" w:sz="4" w:space="0" w:color="auto"/>
            </w:tcBorders>
          </w:tcPr>
          <w:p w14:paraId="15A6C1E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123</w:t>
            </w:r>
          </w:p>
        </w:tc>
        <w:tc>
          <w:tcPr>
            <w:tcW w:w="794" w:type="dxa"/>
            <w:tcBorders>
              <w:bottom w:val="single" w:sz="4" w:space="0" w:color="auto"/>
            </w:tcBorders>
          </w:tcPr>
          <w:p w14:paraId="396A230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123</w:t>
            </w:r>
          </w:p>
        </w:tc>
        <w:tc>
          <w:tcPr>
            <w:tcW w:w="794" w:type="dxa"/>
            <w:tcBorders>
              <w:bottom w:val="single" w:sz="4" w:space="0" w:color="auto"/>
            </w:tcBorders>
          </w:tcPr>
          <w:p w14:paraId="37CF528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122</w:t>
            </w:r>
          </w:p>
        </w:tc>
      </w:tr>
      <w:tr w:rsidR="008D6F13" w14:paraId="0E4DD215"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4" w:space="0" w:color="auto"/>
            </w:tcBorders>
          </w:tcPr>
          <w:p w14:paraId="1C71A472" w14:textId="77777777" w:rsidR="008D6F13" w:rsidRDefault="008D6F13" w:rsidP="0031078F">
            <w:r>
              <w:rPr>
                <w:b/>
              </w:rPr>
              <w:t>Total depreciation of right</w:t>
            </w:r>
            <w:r>
              <w:rPr>
                <w:b/>
              </w:rPr>
              <w:noBreakHyphen/>
              <w:t>of</w:t>
            </w:r>
            <w:r>
              <w:rPr>
                <w:b/>
              </w:rPr>
              <w:noBreakHyphen/>
              <w:t>use assets</w:t>
            </w:r>
          </w:p>
        </w:tc>
        <w:tc>
          <w:tcPr>
            <w:tcW w:w="794" w:type="dxa"/>
            <w:tcBorders>
              <w:top w:val="single" w:sz="4" w:space="0" w:color="auto"/>
            </w:tcBorders>
          </w:tcPr>
          <w:p w14:paraId="4EBE68C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777</w:t>
            </w:r>
          </w:p>
        </w:tc>
        <w:tc>
          <w:tcPr>
            <w:tcW w:w="794" w:type="dxa"/>
            <w:tcBorders>
              <w:top w:val="single" w:sz="4" w:space="0" w:color="auto"/>
            </w:tcBorders>
          </w:tcPr>
          <w:p w14:paraId="79C773E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824</w:t>
            </w:r>
          </w:p>
        </w:tc>
        <w:tc>
          <w:tcPr>
            <w:tcW w:w="794" w:type="dxa"/>
            <w:tcBorders>
              <w:top w:val="single" w:sz="4" w:space="0" w:color="auto"/>
            </w:tcBorders>
          </w:tcPr>
          <w:p w14:paraId="73B7948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815</w:t>
            </w:r>
          </w:p>
        </w:tc>
        <w:tc>
          <w:tcPr>
            <w:tcW w:w="794" w:type="dxa"/>
            <w:tcBorders>
              <w:top w:val="single" w:sz="4" w:space="0" w:color="auto"/>
            </w:tcBorders>
          </w:tcPr>
          <w:p w14:paraId="64C8FC4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777</w:t>
            </w:r>
          </w:p>
        </w:tc>
        <w:tc>
          <w:tcPr>
            <w:tcW w:w="794" w:type="dxa"/>
            <w:tcBorders>
              <w:top w:val="single" w:sz="4" w:space="0" w:color="auto"/>
            </w:tcBorders>
          </w:tcPr>
          <w:p w14:paraId="0D83A496" w14:textId="142DD349"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829</w:t>
            </w:r>
          </w:p>
        </w:tc>
      </w:tr>
    </w:tbl>
    <w:p w14:paraId="5A811CF6" w14:textId="77777777" w:rsidR="008D6F13" w:rsidRDefault="008D6F13" w:rsidP="008D6F13"/>
    <w:p w14:paraId="2640DF16" w14:textId="77777777" w:rsidR="008D6F13" w:rsidRDefault="008D6F13" w:rsidP="008D6F13">
      <w:pPr>
        <w:pStyle w:val="TableHeading"/>
      </w:pPr>
      <w:r w:rsidRPr="00D804E7">
        <w:t>Depreciation of service concession assets</w:t>
      </w:r>
      <w:r w:rsidRPr="00D804E7">
        <w:tab/>
        <w:t>($ million)</w:t>
      </w:r>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7A821BFC"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21BB210A" w14:textId="3E174647" w:rsidR="008D6F13" w:rsidRDefault="008D6F13" w:rsidP="0031078F"/>
        </w:tc>
        <w:tc>
          <w:tcPr>
            <w:tcW w:w="794" w:type="dxa"/>
          </w:tcPr>
          <w:p w14:paraId="22EF528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523CD87B"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0349DAAD"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4356D938"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75D7FFED"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71931863"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C787A2C" w14:textId="77777777" w:rsidR="008D6F13" w:rsidRDefault="008D6F13" w:rsidP="0031078F">
            <w:r>
              <w:t>Buildings</w:t>
            </w:r>
          </w:p>
        </w:tc>
        <w:tc>
          <w:tcPr>
            <w:tcW w:w="794" w:type="dxa"/>
          </w:tcPr>
          <w:p w14:paraId="64F3CBE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47</w:t>
            </w:r>
          </w:p>
        </w:tc>
        <w:tc>
          <w:tcPr>
            <w:tcW w:w="794" w:type="dxa"/>
          </w:tcPr>
          <w:p w14:paraId="77E2B96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47</w:t>
            </w:r>
          </w:p>
        </w:tc>
        <w:tc>
          <w:tcPr>
            <w:tcW w:w="794" w:type="dxa"/>
          </w:tcPr>
          <w:p w14:paraId="4FF0A09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47</w:t>
            </w:r>
          </w:p>
        </w:tc>
        <w:tc>
          <w:tcPr>
            <w:tcW w:w="794" w:type="dxa"/>
          </w:tcPr>
          <w:p w14:paraId="5D4E26A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47</w:t>
            </w:r>
          </w:p>
        </w:tc>
        <w:tc>
          <w:tcPr>
            <w:tcW w:w="794" w:type="dxa"/>
          </w:tcPr>
          <w:p w14:paraId="1A2DFEC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47</w:t>
            </w:r>
          </w:p>
        </w:tc>
      </w:tr>
      <w:tr w:rsidR="008D6F13" w14:paraId="45DA95A8"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31B8BD8" w14:textId="77777777" w:rsidR="008D6F13" w:rsidRDefault="008D6F13" w:rsidP="0031078F">
            <w:r>
              <w:t xml:space="preserve">Plant, </w:t>
            </w:r>
            <w:proofErr w:type="gramStart"/>
            <w:r>
              <w:t>equipment</w:t>
            </w:r>
            <w:proofErr w:type="gramEnd"/>
            <w:r>
              <w:t xml:space="preserve"> and vehicles</w:t>
            </w:r>
          </w:p>
        </w:tc>
        <w:tc>
          <w:tcPr>
            <w:tcW w:w="794" w:type="dxa"/>
          </w:tcPr>
          <w:p w14:paraId="42D0BD4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28</w:t>
            </w:r>
          </w:p>
        </w:tc>
        <w:tc>
          <w:tcPr>
            <w:tcW w:w="794" w:type="dxa"/>
          </w:tcPr>
          <w:p w14:paraId="5CFB190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28</w:t>
            </w:r>
          </w:p>
        </w:tc>
        <w:tc>
          <w:tcPr>
            <w:tcW w:w="794" w:type="dxa"/>
          </w:tcPr>
          <w:p w14:paraId="27FBE42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28</w:t>
            </w:r>
          </w:p>
        </w:tc>
        <w:tc>
          <w:tcPr>
            <w:tcW w:w="794" w:type="dxa"/>
          </w:tcPr>
          <w:p w14:paraId="056C985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28</w:t>
            </w:r>
          </w:p>
        </w:tc>
        <w:tc>
          <w:tcPr>
            <w:tcW w:w="794" w:type="dxa"/>
          </w:tcPr>
          <w:p w14:paraId="321E0CB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28</w:t>
            </w:r>
          </w:p>
        </w:tc>
      </w:tr>
      <w:tr w:rsidR="008D6F13" w14:paraId="20F95771"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DAC2B51" w14:textId="77777777" w:rsidR="008D6F13" w:rsidRDefault="008D6F13" w:rsidP="0031078F">
            <w:r>
              <w:t>Roads and road infrastructure</w:t>
            </w:r>
          </w:p>
        </w:tc>
        <w:tc>
          <w:tcPr>
            <w:tcW w:w="794" w:type="dxa"/>
          </w:tcPr>
          <w:p w14:paraId="0106A1B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201</w:t>
            </w:r>
          </w:p>
        </w:tc>
        <w:tc>
          <w:tcPr>
            <w:tcW w:w="794" w:type="dxa"/>
          </w:tcPr>
          <w:p w14:paraId="767784E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201</w:t>
            </w:r>
          </w:p>
        </w:tc>
        <w:tc>
          <w:tcPr>
            <w:tcW w:w="794" w:type="dxa"/>
          </w:tcPr>
          <w:p w14:paraId="6233A44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199</w:t>
            </w:r>
          </w:p>
        </w:tc>
        <w:tc>
          <w:tcPr>
            <w:tcW w:w="794" w:type="dxa"/>
          </w:tcPr>
          <w:p w14:paraId="7232534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178</w:t>
            </w:r>
          </w:p>
        </w:tc>
        <w:tc>
          <w:tcPr>
            <w:tcW w:w="794" w:type="dxa"/>
          </w:tcPr>
          <w:p w14:paraId="0FB1543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316</w:t>
            </w:r>
          </w:p>
        </w:tc>
      </w:tr>
      <w:tr w:rsidR="008D6F13" w14:paraId="02C3EAD4"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189C5522" w14:textId="77777777" w:rsidR="008D6F13" w:rsidRDefault="008D6F13" w:rsidP="0031078F">
            <w:r>
              <w:t>Intangible produced assets</w:t>
            </w:r>
          </w:p>
        </w:tc>
        <w:tc>
          <w:tcPr>
            <w:tcW w:w="794" w:type="dxa"/>
            <w:tcBorders>
              <w:bottom w:val="single" w:sz="6" w:space="0" w:color="auto"/>
            </w:tcBorders>
          </w:tcPr>
          <w:p w14:paraId="407AACF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3D4AD26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7A77971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58ECDC2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w:t>
            </w:r>
          </w:p>
        </w:tc>
        <w:tc>
          <w:tcPr>
            <w:tcW w:w="794" w:type="dxa"/>
            <w:tcBorders>
              <w:bottom w:val="single" w:sz="6" w:space="0" w:color="auto"/>
            </w:tcBorders>
          </w:tcPr>
          <w:p w14:paraId="11C662A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w:t>
            </w:r>
          </w:p>
        </w:tc>
      </w:tr>
      <w:tr w:rsidR="008D6F13" w14:paraId="66523487"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1147D0A" w14:textId="77777777" w:rsidR="008D6F13" w:rsidRDefault="008D6F13" w:rsidP="0031078F">
            <w:r>
              <w:rPr>
                <w:b/>
              </w:rPr>
              <w:t>Total depreciation of service concession assets</w:t>
            </w:r>
          </w:p>
        </w:tc>
        <w:tc>
          <w:tcPr>
            <w:tcW w:w="794" w:type="dxa"/>
          </w:tcPr>
          <w:p w14:paraId="7A0DC10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278</w:t>
            </w:r>
          </w:p>
        </w:tc>
        <w:tc>
          <w:tcPr>
            <w:tcW w:w="794" w:type="dxa"/>
          </w:tcPr>
          <w:p w14:paraId="7CB3E71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278</w:t>
            </w:r>
          </w:p>
        </w:tc>
        <w:tc>
          <w:tcPr>
            <w:tcW w:w="794" w:type="dxa"/>
          </w:tcPr>
          <w:p w14:paraId="1CB52F6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276</w:t>
            </w:r>
          </w:p>
        </w:tc>
        <w:tc>
          <w:tcPr>
            <w:tcW w:w="794" w:type="dxa"/>
          </w:tcPr>
          <w:p w14:paraId="6DE8585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255</w:t>
            </w:r>
          </w:p>
        </w:tc>
        <w:tc>
          <w:tcPr>
            <w:tcW w:w="794" w:type="dxa"/>
          </w:tcPr>
          <w:p w14:paraId="0592A861" w14:textId="29D3D175"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393</w:t>
            </w:r>
          </w:p>
        </w:tc>
      </w:tr>
    </w:tbl>
    <w:p w14:paraId="7AB60E15" w14:textId="77777777" w:rsidR="008D6F13" w:rsidRDefault="008D6F13" w:rsidP="008D6F13"/>
    <w:p w14:paraId="3547432D" w14:textId="77777777" w:rsidR="008D6F13" w:rsidRDefault="008D6F13" w:rsidP="008D6F13">
      <w:pPr>
        <w:pStyle w:val="Heading3"/>
        <w:pageBreakBefore/>
        <w:spacing w:after="60"/>
        <w:rPr>
          <w:sz w:val="20"/>
          <w:szCs w:val="20"/>
        </w:rPr>
      </w:pPr>
      <w:bookmarkStart w:id="92" w:name="_Toc85795665"/>
      <w:r w:rsidRPr="00D804E7">
        <w:rPr>
          <w:sz w:val="20"/>
          <w:szCs w:val="20"/>
        </w:rPr>
        <w:lastRenderedPageBreak/>
        <w:t xml:space="preserve">Reconciliation of movements in land, buildings, infrastructure, </w:t>
      </w:r>
      <w:r>
        <w:rPr>
          <w:sz w:val="20"/>
          <w:szCs w:val="20"/>
        </w:rPr>
        <w:br/>
      </w:r>
      <w:r w:rsidRPr="00D804E7">
        <w:rPr>
          <w:sz w:val="20"/>
          <w:szCs w:val="20"/>
        </w:rPr>
        <w:t xml:space="preserve">plant and equipment </w:t>
      </w:r>
      <w:r w:rsidRPr="00CA7F89">
        <w:rPr>
          <w:sz w:val="20"/>
          <w:szCs w:val="20"/>
          <w:vertAlign w:val="superscript"/>
        </w:rPr>
        <w:t>(a)</w:t>
      </w:r>
      <w:r w:rsidRPr="00D804E7">
        <w:rPr>
          <w:sz w:val="20"/>
          <w:szCs w:val="20"/>
        </w:rPr>
        <w:tab/>
        <w:t>($ million)</w:t>
      </w:r>
      <w:bookmarkEnd w:id="92"/>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72D3C37F"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09E8DF75" w14:textId="6742B1E4" w:rsidR="008D6F13" w:rsidRDefault="008D6F13" w:rsidP="0031078F"/>
        </w:tc>
        <w:tc>
          <w:tcPr>
            <w:tcW w:w="794" w:type="dxa"/>
          </w:tcPr>
          <w:p w14:paraId="45D13145"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br/>
              <w:t>budget</w:t>
            </w:r>
          </w:p>
        </w:tc>
        <w:tc>
          <w:tcPr>
            <w:tcW w:w="794" w:type="dxa"/>
          </w:tcPr>
          <w:p w14:paraId="055BEC87"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br/>
              <w:t>revised</w:t>
            </w:r>
          </w:p>
        </w:tc>
        <w:tc>
          <w:tcPr>
            <w:tcW w:w="794" w:type="dxa"/>
          </w:tcPr>
          <w:p w14:paraId="328D9CF5"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br/>
              <w:t>estimate</w:t>
            </w:r>
          </w:p>
        </w:tc>
        <w:tc>
          <w:tcPr>
            <w:tcW w:w="794" w:type="dxa"/>
          </w:tcPr>
          <w:p w14:paraId="7DCB3965"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br/>
              <w:t>estimate</w:t>
            </w:r>
          </w:p>
        </w:tc>
        <w:tc>
          <w:tcPr>
            <w:tcW w:w="794" w:type="dxa"/>
          </w:tcPr>
          <w:p w14:paraId="7865C216"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2025</w:t>
            </w:r>
            <w:r>
              <w:br/>
              <w:t>estimate</w:t>
            </w:r>
          </w:p>
        </w:tc>
      </w:tr>
      <w:tr w:rsidR="008D6F13" w14:paraId="6FBF8F69"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0FFC291" w14:textId="77777777" w:rsidR="008D6F13" w:rsidRDefault="008D6F13" w:rsidP="0031078F">
            <w:r>
              <w:t>Carrying amount at the start of the year</w:t>
            </w:r>
          </w:p>
        </w:tc>
        <w:tc>
          <w:tcPr>
            <w:tcW w:w="794" w:type="dxa"/>
          </w:tcPr>
          <w:p w14:paraId="2ED8100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195 592</w:t>
            </w:r>
          </w:p>
        </w:tc>
        <w:tc>
          <w:tcPr>
            <w:tcW w:w="794" w:type="dxa"/>
          </w:tcPr>
          <w:p w14:paraId="31EB2D0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195 592</w:t>
            </w:r>
          </w:p>
        </w:tc>
        <w:tc>
          <w:tcPr>
            <w:tcW w:w="794" w:type="dxa"/>
          </w:tcPr>
          <w:p w14:paraId="262BAC5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205 561</w:t>
            </w:r>
          </w:p>
        </w:tc>
        <w:tc>
          <w:tcPr>
            <w:tcW w:w="794" w:type="dxa"/>
          </w:tcPr>
          <w:p w14:paraId="747EE83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220 254</w:t>
            </w:r>
          </w:p>
        </w:tc>
        <w:tc>
          <w:tcPr>
            <w:tcW w:w="794" w:type="dxa"/>
          </w:tcPr>
          <w:p w14:paraId="43A017D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239 497</w:t>
            </w:r>
          </w:p>
        </w:tc>
      </w:tr>
      <w:tr w:rsidR="008D6F13" w14:paraId="433A09B3"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2ED9619" w14:textId="77777777" w:rsidR="008D6F13" w:rsidRDefault="008D6F13" w:rsidP="0031078F">
            <w:r>
              <w:t>Additions of self</w:t>
            </w:r>
            <w:r>
              <w:noBreakHyphen/>
              <w:t>owned assets</w:t>
            </w:r>
            <w:r>
              <w:rPr>
                <w:vertAlign w:val="superscript"/>
              </w:rPr>
              <w:t xml:space="preserve"> (b)</w:t>
            </w:r>
          </w:p>
        </w:tc>
        <w:tc>
          <w:tcPr>
            <w:tcW w:w="794" w:type="dxa"/>
          </w:tcPr>
          <w:p w14:paraId="0FA406B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20 031</w:t>
            </w:r>
          </w:p>
        </w:tc>
        <w:tc>
          <w:tcPr>
            <w:tcW w:w="794" w:type="dxa"/>
          </w:tcPr>
          <w:p w14:paraId="22A3495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13 259</w:t>
            </w:r>
          </w:p>
        </w:tc>
        <w:tc>
          <w:tcPr>
            <w:tcW w:w="794" w:type="dxa"/>
          </w:tcPr>
          <w:p w14:paraId="6D416FC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17 349</w:t>
            </w:r>
          </w:p>
        </w:tc>
        <w:tc>
          <w:tcPr>
            <w:tcW w:w="794" w:type="dxa"/>
          </w:tcPr>
          <w:p w14:paraId="026A626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20 917</w:t>
            </w:r>
          </w:p>
        </w:tc>
        <w:tc>
          <w:tcPr>
            <w:tcW w:w="794" w:type="dxa"/>
          </w:tcPr>
          <w:p w14:paraId="464E41A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21 666</w:t>
            </w:r>
          </w:p>
        </w:tc>
      </w:tr>
      <w:tr w:rsidR="008D6F13" w14:paraId="4E1C4381"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492FAEF" w14:textId="77777777" w:rsidR="008D6F13" w:rsidRDefault="008D6F13" w:rsidP="0031078F">
            <w:r>
              <w:t>Additions of right</w:t>
            </w:r>
            <w:r>
              <w:noBreakHyphen/>
              <w:t>of</w:t>
            </w:r>
            <w:r>
              <w:noBreakHyphen/>
              <w:t>use assets</w:t>
            </w:r>
          </w:p>
        </w:tc>
        <w:tc>
          <w:tcPr>
            <w:tcW w:w="794" w:type="dxa"/>
          </w:tcPr>
          <w:p w14:paraId="35B173A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240</w:t>
            </w:r>
          </w:p>
        </w:tc>
        <w:tc>
          <w:tcPr>
            <w:tcW w:w="794" w:type="dxa"/>
          </w:tcPr>
          <w:p w14:paraId="73AF66F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293</w:t>
            </w:r>
          </w:p>
        </w:tc>
        <w:tc>
          <w:tcPr>
            <w:tcW w:w="794" w:type="dxa"/>
          </w:tcPr>
          <w:p w14:paraId="2B0D4D7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155</w:t>
            </w:r>
          </w:p>
        </w:tc>
        <w:tc>
          <w:tcPr>
            <w:tcW w:w="794" w:type="dxa"/>
          </w:tcPr>
          <w:p w14:paraId="3861E2A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135</w:t>
            </w:r>
          </w:p>
        </w:tc>
        <w:tc>
          <w:tcPr>
            <w:tcW w:w="794" w:type="dxa"/>
          </w:tcPr>
          <w:p w14:paraId="1E41671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157</w:t>
            </w:r>
          </w:p>
        </w:tc>
      </w:tr>
      <w:tr w:rsidR="008D6F13" w14:paraId="0348B13D"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D569284" w14:textId="77777777" w:rsidR="008D6F13" w:rsidRDefault="008D6F13" w:rsidP="0031078F">
            <w:r>
              <w:t>Additions of service concession arrangement assets</w:t>
            </w:r>
          </w:p>
        </w:tc>
        <w:tc>
          <w:tcPr>
            <w:tcW w:w="794" w:type="dxa"/>
          </w:tcPr>
          <w:p w14:paraId="6D3FA5F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2 182</w:t>
            </w:r>
          </w:p>
        </w:tc>
        <w:tc>
          <w:tcPr>
            <w:tcW w:w="794" w:type="dxa"/>
          </w:tcPr>
          <w:p w14:paraId="3DCE268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2 602</w:t>
            </w:r>
          </w:p>
        </w:tc>
        <w:tc>
          <w:tcPr>
            <w:tcW w:w="794" w:type="dxa"/>
          </w:tcPr>
          <w:p w14:paraId="28A80AC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2 084</w:t>
            </w:r>
          </w:p>
        </w:tc>
        <w:tc>
          <w:tcPr>
            <w:tcW w:w="794" w:type="dxa"/>
          </w:tcPr>
          <w:p w14:paraId="51B2BEC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1 239</w:t>
            </w:r>
          </w:p>
        </w:tc>
        <w:tc>
          <w:tcPr>
            <w:tcW w:w="794" w:type="dxa"/>
          </w:tcPr>
          <w:p w14:paraId="514C9DA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w:t>
            </w:r>
          </w:p>
        </w:tc>
      </w:tr>
      <w:tr w:rsidR="008D6F13" w14:paraId="71E07019"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6C43306" w14:textId="77777777" w:rsidR="008D6F13" w:rsidRDefault="008D6F13" w:rsidP="0031078F">
            <w:r>
              <w:t>Disposals at written down value</w:t>
            </w:r>
          </w:p>
        </w:tc>
        <w:tc>
          <w:tcPr>
            <w:tcW w:w="794" w:type="dxa"/>
          </w:tcPr>
          <w:p w14:paraId="7FE63A0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(522)</w:t>
            </w:r>
          </w:p>
        </w:tc>
        <w:tc>
          <w:tcPr>
            <w:tcW w:w="794" w:type="dxa"/>
          </w:tcPr>
          <w:p w14:paraId="3E4E29D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(183)</w:t>
            </w:r>
          </w:p>
        </w:tc>
        <w:tc>
          <w:tcPr>
            <w:tcW w:w="794" w:type="dxa"/>
          </w:tcPr>
          <w:p w14:paraId="57A8EA0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(523)</w:t>
            </w:r>
          </w:p>
        </w:tc>
        <w:tc>
          <w:tcPr>
            <w:tcW w:w="794" w:type="dxa"/>
          </w:tcPr>
          <w:p w14:paraId="0626500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(457)</w:t>
            </w:r>
          </w:p>
        </w:tc>
        <w:tc>
          <w:tcPr>
            <w:tcW w:w="794" w:type="dxa"/>
          </w:tcPr>
          <w:p w14:paraId="06D9F03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(379)</w:t>
            </w:r>
          </w:p>
        </w:tc>
      </w:tr>
      <w:tr w:rsidR="008D6F13" w14:paraId="6823E538"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A39694A" w14:textId="77777777" w:rsidR="008D6F13" w:rsidRDefault="008D6F13" w:rsidP="0031078F">
            <w:r>
              <w:t>Revaluations</w:t>
            </w:r>
          </w:p>
        </w:tc>
        <w:tc>
          <w:tcPr>
            <w:tcW w:w="794" w:type="dxa"/>
          </w:tcPr>
          <w:p w14:paraId="17891F9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563</w:t>
            </w:r>
          </w:p>
        </w:tc>
        <w:tc>
          <w:tcPr>
            <w:tcW w:w="794" w:type="dxa"/>
          </w:tcPr>
          <w:p w14:paraId="028E9AD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548</w:t>
            </w:r>
          </w:p>
        </w:tc>
        <w:tc>
          <w:tcPr>
            <w:tcW w:w="794" w:type="dxa"/>
          </w:tcPr>
          <w:p w14:paraId="33D5C9B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7 035</w:t>
            </w:r>
          </w:p>
        </w:tc>
        <w:tc>
          <w:tcPr>
            <w:tcW w:w="794" w:type="dxa"/>
          </w:tcPr>
          <w:p w14:paraId="2BA78AF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6 116</w:t>
            </w:r>
          </w:p>
        </w:tc>
        <w:tc>
          <w:tcPr>
            <w:tcW w:w="794" w:type="dxa"/>
          </w:tcPr>
          <w:p w14:paraId="558B9D7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10 097</w:t>
            </w:r>
          </w:p>
        </w:tc>
      </w:tr>
      <w:tr w:rsidR="008D6F13" w14:paraId="0E720746"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41D8822" w14:textId="77777777" w:rsidR="008D6F13" w:rsidRDefault="008D6F13" w:rsidP="0031078F">
            <w:r>
              <w:t>Asset transfers</w:t>
            </w:r>
            <w:r>
              <w:rPr>
                <w:vertAlign w:val="superscript"/>
              </w:rPr>
              <w:t xml:space="preserve"> (c)</w:t>
            </w:r>
          </w:p>
        </w:tc>
        <w:tc>
          <w:tcPr>
            <w:tcW w:w="794" w:type="dxa"/>
          </w:tcPr>
          <w:p w14:paraId="3BFC64A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(9 896)</w:t>
            </w:r>
          </w:p>
        </w:tc>
        <w:tc>
          <w:tcPr>
            <w:tcW w:w="794" w:type="dxa"/>
          </w:tcPr>
          <w:p w14:paraId="5CAF495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(2 444)</w:t>
            </w:r>
          </w:p>
        </w:tc>
        <w:tc>
          <w:tcPr>
            <w:tcW w:w="794" w:type="dxa"/>
          </w:tcPr>
          <w:p w14:paraId="4B9E730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(7 185)</w:t>
            </w:r>
          </w:p>
        </w:tc>
        <w:tc>
          <w:tcPr>
            <w:tcW w:w="794" w:type="dxa"/>
          </w:tcPr>
          <w:p w14:paraId="18B022F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(4 433)</w:t>
            </w:r>
          </w:p>
        </w:tc>
        <w:tc>
          <w:tcPr>
            <w:tcW w:w="794" w:type="dxa"/>
          </w:tcPr>
          <w:p w14:paraId="38396F5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(3 581)</w:t>
            </w:r>
          </w:p>
        </w:tc>
      </w:tr>
      <w:tr w:rsidR="008D6F13" w14:paraId="1FAE6373"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78DBCA8" w14:textId="77777777" w:rsidR="008D6F13" w:rsidRDefault="008D6F13" w:rsidP="0031078F">
            <w:r>
              <w:t>Depreciation expense</w:t>
            </w:r>
          </w:p>
        </w:tc>
        <w:tc>
          <w:tcPr>
            <w:tcW w:w="794" w:type="dxa"/>
            <w:tcBorders>
              <w:bottom w:val="single" w:sz="6" w:space="0" w:color="auto"/>
            </w:tcBorders>
          </w:tcPr>
          <w:p w14:paraId="238B43A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(4 139)</w:t>
            </w:r>
          </w:p>
        </w:tc>
        <w:tc>
          <w:tcPr>
            <w:tcW w:w="794" w:type="dxa"/>
            <w:tcBorders>
              <w:bottom w:val="single" w:sz="6" w:space="0" w:color="auto"/>
            </w:tcBorders>
          </w:tcPr>
          <w:p w14:paraId="30AF80F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(4 106)</w:t>
            </w:r>
          </w:p>
        </w:tc>
        <w:tc>
          <w:tcPr>
            <w:tcW w:w="794" w:type="dxa"/>
            <w:tcBorders>
              <w:bottom w:val="single" w:sz="6" w:space="0" w:color="auto"/>
            </w:tcBorders>
          </w:tcPr>
          <w:p w14:paraId="57F2492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(4 221)</w:t>
            </w:r>
          </w:p>
        </w:tc>
        <w:tc>
          <w:tcPr>
            <w:tcW w:w="794" w:type="dxa"/>
            <w:tcBorders>
              <w:bottom w:val="single" w:sz="6" w:space="0" w:color="auto"/>
            </w:tcBorders>
          </w:tcPr>
          <w:p w14:paraId="04ED78C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(4 273)</w:t>
            </w:r>
          </w:p>
        </w:tc>
        <w:tc>
          <w:tcPr>
            <w:tcW w:w="794" w:type="dxa"/>
            <w:tcBorders>
              <w:bottom w:val="single" w:sz="6" w:space="0" w:color="auto"/>
            </w:tcBorders>
          </w:tcPr>
          <w:p w14:paraId="253FE7D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(4 662)</w:t>
            </w:r>
          </w:p>
        </w:tc>
      </w:tr>
      <w:tr w:rsidR="008D6F13" w14:paraId="7444D0FE"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029F0AC" w14:textId="77777777" w:rsidR="008D6F13" w:rsidRDefault="008D6F13" w:rsidP="0031078F">
            <w:r>
              <w:rPr>
                <w:b/>
              </w:rPr>
              <w:t>Carrying amount at the end of the year</w:t>
            </w:r>
          </w:p>
        </w:tc>
        <w:tc>
          <w:tcPr>
            <w:tcW w:w="794" w:type="dxa"/>
          </w:tcPr>
          <w:p w14:paraId="6402AB4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204 051</w:t>
            </w:r>
          </w:p>
        </w:tc>
        <w:tc>
          <w:tcPr>
            <w:tcW w:w="794" w:type="dxa"/>
          </w:tcPr>
          <w:p w14:paraId="5572D1B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205 561</w:t>
            </w:r>
          </w:p>
        </w:tc>
        <w:tc>
          <w:tcPr>
            <w:tcW w:w="794" w:type="dxa"/>
          </w:tcPr>
          <w:p w14:paraId="30E41D7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220 254</w:t>
            </w:r>
          </w:p>
        </w:tc>
        <w:tc>
          <w:tcPr>
            <w:tcW w:w="794" w:type="dxa"/>
          </w:tcPr>
          <w:p w14:paraId="3A4A483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239 497</w:t>
            </w:r>
          </w:p>
        </w:tc>
        <w:tc>
          <w:tcPr>
            <w:tcW w:w="794" w:type="dxa"/>
          </w:tcPr>
          <w:p w14:paraId="4EC19A2F" w14:textId="39149FC9"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262 807</w:t>
            </w:r>
          </w:p>
        </w:tc>
      </w:tr>
    </w:tbl>
    <w:p w14:paraId="0F128AE6" w14:textId="77777777" w:rsidR="008D6F13" w:rsidRPr="003A1BED" w:rsidRDefault="008D6F13" w:rsidP="008D6F13">
      <w:pPr>
        <w:pStyle w:val="Note"/>
        <w:ind w:left="0" w:firstLine="0"/>
      </w:pPr>
      <w:r w:rsidRPr="003A1BED">
        <w:t>Notes:</w:t>
      </w:r>
    </w:p>
    <w:p w14:paraId="55675F50" w14:textId="77777777" w:rsidR="008D6F13" w:rsidRPr="003A1BED" w:rsidRDefault="008D6F13" w:rsidP="008D6F13">
      <w:pPr>
        <w:pStyle w:val="Note"/>
      </w:pPr>
      <w:r w:rsidRPr="003A1BED">
        <w:t>(a)</w:t>
      </w:r>
      <w:r w:rsidRPr="003A1BED">
        <w:tab/>
        <w:t>The reconciliation of movements comprises land and buildings, infrastructure systems, plant, equipment, vehicles, roads, roads</w:t>
      </w:r>
      <w:r>
        <w:t> </w:t>
      </w:r>
      <w:r w:rsidRPr="003A1BED">
        <w:t>infrastructure and cultural assets, right</w:t>
      </w:r>
      <w:r w:rsidRPr="003A1BED">
        <w:noBreakHyphen/>
        <w:t>of</w:t>
      </w:r>
      <w:r w:rsidRPr="003A1BED">
        <w:noBreakHyphen/>
        <w:t>use (leased) assets, service concession assets, and excludes intangible assets, investment properties and other non-financial assets.</w:t>
      </w:r>
    </w:p>
    <w:p w14:paraId="79C05E05" w14:textId="77777777" w:rsidR="008D6F13" w:rsidRPr="003A1BED" w:rsidRDefault="008D6F13" w:rsidP="008D6F13">
      <w:pPr>
        <w:pStyle w:val="Note"/>
      </w:pPr>
      <w:r w:rsidRPr="003A1BED">
        <w:t>(b)</w:t>
      </w:r>
      <w:r w:rsidRPr="003A1BED">
        <w:tab/>
        <w:t xml:space="preserve">Represents additions of assets recognised under AASB 116 </w:t>
      </w:r>
      <w:r w:rsidRPr="00A4543A">
        <w:rPr>
          <w:i w:val="0"/>
          <w:iCs/>
        </w:rPr>
        <w:t>Property, Plant and Equipment</w:t>
      </w:r>
      <w:r w:rsidRPr="003A1BED">
        <w:t>.</w:t>
      </w:r>
    </w:p>
    <w:p w14:paraId="63E3DD7A" w14:textId="77777777" w:rsidR="008D6F13" w:rsidRPr="003A1BED" w:rsidRDefault="008D6F13" w:rsidP="008D6F13">
      <w:pPr>
        <w:pStyle w:val="Note"/>
      </w:pPr>
      <w:r w:rsidRPr="003A1BED">
        <w:t>(c)</w:t>
      </w:r>
      <w:r w:rsidRPr="003A1BED">
        <w:tab/>
        <w:t xml:space="preserve">Represents the transfer of assets to / from the public non-financial </w:t>
      </w:r>
      <w:proofErr w:type="gramStart"/>
      <w:r w:rsidRPr="003A1BED">
        <w:t>corporations</w:t>
      </w:r>
      <w:proofErr w:type="gramEnd"/>
      <w:r w:rsidRPr="003A1BED">
        <w:t xml:space="preserve"> sector.</w:t>
      </w:r>
    </w:p>
    <w:p w14:paraId="37B46E4F" w14:textId="6841D1C5" w:rsidR="008D6F13" w:rsidRDefault="008D6F13" w:rsidP="008D6F13"/>
    <w:p w14:paraId="401972D8" w14:textId="77777777" w:rsidR="00041FCE" w:rsidRDefault="00041FCE" w:rsidP="008D6F13"/>
    <w:p w14:paraId="1FF89023" w14:textId="77777777" w:rsidR="008D6F13" w:rsidRPr="00BB65BD" w:rsidRDefault="008D6F13" w:rsidP="008D6F13">
      <w:pPr>
        <w:pStyle w:val="Heading3"/>
        <w:spacing w:after="60"/>
        <w:rPr>
          <w:sz w:val="20"/>
          <w:szCs w:val="20"/>
        </w:rPr>
      </w:pPr>
      <w:bookmarkStart w:id="93" w:name="_Toc85795666"/>
      <w:r w:rsidRPr="005D1255">
        <w:rPr>
          <w:sz w:val="20"/>
          <w:szCs w:val="20"/>
        </w:rPr>
        <w:t>Other non-financial assets</w:t>
      </w:r>
      <w:r w:rsidRPr="005D1255">
        <w:rPr>
          <w:sz w:val="20"/>
          <w:szCs w:val="20"/>
        </w:rPr>
        <w:tab/>
        <w:t>($ million)</w:t>
      </w:r>
      <w:bookmarkEnd w:id="93"/>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686B74B7"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1DBE547A" w14:textId="5F554D3B" w:rsidR="008D6F13" w:rsidRDefault="008D6F13" w:rsidP="0031078F"/>
        </w:tc>
        <w:tc>
          <w:tcPr>
            <w:tcW w:w="794" w:type="dxa"/>
          </w:tcPr>
          <w:p w14:paraId="29BB83EB"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br/>
              <w:t>budget</w:t>
            </w:r>
          </w:p>
        </w:tc>
        <w:tc>
          <w:tcPr>
            <w:tcW w:w="794" w:type="dxa"/>
          </w:tcPr>
          <w:p w14:paraId="19C09FAC"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br/>
              <w:t>revised</w:t>
            </w:r>
          </w:p>
        </w:tc>
        <w:tc>
          <w:tcPr>
            <w:tcW w:w="794" w:type="dxa"/>
          </w:tcPr>
          <w:p w14:paraId="0DBA4009"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br/>
              <w:t>estimate</w:t>
            </w:r>
          </w:p>
        </w:tc>
        <w:tc>
          <w:tcPr>
            <w:tcW w:w="794" w:type="dxa"/>
          </w:tcPr>
          <w:p w14:paraId="3D3755BD"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br/>
              <w:t>estimate</w:t>
            </w:r>
          </w:p>
        </w:tc>
        <w:tc>
          <w:tcPr>
            <w:tcW w:w="794" w:type="dxa"/>
          </w:tcPr>
          <w:p w14:paraId="0EE0FD8B"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2025</w:t>
            </w:r>
            <w:r>
              <w:br/>
              <w:t>estimate</w:t>
            </w:r>
          </w:p>
        </w:tc>
      </w:tr>
      <w:tr w:rsidR="008D6F13" w14:paraId="1FCDE65C"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D698BA9" w14:textId="77777777" w:rsidR="008D6F13" w:rsidRDefault="008D6F13" w:rsidP="0031078F">
            <w:r>
              <w:t>Intangible produced assets</w:t>
            </w:r>
          </w:p>
        </w:tc>
        <w:tc>
          <w:tcPr>
            <w:tcW w:w="794" w:type="dxa"/>
          </w:tcPr>
          <w:p w14:paraId="551FC3E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2 964</w:t>
            </w:r>
          </w:p>
        </w:tc>
        <w:tc>
          <w:tcPr>
            <w:tcW w:w="794" w:type="dxa"/>
          </w:tcPr>
          <w:p w14:paraId="3EABA2A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3 006</w:t>
            </w:r>
          </w:p>
        </w:tc>
        <w:tc>
          <w:tcPr>
            <w:tcW w:w="794" w:type="dxa"/>
          </w:tcPr>
          <w:p w14:paraId="598CA94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3 034</w:t>
            </w:r>
          </w:p>
        </w:tc>
        <w:tc>
          <w:tcPr>
            <w:tcW w:w="794" w:type="dxa"/>
          </w:tcPr>
          <w:p w14:paraId="0447E2B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3 057</w:t>
            </w:r>
          </w:p>
        </w:tc>
        <w:tc>
          <w:tcPr>
            <w:tcW w:w="794" w:type="dxa"/>
          </w:tcPr>
          <w:p w14:paraId="54D2387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3 084</w:t>
            </w:r>
          </w:p>
        </w:tc>
      </w:tr>
      <w:tr w:rsidR="008D6F13" w14:paraId="68693EBA"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90B0DD2" w14:textId="77777777" w:rsidR="008D6F13" w:rsidRDefault="008D6F13" w:rsidP="0031078F">
            <w:r>
              <w:t>Accumulated depreciation</w:t>
            </w:r>
          </w:p>
        </w:tc>
        <w:tc>
          <w:tcPr>
            <w:tcW w:w="794" w:type="dxa"/>
          </w:tcPr>
          <w:p w14:paraId="781E06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(1 643)</w:t>
            </w:r>
          </w:p>
        </w:tc>
        <w:tc>
          <w:tcPr>
            <w:tcW w:w="794" w:type="dxa"/>
          </w:tcPr>
          <w:p w14:paraId="32E00B3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(1 645)</w:t>
            </w:r>
          </w:p>
        </w:tc>
        <w:tc>
          <w:tcPr>
            <w:tcW w:w="794" w:type="dxa"/>
          </w:tcPr>
          <w:p w14:paraId="581A5A0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(1 890)</w:t>
            </w:r>
          </w:p>
        </w:tc>
        <w:tc>
          <w:tcPr>
            <w:tcW w:w="794" w:type="dxa"/>
          </w:tcPr>
          <w:p w14:paraId="05FB8DD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(2 137)</w:t>
            </w:r>
          </w:p>
        </w:tc>
        <w:tc>
          <w:tcPr>
            <w:tcW w:w="794" w:type="dxa"/>
          </w:tcPr>
          <w:p w14:paraId="1E7E254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(2 387)</w:t>
            </w:r>
          </w:p>
        </w:tc>
      </w:tr>
      <w:tr w:rsidR="008D6F13" w14:paraId="02F125B3"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8986447" w14:textId="77777777" w:rsidR="008D6F13" w:rsidRDefault="008D6F13" w:rsidP="0031078F">
            <w:r>
              <w:t>Service concession assets – intangible produced</w:t>
            </w:r>
          </w:p>
        </w:tc>
        <w:tc>
          <w:tcPr>
            <w:tcW w:w="794" w:type="dxa"/>
          </w:tcPr>
          <w:p w14:paraId="794BB12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485</w:t>
            </w:r>
          </w:p>
        </w:tc>
        <w:tc>
          <w:tcPr>
            <w:tcW w:w="794" w:type="dxa"/>
          </w:tcPr>
          <w:p w14:paraId="67D95D8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485</w:t>
            </w:r>
          </w:p>
        </w:tc>
        <w:tc>
          <w:tcPr>
            <w:tcW w:w="794" w:type="dxa"/>
          </w:tcPr>
          <w:p w14:paraId="18E5A47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485</w:t>
            </w:r>
          </w:p>
        </w:tc>
        <w:tc>
          <w:tcPr>
            <w:tcW w:w="794" w:type="dxa"/>
          </w:tcPr>
          <w:p w14:paraId="3CE41BD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485</w:t>
            </w:r>
          </w:p>
        </w:tc>
        <w:tc>
          <w:tcPr>
            <w:tcW w:w="794" w:type="dxa"/>
          </w:tcPr>
          <w:p w14:paraId="160CC51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485</w:t>
            </w:r>
          </w:p>
        </w:tc>
      </w:tr>
      <w:tr w:rsidR="008D6F13" w14:paraId="1B247143"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83FF58D" w14:textId="77777777" w:rsidR="008D6F13" w:rsidRDefault="008D6F13" w:rsidP="0031078F">
            <w:r>
              <w:t>Accumulated depreciation</w:t>
            </w:r>
          </w:p>
        </w:tc>
        <w:tc>
          <w:tcPr>
            <w:tcW w:w="794" w:type="dxa"/>
          </w:tcPr>
          <w:p w14:paraId="48BC24E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74E0741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61D20C0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w:t>
            </w:r>
          </w:p>
        </w:tc>
        <w:tc>
          <w:tcPr>
            <w:tcW w:w="794" w:type="dxa"/>
          </w:tcPr>
          <w:p w14:paraId="5223CCE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4278460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w:t>
            </w:r>
          </w:p>
        </w:tc>
      </w:tr>
      <w:tr w:rsidR="008D6F13" w14:paraId="24AE8516"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019D993" w14:textId="77777777" w:rsidR="008D6F13" w:rsidRDefault="008D6F13" w:rsidP="0031078F">
            <w:r>
              <w:t>Intangible non</w:t>
            </w:r>
            <w:r>
              <w:noBreakHyphen/>
              <w:t>produced assets</w:t>
            </w:r>
          </w:p>
        </w:tc>
        <w:tc>
          <w:tcPr>
            <w:tcW w:w="794" w:type="dxa"/>
          </w:tcPr>
          <w:p w14:paraId="5ABCCC1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115</w:t>
            </w:r>
          </w:p>
        </w:tc>
        <w:tc>
          <w:tcPr>
            <w:tcW w:w="794" w:type="dxa"/>
          </w:tcPr>
          <w:p w14:paraId="17EF946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116</w:t>
            </w:r>
          </w:p>
        </w:tc>
        <w:tc>
          <w:tcPr>
            <w:tcW w:w="794" w:type="dxa"/>
          </w:tcPr>
          <w:p w14:paraId="5D1E31A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117</w:t>
            </w:r>
          </w:p>
        </w:tc>
        <w:tc>
          <w:tcPr>
            <w:tcW w:w="794" w:type="dxa"/>
          </w:tcPr>
          <w:p w14:paraId="6A62B60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118</w:t>
            </w:r>
          </w:p>
        </w:tc>
        <w:tc>
          <w:tcPr>
            <w:tcW w:w="794" w:type="dxa"/>
          </w:tcPr>
          <w:p w14:paraId="67EDB10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119</w:t>
            </w:r>
          </w:p>
        </w:tc>
      </w:tr>
      <w:tr w:rsidR="008D6F13" w14:paraId="2EFA06DF"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56346167" w14:textId="77777777" w:rsidR="008D6F13" w:rsidRDefault="008D6F13" w:rsidP="0031078F">
            <w:r>
              <w:t>Accumulated amortisation</w:t>
            </w:r>
          </w:p>
        </w:tc>
        <w:tc>
          <w:tcPr>
            <w:tcW w:w="794" w:type="dxa"/>
            <w:tcBorders>
              <w:bottom w:val="single" w:sz="6" w:space="0" w:color="auto"/>
            </w:tcBorders>
          </w:tcPr>
          <w:p w14:paraId="3289800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(57)</w:t>
            </w:r>
          </w:p>
        </w:tc>
        <w:tc>
          <w:tcPr>
            <w:tcW w:w="794" w:type="dxa"/>
            <w:tcBorders>
              <w:bottom w:val="single" w:sz="6" w:space="0" w:color="auto"/>
            </w:tcBorders>
          </w:tcPr>
          <w:p w14:paraId="6001CE6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(57)</w:t>
            </w:r>
          </w:p>
        </w:tc>
        <w:tc>
          <w:tcPr>
            <w:tcW w:w="794" w:type="dxa"/>
            <w:tcBorders>
              <w:bottom w:val="single" w:sz="6" w:space="0" w:color="auto"/>
            </w:tcBorders>
          </w:tcPr>
          <w:p w14:paraId="40575BC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(61)</w:t>
            </w:r>
          </w:p>
        </w:tc>
        <w:tc>
          <w:tcPr>
            <w:tcW w:w="794" w:type="dxa"/>
            <w:tcBorders>
              <w:bottom w:val="single" w:sz="6" w:space="0" w:color="auto"/>
            </w:tcBorders>
          </w:tcPr>
          <w:p w14:paraId="72686A0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(66)</w:t>
            </w:r>
          </w:p>
        </w:tc>
        <w:tc>
          <w:tcPr>
            <w:tcW w:w="794" w:type="dxa"/>
            <w:tcBorders>
              <w:bottom w:val="single" w:sz="6" w:space="0" w:color="auto"/>
            </w:tcBorders>
          </w:tcPr>
          <w:p w14:paraId="2AB9A4F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(70)</w:t>
            </w:r>
          </w:p>
        </w:tc>
      </w:tr>
      <w:tr w:rsidR="008D6F13" w14:paraId="2155A9E3"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48E677DF" w14:textId="77777777" w:rsidR="008D6F13" w:rsidRDefault="008D6F13" w:rsidP="0031078F">
            <w:r>
              <w:rPr>
                <w:b/>
              </w:rPr>
              <w:t>Total intangibles</w:t>
            </w:r>
          </w:p>
        </w:tc>
        <w:tc>
          <w:tcPr>
            <w:tcW w:w="794" w:type="dxa"/>
            <w:tcBorders>
              <w:top w:val="single" w:sz="6" w:space="0" w:color="auto"/>
            </w:tcBorders>
          </w:tcPr>
          <w:p w14:paraId="4C917E3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1 862</w:t>
            </w:r>
          </w:p>
        </w:tc>
        <w:tc>
          <w:tcPr>
            <w:tcW w:w="794" w:type="dxa"/>
            <w:tcBorders>
              <w:top w:val="single" w:sz="6" w:space="0" w:color="auto"/>
            </w:tcBorders>
          </w:tcPr>
          <w:p w14:paraId="04A362B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1 904</w:t>
            </w:r>
          </w:p>
        </w:tc>
        <w:tc>
          <w:tcPr>
            <w:tcW w:w="794" w:type="dxa"/>
            <w:tcBorders>
              <w:top w:val="single" w:sz="6" w:space="0" w:color="auto"/>
            </w:tcBorders>
          </w:tcPr>
          <w:p w14:paraId="0B0EC77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1 682</w:t>
            </w:r>
          </w:p>
        </w:tc>
        <w:tc>
          <w:tcPr>
            <w:tcW w:w="794" w:type="dxa"/>
            <w:tcBorders>
              <w:top w:val="single" w:sz="6" w:space="0" w:color="auto"/>
            </w:tcBorders>
          </w:tcPr>
          <w:p w14:paraId="5106266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1 453</w:t>
            </w:r>
          </w:p>
        </w:tc>
        <w:tc>
          <w:tcPr>
            <w:tcW w:w="794" w:type="dxa"/>
            <w:tcBorders>
              <w:top w:val="single" w:sz="6" w:space="0" w:color="auto"/>
            </w:tcBorders>
          </w:tcPr>
          <w:p w14:paraId="73FBE38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1 224</w:t>
            </w:r>
          </w:p>
        </w:tc>
      </w:tr>
      <w:tr w:rsidR="008D6F13" w14:paraId="0D51B360"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E632122" w14:textId="77777777" w:rsidR="008D6F13" w:rsidRDefault="008D6F13" w:rsidP="0031078F">
            <w:r>
              <w:t>Investment properties</w:t>
            </w:r>
          </w:p>
        </w:tc>
        <w:tc>
          <w:tcPr>
            <w:tcW w:w="794" w:type="dxa"/>
          </w:tcPr>
          <w:p w14:paraId="6BFB13F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302</w:t>
            </w:r>
          </w:p>
        </w:tc>
        <w:tc>
          <w:tcPr>
            <w:tcW w:w="794" w:type="dxa"/>
          </w:tcPr>
          <w:p w14:paraId="1A3A5D2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302</w:t>
            </w:r>
          </w:p>
        </w:tc>
        <w:tc>
          <w:tcPr>
            <w:tcW w:w="794" w:type="dxa"/>
          </w:tcPr>
          <w:p w14:paraId="4C135F7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284</w:t>
            </w:r>
          </w:p>
        </w:tc>
        <w:tc>
          <w:tcPr>
            <w:tcW w:w="794" w:type="dxa"/>
          </w:tcPr>
          <w:p w14:paraId="1E42B6C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284</w:t>
            </w:r>
          </w:p>
        </w:tc>
        <w:tc>
          <w:tcPr>
            <w:tcW w:w="794" w:type="dxa"/>
          </w:tcPr>
          <w:p w14:paraId="006A69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284</w:t>
            </w:r>
          </w:p>
        </w:tc>
      </w:tr>
      <w:tr w:rsidR="008D6F13" w14:paraId="11851F71"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25B1D0E" w14:textId="77777777" w:rsidR="008D6F13" w:rsidRDefault="008D6F13" w:rsidP="0031078F">
            <w:r>
              <w:t>Biological assets</w:t>
            </w:r>
          </w:p>
        </w:tc>
        <w:tc>
          <w:tcPr>
            <w:tcW w:w="794" w:type="dxa"/>
          </w:tcPr>
          <w:p w14:paraId="4C76636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74CF9F1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5C185BC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w:t>
            </w:r>
          </w:p>
        </w:tc>
        <w:tc>
          <w:tcPr>
            <w:tcW w:w="794" w:type="dxa"/>
          </w:tcPr>
          <w:p w14:paraId="2D86A4E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w:t>
            </w:r>
          </w:p>
        </w:tc>
        <w:tc>
          <w:tcPr>
            <w:tcW w:w="794" w:type="dxa"/>
          </w:tcPr>
          <w:p w14:paraId="2171458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w:t>
            </w:r>
          </w:p>
        </w:tc>
      </w:tr>
      <w:tr w:rsidR="008D6F13" w14:paraId="4C48EF8F"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3B13EBE5" w14:textId="77777777" w:rsidR="008D6F13" w:rsidRDefault="008D6F13" w:rsidP="0031078F">
            <w:r>
              <w:t>Other assets</w:t>
            </w:r>
          </w:p>
        </w:tc>
        <w:tc>
          <w:tcPr>
            <w:tcW w:w="794" w:type="dxa"/>
            <w:tcBorders>
              <w:bottom w:val="single" w:sz="6" w:space="0" w:color="auto"/>
            </w:tcBorders>
          </w:tcPr>
          <w:p w14:paraId="064D92B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868</w:t>
            </w:r>
          </w:p>
        </w:tc>
        <w:tc>
          <w:tcPr>
            <w:tcW w:w="794" w:type="dxa"/>
            <w:tcBorders>
              <w:bottom w:val="single" w:sz="6" w:space="0" w:color="auto"/>
            </w:tcBorders>
          </w:tcPr>
          <w:p w14:paraId="6902979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1 088</w:t>
            </w:r>
          </w:p>
        </w:tc>
        <w:tc>
          <w:tcPr>
            <w:tcW w:w="794" w:type="dxa"/>
            <w:tcBorders>
              <w:bottom w:val="single" w:sz="6" w:space="0" w:color="auto"/>
            </w:tcBorders>
          </w:tcPr>
          <w:p w14:paraId="237DD07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1 087</w:t>
            </w:r>
          </w:p>
        </w:tc>
        <w:tc>
          <w:tcPr>
            <w:tcW w:w="794" w:type="dxa"/>
            <w:tcBorders>
              <w:bottom w:val="single" w:sz="6" w:space="0" w:color="auto"/>
            </w:tcBorders>
          </w:tcPr>
          <w:p w14:paraId="2CB3854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1 085</w:t>
            </w:r>
          </w:p>
        </w:tc>
        <w:tc>
          <w:tcPr>
            <w:tcW w:w="794" w:type="dxa"/>
            <w:tcBorders>
              <w:bottom w:val="single" w:sz="6" w:space="0" w:color="auto"/>
            </w:tcBorders>
          </w:tcPr>
          <w:p w14:paraId="7E0CCE0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1 084</w:t>
            </w:r>
          </w:p>
        </w:tc>
      </w:tr>
      <w:tr w:rsidR="008D6F13" w14:paraId="2A05BA3C"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51B1518" w14:textId="77777777" w:rsidR="008D6F13" w:rsidRDefault="008D6F13" w:rsidP="0031078F">
            <w:r>
              <w:rPr>
                <w:b/>
              </w:rPr>
              <w:t>Total other non</w:t>
            </w:r>
            <w:r>
              <w:rPr>
                <w:b/>
              </w:rPr>
              <w:noBreakHyphen/>
              <w:t>financial assets</w:t>
            </w:r>
          </w:p>
        </w:tc>
        <w:tc>
          <w:tcPr>
            <w:tcW w:w="794" w:type="dxa"/>
          </w:tcPr>
          <w:p w14:paraId="1B0512E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3 036</w:t>
            </w:r>
          </w:p>
        </w:tc>
        <w:tc>
          <w:tcPr>
            <w:tcW w:w="794" w:type="dxa"/>
          </w:tcPr>
          <w:p w14:paraId="2CB247C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3 298</w:t>
            </w:r>
          </w:p>
        </w:tc>
        <w:tc>
          <w:tcPr>
            <w:tcW w:w="794" w:type="dxa"/>
          </w:tcPr>
          <w:p w14:paraId="4E78C22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3 058</w:t>
            </w:r>
          </w:p>
        </w:tc>
        <w:tc>
          <w:tcPr>
            <w:tcW w:w="794" w:type="dxa"/>
          </w:tcPr>
          <w:p w14:paraId="09BC839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2 830</w:t>
            </w:r>
          </w:p>
        </w:tc>
        <w:tc>
          <w:tcPr>
            <w:tcW w:w="794" w:type="dxa"/>
          </w:tcPr>
          <w:p w14:paraId="20103D20" w14:textId="6CED1BED"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2 600</w:t>
            </w:r>
          </w:p>
        </w:tc>
      </w:tr>
    </w:tbl>
    <w:p w14:paraId="38C65FD2" w14:textId="77777777" w:rsidR="008D6F13" w:rsidRPr="003A1BED" w:rsidRDefault="008D6F13" w:rsidP="008D6F13">
      <w:pPr>
        <w:pStyle w:val="Note"/>
      </w:pPr>
    </w:p>
    <w:p w14:paraId="2D56D4D4" w14:textId="77777777" w:rsidR="008D6F13" w:rsidRDefault="008D6F13" w:rsidP="008D6F13"/>
    <w:p w14:paraId="772FA52D" w14:textId="77777777" w:rsidR="008D6F13" w:rsidRDefault="008D6F13" w:rsidP="008D6F13">
      <w:pPr>
        <w:pStyle w:val="Heading3"/>
        <w:pageBreakBefore/>
        <w:spacing w:after="60"/>
        <w:rPr>
          <w:sz w:val="20"/>
          <w:szCs w:val="20"/>
        </w:rPr>
      </w:pPr>
      <w:bookmarkStart w:id="94" w:name="_Toc85795667"/>
      <w:r w:rsidRPr="005D1255">
        <w:rPr>
          <w:sz w:val="20"/>
          <w:szCs w:val="20"/>
        </w:rPr>
        <w:lastRenderedPageBreak/>
        <w:t xml:space="preserve">Total assets by classification of the functions of government </w:t>
      </w:r>
      <w:r w:rsidRPr="005D1255">
        <w:rPr>
          <w:sz w:val="20"/>
          <w:szCs w:val="20"/>
        </w:rPr>
        <w:tab/>
        <w:t>($ million)</w:t>
      </w:r>
      <w:bookmarkEnd w:id="94"/>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3A872943"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79E09938" w14:textId="7F55C726" w:rsidR="008D6F13" w:rsidRDefault="008D6F13" w:rsidP="0031078F"/>
        </w:tc>
        <w:tc>
          <w:tcPr>
            <w:tcW w:w="794" w:type="dxa"/>
          </w:tcPr>
          <w:p w14:paraId="3862EC82"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4618181C"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2561BEB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31DD61F2"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15034BFF"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2CF6B100"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E46CEF2" w14:textId="77777777" w:rsidR="008D6F13" w:rsidRDefault="008D6F13" w:rsidP="0031078F">
            <w:r>
              <w:t>General public services</w:t>
            </w:r>
          </w:p>
        </w:tc>
        <w:tc>
          <w:tcPr>
            <w:tcW w:w="794" w:type="dxa"/>
          </w:tcPr>
          <w:p w14:paraId="2D7E116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4 172</w:t>
            </w:r>
          </w:p>
        </w:tc>
        <w:tc>
          <w:tcPr>
            <w:tcW w:w="794" w:type="dxa"/>
          </w:tcPr>
          <w:p w14:paraId="586F51A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4 192</w:t>
            </w:r>
          </w:p>
        </w:tc>
        <w:tc>
          <w:tcPr>
            <w:tcW w:w="794" w:type="dxa"/>
          </w:tcPr>
          <w:p w14:paraId="419C18F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3 874</w:t>
            </w:r>
          </w:p>
        </w:tc>
        <w:tc>
          <w:tcPr>
            <w:tcW w:w="794" w:type="dxa"/>
          </w:tcPr>
          <w:p w14:paraId="1C77408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3 564</w:t>
            </w:r>
          </w:p>
        </w:tc>
        <w:tc>
          <w:tcPr>
            <w:tcW w:w="794" w:type="dxa"/>
          </w:tcPr>
          <w:p w14:paraId="25F46C9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3 218</w:t>
            </w:r>
          </w:p>
        </w:tc>
      </w:tr>
      <w:tr w:rsidR="008D6F13" w14:paraId="3EE6CD5A"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EF1262B" w14:textId="77777777" w:rsidR="008D6F13" w:rsidRDefault="008D6F13" w:rsidP="0031078F">
            <w:r>
              <w:t>Public order and safety</w:t>
            </w:r>
          </w:p>
        </w:tc>
        <w:tc>
          <w:tcPr>
            <w:tcW w:w="794" w:type="dxa"/>
          </w:tcPr>
          <w:p w14:paraId="5451F8F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15 021</w:t>
            </w:r>
          </w:p>
        </w:tc>
        <w:tc>
          <w:tcPr>
            <w:tcW w:w="794" w:type="dxa"/>
          </w:tcPr>
          <w:p w14:paraId="67C80DA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15 781</w:t>
            </w:r>
          </w:p>
        </w:tc>
        <w:tc>
          <w:tcPr>
            <w:tcW w:w="794" w:type="dxa"/>
          </w:tcPr>
          <w:p w14:paraId="00C123F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16 106</w:t>
            </w:r>
          </w:p>
        </w:tc>
        <w:tc>
          <w:tcPr>
            <w:tcW w:w="794" w:type="dxa"/>
          </w:tcPr>
          <w:p w14:paraId="0C8DF2E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15 891</w:t>
            </w:r>
          </w:p>
        </w:tc>
        <w:tc>
          <w:tcPr>
            <w:tcW w:w="794" w:type="dxa"/>
          </w:tcPr>
          <w:p w14:paraId="3CAC73E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16 842</w:t>
            </w:r>
          </w:p>
        </w:tc>
      </w:tr>
      <w:tr w:rsidR="008D6F13" w14:paraId="0F94B9DF"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760DDD9" w14:textId="77777777" w:rsidR="008D6F13" w:rsidRDefault="008D6F13" w:rsidP="0031078F">
            <w:r>
              <w:t>Economic affairs</w:t>
            </w:r>
          </w:p>
        </w:tc>
        <w:tc>
          <w:tcPr>
            <w:tcW w:w="794" w:type="dxa"/>
          </w:tcPr>
          <w:p w14:paraId="1A2B93B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1 519</w:t>
            </w:r>
          </w:p>
        </w:tc>
        <w:tc>
          <w:tcPr>
            <w:tcW w:w="794" w:type="dxa"/>
          </w:tcPr>
          <w:p w14:paraId="14CFA58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1 510</w:t>
            </w:r>
          </w:p>
        </w:tc>
        <w:tc>
          <w:tcPr>
            <w:tcW w:w="794" w:type="dxa"/>
          </w:tcPr>
          <w:p w14:paraId="7D0F280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1 596</w:t>
            </w:r>
          </w:p>
        </w:tc>
        <w:tc>
          <w:tcPr>
            <w:tcW w:w="794" w:type="dxa"/>
          </w:tcPr>
          <w:p w14:paraId="497E8C0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1 659</w:t>
            </w:r>
          </w:p>
        </w:tc>
        <w:tc>
          <w:tcPr>
            <w:tcW w:w="794" w:type="dxa"/>
          </w:tcPr>
          <w:p w14:paraId="16CE9E1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2 721</w:t>
            </w:r>
          </w:p>
        </w:tc>
      </w:tr>
      <w:tr w:rsidR="008D6F13" w14:paraId="1C881DC8"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7AB52BD" w14:textId="77777777" w:rsidR="008D6F13" w:rsidRDefault="008D6F13" w:rsidP="0031078F">
            <w:r>
              <w:t>Environmental protection</w:t>
            </w:r>
          </w:p>
        </w:tc>
        <w:tc>
          <w:tcPr>
            <w:tcW w:w="794" w:type="dxa"/>
          </w:tcPr>
          <w:p w14:paraId="6291F56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14 375</w:t>
            </w:r>
          </w:p>
        </w:tc>
        <w:tc>
          <w:tcPr>
            <w:tcW w:w="794" w:type="dxa"/>
          </w:tcPr>
          <w:p w14:paraId="147F401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14 379</w:t>
            </w:r>
          </w:p>
        </w:tc>
        <w:tc>
          <w:tcPr>
            <w:tcW w:w="794" w:type="dxa"/>
          </w:tcPr>
          <w:p w14:paraId="70CB630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14 437</w:t>
            </w:r>
          </w:p>
        </w:tc>
        <w:tc>
          <w:tcPr>
            <w:tcW w:w="794" w:type="dxa"/>
          </w:tcPr>
          <w:p w14:paraId="45A2590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14 436</w:t>
            </w:r>
          </w:p>
        </w:tc>
        <w:tc>
          <w:tcPr>
            <w:tcW w:w="794" w:type="dxa"/>
          </w:tcPr>
          <w:p w14:paraId="003F6EB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14 414</w:t>
            </w:r>
          </w:p>
        </w:tc>
      </w:tr>
      <w:tr w:rsidR="008D6F13" w14:paraId="479721C9"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CEB4253" w14:textId="77777777" w:rsidR="008D6F13" w:rsidRDefault="008D6F13" w:rsidP="0031078F">
            <w:r>
              <w:t>Housing and community amenities</w:t>
            </w:r>
          </w:p>
        </w:tc>
        <w:tc>
          <w:tcPr>
            <w:tcW w:w="794" w:type="dxa"/>
          </w:tcPr>
          <w:p w14:paraId="585C22A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2 403</w:t>
            </w:r>
          </w:p>
        </w:tc>
        <w:tc>
          <w:tcPr>
            <w:tcW w:w="794" w:type="dxa"/>
          </w:tcPr>
          <w:p w14:paraId="61AA127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2 232</w:t>
            </w:r>
          </w:p>
        </w:tc>
        <w:tc>
          <w:tcPr>
            <w:tcW w:w="794" w:type="dxa"/>
          </w:tcPr>
          <w:p w14:paraId="549463F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2 182</w:t>
            </w:r>
          </w:p>
        </w:tc>
        <w:tc>
          <w:tcPr>
            <w:tcW w:w="794" w:type="dxa"/>
          </w:tcPr>
          <w:p w14:paraId="5BCB955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2 499</w:t>
            </w:r>
          </w:p>
        </w:tc>
        <w:tc>
          <w:tcPr>
            <w:tcW w:w="794" w:type="dxa"/>
          </w:tcPr>
          <w:p w14:paraId="2C2CA3D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4 328</w:t>
            </w:r>
          </w:p>
        </w:tc>
      </w:tr>
      <w:tr w:rsidR="008D6F13" w14:paraId="5FFBAECB"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BF80752" w14:textId="77777777" w:rsidR="008D6F13" w:rsidRDefault="008D6F13" w:rsidP="0031078F">
            <w:r>
              <w:t>Health</w:t>
            </w:r>
          </w:p>
        </w:tc>
        <w:tc>
          <w:tcPr>
            <w:tcW w:w="794" w:type="dxa"/>
          </w:tcPr>
          <w:p w14:paraId="453D8C7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21 637</w:t>
            </w:r>
          </w:p>
        </w:tc>
        <w:tc>
          <w:tcPr>
            <w:tcW w:w="794" w:type="dxa"/>
          </w:tcPr>
          <w:p w14:paraId="6542632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21 494</w:t>
            </w:r>
          </w:p>
        </w:tc>
        <w:tc>
          <w:tcPr>
            <w:tcW w:w="794" w:type="dxa"/>
          </w:tcPr>
          <w:p w14:paraId="3EE1E82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21 199</w:t>
            </w:r>
          </w:p>
        </w:tc>
        <w:tc>
          <w:tcPr>
            <w:tcW w:w="794" w:type="dxa"/>
          </w:tcPr>
          <w:p w14:paraId="7B93904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22 272</w:t>
            </w:r>
          </w:p>
        </w:tc>
        <w:tc>
          <w:tcPr>
            <w:tcW w:w="794" w:type="dxa"/>
          </w:tcPr>
          <w:p w14:paraId="671306E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21 623</w:t>
            </w:r>
          </w:p>
        </w:tc>
      </w:tr>
      <w:tr w:rsidR="008D6F13" w14:paraId="39FE41C6"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56D7F68" w14:textId="77777777" w:rsidR="008D6F13" w:rsidRDefault="008D6F13" w:rsidP="0031078F">
            <w:r>
              <w:t xml:space="preserve">Recreation, </w:t>
            </w:r>
            <w:proofErr w:type="gramStart"/>
            <w:r>
              <w:t>culture</w:t>
            </w:r>
            <w:proofErr w:type="gramEnd"/>
            <w:r>
              <w:t xml:space="preserve"> and religion</w:t>
            </w:r>
          </w:p>
        </w:tc>
        <w:tc>
          <w:tcPr>
            <w:tcW w:w="794" w:type="dxa"/>
          </w:tcPr>
          <w:p w14:paraId="64BD949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8 816</w:t>
            </w:r>
          </w:p>
        </w:tc>
        <w:tc>
          <w:tcPr>
            <w:tcW w:w="794" w:type="dxa"/>
          </w:tcPr>
          <w:p w14:paraId="57F96C1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8 812</w:t>
            </w:r>
          </w:p>
        </w:tc>
        <w:tc>
          <w:tcPr>
            <w:tcW w:w="794" w:type="dxa"/>
          </w:tcPr>
          <w:p w14:paraId="16B3CFE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8 954</w:t>
            </w:r>
          </w:p>
        </w:tc>
        <w:tc>
          <w:tcPr>
            <w:tcW w:w="794" w:type="dxa"/>
          </w:tcPr>
          <w:p w14:paraId="0B3A75F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9 028</w:t>
            </w:r>
          </w:p>
        </w:tc>
        <w:tc>
          <w:tcPr>
            <w:tcW w:w="794" w:type="dxa"/>
          </w:tcPr>
          <w:p w14:paraId="5CCCDB1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9 219</w:t>
            </w:r>
          </w:p>
        </w:tc>
      </w:tr>
      <w:tr w:rsidR="008D6F13" w14:paraId="743B523C"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A2E0DC9" w14:textId="77777777" w:rsidR="008D6F13" w:rsidRDefault="008D6F13" w:rsidP="0031078F">
            <w:r>
              <w:t>Education</w:t>
            </w:r>
          </w:p>
        </w:tc>
        <w:tc>
          <w:tcPr>
            <w:tcW w:w="794" w:type="dxa"/>
          </w:tcPr>
          <w:p w14:paraId="03D3D57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33 837</w:t>
            </w:r>
          </w:p>
        </w:tc>
        <w:tc>
          <w:tcPr>
            <w:tcW w:w="794" w:type="dxa"/>
          </w:tcPr>
          <w:p w14:paraId="70B0792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33 975</w:t>
            </w:r>
          </w:p>
        </w:tc>
        <w:tc>
          <w:tcPr>
            <w:tcW w:w="794" w:type="dxa"/>
          </w:tcPr>
          <w:p w14:paraId="3D2518A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37 991</w:t>
            </w:r>
          </w:p>
        </w:tc>
        <w:tc>
          <w:tcPr>
            <w:tcW w:w="794" w:type="dxa"/>
          </w:tcPr>
          <w:p w14:paraId="5330653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38 404</w:t>
            </w:r>
          </w:p>
        </w:tc>
        <w:tc>
          <w:tcPr>
            <w:tcW w:w="794" w:type="dxa"/>
          </w:tcPr>
          <w:p w14:paraId="02A7A39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38 098</w:t>
            </w:r>
          </w:p>
        </w:tc>
      </w:tr>
      <w:tr w:rsidR="008D6F13" w14:paraId="3F4FFE61"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2CEB01A" w14:textId="77777777" w:rsidR="008D6F13" w:rsidRDefault="008D6F13" w:rsidP="0031078F">
            <w:r>
              <w:t>Social protection</w:t>
            </w:r>
          </w:p>
        </w:tc>
        <w:tc>
          <w:tcPr>
            <w:tcW w:w="794" w:type="dxa"/>
          </w:tcPr>
          <w:p w14:paraId="6E469A0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2 894</w:t>
            </w:r>
          </w:p>
        </w:tc>
        <w:tc>
          <w:tcPr>
            <w:tcW w:w="794" w:type="dxa"/>
          </w:tcPr>
          <w:p w14:paraId="258EF9E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2 978</w:t>
            </w:r>
          </w:p>
        </w:tc>
        <w:tc>
          <w:tcPr>
            <w:tcW w:w="794" w:type="dxa"/>
          </w:tcPr>
          <w:p w14:paraId="7916996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3 866</w:t>
            </w:r>
          </w:p>
        </w:tc>
        <w:tc>
          <w:tcPr>
            <w:tcW w:w="794" w:type="dxa"/>
          </w:tcPr>
          <w:p w14:paraId="730776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4 111</w:t>
            </w:r>
          </w:p>
        </w:tc>
        <w:tc>
          <w:tcPr>
            <w:tcW w:w="794" w:type="dxa"/>
          </w:tcPr>
          <w:p w14:paraId="004DAF7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4 355</w:t>
            </w:r>
          </w:p>
        </w:tc>
      </w:tr>
      <w:tr w:rsidR="008D6F13" w14:paraId="34CB187C"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ADEACE6" w14:textId="77777777" w:rsidR="008D6F13" w:rsidRDefault="008D6F13" w:rsidP="0031078F">
            <w:r>
              <w:t>Transport</w:t>
            </w:r>
          </w:p>
        </w:tc>
        <w:tc>
          <w:tcPr>
            <w:tcW w:w="794" w:type="dxa"/>
          </w:tcPr>
          <w:p w14:paraId="4B9BDDB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107 302</w:t>
            </w:r>
          </w:p>
        </w:tc>
        <w:tc>
          <w:tcPr>
            <w:tcW w:w="794" w:type="dxa"/>
          </w:tcPr>
          <w:p w14:paraId="3596113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113 204</w:t>
            </w:r>
          </w:p>
        </w:tc>
        <w:tc>
          <w:tcPr>
            <w:tcW w:w="794" w:type="dxa"/>
          </w:tcPr>
          <w:p w14:paraId="59206E3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126 895</w:t>
            </w:r>
          </w:p>
        </w:tc>
        <w:tc>
          <w:tcPr>
            <w:tcW w:w="794" w:type="dxa"/>
          </w:tcPr>
          <w:p w14:paraId="4C30DCA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143 773</w:t>
            </w:r>
          </w:p>
        </w:tc>
        <w:tc>
          <w:tcPr>
            <w:tcW w:w="794" w:type="dxa"/>
          </w:tcPr>
          <w:p w14:paraId="098E57C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158 073</w:t>
            </w:r>
          </w:p>
        </w:tc>
      </w:tr>
      <w:tr w:rsidR="008D6F13" w14:paraId="5D31A3B7"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6E770BAF" w14:textId="77777777" w:rsidR="008D6F13" w:rsidRDefault="008D6F13" w:rsidP="0031078F">
            <w:r>
              <w:t>Not allocated by purpose</w:t>
            </w:r>
            <w:r>
              <w:rPr>
                <w:vertAlign w:val="superscript"/>
              </w:rPr>
              <w:t xml:space="preserve"> (a)</w:t>
            </w:r>
          </w:p>
        </w:tc>
        <w:tc>
          <w:tcPr>
            <w:tcW w:w="794" w:type="dxa"/>
            <w:tcBorders>
              <w:bottom w:val="single" w:sz="6" w:space="0" w:color="auto"/>
            </w:tcBorders>
          </w:tcPr>
          <w:p w14:paraId="6808331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101 742</w:t>
            </w:r>
          </w:p>
        </w:tc>
        <w:tc>
          <w:tcPr>
            <w:tcW w:w="794" w:type="dxa"/>
            <w:tcBorders>
              <w:bottom w:val="single" w:sz="6" w:space="0" w:color="auto"/>
            </w:tcBorders>
          </w:tcPr>
          <w:p w14:paraId="1D9C85D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94 898</w:t>
            </w:r>
          </w:p>
        </w:tc>
        <w:tc>
          <w:tcPr>
            <w:tcW w:w="794" w:type="dxa"/>
            <w:tcBorders>
              <w:bottom w:val="single" w:sz="6" w:space="0" w:color="auto"/>
            </w:tcBorders>
          </w:tcPr>
          <w:p w14:paraId="18C87C4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92 363</w:t>
            </w:r>
          </w:p>
        </w:tc>
        <w:tc>
          <w:tcPr>
            <w:tcW w:w="794" w:type="dxa"/>
            <w:tcBorders>
              <w:bottom w:val="single" w:sz="6" w:space="0" w:color="auto"/>
            </w:tcBorders>
          </w:tcPr>
          <w:p w14:paraId="5E5569F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96 006</w:t>
            </w:r>
          </w:p>
        </w:tc>
        <w:tc>
          <w:tcPr>
            <w:tcW w:w="794" w:type="dxa"/>
            <w:tcBorders>
              <w:bottom w:val="single" w:sz="6" w:space="0" w:color="auto"/>
            </w:tcBorders>
          </w:tcPr>
          <w:p w14:paraId="0DCF1A5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105 445</w:t>
            </w:r>
          </w:p>
        </w:tc>
      </w:tr>
      <w:tr w:rsidR="008D6F13" w14:paraId="05312029"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4627AD9" w14:textId="77777777" w:rsidR="008D6F13" w:rsidRDefault="008D6F13" w:rsidP="0031078F">
            <w:r>
              <w:rPr>
                <w:b/>
              </w:rPr>
              <w:t>Total assets by COFOG</w:t>
            </w:r>
          </w:p>
        </w:tc>
        <w:tc>
          <w:tcPr>
            <w:tcW w:w="794" w:type="dxa"/>
          </w:tcPr>
          <w:p w14:paraId="610FA8B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313 715</w:t>
            </w:r>
          </w:p>
        </w:tc>
        <w:tc>
          <w:tcPr>
            <w:tcW w:w="794" w:type="dxa"/>
          </w:tcPr>
          <w:p w14:paraId="30C8D5D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313 455</w:t>
            </w:r>
          </w:p>
        </w:tc>
        <w:tc>
          <w:tcPr>
            <w:tcW w:w="794" w:type="dxa"/>
          </w:tcPr>
          <w:p w14:paraId="23C1678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329 462</w:t>
            </w:r>
          </w:p>
        </w:tc>
        <w:tc>
          <w:tcPr>
            <w:tcW w:w="794" w:type="dxa"/>
          </w:tcPr>
          <w:p w14:paraId="4DACD97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351 643</w:t>
            </w:r>
          </w:p>
        </w:tc>
        <w:tc>
          <w:tcPr>
            <w:tcW w:w="794" w:type="dxa"/>
          </w:tcPr>
          <w:p w14:paraId="7B1F9201" w14:textId="71CA7775"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378 335</w:t>
            </w:r>
          </w:p>
        </w:tc>
      </w:tr>
    </w:tbl>
    <w:p w14:paraId="48AB78AB" w14:textId="77777777" w:rsidR="008D6F13" w:rsidRPr="003A1BED" w:rsidRDefault="008D6F13" w:rsidP="008D6F13">
      <w:pPr>
        <w:pStyle w:val="Note"/>
        <w:ind w:left="0" w:firstLine="0"/>
      </w:pPr>
      <w:r w:rsidRPr="003A1BED">
        <w:t>Note:</w:t>
      </w:r>
    </w:p>
    <w:p w14:paraId="754125AA" w14:textId="77777777" w:rsidR="008D6F13" w:rsidRPr="003A1BED" w:rsidRDefault="008D6F13" w:rsidP="008D6F13">
      <w:pPr>
        <w:pStyle w:val="Note"/>
      </w:pPr>
      <w:r w:rsidRPr="003A1BED">
        <w:t>(a)</w:t>
      </w:r>
      <w:r w:rsidRPr="003A1BED">
        <w:tab/>
        <w:t>Represents financial assets which are not able to be allocated by purpose. This mainly includes balances relating to the general government sector’s investment in other sector entities.</w:t>
      </w:r>
    </w:p>
    <w:p w14:paraId="5F4EDA06" w14:textId="77777777" w:rsidR="008D6F13" w:rsidRDefault="008D6F13" w:rsidP="008D6F13"/>
    <w:bookmarkEnd w:id="90"/>
    <w:p w14:paraId="6F0F0E57" w14:textId="77777777" w:rsidR="008D6F13" w:rsidRDefault="008D6F13" w:rsidP="008D6F13"/>
    <w:p w14:paraId="2FA60A9B" w14:textId="77777777" w:rsidR="008D6F13" w:rsidRDefault="008D6F13" w:rsidP="008D6F13">
      <w:pPr>
        <w:sectPr w:rsidR="008D6F13" w:rsidSect="0031078F">
          <w:type w:val="continuous"/>
          <w:pgSz w:w="9979" w:h="14175" w:code="9"/>
          <w:pgMar w:top="1134" w:right="1134" w:bottom="1134" w:left="1134" w:header="624" w:footer="567" w:gutter="0"/>
          <w:cols w:space="708"/>
          <w:titlePg/>
          <w:docGrid w:linePitch="360"/>
        </w:sectPr>
      </w:pPr>
    </w:p>
    <w:p w14:paraId="0FF19E79" w14:textId="77777777" w:rsidR="008D6F13" w:rsidRDefault="008D6F13" w:rsidP="008D6F13">
      <w:pPr>
        <w:pStyle w:val="Heading2"/>
        <w:sectPr w:rsidR="008D6F13" w:rsidSect="0031078F">
          <w:pgSz w:w="9979" w:h="14175" w:code="9"/>
          <w:pgMar w:top="1134" w:right="1134" w:bottom="1134" w:left="1134" w:header="624" w:footer="567" w:gutter="0"/>
          <w:cols w:space="708"/>
          <w:docGrid w:linePitch="360"/>
        </w:sectPr>
      </w:pPr>
      <w:r w:rsidRPr="005D1255">
        <w:lastRenderedPageBreak/>
        <w:t>FINANCING STATE OPERATIONS</w:t>
      </w:r>
    </w:p>
    <w:p w14:paraId="43594A58" w14:textId="77777777" w:rsidR="008D6F13" w:rsidRPr="00FD555B" w:rsidRDefault="008D6F13" w:rsidP="008D6F13">
      <w:pPr>
        <w:pStyle w:val="Heading30"/>
      </w:pPr>
      <w:r w:rsidRPr="003A1BED">
        <w:t>Introduction</w:t>
      </w:r>
    </w:p>
    <w:p w14:paraId="5385E942" w14:textId="77777777" w:rsidR="008D6F13" w:rsidRDefault="008D6F13" w:rsidP="008D6F13">
      <w:r>
        <w:t xml:space="preserve">State </w:t>
      </w:r>
      <w:r w:rsidRPr="005D1255">
        <w:t>operations</w:t>
      </w:r>
      <w:r>
        <w:t xml:space="preserve"> are financed through a variety of means, including a combination of surplus cash flows from operating activities, asset recycling, </w:t>
      </w:r>
      <w:proofErr w:type="gramStart"/>
      <w:r>
        <w:t>advances</w:t>
      </w:r>
      <w:proofErr w:type="gramEnd"/>
      <w:r>
        <w:t xml:space="preserve"> and borrowings.</w:t>
      </w:r>
    </w:p>
    <w:p w14:paraId="53527A44" w14:textId="77777777" w:rsidR="008D6F13" w:rsidRDefault="008D6F13" w:rsidP="008D6F13">
      <w:r>
        <w:t xml:space="preserve">This </w:t>
      </w:r>
      <w:r w:rsidRPr="005D1255">
        <w:t>section</w:t>
      </w:r>
      <w:r>
        <w:t xml:space="preserve"> provides information on the balances related to the financing of the general government sector’s operations.</w:t>
      </w:r>
    </w:p>
    <w:p w14:paraId="1E29751F" w14:textId="77777777" w:rsidR="008D6F13" w:rsidRPr="00FD555B" w:rsidRDefault="008D6F13" w:rsidP="008D6F13">
      <w:pPr>
        <w:pStyle w:val="Heading30"/>
      </w:pPr>
      <w:r>
        <w:br w:type="column"/>
      </w:r>
      <w:r w:rsidRPr="003A1BED">
        <w:t>Structure</w:t>
      </w:r>
    </w:p>
    <w:p w14:paraId="377EE7C0" w14:textId="361F3C47" w:rsidR="008D6F13" w:rsidRDefault="008D6F13" w:rsidP="008D6F13">
      <w:pPr>
        <w:pStyle w:val="TOC9"/>
        <w:rPr>
          <w:rFonts w:eastAsiaTheme="minorEastAsia"/>
          <w:noProof/>
          <w:spacing w:val="0"/>
          <w:lang w:eastAsia="en-AU"/>
        </w:rPr>
      </w:pPr>
      <w:r w:rsidRPr="005D1255">
        <w:fldChar w:fldCharType="begin"/>
      </w:r>
      <w:r w:rsidRPr="005D1255">
        <w:instrText xml:space="preserve"> TOC \h \z \t "Heading 3 (#),9" \b Section_5 \* MERGEFORMAT </w:instrText>
      </w:r>
      <w:r w:rsidRPr="005D1255">
        <w:fldChar w:fldCharType="separate"/>
      </w:r>
      <w:hyperlink w:anchor="_Toc85799749" w:history="1">
        <w:r w:rsidRPr="007C316A">
          <w:rPr>
            <w:rStyle w:val="Hyperlink"/>
            <w:noProof/>
          </w:rPr>
          <w:t>4.5.1</w:t>
        </w:r>
        <w:r>
          <w:rPr>
            <w:rFonts w:eastAsiaTheme="minorEastAsia"/>
            <w:noProof/>
            <w:spacing w:val="0"/>
            <w:lang w:eastAsia="en-AU"/>
          </w:rPr>
          <w:tab/>
        </w:r>
        <w:r w:rsidRPr="007C316A">
          <w:rPr>
            <w:rStyle w:val="Hyperlink"/>
            <w:noProof/>
          </w:rPr>
          <w:t>Borrowings</w:t>
        </w:r>
        <w:r>
          <w:rPr>
            <w:noProof/>
            <w:webHidden/>
          </w:rPr>
          <w:tab/>
        </w:r>
        <w:r>
          <w:rPr>
            <w:noProof/>
            <w:webHidden/>
          </w:rPr>
          <w:fldChar w:fldCharType="begin"/>
        </w:r>
        <w:r>
          <w:rPr>
            <w:noProof/>
            <w:webHidden/>
          </w:rPr>
          <w:instrText xml:space="preserve"> PAGEREF _Toc85799749 \h </w:instrText>
        </w:r>
        <w:r>
          <w:rPr>
            <w:noProof/>
            <w:webHidden/>
          </w:rPr>
        </w:r>
        <w:r>
          <w:rPr>
            <w:noProof/>
            <w:webHidden/>
          </w:rPr>
          <w:fldChar w:fldCharType="separate"/>
        </w:r>
        <w:r w:rsidR="00104E8F">
          <w:rPr>
            <w:noProof/>
            <w:webHidden/>
          </w:rPr>
          <w:t>77</w:t>
        </w:r>
        <w:r>
          <w:rPr>
            <w:noProof/>
            <w:webHidden/>
          </w:rPr>
          <w:fldChar w:fldCharType="end"/>
        </w:r>
      </w:hyperlink>
    </w:p>
    <w:p w14:paraId="1A8D8127" w14:textId="403052F2" w:rsidR="008D6F13" w:rsidRDefault="005D5407" w:rsidP="008D6F13">
      <w:pPr>
        <w:pStyle w:val="TOC9"/>
        <w:rPr>
          <w:rFonts w:eastAsiaTheme="minorEastAsia"/>
          <w:noProof/>
          <w:spacing w:val="0"/>
          <w:lang w:eastAsia="en-AU"/>
        </w:rPr>
      </w:pPr>
      <w:hyperlink w:anchor="_Toc85799750" w:history="1">
        <w:r w:rsidR="008D6F13" w:rsidRPr="007C316A">
          <w:rPr>
            <w:rStyle w:val="Hyperlink"/>
            <w:noProof/>
          </w:rPr>
          <w:t>4.5.2</w:t>
        </w:r>
        <w:r w:rsidR="008D6F13">
          <w:rPr>
            <w:rFonts w:eastAsiaTheme="minorEastAsia"/>
            <w:noProof/>
            <w:spacing w:val="0"/>
            <w:lang w:eastAsia="en-AU"/>
          </w:rPr>
          <w:tab/>
        </w:r>
        <w:r w:rsidR="008D6F13" w:rsidRPr="007C316A">
          <w:rPr>
            <w:rStyle w:val="Hyperlink"/>
            <w:noProof/>
          </w:rPr>
          <w:t xml:space="preserve">Advances paid and investments, </w:t>
        </w:r>
        <w:r w:rsidR="008D6F13">
          <w:rPr>
            <w:rStyle w:val="Hyperlink"/>
            <w:noProof/>
          </w:rPr>
          <w:br/>
        </w:r>
        <w:r w:rsidR="008D6F13" w:rsidRPr="007C316A">
          <w:rPr>
            <w:rStyle w:val="Hyperlink"/>
            <w:noProof/>
          </w:rPr>
          <w:t>loans and placements</w:t>
        </w:r>
        <w:r w:rsidR="008D6F13">
          <w:rPr>
            <w:noProof/>
            <w:webHidden/>
          </w:rPr>
          <w:tab/>
        </w:r>
        <w:r w:rsidR="008D6F13">
          <w:rPr>
            <w:noProof/>
            <w:webHidden/>
          </w:rPr>
          <w:fldChar w:fldCharType="begin"/>
        </w:r>
        <w:r w:rsidR="008D6F13">
          <w:rPr>
            <w:noProof/>
            <w:webHidden/>
          </w:rPr>
          <w:instrText xml:space="preserve"> PAGEREF _Toc85799750 \h </w:instrText>
        </w:r>
        <w:r w:rsidR="008D6F13">
          <w:rPr>
            <w:noProof/>
            <w:webHidden/>
          </w:rPr>
        </w:r>
        <w:r w:rsidR="008D6F13">
          <w:rPr>
            <w:noProof/>
            <w:webHidden/>
          </w:rPr>
          <w:fldChar w:fldCharType="separate"/>
        </w:r>
        <w:r w:rsidR="00104E8F">
          <w:rPr>
            <w:noProof/>
            <w:webHidden/>
          </w:rPr>
          <w:t>78</w:t>
        </w:r>
        <w:r w:rsidR="008D6F13">
          <w:rPr>
            <w:noProof/>
            <w:webHidden/>
          </w:rPr>
          <w:fldChar w:fldCharType="end"/>
        </w:r>
      </w:hyperlink>
    </w:p>
    <w:p w14:paraId="41A064D3" w14:textId="0714656D" w:rsidR="008D6F13" w:rsidRDefault="005D5407" w:rsidP="008D6F13">
      <w:pPr>
        <w:pStyle w:val="TOC9"/>
        <w:rPr>
          <w:rFonts w:eastAsiaTheme="minorEastAsia"/>
          <w:noProof/>
          <w:spacing w:val="0"/>
          <w:lang w:eastAsia="en-AU"/>
        </w:rPr>
      </w:pPr>
      <w:hyperlink w:anchor="_Toc85799751" w:history="1">
        <w:r w:rsidR="008D6F13" w:rsidRPr="007C316A">
          <w:rPr>
            <w:rStyle w:val="Hyperlink"/>
            <w:noProof/>
          </w:rPr>
          <w:t>4.5.3</w:t>
        </w:r>
        <w:r w:rsidR="008D6F13">
          <w:rPr>
            <w:rFonts w:eastAsiaTheme="minorEastAsia"/>
            <w:noProof/>
            <w:spacing w:val="0"/>
            <w:lang w:eastAsia="en-AU"/>
          </w:rPr>
          <w:tab/>
        </w:r>
        <w:r w:rsidR="008D6F13" w:rsidRPr="007C316A">
          <w:rPr>
            <w:rStyle w:val="Hyperlink"/>
            <w:noProof/>
          </w:rPr>
          <w:t>Interest expense</w:t>
        </w:r>
        <w:r w:rsidR="008D6F13">
          <w:rPr>
            <w:noProof/>
            <w:webHidden/>
          </w:rPr>
          <w:tab/>
        </w:r>
        <w:r w:rsidR="008D6F13">
          <w:rPr>
            <w:noProof/>
            <w:webHidden/>
          </w:rPr>
          <w:fldChar w:fldCharType="begin"/>
        </w:r>
        <w:r w:rsidR="008D6F13">
          <w:rPr>
            <w:noProof/>
            <w:webHidden/>
          </w:rPr>
          <w:instrText xml:space="preserve"> PAGEREF _Toc85799751 \h </w:instrText>
        </w:r>
        <w:r w:rsidR="008D6F13">
          <w:rPr>
            <w:noProof/>
            <w:webHidden/>
          </w:rPr>
        </w:r>
        <w:r w:rsidR="008D6F13">
          <w:rPr>
            <w:noProof/>
            <w:webHidden/>
          </w:rPr>
          <w:fldChar w:fldCharType="separate"/>
        </w:r>
        <w:r w:rsidR="00104E8F">
          <w:rPr>
            <w:noProof/>
            <w:webHidden/>
          </w:rPr>
          <w:t>78</w:t>
        </w:r>
        <w:r w:rsidR="008D6F13">
          <w:rPr>
            <w:noProof/>
            <w:webHidden/>
          </w:rPr>
          <w:fldChar w:fldCharType="end"/>
        </w:r>
      </w:hyperlink>
    </w:p>
    <w:p w14:paraId="4148BA36" w14:textId="77777777" w:rsidR="008D6F13" w:rsidRDefault="008D6F13" w:rsidP="008D6F13">
      <w:pPr>
        <w:sectPr w:rsidR="008D6F13" w:rsidSect="0031078F">
          <w:type w:val="continuous"/>
          <w:pgSz w:w="9979" w:h="14175" w:code="9"/>
          <w:pgMar w:top="1134" w:right="1134" w:bottom="1134" w:left="1134" w:header="624" w:footer="567" w:gutter="0"/>
          <w:cols w:num="2" w:space="708"/>
          <w:titlePg/>
          <w:docGrid w:linePitch="360"/>
        </w:sectPr>
      </w:pPr>
      <w:r w:rsidRPr="005D1255">
        <w:fldChar w:fldCharType="end"/>
      </w:r>
    </w:p>
    <w:p w14:paraId="1E1C6F01" w14:textId="77777777" w:rsidR="008D6F13" w:rsidRPr="003D5A92" w:rsidRDefault="008D6F13" w:rsidP="008D6F13">
      <w:pPr>
        <w:pStyle w:val="Heading3"/>
        <w:spacing w:after="60"/>
        <w:rPr>
          <w:sz w:val="20"/>
          <w:szCs w:val="20"/>
        </w:rPr>
      </w:pPr>
      <w:bookmarkStart w:id="95" w:name="_Toc85799749"/>
      <w:bookmarkStart w:id="96" w:name="Section_5"/>
      <w:r w:rsidRPr="00A5107B">
        <w:rPr>
          <w:sz w:val="20"/>
          <w:szCs w:val="20"/>
        </w:rPr>
        <w:t>Borrowings</w:t>
      </w:r>
      <w:r w:rsidRPr="00A5107B">
        <w:rPr>
          <w:sz w:val="20"/>
          <w:szCs w:val="20"/>
        </w:rPr>
        <w:tab/>
        <w:t>($ million)</w:t>
      </w:r>
      <w:bookmarkEnd w:id="95"/>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0AA0A900"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43DB347B" w14:textId="02B0558A" w:rsidR="008D6F13" w:rsidRDefault="008D6F13" w:rsidP="0031078F"/>
        </w:tc>
        <w:tc>
          <w:tcPr>
            <w:tcW w:w="794" w:type="dxa"/>
          </w:tcPr>
          <w:p w14:paraId="4B793896"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br/>
              <w:t>budget</w:t>
            </w:r>
          </w:p>
        </w:tc>
        <w:tc>
          <w:tcPr>
            <w:tcW w:w="794" w:type="dxa"/>
          </w:tcPr>
          <w:p w14:paraId="047CAD89"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br/>
              <w:t>revised</w:t>
            </w:r>
          </w:p>
        </w:tc>
        <w:tc>
          <w:tcPr>
            <w:tcW w:w="794" w:type="dxa"/>
          </w:tcPr>
          <w:p w14:paraId="3E1A087B"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br/>
              <w:t>estimate</w:t>
            </w:r>
          </w:p>
        </w:tc>
        <w:tc>
          <w:tcPr>
            <w:tcW w:w="794" w:type="dxa"/>
          </w:tcPr>
          <w:p w14:paraId="07C43ADE"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br/>
              <w:t>estimate</w:t>
            </w:r>
          </w:p>
        </w:tc>
        <w:tc>
          <w:tcPr>
            <w:tcW w:w="794" w:type="dxa"/>
          </w:tcPr>
          <w:p w14:paraId="0E130482"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2025</w:t>
            </w:r>
            <w:r>
              <w:br/>
              <w:t>estimate</w:t>
            </w:r>
          </w:p>
        </w:tc>
      </w:tr>
      <w:tr w:rsidR="008D6F13" w14:paraId="1A77CFB7"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0801A33" w14:textId="77777777" w:rsidR="008D6F13" w:rsidRDefault="008D6F13" w:rsidP="0031078F">
            <w:r>
              <w:rPr>
                <w:b/>
              </w:rPr>
              <w:t>Current borrowings</w:t>
            </w:r>
          </w:p>
        </w:tc>
        <w:tc>
          <w:tcPr>
            <w:tcW w:w="794" w:type="dxa"/>
          </w:tcPr>
          <w:p w14:paraId="5D79EF0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9D35A2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C363AA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774B9C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40838C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6B772C72"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1685EA6" w14:textId="77777777" w:rsidR="008D6F13" w:rsidRDefault="008D6F13" w:rsidP="0031078F">
            <w:r>
              <w:t>Domestic borrowings</w:t>
            </w:r>
          </w:p>
        </w:tc>
        <w:tc>
          <w:tcPr>
            <w:tcW w:w="794" w:type="dxa"/>
          </w:tcPr>
          <w:p w14:paraId="1C03BE8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11 123</w:t>
            </w:r>
          </w:p>
        </w:tc>
        <w:tc>
          <w:tcPr>
            <w:tcW w:w="794" w:type="dxa"/>
          </w:tcPr>
          <w:p w14:paraId="56B017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11 114</w:t>
            </w:r>
          </w:p>
        </w:tc>
        <w:tc>
          <w:tcPr>
            <w:tcW w:w="794" w:type="dxa"/>
          </w:tcPr>
          <w:p w14:paraId="3C762D8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11 214</w:t>
            </w:r>
          </w:p>
        </w:tc>
        <w:tc>
          <w:tcPr>
            <w:tcW w:w="794" w:type="dxa"/>
          </w:tcPr>
          <w:p w14:paraId="1CBD156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11 312</w:t>
            </w:r>
          </w:p>
        </w:tc>
        <w:tc>
          <w:tcPr>
            <w:tcW w:w="794" w:type="dxa"/>
          </w:tcPr>
          <w:p w14:paraId="1CEA818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11 417</w:t>
            </w:r>
          </w:p>
        </w:tc>
      </w:tr>
      <w:tr w:rsidR="008D6F13" w14:paraId="7F792178"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5F0F18C" w14:textId="77777777" w:rsidR="008D6F13" w:rsidRDefault="008D6F13" w:rsidP="0031078F">
            <w:r>
              <w:t>Lease liabilities</w:t>
            </w:r>
          </w:p>
        </w:tc>
        <w:tc>
          <w:tcPr>
            <w:tcW w:w="794" w:type="dxa"/>
          </w:tcPr>
          <w:p w14:paraId="176F638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547</w:t>
            </w:r>
          </w:p>
        </w:tc>
        <w:tc>
          <w:tcPr>
            <w:tcW w:w="794" w:type="dxa"/>
          </w:tcPr>
          <w:p w14:paraId="2748DE9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543</w:t>
            </w:r>
          </w:p>
        </w:tc>
        <w:tc>
          <w:tcPr>
            <w:tcW w:w="794" w:type="dxa"/>
          </w:tcPr>
          <w:p w14:paraId="319056C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454</w:t>
            </w:r>
          </w:p>
        </w:tc>
        <w:tc>
          <w:tcPr>
            <w:tcW w:w="794" w:type="dxa"/>
          </w:tcPr>
          <w:p w14:paraId="095E80F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366</w:t>
            </w:r>
          </w:p>
        </w:tc>
        <w:tc>
          <w:tcPr>
            <w:tcW w:w="794" w:type="dxa"/>
          </w:tcPr>
          <w:p w14:paraId="098647B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269</w:t>
            </w:r>
          </w:p>
        </w:tc>
      </w:tr>
      <w:tr w:rsidR="008D6F13" w14:paraId="7EB0F32E"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506066E" w14:textId="77777777" w:rsidR="008D6F13" w:rsidRDefault="008D6F13" w:rsidP="0031078F">
            <w:r>
              <w:t>Service concession arrangement liabilities</w:t>
            </w:r>
          </w:p>
        </w:tc>
        <w:tc>
          <w:tcPr>
            <w:tcW w:w="794" w:type="dxa"/>
          </w:tcPr>
          <w:p w14:paraId="3331A45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1 455</w:t>
            </w:r>
          </w:p>
        </w:tc>
        <w:tc>
          <w:tcPr>
            <w:tcW w:w="794" w:type="dxa"/>
          </w:tcPr>
          <w:p w14:paraId="1279A90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725</w:t>
            </w:r>
          </w:p>
        </w:tc>
        <w:tc>
          <w:tcPr>
            <w:tcW w:w="794" w:type="dxa"/>
          </w:tcPr>
          <w:p w14:paraId="6055E66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2 087</w:t>
            </w:r>
          </w:p>
        </w:tc>
        <w:tc>
          <w:tcPr>
            <w:tcW w:w="794" w:type="dxa"/>
          </w:tcPr>
          <w:p w14:paraId="5A73EE9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617</w:t>
            </w:r>
          </w:p>
        </w:tc>
        <w:tc>
          <w:tcPr>
            <w:tcW w:w="794" w:type="dxa"/>
          </w:tcPr>
          <w:p w14:paraId="2C95823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366</w:t>
            </w:r>
          </w:p>
        </w:tc>
      </w:tr>
      <w:tr w:rsidR="008D6F13" w14:paraId="77CBD2A8"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656E3A4C" w14:textId="77777777" w:rsidR="008D6F13" w:rsidRDefault="008D6F13" w:rsidP="0031078F">
            <w:r>
              <w:t>Derivative financial instruments</w:t>
            </w:r>
          </w:p>
        </w:tc>
        <w:tc>
          <w:tcPr>
            <w:tcW w:w="794" w:type="dxa"/>
            <w:tcBorders>
              <w:bottom w:val="single" w:sz="6" w:space="0" w:color="auto"/>
            </w:tcBorders>
          </w:tcPr>
          <w:p w14:paraId="50BF68E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w:t>
            </w:r>
          </w:p>
        </w:tc>
        <w:tc>
          <w:tcPr>
            <w:tcW w:w="794" w:type="dxa"/>
            <w:tcBorders>
              <w:bottom w:val="single" w:sz="6" w:space="0" w:color="auto"/>
            </w:tcBorders>
          </w:tcPr>
          <w:p w14:paraId="5A29147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w:t>
            </w:r>
          </w:p>
        </w:tc>
        <w:tc>
          <w:tcPr>
            <w:tcW w:w="794" w:type="dxa"/>
            <w:tcBorders>
              <w:bottom w:val="single" w:sz="6" w:space="0" w:color="auto"/>
            </w:tcBorders>
          </w:tcPr>
          <w:p w14:paraId="750377F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w:t>
            </w:r>
          </w:p>
        </w:tc>
        <w:tc>
          <w:tcPr>
            <w:tcW w:w="794" w:type="dxa"/>
            <w:tcBorders>
              <w:bottom w:val="single" w:sz="6" w:space="0" w:color="auto"/>
            </w:tcBorders>
          </w:tcPr>
          <w:p w14:paraId="211F25C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30</w:t>
            </w:r>
          </w:p>
        </w:tc>
        <w:tc>
          <w:tcPr>
            <w:tcW w:w="794" w:type="dxa"/>
            <w:tcBorders>
              <w:bottom w:val="single" w:sz="6" w:space="0" w:color="auto"/>
            </w:tcBorders>
          </w:tcPr>
          <w:p w14:paraId="42F97A0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43</w:t>
            </w:r>
          </w:p>
        </w:tc>
      </w:tr>
      <w:tr w:rsidR="008D6F13" w14:paraId="467C1F05"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615D6EFD" w14:textId="77777777" w:rsidR="008D6F13" w:rsidRDefault="008D6F13" w:rsidP="0031078F">
            <w:r>
              <w:rPr>
                <w:b/>
              </w:rPr>
              <w:t>Total current borrowings</w:t>
            </w:r>
          </w:p>
        </w:tc>
        <w:tc>
          <w:tcPr>
            <w:tcW w:w="794" w:type="dxa"/>
            <w:tcBorders>
              <w:top w:val="single" w:sz="6" w:space="0" w:color="auto"/>
            </w:tcBorders>
          </w:tcPr>
          <w:p w14:paraId="5877D8C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13 130</w:t>
            </w:r>
          </w:p>
        </w:tc>
        <w:tc>
          <w:tcPr>
            <w:tcW w:w="794" w:type="dxa"/>
            <w:tcBorders>
              <w:top w:val="single" w:sz="6" w:space="0" w:color="auto"/>
            </w:tcBorders>
          </w:tcPr>
          <w:p w14:paraId="08C3D6E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12 387</w:t>
            </w:r>
          </w:p>
        </w:tc>
        <w:tc>
          <w:tcPr>
            <w:tcW w:w="794" w:type="dxa"/>
            <w:tcBorders>
              <w:top w:val="single" w:sz="6" w:space="0" w:color="auto"/>
            </w:tcBorders>
          </w:tcPr>
          <w:p w14:paraId="5C17635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13 773</w:t>
            </w:r>
          </w:p>
        </w:tc>
        <w:tc>
          <w:tcPr>
            <w:tcW w:w="794" w:type="dxa"/>
            <w:tcBorders>
              <w:top w:val="single" w:sz="6" w:space="0" w:color="auto"/>
            </w:tcBorders>
          </w:tcPr>
          <w:p w14:paraId="084B904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12 325</w:t>
            </w:r>
          </w:p>
        </w:tc>
        <w:tc>
          <w:tcPr>
            <w:tcW w:w="794" w:type="dxa"/>
            <w:tcBorders>
              <w:top w:val="single" w:sz="6" w:space="0" w:color="auto"/>
            </w:tcBorders>
          </w:tcPr>
          <w:p w14:paraId="55EB7F3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12 096</w:t>
            </w:r>
          </w:p>
        </w:tc>
      </w:tr>
      <w:tr w:rsidR="008D6F13" w14:paraId="3B931408"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2BEEBF1" w14:textId="77777777" w:rsidR="008D6F13" w:rsidRDefault="008D6F13" w:rsidP="0031078F">
            <w:r>
              <w:rPr>
                <w:b/>
              </w:rPr>
              <w:t>Non</w:t>
            </w:r>
            <w:r>
              <w:rPr>
                <w:b/>
              </w:rPr>
              <w:noBreakHyphen/>
              <w:t>current borrowings</w:t>
            </w:r>
          </w:p>
        </w:tc>
        <w:tc>
          <w:tcPr>
            <w:tcW w:w="794" w:type="dxa"/>
          </w:tcPr>
          <w:p w14:paraId="116E505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00C367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F92B43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A19AB2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5C6ED8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7F987841"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4745565" w14:textId="77777777" w:rsidR="008D6F13" w:rsidRDefault="008D6F13" w:rsidP="0031078F">
            <w:r>
              <w:t>Domestic borrowings</w:t>
            </w:r>
          </w:p>
        </w:tc>
        <w:tc>
          <w:tcPr>
            <w:tcW w:w="794" w:type="dxa"/>
          </w:tcPr>
          <w:p w14:paraId="4DFCB90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92 569</w:t>
            </w:r>
          </w:p>
        </w:tc>
        <w:tc>
          <w:tcPr>
            <w:tcW w:w="794" w:type="dxa"/>
          </w:tcPr>
          <w:p w14:paraId="73539B0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99 793</w:t>
            </w:r>
          </w:p>
        </w:tc>
        <w:tc>
          <w:tcPr>
            <w:tcW w:w="794" w:type="dxa"/>
          </w:tcPr>
          <w:p w14:paraId="697073E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117 322</w:t>
            </w:r>
          </w:p>
        </w:tc>
        <w:tc>
          <w:tcPr>
            <w:tcW w:w="794" w:type="dxa"/>
          </w:tcPr>
          <w:p w14:paraId="1A1B3CA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141 471</w:t>
            </w:r>
          </w:p>
        </w:tc>
        <w:tc>
          <w:tcPr>
            <w:tcW w:w="794" w:type="dxa"/>
          </w:tcPr>
          <w:p w14:paraId="21F2EDC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164 006</w:t>
            </w:r>
          </w:p>
        </w:tc>
      </w:tr>
      <w:tr w:rsidR="008D6F13" w14:paraId="247ACC18"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74A3FB7" w14:textId="77777777" w:rsidR="008D6F13" w:rsidRDefault="008D6F13" w:rsidP="0031078F">
            <w:r>
              <w:t>Lease liabilities</w:t>
            </w:r>
          </w:p>
        </w:tc>
        <w:tc>
          <w:tcPr>
            <w:tcW w:w="794" w:type="dxa"/>
          </w:tcPr>
          <w:p w14:paraId="167B0AC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6 741</w:t>
            </w:r>
          </w:p>
        </w:tc>
        <w:tc>
          <w:tcPr>
            <w:tcW w:w="794" w:type="dxa"/>
          </w:tcPr>
          <w:p w14:paraId="0958353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7 191</w:t>
            </w:r>
          </w:p>
        </w:tc>
        <w:tc>
          <w:tcPr>
            <w:tcW w:w="794" w:type="dxa"/>
          </w:tcPr>
          <w:p w14:paraId="17FEC4D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6 742</w:t>
            </w:r>
          </w:p>
        </w:tc>
        <w:tc>
          <w:tcPr>
            <w:tcW w:w="794" w:type="dxa"/>
          </w:tcPr>
          <w:p w14:paraId="23D3477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6 300</w:t>
            </w:r>
          </w:p>
        </w:tc>
        <w:tc>
          <w:tcPr>
            <w:tcW w:w="794" w:type="dxa"/>
          </w:tcPr>
          <w:p w14:paraId="7B69CA1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5 831</w:t>
            </w:r>
          </w:p>
        </w:tc>
      </w:tr>
      <w:tr w:rsidR="008D6F13" w14:paraId="4259EA22"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5F47263" w14:textId="77777777" w:rsidR="008D6F13" w:rsidRDefault="008D6F13" w:rsidP="0031078F">
            <w:r>
              <w:t>Service concession arrangement liabilities</w:t>
            </w:r>
          </w:p>
        </w:tc>
        <w:tc>
          <w:tcPr>
            <w:tcW w:w="794" w:type="dxa"/>
          </w:tcPr>
          <w:p w14:paraId="5DD5063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5 320</w:t>
            </w:r>
          </w:p>
        </w:tc>
        <w:tc>
          <w:tcPr>
            <w:tcW w:w="794" w:type="dxa"/>
          </w:tcPr>
          <w:p w14:paraId="505D874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5 843</w:t>
            </w:r>
          </w:p>
        </w:tc>
        <w:tc>
          <w:tcPr>
            <w:tcW w:w="794" w:type="dxa"/>
          </w:tcPr>
          <w:p w14:paraId="2F1AF02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4 688</w:t>
            </w:r>
          </w:p>
        </w:tc>
        <w:tc>
          <w:tcPr>
            <w:tcW w:w="794" w:type="dxa"/>
          </w:tcPr>
          <w:p w14:paraId="377BE7B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4 889</w:t>
            </w:r>
          </w:p>
        </w:tc>
        <w:tc>
          <w:tcPr>
            <w:tcW w:w="794" w:type="dxa"/>
          </w:tcPr>
          <w:p w14:paraId="2774AE9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4 740</w:t>
            </w:r>
          </w:p>
        </w:tc>
      </w:tr>
      <w:tr w:rsidR="008D6F13" w14:paraId="22A393C9"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0E78050E" w14:textId="77777777" w:rsidR="008D6F13" w:rsidRDefault="008D6F13" w:rsidP="0031078F">
            <w:r>
              <w:t>Derivative financial instruments</w:t>
            </w:r>
          </w:p>
        </w:tc>
        <w:tc>
          <w:tcPr>
            <w:tcW w:w="794" w:type="dxa"/>
            <w:tcBorders>
              <w:bottom w:val="single" w:sz="6" w:space="0" w:color="auto"/>
            </w:tcBorders>
          </w:tcPr>
          <w:p w14:paraId="2D66906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478</w:t>
            </w:r>
          </w:p>
        </w:tc>
        <w:tc>
          <w:tcPr>
            <w:tcW w:w="794" w:type="dxa"/>
            <w:tcBorders>
              <w:bottom w:val="single" w:sz="6" w:space="0" w:color="auto"/>
            </w:tcBorders>
          </w:tcPr>
          <w:p w14:paraId="52BD85B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478</w:t>
            </w:r>
          </w:p>
        </w:tc>
        <w:tc>
          <w:tcPr>
            <w:tcW w:w="794" w:type="dxa"/>
            <w:tcBorders>
              <w:bottom w:val="single" w:sz="6" w:space="0" w:color="auto"/>
            </w:tcBorders>
          </w:tcPr>
          <w:p w14:paraId="4BC0C6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481</w:t>
            </w:r>
          </w:p>
        </w:tc>
        <w:tc>
          <w:tcPr>
            <w:tcW w:w="794" w:type="dxa"/>
            <w:tcBorders>
              <w:bottom w:val="single" w:sz="6" w:space="0" w:color="auto"/>
            </w:tcBorders>
          </w:tcPr>
          <w:p w14:paraId="3D7FABB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506</w:t>
            </w:r>
          </w:p>
        </w:tc>
        <w:tc>
          <w:tcPr>
            <w:tcW w:w="794" w:type="dxa"/>
            <w:tcBorders>
              <w:bottom w:val="single" w:sz="6" w:space="0" w:color="auto"/>
            </w:tcBorders>
          </w:tcPr>
          <w:p w14:paraId="65EBD05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504</w:t>
            </w:r>
          </w:p>
        </w:tc>
      </w:tr>
      <w:tr w:rsidR="008D6F13" w14:paraId="3592D493"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7869501F" w14:textId="77777777" w:rsidR="008D6F13" w:rsidRDefault="008D6F13" w:rsidP="0031078F">
            <w:r>
              <w:rPr>
                <w:b/>
              </w:rPr>
              <w:t>Total non</w:t>
            </w:r>
            <w:r>
              <w:rPr>
                <w:b/>
              </w:rPr>
              <w:noBreakHyphen/>
              <w:t>current borrowings</w:t>
            </w:r>
          </w:p>
        </w:tc>
        <w:tc>
          <w:tcPr>
            <w:tcW w:w="794" w:type="dxa"/>
            <w:tcBorders>
              <w:top w:val="single" w:sz="6" w:space="0" w:color="auto"/>
              <w:bottom w:val="single" w:sz="6" w:space="0" w:color="auto"/>
            </w:tcBorders>
          </w:tcPr>
          <w:p w14:paraId="7B33A7C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105 108</w:t>
            </w:r>
          </w:p>
        </w:tc>
        <w:tc>
          <w:tcPr>
            <w:tcW w:w="794" w:type="dxa"/>
            <w:tcBorders>
              <w:top w:val="single" w:sz="6" w:space="0" w:color="auto"/>
              <w:bottom w:val="single" w:sz="6" w:space="0" w:color="auto"/>
            </w:tcBorders>
          </w:tcPr>
          <w:p w14:paraId="07B75F9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113 305</w:t>
            </w:r>
          </w:p>
        </w:tc>
        <w:tc>
          <w:tcPr>
            <w:tcW w:w="794" w:type="dxa"/>
            <w:tcBorders>
              <w:top w:val="single" w:sz="6" w:space="0" w:color="auto"/>
              <w:bottom w:val="single" w:sz="6" w:space="0" w:color="auto"/>
            </w:tcBorders>
          </w:tcPr>
          <w:p w14:paraId="20DA306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129 233</w:t>
            </w:r>
          </w:p>
        </w:tc>
        <w:tc>
          <w:tcPr>
            <w:tcW w:w="794" w:type="dxa"/>
            <w:tcBorders>
              <w:top w:val="single" w:sz="6" w:space="0" w:color="auto"/>
              <w:bottom w:val="single" w:sz="6" w:space="0" w:color="auto"/>
            </w:tcBorders>
          </w:tcPr>
          <w:p w14:paraId="6D7F49B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153 166</w:t>
            </w:r>
          </w:p>
        </w:tc>
        <w:tc>
          <w:tcPr>
            <w:tcW w:w="794" w:type="dxa"/>
            <w:tcBorders>
              <w:top w:val="single" w:sz="6" w:space="0" w:color="auto"/>
              <w:bottom w:val="single" w:sz="6" w:space="0" w:color="auto"/>
            </w:tcBorders>
          </w:tcPr>
          <w:p w14:paraId="473ACB3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175 081</w:t>
            </w:r>
          </w:p>
        </w:tc>
      </w:tr>
      <w:tr w:rsidR="008D6F13" w14:paraId="4E7056F0"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CF1CBD7" w14:textId="77777777" w:rsidR="008D6F13" w:rsidRDefault="008D6F13" w:rsidP="0031078F">
            <w:r>
              <w:rPr>
                <w:b/>
              </w:rPr>
              <w:t>Total borrowings</w:t>
            </w:r>
          </w:p>
        </w:tc>
        <w:tc>
          <w:tcPr>
            <w:tcW w:w="794" w:type="dxa"/>
          </w:tcPr>
          <w:p w14:paraId="4325D90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118 238</w:t>
            </w:r>
          </w:p>
        </w:tc>
        <w:tc>
          <w:tcPr>
            <w:tcW w:w="794" w:type="dxa"/>
          </w:tcPr>
          <w:p w14:paraId="1E04179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125 692</w:t>
            </w:r>
          </w:p>
        </w:tc>
        <w:tc>
          <w:tcPr>
            <w:tcW w:w="794" w:type="dxa"/>
          </w:tcPr>
          <w:p w14:paraId="1E0AF11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143 006</w:t>
            </w:r>
          </w:p>
        </w:tc>
        <w:tc>
          <w:tcPr>
            <w:tcW w:w="794" w:type="dxa"/>
          </w:tcPr>
          <w:p w14:paraId="24CF363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165 492</w:t>
            </w:r>
          </w:p>
        </w:tc>
        <w:tc>
          <w:tcPr>
            <w:tcW w:w="794" w:type="dxa"/>
          </w:tcPr>
          <w:p w14:paraId="3C601E1F" w14:textId="23EE293A"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187 177</w:t>
            </w:r>
          </w:p>
        </w:tc>
      </w:tr>
    </w:tbl>
    <w:p w14:paraId="46C4208F" w14:textId="77777777" w:rsidR="008D6F13" w:rsidRDefault="008D6F13" w:rsidP="008D6F13"/>
    <w:p w14:paraId="6D21F2F3" w14:textId="77777777" w:rsidR="008D6F13" w:rsidRDefault="008D6F13" w:rsidP="008D6F13"/>
    <w:p w14:paraId="4A724EC9" w14:textId="77777777" w:rsidR="008D6F13" w:rsidRPr="00B41AC3" w:rsidRDefault="008D6F13" w:rsidP="008D6F13">
      <w:pPr>
        <w:pStyle w:val="Heading10"/>
      </w:pPr>
      <w:r>
        <w:br w:type="page"/>
      </w:r>
    </w:p>
    <w:p w14:paraId="1E454E43" w14:textId="77777777" w:rsidR="008D6F13" w:rsidRPr="003D5A92" w:rsidRDefault="008D6F13" w:rsidP="008D6F13">
      <w:pPr>
        <w:pStyle w:val="Heading3"/>
        <w:spacing w:after="60"/>
        <w:rPr>
          <w:sz w:val="20"/>
          <w:szCs w:val="20"/>
        </w:rPr>
      </w:pPr>
      <w:bookmarkStart w:id="97" w:name="_Toc85799750"/>
      <w:r w:rsidRPr="00A5107B">
        <w:rPr>
          <w:sz w:val="20"/>
          <w:szCs w:val="20"/>
        </w:rPr>
        <w:lastRenderedPageBreak/>
        <w:t xml:space="preserve">Advances paid and investments, </w:t>
      </w:r>
      <w:proofErr w:type="gramStart"/>
      <w:r w:rsidRPr="00A5107B">
        <w:rPr>
          <w:sz w:val="20"/>
          <w:szCs w:val="20"/>
        </w:rPr>
        <w:t>loans</w:t>
      </w:r>
      <w:proofErr w:type="gramEnd"/>
      <w:r w:rsidRPr="00A5107B">
        <w:rPr>
          <w:sz w:val="20"/>
          <w:szCs w:val="20"/>
        </w:rPr>
        <w:t xml:space="preserve"> and placements</w:t>
      </w:r>
      <w:r w:rsidRPr="00A5107B">
        <w:rPr>
          <w:sz w:val="20"/>
          <w:szCs w:val="20"/>
        </w:rPr>
        <w:tab/>
        <w:t>($ million)</w:t>
      </w:r>
      <w:bookmarkEnd w:id="97"/>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0A7DE1E3"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63D820A0" w14:textId="7F50C154" w:rsidR="008D6F13" w:rsidRDefault="008D6F13" w:rsidP="0031078F"/>
        </w:tc>
        <w:tc>
          <w:tcPr>
            <w:tcW w:w="794" w:type="dxa"/>
          </w:tcPr>
          <w:p w14:paraId="7568947B"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br/>
              <w:t>budget</w:t>
            </w:r>
          </w:p>
        </w:tc>
        <w:tc>
          <w:tcPr>
            <w:tcW w:w="794" w:type="dxa"/>
          </w:tcPr>
          <w:p w14:paraId="48152446"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br/>
              <w:t>revised</w:t>
            </w:r>
          </w:p>
        </w:tc>
        <w:tc>
          <w:tcPr>
            <w:tcW w:w="794" w:type="dxa"/>
          </w:tcPr>
          <w:p w14:paraId="6E1D795A"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br/>
              <w:t>estimate</w:t>
            </w:r>
          </w:p>
        </w:tc>
        <w:tc>
          <w:tcPr>
            <w:tcW w:w="794" w:type="dxa"/>
          </w:tcPr>
          <w:p w14:paraId="7BC56F6C"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br/>
              <w:t>estimate</w:t>
            </w:r>
          </w:p>
        </w:tc>
        <w:tc>
          <w:tcPr>
            <w:tcW w:w="794" w:type="dxa"/>
          </w:tcPr>
          <w:p w14:paraId="60507AA4"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2025</w:t>
            </w:r>
            <w:r>
              <w:br/>
              <w:t>estimate</w:t>
            </w:r>
          </w:p>
        </w:tc>
      </w:tr>
      <w:tr w:rsidR="008D6F13" w14:paraId="2B4408B4"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A4F820E" w14:textId="77777777" w:rsidR="008D6F13" w:rsidRDefault="008D6F13" w:rsidP="0031078F">
            <w:r>
              <w:rPr>
                <w:b/>
              </w:rPr>
              <w:t xml:space="preserve">Current advances paid and investments, </w:t>
            </w:r>
            <w:proofErr w:type="gramStart"/>
            <w:r>
              <w:rPr>
                <w:b/>
              </w:rPr>
              <w:t>loans</w:t>
            </w:r>
            <w:proofErr w:type="gramEnd"/>
            <w:r>
              <w:rPr>
                <w:b/>
              </w:rPr>
              <w:t xml:space="preserve"> and placements</w:t>
            </w:r>
          </w:p>
        </w:tc>
        <w:tc>
          <w:tcPr>
            <w:tcW w:w="794" w:type="dxa"/>
          </w:tcPr>
          <w:p w14:paraId="773D1C9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E7EADF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CE49FC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9D2F81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D84D09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71F1B4B2"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C0EA9EB" w14:textId="77777777" w:rsidR="008D6F13" w:rsidRDefault="008D6F13" w:rsidP="0031078F">
            <w:r>
              <w:t>Loans and advances paid</w:t>
            </w:r>
          </w:p>
        </w:tc>
        <w:tc>
          <w:tcPr>
            <w:tcW w:w="794" w:type="dxa"/>
          </w:tcPr>
          <w:p w14:paraId="099995F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461</w:t>
            </w:r>
          </w:p>
        </w:tc>
        <w:tc>
          <w:tcPr>
            <w:tcW w:w="794" w:type="dxa"/>
          </w:tcPr>
          <w:p w14:paraId="641B908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414</w:t>
            </w:r>
          </w:p>
        </w:tc>
        <w:tc>
          <w:tcPr>
            <w:tcW w:w="794" w:type="dxa"/>
          </w:tcPr>
          <w:p w14:paraId="10847CC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353</w:t>
            </w:r>
          </w:p>
        </w:tc>
        <w:tc>
          <w:tcPr>
            <w:tcW w:w="794" w:type="dxa"/>
          </w:tcPr>
          <w:p w14:paraId="45B3FA8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311</w:t>
            </w:r>
          </w:p>
        </w:tc>
        <w:tc>
          <w:tcPr>
            <w:tcW w:w="794" w:type="dxa"/>
          </w:tcPr>
          <w:p w14:paraId="249E8F7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300</w:t>
            </w:r>
          </w:p>
        </w:tc>
      </w:tr>
      <w:tr w:rsidR="008D6F13" w14:paraId="2CABA04E"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0ADF7EA" w14:textId="77777777" w:rsidR="008D6F13" w:rsidRDefault="008D6F13" w:rsidP="0031078F">
            <w:r>
              <w:t>Equities and managed investment schemes</w:t>
            </w:r>
          </w:p>
        </w:tc>
        <w:tc>
          <w:tcPr>
            <w:tcW w:w="794" w:type="dxa"/>
          </w:tcPr>
          <w:p w14:paraId="0D0CB18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929</w:t>
            </w:r>
          </w:p>
        </w:tc>
        <w:tc>
          <w:tcPr>
            <w:tcW w:w="794" w:type="dxa"/>
          </w:tcPr>
          <w:p w14:paraId="3B03B35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929</w:t>
            </w:r>
          </w:p>
        </w:tc>
        <w:tc>
          <w:tcPr>
            <w:tcW w:w="794" w:type="dxa"/>
          </w:tcPr>
          <w:p w14:paraId="1803803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954</w:t>
            </w:r>
          </w:p>
        </w:tc>
        <w:tc>
          <w:tcPr>
            <w:tcW w:w="794" w:type="dxa"/>
          </w:tcPr>
          <w:p w14:paraId="5959E07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992</w:t>
            </w:r>
          </w:p>
        </w:tc>
        <w:tc>
          <w:tcPr>
            <w:tcW w:w="794" w:type="dxa"/>
          </w:tcPr>
          <w:p w14:paraId="6805416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1 008</w:t>
            </w:r>
          </w:p>
        </w:tc>
      </w:tr>
      <w:tr w:rsidR="008D6F13" w14:paraId="7D0DA6E2"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F31A288" w14:textId="77777777" w:rsidR="008D6F13" w:rsidRDefault="008D6F13" w:rsidP="0031078F">
            <w:r>
              <w:t>Australian dollar term deposits</w:t>
            </w:r>
          </w:p>
        </w:tc>
        <w:tc>
          <w:tcPr>
            <w:tcW w:w="794" w:type="dxa"/>
          </w:tcPr>
          <w:p w14:paraId="3E351F3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71</w:t>
            </w:r>
          </w:p>
        </w:tc>
        <w:tc>
          <w:tcPr>
            <w:tcW w:w="794" w:type="dxa"/>
          </w:tcPr>
          <w:p w14:paraId="16FB325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75</w:t>
            </w:r>
          </w:p>
        </w:tc>
        <w:tc>
          <w:tcPr>
            <w:tcW w:w="794" w:type="dxa"/>
          </w:tcPr>
          <w:p w14:paraId="3DC7C1C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85</w:t>
            </w:r>
          </w:p>
        </w:tc>
        <w:tc>
          <w:tcPr>
            <w:tcW w:w="794" w:type="dxa"/>
          </w:tcPr>
          <w:p w14:paraId="336288C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100</w:t>
            </w:r>
          </w:p>
        </w:tc>
        <w:tc>
          <w:tcPr>
            <w:tcW w:w="794" w:type="dxa"/>
          </w:tcPr>
          <w:p w14:paraId="6626E43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119</w:t>
            </w:r>
          </w:p>
        </w:tc>
      </w:tr>
      <w:tr w:rsidR="008D6F13" w14:paraId="43516831"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FC81FF2" w14:textId="77777777" w:rsidR="008D6F13" w:rsidRDefault="008D6F13" w:rsidP="0031078F">
            <w:r>
              <w:t>Debt securities</w:t>
            </w:r>
          </w:p>
        </w:tc>
        <w:tc>
          <w:tcPr>
            <w:tcW w:w="794" w:type="dxa"/>
          </w:tcPr>
          <w:p w14:paraId="0B7E338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038A6BE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705A2B7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4E41ACE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4892D06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w:t>
            </w:r>
          </w:p>
        </w:tc>
      </w:tr>
      <w:tr w:rsidR="008D6F13" w14:paraId="649E20E0"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2516EDCE" w14:textId="77777777" w:rsidR="008D6F13" w:rsidRDefault="008D6F13" w:rsidP="0031078F">
            <w:r>
              <w:t>Derivative financial instruments</w:t>
            </w:r>
          </w:p>
        </w:tc>
        <w:tc>
          <w:tcPr>
            <w:tcW w:w="794" w:type="dxa"/>
            <w:tcBorders>
              <w:bottom w:val="single" w:sz="6" w:space="0" w:color="auto"/>
            </w:tcBorders>
          </w:tcPr>
          <w:p w14:paraId="7BADAEA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82</w:t>
            </w:r>
          </w:p>
        </w:tc>
        <w:tc>
          <w:tcPr>
            <w:tcW w:w="794" w:type="dxa"/>
            <w:tcBorders>
              <w:bottom w:val="single" w:sz="6" w:space="0" w:color="auto"/>
            </w:tcBorders>
          </w:tcPr>
          <w:p w14:paraId="511347E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53</w:t>
            </w:r>
          </w:p>
        </w:tc>
        <w:tc>
          <w:tcPr>
            <w:tcW w:w="794" w:type="dxa"/>
            <w:tcBorders>
              <w:bottom w:val="single" w:sz="6" w:space="0" w:color="auto"/>
            </w:tcBorders>
          </w:tcPr>
          <w:p w14:paraId="6BBABBD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w:t>
            </w:r>
          </w:p>
        </w:tc>
        <w:tc>
          <w:tcPr>
            <w:tcW w:w="794" w:type="dxa"/>
            <w:tcBorders>
              <w:bottom w:val="single" w:sz="6" w:space="0" w:color="auto"/>
            </w:tcBorders>
          </w:tcPr>
          <w:p w14:paraId="75C50D2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29</w:t>
            </w:r>
          </w:p>
        </w:tc>
        <w:tc>
          <w:tcPr>
            <w:tcW w:w="794" w:type="dxa"/>
            <w:tcBorders>
              <w:bottom w:val="single" w:sz="6" w:space="0" w:color="auto"/>
            </w:tcBorders>
          </w:tcPr>
          <w:p w14:paraId="2396A0A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42</w:t>
            </w:r>
          </w:p>
        </w:tc>
      </w:tr>
      <w:tr w:rsidR="008D6F13" w14:paraId="1A8224DA"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21601508" w14:textId="77777777" w:rsidR="008D6F13" w:rsidRDefault="008D6F13" w:rsidP="0031078F">
            <w:r>
              <w:rPr>
                <w:b/>
              </w:rPr>
              <w:t xml:space="preserve">Total current advances paid and investments, </w:t>
            </w:r>
            <w:proofErr w:type="gramStart"/>
            <w:r>
              <w:rPr>
                <w:b/>
              </w:rPr>
              <w:t>loans</w:t>
            </w:r>
            <w:proofErr w:type="gramEnd"/>
            <w:r>
              <w:rPr>
                <w:b/>
              </w:rPr>
              <w:t xml:space="preserve"> and placements</w:t>
            </w:r>
          </w:p>
        </w:tc>
        <w:tc>
          <w:tcPr>
            <w:tcW w:w="794" w:type="dxa"/>
            <w:tcBorders>
              <w:top w:val="single" w:sz="6" w:space="0" w:color="auto"/>
            </w:tcBorders>
          </w:tcPr>
          <w:p w14:paraId="7E139DB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1 543</w:t>
            </w:r>
          </w:p>
        </w:tc>
        <w:tc>
          <w:tcPr>
            <w:tcW w:w="794" w:type="dxa"/>
            <w:tcBorders>
              <w:top w:val="single" w:sz="6" w:space="0" w:color="auto"/>
            </w:tcBorders>
          </w:tcPr>
          <w:p w14:paraId="519625B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1 472</w:t>
            </w:r>
          </w:p>
        </w:tc>
        <w:tc>
          <w:tcPr>
            <w:tcW w:w="794" w:type="dxa"/>
            <w:tcBorders>
              <w:top w:val="single" w:sz="6" w:space="0" w:color="auto"/>
            </w:tcBorders>
          </w:tcPr>
          <w:p w14:paraId="0832763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1 409</w:t>
            </w:r>
          </w:p>
        </w:tc>
        <w:tc>
          <w:tcPr>
            <w:tcW w:w="794" w:type="dxa"/>
            <w:tcBorders>
              <w:top w:val="single" w:sz="6" w:space="0" w:color="auto"/>
            </w:tcBorders>
          </w:tcPr>
          <w:p w14:paraId="12EECCF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1 432</w:t>
            </w:r>
          </w:p>
        </w:tc>
        <w:tc>
          <w:tcPr>
            <w:tcW w:w="794" w:type="dxa"/>
            <w:tcBorders>
              <w:top w:val="single" w:sz="6" w:space="0" w:color="auto"/>
            </w:tcBorders>
          </w:tcPr>
          <w:p w14:paraId="6E38F7A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1 470</w:t>
            </w:r>
          </w:p>
        </w:tc>
      </w:tr>
      <w:tr w:rsidR="008D6F13" w14:paraId="7D5EEF35"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DCC8ED9" w14:textId="77777777" w:rsidR="008D6F13" w:rsidRDefault="008D6F13" w:rsidP="0031078F">
            <w:r>
              <w:rPr>
                <w:b/>
              </w:rPr>
              <w:t>Non</w:t>
            </w:r>
            <w:r>
              <w:rPr>
                <w:b/>
              </w:rPr>
              <w:noBreakHyphen/>
              <w:t xml:space="preserve">current advances paid and investments, </w:t>
            </w:r>
            <w:proofErr w:type="gramStart"/>
            <w:r>
              <w:rPr>
                <w:b/>
              </w:rPr>
              <w:t>loans</w:t>
            </w:r>
            <w:proofErr w:type="gramEnd"/>
            <w:r>
              <w:rPr>
                <w:b/>
              </w:rPr>
              <w:t xml:space="preserve"> and placements</w:t>
            </w:r>
          </w:p>
        </w:tc>
        <w:tc>
          <w:tcPr>
            <w:tcW w:w="794" w:type="dxa"/>
          </w:tcPr>
          <w:p w14:paraId="7B90D18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DC318C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09BA54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E2053C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93BFCD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1BCD8749"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E0BCC2D" w14:textId="77777777" w:rsidR="008D6F13" w:rsidRDefault="008D6F13" w:rsidP="0031078F">
            <w:r>
              <w:t>Loans and advances paid</w:t>
            </w:r>
          </w:p>
        </w:tc>
        <w:tc>
          <w:tcPr>
            <w:tcW w:w="794" w:type="dxa"/>
          </w:tcPr>
          <w:p w14:paraId="65A4A10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4 339</w:t>
            </w:r>
          </w:p>
        </w:tc>
        <w:tc>
          <w:tcPr>
            <w:tcW w:w="794" w:type="dxa"/>
          </w:tcPr>
          <w:p w14:paraId="77C1883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4 425</w:t>
            </w:r>
          </w:p>
        </w:tc>
        <w:tc>
          <w:tcPr>
            <w:tcW w:w="794" w:type="dxa"/>
          </w:tcPr>
          <w:p w14:paraId="5693928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4 542</w:t>
            </w:r>
          </w:p>
        </w:tc>
        <w:tc>
          <w:tcPr>
            <w:tcW w:w="794" w:type="dxa"/>
          </w:tcPr>
          <w:p w14:paraId="766A0CB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6 138</w:t>
            </w:r>
          </w:p>
        </w:tc>
        <w:tc>
          <w:tcPr>
            <w:tcW w:w="794" w:type="dxa"/>
          </w:tcPr>
          <w:p w14:paraId="5D763B4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6 162</w:t>
            </w:r>
          </w:p>
        </w:tc>
      </w:tr>
      <w:tr w:rsidR="008D6F13" w14:paraId="5027C5FB"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6CBC998" w14:textId="77777777" w:rsidR="008D6F13" w:rsidRDefault="008D6F13" w:rsidP="0031078F">
            <w:r>
              <w:t>Equities and managed investment schemes</w:t>
            </w:r>
          </w:p>
        </w:tc>
        <w:tc>
          <w:tcPr>
            <w:tcW w:w="794" w:type="dxa"/>
          </w:tcPr>
          <w:p w14:paraId="4301B06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1 792</w:t>
            </w:r>
          </w:p>
        </w:tc>
        <w:tc>
          <w:tcPr>
            <w:tcW w:w="794" w:type="dxa"/>
          </w:tcPr>
          <w:p w14:paraId="32D90D4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2 433</w:t>
            </w:r>
          </w:p>
        </w:tc>
        <w:tc>
          <w:tcPr>
            <w:tcW w:w="794" w:type="dxa"/>
          </w:tcPr>
          <w:p w14:paraId="4BDF169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2 622</w:t>
            </w:r>
          </w:p>
        </w:tc>
        <w:tc>
          <w:tcPr>
            <w:tcW w:w="794" w:type="dxa"/>
          </w:tcPr>
          <w:p w14:paraId="48716DE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2 814</w:t>
            </w:r>
          </w:p>
        </w:tc>
        <w:tc>
          <w:tcPr>
            <w:tcW w:w="794" w:type="dxa"/>
          </w:tcPr>
          <w:p w14:paraId="429102D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3 022</w:t>
            </w:r>
          </w:p>
        </w:tc>
      </w:tr>
      <w:tr w:rsidR="008D6F13" w14:paraId="1063AAA8"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0E30507" w14:textId="77777777" w:rsidR="008D6F13" w:rsidRDefault="008D6F13" w:rsidP="0031078F">
            <w:r>
              <w:t>Australian dollar term deposits</w:t>
            </w:r>
          </w:p>
        </w:tc>
        <w:tc>
          <w:tcPr>
            <w:tcW w:w="794" w:type="dxa"/>
          </w:tcPr>
          <w:p w14:paraId="4044A50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w:t>
            </w:r>
          </w:p>
        </w:tc>
        <w:tc>
          <w:tcPr>
            <w:tcW w:w="794" w:type="dxa"/>
          </w:tcPr>
          <w:p w14:paraId="247BBBF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w:t>
            </w:r>
          </w:p>
        </w:tc>
        <w:tc>
          <w:tcPr>
            <w:tcW w:w="794" w:type="dxa"/>
          </w:tcPr>
          <w:p w14:paraId="39E68B9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w:t>
            </w:r>
          </w:p>
        </w:tc>
        <w:tc>
          <w:tcPr>
            <w:tcW w:w="794" w:type="dxa"/>
          </w:tcPr>
          <w:p w14:paraId="5C869ED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w:t>
            </w:r>
          </w:p>
        </w:tc>
        <w:tc>
          <w:tcPr>
            <w:tcW w:w="794" w:type="dxa"/>
          </w:tcPr>
          <w:p w14:paraId="3388564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w:t>
            </w:r>
          </w:p>
        </w:tc>
      </w:tr>
      <w:tr w:rsidR="008D6F13" w14:paraId="42455865"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A96AAF9" w14:textId="77777777" w:rsidR="008D6F13" w:rsidRDefault="008D6F13" w:rsidP="0031078F">
            <w:r>
              <w:t>Debt securities</w:t>
            </w:r>
          </w:p>
        </w:tc>
        <w:tc>
          <w:tcPr>
            <w:tcW w:w="794" w:type="dxa"/>
          </w:tcPr>
          <w:p w14:paraId="6129F84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w:t>
            </w:r>
          </w:p>
        </w:tc>
        <w:tc>
          <w:tcPr>
            <w:tcW w:w="794" w:type="dxa"/>
          </w:tcPr>
          <w:p w14:paraId="2226DC9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w:t>
            </w:r>
          </w:p>
        </w:tc>
        <w:tc>
          <w:tcPr>
            <w:tcW w:w="794" w:type="dxa"/>
          </w:tcPr>
          <w:p w14:paraId="47E95F0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w:t>
            </w:r>
          </w:p>
        </w:tc>
        <w:tc>
          <w:tcPr>
            <w:tcW w:w="794" w:type="dxa"/>
          </w:tcPr>
          <w:p w14:paraId="5EF0598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w:t>
            </w:r>
          </w:p>
        </w:tc>
        <w:tc>
          <w:tcPr>
            <w:tcW w:w="794" w:type="dxa"/>
          </w:tcPr>
          <w:p w14:paraId="45A767C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w:t>
            </w:r>
          </w:p>
        </w:tc>
      </w:tr>
      <w:tr w:rsidR="008D6F13" w14:paraId="72A6A34F"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795CF461" w14:textId="77777777" w:rsidR="008D6F13" w:rsidRDefault="008D6F13" w:rsidP="0031078F">
            <w:r>
              <w:rPr>
                <w:b/>
              </w:rPr>
              <w:t>Total non</w:t>
            </w:r>
            <w:r>
              <w:rPr>
                <w:b/>
              </w:rPr>
              <w:noBreakHyphen/>
              <w:t xml:space="preserve">current advances paid and investments, </w:t>
            </w:r>
            <w:proofErr w:type="gramStart"/>
            <w:r>
              <w:rPr>
                <w:b/>
              </w:rPr>
              <w:t>loans</w:t>
            </w:r>
            <w:proofErr w:type="gramEnd"/>
            <w:r>
              <w:rPr>
                <w:b/>
              </w:rPr>
              <w:t xml:space="preserve"> and placements</w:t>
            </w:r>
          </w:p>
        </w:tc>
        <w:tc>
          <w:tcPr>
            <w:tcW w:w="794" w:type="dxa"/>
            <w:tcBorders>
              <w:top w:val="single" w:sz="6" w:space="0" w:color="auto"/>
              <w:bottom w:val="single" w:sz="6" w:space="0" w:color="auto"/>
            </w:tcBorders>
          </w:tcPr>
          <w:p w14:paraId="7E18175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6 181</w:t>
            </w:r>
          </w:p>
        </w:tc>
        <w:tc>
          <w:tcPr>
            <w:tcW w:w="794" w:type="dxa"/>
            <w:tcBorders>
              <w:top w:val="single" w:sz="6" w:space="0" w:color="auto"/>
              <w:bottom w:val="single" w:sz="6" w:space="0" w:color="auto"/>
            </w:tcBorders>
          </w:tcPr>
          <w:p w14:paraId="7D441FD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6 909</w:t>
            </w:r>
          </w:p>
        </w:tc>
        <w:tc>
          <w:tcPr>
            <w:tcW w:w="794" w:type="dxa"/>
            <w:tcBorders>
              <w:top w:val="single" w:sz="6" w:space="0" w:color="auto"/>
              <w:bottom w:val="single" w:sz="6" w:space="0" w:color="auto"/>
            </w:tcBorders>
          </w:tcPr>
          <w:p w14:paraId="3987A1E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7 215</w:t>
            </w:r>
          </w:p>
        </w:tc>
        <w:tc>
          <w:tcPr>
            <w:tcW w:w="794" w:type="dxa"/>
            <w:tcBorders>
              <w:top w:val="single" w:sz="6" w:space="0" w:color="auto"/>
              <w:bottom w:val="single" w:sz="6" w:space="0" w:color="auto"/>
            </w:tcBorders>
          </w:tcPr>
          <w:p w14:paraId="235BDAF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9 003</w:t>
            </w:r>
          </w:p>
        </w:tc>
        <w:tc>
          <w:tcPr>
            <w:tcW w:w="794" w:type="dxa"/>
            <w:tcBorders>
              <w:top w:val="single" w:sz="6" w:space="0" w:color="auto"/>
              <w:bottom w:val="single" w:sz="6" w:space="0" w:color="auto"/>
            </w:tcBorders>
          </w:tcPr>
          <w:p w14:paraId="15EAFAD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9 235</w:t>
            </w:r>
          </w:p>
        </w:tc>
      </w:tr>
      <w:tr w:rsidR="008D6F13" w14:paraId="0EE7933C"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7DD40249" w14:textId="77777777" w:rsidR="008D6F13" w:rsidRDefault="008D6F13" w:rsidP="0031078F">
            <w:r>
              <w:rPr>
                <w:b/>
              </w:rPr>
              <w:t xml:space="preserve">Total advances paid and investments, </w:t>
            </w:r>
            <w:proofErr w:type="gramStart"/>
            <w:r>
              <w:rPr>
                <w:b/>
              </w:rPr>
              <w:t>loans</w:t>
            </w:r>
            <w:proofErr w:type="gramEnd"/>
            <w:r>
              <w:rPr>
                <w:b/>
              </w:rPr>
              <w:t xml:space="preserve"> and placements</w:t>
            </w:r>
          </w:p>
        </w:tc>
        <w:tc>
          <w:tcPr>
            <w:tcW w:w="794" w:type="dxa"/>
            <w:tcBorders>
              <w:top w:val="single" w:sz="6" w:space="0" w:color="auto"/>
              <w:bottom w:val="single" w:sz="12" w:space="0" w:color="auto"/>
            </w:tcBorders>
          </w:tcPr>
          <w:p w14:paraId="49689CA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7 724</w:t>
            </w:r>
          </w:p>
        </w:tc>
        <w:tc>
          <w:tcPr>
            <w:tcW w:w="794" w:type="dxa"/>
            <w:tcBorders>
              <w:top w:val="single" w:sz="6" w:space="0" w:color="auto"/>
              <w:bottom w:val="single" w:sz="12" w:space="0" w:color="auto"/>
            </w:tcBorders>
          </w:tcPr>
          <w:p w14:paraId="4D4DE54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8 381</w:t>
            </w:r>
          </w:p>
        </w:tc>
        <w:tc>
          <w:tcPr>
            <w:tcW w:w="794" w:type="dxa"/>
            <w:tcBorders>
              <w:top w:val="single" w:sz="6" w:space="0" w:color="auto"/>
              <w:bottom w:val="single" w:sz="12" w:space="0" w:color="auto"/>
            </w:tcBorders>
          </w:tcPr>
          <w:p w14:paraId="4061498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8 624</w:t>
            </w:r>
          </w:p>
        </w:tc>
        <w:tc>
          <w:tcPr>
            <w:tcW w:w="794" w:type="dxa"/>
            <w:tcBorders>
              <w:top w:val="single" w:sz="6" w:space="0" w:color="auto"/>
              <w:bottom w:val="single" w:sz="12" w:space="0" w:color="auto"/>
            </w:tcBorders>
          </w:tcPr>
          <w:p w14:paraId="6F4F9CF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10 435</w:t>
            </w:r>
          </w:p>
        </w:tc>
        <w:tc>
          <w:tcPr>
            <w:tcW w:w="794" w:type="dxa"/>
            <w:tcBorders>
              <w:top w:val="single" w:sz="6" w:space="0" w:color="auto"/>
              <w:bottom w:val="single" w:sz="12" w:space="0" w:color="auto"/>
            </w:tcBorders>
          </w:tcPr>
          <w:p w14:paraId="5C46459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10 706</w:t>
            </w:r>
          </w:p>
        </w:tc>
      </w:tr>
      <w:tr w:rsidR="008D6F13" w14:paraId="6A13BA61"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65082A2E" w14:textId="77777777" w:rsidR="008D6F13" w:rsidRDefault="008D6F13" w:rsidP="0031078F">
            <w:r>
              <w:rPr>
                <w:b/>
              </w:rPr>
              <w:t>Represented by:</w:t>
            </w:r>
          </w:p>
        </w:tc>
        <w:tc>
          <w:tcPr>
            <w:tcW w:w="794" w:type="dxa"/>
            <w:tcBorders>
              <w:top w:val="single" w:sz="6" w:space="0" w:color="auto"/>
            </w:tcBorders>
          </w:tcPr>
          <w:p w14:paraId="0547083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11225B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03D456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99D5B0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4BA4C7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0C8794EA"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1E21CF1" w14:textId="77777777" w:rsidR="008D6F13" w:rsidRDefault="008D6F13" w:rsidP="0031078F">
            <w:r>
              <w:t>Advances paid</w:t>
            </w:r>
          </w:p>
        </w:tc>
        <w:tc>
          <w:tcPr>
            <w:tcW w:w="794" w:type="dxa"/>
          </w:tcPr>
          <w:p w14:paraId="2A7D0D2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4 800</w:t>
            </w:r>
          </w:p>
        </w:tc>
        <w:tc>
          <w:tcPr>
            <w:tcW w:w="794" w:type="dxa"/>
          </w:tcPr>
          <w:p w14:paraId="1A6DCB6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4 840</w:t>
            </w:r>
          </w:p>
        </w:tc>
        <w:tc>
          <w:tcPr>
            <w:tcW w:w="794" w:type="dxa"/>
          </w:tcPr>
          <w:p w14:paraId="012150D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4 896</w:t>
            </w:r>
          </w:p>
        </w:tc>
        <w:tc>
          <w:tcPr>
            <w:tcW w:w="794" w:type="dxa"/>
          </w:tcPr>
          <w:p w14:paraId="7628005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6 449</w:t>
            </w:r>
          </w:p>
        </w:tc>
        <w:tc>
          <w:tcPr>
            <w:tcW w:w="794" w:type="dxa"/>
          </w:tcPr>
          <w:p w14:paraId="77A192B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6 463</w:t>
            </w:r>
          </w:p>
        </w:tc>
      </w:tr>
      <w:tr w:rsidR="008D6F13" w14:paraId="4A61515F"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8687B4C" w14:textId="77777777" w:rsidR="008D6F13" w:rsidRDefault="008D6F13" w:rsidP="0031078F">
            <w:r>
              <w:t xml:space="preserve">Investments, </w:t>
            </w:r>
            <w:proofErr w:type="gramStart"/>
            <w:r>
              <w:t>loans</w:t>
            </w:r>
            <w:proofErr w:type="gramEnd"/>
            <w:r>
              <w:t xml:space="preserve"> and placements</w:t>
            </w:r>
          </w:p>
        </w:tc>
        <w:tc>
          <w:tcPr>
            <w:tcW w:w="794" w:type="dxa"/>
          </w:tcPr>
          <w:p w14:paraId="6B4EE57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2 924</w:t>
            </w:r>
          </w:p>
        </w:tc>
        <w:tc>
          <w:tcPr>
            <w:tcW w:w="794" w:type="dxa"/>
          </w:tcPr>
          <w:p w14:paraId="4CC6757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3 541</w:t>
            </w:r>
          </w:p>
        </w:tc>
        <w:tc>
          <w:tcPr>
            <w:tcW w:w="794" w:type="dxa"/>
          </w:tcPr>
          <w:p w14:paraId="7495A26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3 728</w:t>
            </w:r>
          </w:p>
        </w:tc>
        <w:tc>
          <w:tcPr>
            <w:tcW w:w="794" w:type="dxa"/>
          </w:tcPr>
          <w:p w14:paraId="2B846ED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3 986</w:t>
            </w:r>
          </w:p>
        </w:tc>
        <w:tc>
          <w:tcPr>
            <w:tcW w:w="794" w:type="dxa"/>
          </w:tcPr>
          <w:p w14:paraId="129DCA29" w14:textId="5B2A42C7" w:rsidR="008D6F13" w:rsidRDefault="008D6F13" w:rsidP="0031078F">
            <w:pPr>
              <w:cnfStyle w:val="000000000000" w:firstRow="0" w:lastRow="0" w:firstColumn="0" w:lastColumn="0" w:oddVBand="0" w:evenVBand="0" w:oddHBand="0" w:evenHBand="0" w:firstRowFirstColumn="0" w:firstRowLastColumn="0" w:lastRowFirstColumn="0" w:lastRowLastColumn="0"/>
            </w:pPr>
            <w:r>
              <w:t>4 243</w:t>
            </w:r>
          </w:p>
        </w:tc>
      </w:tr>
    </w:tbl>
    <w:p w14:paraId="127B987C" w14:textId="5001B1A6" w:rsidR="008D6F13" w:rsidRDefault="008D6F13" w:rsidP="008D6F13"/>
    <w:p w14:paraId="6C091BE5" w14:textId="77777777" w:rsidR="00041FCE" w:rsidRPr="00B41AC3" w:rsidRDefault="00041FCE" w:rsidP="008D6F13"/>
    <w:p w14:paraId="2A9580E6" w14:textId="77777777" w:rsidR="008D6F13" w:rsidRPr="003D5A92" w:rsidRDefault="008D6F13" w:rsidP="008D6F13">
      <w:pPr>
        <w:pStyle w:val="Heading3"/>
        <w:spacing w:after="60"/>
        <w:rPr>
          <w:sz w:val="20"/>
          <w:szCs w:val="20"/>
        </w:rPr>
      </w:pPr>
      <w:bookmarkStart w:id="98" w:name="_Toc85799751"/>
      <w:r w:rsidRPr="00A5107B">
        <w:rPr>
          <w:sz w:val="20"/>
          <w:szCs w:val="20"/>
        </w:rPr>
        <w:t>Interest expense</w:t>
      </w:r>
      <w:r w:rsidRPr="00A5107B">
        <w:rPr>
          <w:sz w:val="20"/>
          <w:szCs w:val="20"/>
        </w:rPr>
        <w:tab/>
        <w:t>($ million)</w:t>
      </w:r>
      <w:bookmarkEnd w:id="98"/>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2B2B7304"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447EC5B4" w14:textId="5D9B6B4A" w:rsidR="008D6F13" w:rsidRDefault="008D6F13" w:rsidP="0031078F"/>
        </w:tc>
        <w:tc>
          <w:tcPr>
            <w:tcW w:w="794" w:type="dxa"/>
          </w:tcPr>
          <w:p w14:paraId="4E73758A"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3E70FF3B"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0FFC5AF2"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5F39A797"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41DF361B"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238A3F19"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CE825B0" w14:textId="77777777" w:rsidR="008D6F13" w:rsidRDefault="008D6F13" w:rsidP="0031078F">
            <w:r>
              <w:t>Interest on interest</w:t>
            </w:r>
            <w:r>
              <w:noBreakHyphen/>
              <w:t>bearing liabilities</w:t>
            </w:r>
          </w:p>
        </w:tc>
        <w:tc>
          <w:tcPr>
            <w:tcW w:w="794" w:type="dxa"/>
          </w:tcPr>
          <w:p w14:paraId="30FAA47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2 123</w:t>
            </w:r>
          </w:p>
        </w:tc>
        <w:tc>
          <w:tcPr>
            <w:tcW w:w="794" w:type="dxa"/>
          </w:tcPr>
          <w:p w14:paraId="1A84F0D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2 223</w:t>
            </w:r>
          </w:p>
        </w:tc>
        <w:tc>
          <w:tcPr>
            <w:tcW w:w="794" w:type="dxa"/>
          </w:tcPr>
          <w:p w14:paraId="7917CF4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2 867</w:t>
            </w:r>
          </w:p>
        </w:tc>
        <w:tc>
          <w:tcPr>
            <w:tcW w:w="794" w:type="dxa"/>
          </w:tcPr>
          <w:p w14:paraId="2178B87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3 570</w:t>
            </w:r>
          </w:p>
        </w:tc>
        <w:tc>
          <w:tcPr>
            <w:tcW w:w="794" w:type="dxa"/>
          </w:tcPr>
          <w:p w14:paraId="2F49212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4 358</w:t>
            </w:r>
          </w:p>
        </w:tc>
      </w:tr>
      <w:tr w:rsidR="008D6F13" w14:paraId="6AFD19B2"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9A358B5" w14:textId="77777777" w:rsidR="008D6F13" w:rsidRDefault="008D6F13" w:rsidP="0031078F">
            <w:r>
              <w:t>Finance charges on lease liabilities</w:t>
            </w:r>
          </w:p>
        </w:tc>
        <w:tc>
          <w:tcPr>
            <w:tcW w:w="794" w:type="dxa"/>
          </w:tcPr>
          <w:p w14:paraId="5A8EDB3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430</w:t>
            </w:r>
          </w:p>
        </w:tc>
        <w:tc>
          <w:tcPr>
            <w:tcW w:w="794" w:type="dxa"/>
          </w:tcPr>
          <w:p w14:paraId="357BAC8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421</w:t>
            </w:r>
          </w:p>
        </w:tc>
        <w:tc>
          <w:tcPr>
            <w:tcW w:w="794" w:type="dxa"/>
          </w:tcPr>
          <w:p w14:paraId="6497C7E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393</w:t>
            </w:r>
          </w:p>
        </w:tc>
        <w:tc>
          <w:tcPr>
            <w:tcW w:w="794" w:type="dxa"/>
          </w:tcPr>
          <w:p w14:paraId="2DDD06F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372</w:t>
            </w:r>
          </w:p>
        </w:tc>
        <w:tc>
          <w:tcPr>
            <w:tcW w:w="794" w:type="dxa"/>
          </w:tcPr>
          <w:p w14:paraId="1360287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365</w:t>
            </w:r>
          </w:p>
        </w:tc>
      </w:tr>
      <w:tr w:rsidR="008D6F13" w14:paraId="3EC665BB"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ACFB1E9" w14:textId="77777777" w:rsidR="008D6F13" w:rsidRDefault="008D6F13" w:rsidP="0031078F">
            <w:r>
              <w:t>Finance charges on service concession liabilities</w:t>
            </w:r>
          </w:p>
        </w:tc>
        <w:tc>
          <w:tcPr>
            <w:tcW w:w="794" w:type="dxa"/>
          </w:tcPr>
          <w:p w14:paraId="5CE8EF0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464</w:t>
            </w:r>
          </w:p>
        </w:tc>
        <w:tc>
          <w:tcPr>
            <w:tcW w:w="794" w:type="dxa"/>
          </w:tcPr>
          <w:p w14:paraId="6F264F3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498</w:t>
            </w:r>
          </w:p>
        </w:tc>
        <w:tc>
          <w:tcPr>
            <w:tcW w:w="794" w:type="dxa"/>
          </w:tcPr>
          <w:p w14:paraId="2BB98D8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465</w:t>
            </w:r>
          </w:p>
        </w:tc>
        <w:tc>
          <w:tcPr>
            <w:tcW w:w="794" w:type="dxa"/>
          </w:tcPr>
          <w:p w14:paraId="087755D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404</w:t>
            </w:r>
          </w:p>
        </w:tc>
        <w:tc>
          <w:tcPr>
            <w:tcW w:w="794" w:type="dxa"/>
          </w:tcPr>
          <w:p w14:paraId="65245B1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373</w:t>
            </w:r>
          </w:p>
        </w:tc>
      </w:tr>
      <w:tr w:rsidR="008D6F13" w14:paraId="13DBF62A"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5C398682" w14:textId="77777777" w:rsidR="008D6F13" w:rsidRDefault="008D6F13" w:rsidP="0031078F">
            <w:r>
              <w:t>Discount interest on payables</w:t>
            </w:r>
          </w:p>
        </w:tc>
        <w:tc>
          <w:tcPr>
            <w:tcW w:w="794" w:type="dxa"/>
            <w:tcBorders>
              <w:bottom w:val="single" w:sz="6" w:space="0" w:color="auto"/>
            </w:tcBorders>
          </w:tcPr>
          <w:p w14:paraId="25E9FF5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34</w:t>
            </w:r>
          </w:p>
        </w:tc>
        <w:tc>
          <w:tcPr>
            <w:tcW w:w="794" w:type="dxa"/>
            <w:tcBorders>
              <w:bottom w:val="single" w:sz="6" w:space="0" w:color="auto"/>
            </w:tcBorders>
          </w:tcPr>
          <w:p w14:paraId="1CF4BB5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34</w:t>
            </w:r>
          </w:p>
        </w:tc>
        <w:tc>
          <w:tcPr>
            <w:tcW w:w="794" w:type="dxa"/>
            <w:tcBorders>
              <w:bottom w:val="single" w:sz="6" w:space="0" w:color="auto"/>
            </w:tcBorders>
          </w:tcPr>
          <w:p w14:paraId="73C2D3A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32</w:t>
            </w:r>
          </w:p>
        </w:tc>
        <w:tc>
          <w:tcPr>
            <w:tcW w:w="794" w:type="dxa"/>
            <w:tcBorders>
              <w:bottom w:val="single" w:sz="6" w:space="0" w:color="auto"/>
            </w:tcBorders>
          </w:tcPr>
          <w:p w14:paraId="143FE8C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30</w:t>
            </w:r>
          </w:p>
        </w:tc>
        <w:tc>
          <w:tcPr>
            <w:tcW w:w="794" w:type="dxa"/>
            <w:tcBorders>
              <w:bottom w:val="single" w:sz="6" w:space="0" w:color="auto"/>
            </w:tcBorders>
          </w:tcPr>
          <w:p w14:paraId="72D2964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27</w:t>
            </w:r>
          </w:p>
        </w:tc>
      </w:tr>
      <w:tr w:rsidR="008D6F13" w14:paraId="3EC07665"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87F711C" w14:textId="77777777" w:rsidR="008D6F13" w:rsidRDefault="008D6F13" w:rsidP="0031078F">
            <w:r>
              <w:rPr>
                <w:b/>
              </w:rPr>
              <w:t>Total interest expense</w:t>
            </w:r>
          </w:p>
        </w:tc>
        <w:tc>
          <w:tcPr>
            <w:tcW w:w="794" w:type="dxa"/>
          </w:tcPr>
          <w:p w14:paraId="4C2346C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3 051</w:t>
            </w:r>
          </w:p>
        </w:tc>
        <w:tc>
          <w:tcPr>
            <w:tcW w:w="794" w:type="dxa"/>
          </w:tcPr>
          <w:p w14:paraId="005FAAE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3 176</w:t>
            </w:r>
          </w:p>
        </w:tc>
        <w:tc>
          <w:tcPr>
            <w:tcW w:w="794" w:type="dxa"/>
          </w:tcPr>
          <w:p w14:paraId="712BE22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3 757</w:t>
            </w:r>
          </w:p>
        </w:tc>
        <w:tc>
          <w:tcPr>
            <w:tcW w:w="794" w:type="dxa"/>
          </w:tcPr>
          <w:p w14:paraId="3B90505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4 376</w:t>
            </w:r>
          </w:p>
        </w:tc>
        <w:tc>
          <w:tcPr>
            <w:tcW w:w="794" w:type="dxa"/>
          </w:tcPr>
          <w:p w14:paraId="2A66A479" w14:textId="07C9A3BE"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5 123</w:t>
            </w:r>
          </w:p>
        </w:tc>
      </w:tr>
    </w:tbl>
    <w:p w14:paraId="788AE29F" w14:textId="77777777" w:rsidR="008D6F13" w:rsidRDefault="008D6F13" w:rsidP="008D6F13"/>
    <w:p w14:paraId="0324D71D" w14:textId="77777777" w:rsidR="008D6F13" w:rsidRPr="007A1818" w:rsidRDefault="008D6F13" w:rsidP="008D6F13"/>
    <w:p w14:paraId="375D35FF" w14:textId="77777777" w:rsidR="008D6F13" w:rsidRDefault="008D6F13" w:rsidP="008D6F13"/>
    <w:bookmarkEnd w:id="96"/>
    <w:p w14:paraId="0DED55E7" w14:textId="77777777" w:rsidR="008D6F13" w:rsidRDefault="008D6F13" w:rsidP="008D6F13"/>
    <w:p w14:paraId="6505365D" w14:textId="77777777" w:rsidR="008D6F13" w:rsidRDefault="008D6F13" w:rsidP="008D6F13"/>
    <w:p w14:paraId="14037783" w14:textId="77777777" w:rsidR="008D6F13" w:rsidRDefault="008D6F13" w:rsidP="008D6F13">
      <w:pPr>
        <w:sectPr w:rsidR="008D6F13" w:rsidSect="0031078F">
          <w:type w:val="continuous"/>
          <w:pgSz w:w="9979" w:h="14175" w:code="9"/>
          <w:pgMar w:top="1134" w:right="1134" w:bottom="1134" w:left="1134" w:header="624" w:footer="567" w:gutter="0"/>
          <w:cols w:space="708"/>
          <w:titlePg/>
          <w:docGrid w:linePitch="360"/>
        </w:sectPr>
      </w:pPr>
    </w:p>
    <w:p w14:paraId="640C9B61" w14:textId="77777777" w:rsidR="008D6F13" w:rsidRDefault="008D6F13" w:rsidP="008D6F13">
      <w:pPr>
        <w:pStyle w:val="Heading2"/>
      </w:pPr>
      <w:r w:rsidRPr="00690DE5">
        <w:lastRenderedPageBreak/>
        <w:t>OTHER ASSETS AND LIABILITIES</w:t>
      </w:r>
    </w:p>
    <w:p w14:paraId="52B1BA52" w14:textId="77777777" w:rsidR="008D6F13" w:rsidRDefault="008D6F13" w:rsidP="008D6F13">
      <w:pPr>
        <w:sectPr w:rsidR="008D6F13" w:rsidSect="0031078F">
          <w:pgSz w:w="9979" w:h="14175" w:code="9"/>
          <w:pgMar w:top="1134" w:right="1134" w:bottom="1134" w:left="1134" w:header="624" w:footer="567" w:gutter="0"/>
          <w:cols w:space="708"/>
          <w:docGrid w:linePitch="360"/>
        </w:sectPr>
      </w:pPr>
    </w:p>
    <w:p w14:paraId="0745ACB7" w14:textId="77777777" w:rsidR="008D6F13" w:rsidRPr="00D02438" w:rsidRDefault="008D6F13" w:rsidP="008D6F13">
      <w:pPr>
        <w:pStyle w:val="Heading30"/>
      </w:pPr>
      <w:r w:rsidRPr="00D02438">
        <w:t>Introduction</w:t>
      </w:r>
    </w:p>
    <w:p w14:paraId="16FFA28D" w14:textId="77777777" w:rsidR="008D6F13" w:rsidRDefault="008D6F13" w:rsidP="008D6F13">
      <w:r w:rsidRPr="00D02438">
        <w:t>This section sets out other assets and liabilities that arise from the general government’s operations.</w:t>
      </w:r>
    </w:p>
    <w:p w14:paraId="680BCC4B" w14:textId="77777777" w:rsidR="008D6F13" w:rsidRPr="00D02438" w:rsidRDefault="008D6F13" w:rsidP="008D6F13">
      <w:pPr>
        <w:pStyle w:val="Heading30"/>
      </w:pPr>
      <w:r>
        <w:br w:type="column"/>
      </w:r>
      <w:r w:rsidRPr="00D02438">
        <w:t>Structure</w:t>
      </w:r>
    </w:p>
    <w:p w14:paraId="27A9479E" w14:textId="3DA5AFA4" w:rsidR="008D6F13" w:rsidRDefault="008D6F13" w:rsidP="008D6F13">
      <w:pPr>
        <w:pStyle w:val="TOC9"/>
        <w:rPr>
          <w:rFonts w:eastAsiaTheme="minorEastAsia"/>
          <w:noProof/>
          <w:spacing w:val="0"/>
          <w:lang w:eastAsia="en-AU"/>
        </w:rPr>
      </w:pPr>
      <w:r w:rsidRPr="00D02438">
        <w:fldChar w:fldCharType="begin"/>
      </w:r>
      <w:r w:rsidRPr="00D02438">
        <w:instrText xml:space="preserve"> TOC</w:instrText>
      </w:r>
      <w:r>
        <w:instrText xml:space="preserve"> 9</w:instrText>
      </w:r>
      <w:r w:rsidRPr="00D02438">
        <w:instrText xml:space="preserve"> \h \z \t "Heading 3 (#),9" \b Section_6 \* MERGEFORMAT </w:instrText>
      </w:r>
      <w:r w:rsidRPr="00D02438">
        <w:fldChar w:fldCharType="separate"/>
      </w:r>
      <w:hyperlink w:anchor="_Toc85799809" w:history="1">
        <w:r w:rsidRPr="00C772A9">
          <w:rPr>
            <w:rStyle w:val="Hyperlink"/>
            <w:noProof/>
          </w:rPr>
          <w:t>4.6.1</w:t>
        </w:r>
        <w:r>
          <w:rPr>
            <w:rFonts w:eastAsiaTheme="minorEastAsia"/>
            <w:noProof/>
            <w:spacing w:val="0"/>
            <w:lang w:eastAsia="en-AU"/>
          </w:rPr>
          <w:tab/>
        </w:r>
        <w:r w:rsidRPr="00C772A9">
          <w:rPr>
            <w:rStyle w:val="Hyperlink"/>
            <w:noProof/>
          </w:rPr>
          <w:t>Investments in other sector entities</w:t>
        </w:r>
        <w:r>
          <w:rPr>
            <w:noProof/>
            <w:webHidden/>
          </w:rPr>
          <w:tab/>
        </w:r>
        <w:r>
          <w:rPr>
            <w:noProof/>
            <w:webHidden/>
          </w:rPr>
          <w:fldChar w:fldCharType="begin"/>
        </w:r>
        <w:r>
          <w:rPr>
            <w:noProof/>
            <w:webHidden/>
          </w:rPr>
          <w:instrText xml:space="preserve"> PAGEREF _Toc85799809 \h </w:instrText>
        </w:r>
        <w:r>
          <w:rPr>
            <w:noProof/>
            <w:webHidden/>
          </w:rPr>
        </w:r>
        <w:r>
          <w:rPr>
            <w:noProof/>
            <w:webHidden/>
          </w:rPr>
          <w:fldChar w:fldCharType="separate"/>
        </w:r>
        <w:r w:rsidR="00104E8F">
          <w:rPr>
            <w:noProof/>
            <w:webHidden/>
          </w:rPr>
          <w:t>79</w:t>
        </w:r>
        <w:r>
          <w:rPr>
            <w:noProof/>
            <w:webHidden/>
          </w:rPr>
          <w:fldChar w:fldCharType="end"/>
        </w:r>
      </w:hyperlink>
    </w:p>
    <w:p w14:paraId="242D413B" w14:textId="51970A3F" w:rsidR="008D6F13" w:rsidRDefault="005D5407" w:rsidP="008D6F13">
      <w:pPr>
        <w:pStyle w:val="TOC9"/>
        <w:rPr>
          <w:rFonts w:eastAsiaTheme="minorEastAsia"/>
          <w:noProof/>
          <w:spacing w:val="0"/>
          <w:lang w:eastAsia="en-AU"/>
        </w:rPr>
      </w:pPr>
      <w:hyperlink w:anchor="_Toc85799810" w:history="1">
        <w:r w:rsidR="008D6F13" w:rsidRPr="00C772A9">
          <w:rPr>
            <w:rStyle w:val="Hyperlink"/>
            <w:noProof/>
          </w:rPr>
          <w:t>4.6.2</w:t>
        </w:r>
        <w:r w:rsidR="008D6F13">
          <w:rPr>
            <w:rFonts w:eastAsiaTheme="minorEastAsia"/>
            <w:noProof/>
            <w:spacing w:val="0"/>
            <w:lang w:eastAsia="en-AU"/>
          </w:rPr>
          <w:tab/>
        </w:r>
        <w:r w:rsidR="008D6F13" w:rsidRPr="00C772A9">
          <w:rPr>
            <w:rStyle w:val="Hyperlink"/>
            <w:noProof/>
          </w:rPr>
          <w:t>Payables</w:t>
        </w:r>
        <w:r w:rsidR="008D6F13">
          <w:rPr>
            <w:noProof/>
            <w:webHidden/>
          </w:rPr>
          <w:tab/>
        </w:r>
        <w:r w:rsidR="008D6F13">
          <w:rPr>
            <w:noProof/>
            <w:webHidden/>
          </w:rPr>
          <w:fldChar w:fldCharType="begin"/>
        </w:r>
        <w:r w:rsidR="008D6F13">
          <w:rPr>
            <w:noProof/>
            <w:webHidden/>
          </w:rPr>
          <w:instrText xml:space="preserve"> PAGEREF _Toc85799810 \h </w:instrText>
        </w:r>
        <w:r w:rsidR="008D6F13">
          <w:rPr>
            <w:noProof/>
            <w:webHidden/>
          </w:rPr>
        </w:r>
        <w:r w:rsidR="008D6F13">
          <w:rPr>
            <w:noProof/>
            <w:webHidden/>
          </w:rPr>
          <w:fldChar w:fldCharType="separate"/>
        </w:r>
        <w:r w:rsidR="00104E8F">
          <w:rPr>
            <w:noProof/>
            <w:webHidden/>
          </w:rPr>
          <w:t>79</w:t>
        </w:r>
        <w:r w:rsidR="008D6F13">
          <w:rPr>
            <w:noProof/>
            <w:webHidden/>
          </w:rPr>
          <w:fldChar w:fldCharType="end"/>
        </w:r>
      </w:hyperlink>
    </w:p>
    <w:p w14:paraId="772C3D30" w14:textId="4BD14F3D" w:rsidR="008D6F13" w:rsidRDefault="005D5407" w:rsidP="008D6F13">
      <w:pPr>
        <w:pStyle w:val="TOC9"/>
        <w:rPr>
          <w:rFonts w:eastAsiaTheme="minorEastAsia"/>
          <w:noProof/>
          <w:spacing w:val="0"/>
          <w:lang w:eastAsia="en-AU"/>
        </w:rPr>
      </w:pPr>
      <w:hyperlink w:anchor="_Toc85799811" w:history="1">
        <w:r w:rsidR="008D6F13" w:rsidRPr="00C772A9">
          <w:rPr>
            <w:rStyle w:val="Hyperlink"/>
            <w:noProof/>
          </w:rPr>
          <w:t>4.6.3</w:t>
        </w:r>
        <w:r w:rsidR="008D6F13">
          <w:rPr>
            <w:rFonts w:eastAsiaTheme="minorEastAsia"/>
            <w:noProof/>
            <w:spacing w:val="0"/>
            <w:lang w:eastAsia="en-AU"/>
          </w:rPr>
          <w:tab/>
        </w:r>
        <w:r w:rsidR="008D6F13" w:rsidRPr="00C772A9">
          <w:rPr>
            <w:rStyle w:val="Hyperlink"/>
            <w:noProof/>
          </w:rPr>
          <w:t>Superannuation</w:t>
        </w:r>
        <w:r w:rsidR="008D6F13">
          <w:rPr>
            <w:noProof/>
            <w:webHidden/>
          </w:rPr>
          <w:tab/>
        </w:r>
        <w:r w:rsidR="008D6F13">
          <w:rPr>
            <w:noProof/>
            <w:webHidden/>
          </w:rPr>
          <w:fldChar w:fldCharType="begin"/>
        </w:r>
        <w:r w:rsidR="008D6F13">
          <w:rPr>
            <w:noProof/>
            <w:webHidden/>
          </w:rPr>
          <w:instrText xml:space="preserve"> PAGEREF _Toc85799811 \h </w:instrText>
        </w:r>
        <w:r w:rsidR="008D6F13">
          <w:rPr>
            <w:noProof/>
            <w:webHidden/>
          </w:rPr>
        </w:r>
        <w:r w:rsidR="008D6F13">
          <w:rPr>
            <w:noProof/>
            <w:webHidden/>
          </w:rPr>
          <w:fldChar w:fldCharType="separate"/>
        </w:r>
        <w:r w:rsidR="00104E8F">
          <w:rPr>
            <w:noProof/>
            <w:webHidden/>
          </w:rPr>
          <w:t>80</w:t>
        </w:r>
        <w:r w:rsidR="008D6F13">
          <w:rPr>
            <w:noProof/>
            <w:webHidden/>
          </w:rPr>
          <w:fldChar w:fldCharType="end"/>
        </w:r>
      </w:hyperlink>
    </w:p>
    <w:p w14:paraId="77344296" w14:textId="77777777" w:rsidR="008D6F13" w:rsidRDefault="008D6F13" w:rsidP="008D6F13">
      <w:r w:rsidRPr="00D02438">
        <w:fldChar w:fldCharType="end"/>
      </w:r>
    </w:p>
    <w:p w14:paraId="2AEB60EA" w14:textId="77777777" w:rsidR="008D6F13" w:rsidRDefault="008D6F13" w:rsidP="008D6F13">
      <w:pPr>
        <w:sectPr w:rsidR="008D6F13" w:rsidSect="0031078F">
          <w:type w:val="continuous"/>
          <w:pgSz w:w="9979" w:h="14175" w:code="9"/>
          <w:pgMar w:top="1134" w:right="1134" w:bottom="1134" w:left="1134" w:header="624" w:footer="567" w:gutter="0"/>
          <w:cols w:num="2" w:space="708"/>
          <w:titlePg/>
          <w:docGrid w:linePitch="360"/>
        </w:sectPr>
      </w:pPr>
    </w:p>
    <w:p w14:paraId="22F1C48E" w14:textId="77777777" w:rsidR="008D6F13" w:rsidRPr="003D5A92" w:rsidRDefault="008D6F13" w:rsidP="008D6F13">
      <w:pPr>
        <w:pStyle w:val="Heading3"/>
        <w:spacing w:after="60"/>
        <w:rPr>
          <w:sz w:val="20"/>
          <w:szCs w:val="20"/>
        </w:rPr>
      </w:pPr>
      <w:bookmarkStart w:id="99" w:name="_Toc85799809"/>
      <w:bookmarkStart w:id="100" w:name="Section_6"/>
      <w:r w:rsidRPr="00020772">
        <w:rPr>
          <w:sz w:val="20"/>
          <w:szCs w:val="20"/>
        </w:rPr>
        <w:t>Investments in other sector entities</w:t>
      </w:r>
      <w:r w:rsidRPr="00020772">
        <w:rPr>
          <w:sz w:val="20"/>
          <w:szCs w:val="20"/>
        </w:rPr>
        <w:tab/>
        <w:t>($ million)</w:t>
      </w:r>
      <w:bookmarkEnd w:id="99"/>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61BA0ABD"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300E435E" w14:textId="72908892" w:rsidR="008D6F13" w:rsidRDefault="008D6F13" w:rsidP="0031078F"/>
        </w:tc>
        <w:tc>
          <w:tcPr>
            <w:tcW w:w="794" w:type="dxa"/>
          </w:tcPr>
          <w:p w14:paraId="2E3B4770"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br/>
              <w:t>budget</w:t>
            </w:r>
          </w:p>
        </w:tc>
        <w:tc>
          <w:tcPr>
            <w:tcW w:w="794" w:type="dxa"/>
          </w:tcPr>
          <w:p w14:paraId="333068CF"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br/>
              <w:t>revised</w:t>
            </w:r>
          </w:p>
        </w:tc>
        <w:tc>
          <w:tcPr>
            <w:tcW w:w="794" w:type="dxa"/>
          </w:tcPr>
          <w:p w14:paraId="63318DDC"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br/>
              <w:t>estimate</w:t>
            </w:r>
          </w:p>
        </w:tc>
        <w:tc>
          <w:tcPr>
            <w:tcW w:w="794" w:type="dxa"/>
          </w:tcPr>
          <w:p w14:paraId="7F1C27C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br/>
              <w:t>estimate</w:t>
            </w:r>
          </w:p>
        </w:tc>
        <w:tc>
          <w:tcPr>
            <w:tcW w:w="794" w:type="dxa"/>
          </w:tcPr>
          <w:p w14:paraId="762E1A76"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2025</w:t>
            </w:r>
            <w:r>
              <w:br/>
              <w:t>estimate</w:t>
            </w:r>
          </w:p>
        </w:tc>
      </w:tr>
      <w:tr w:rsidR="008D6F13" w14:paraId="5441C6D2"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93AE7D3" w14:textId="77777777" w:rsidR="008D6F13" w:rsidRDefault="008D6F13" w:rsidP="0031078F">
            <w:r>
              <w:t>Balance of investment in PNFC and PFC sectors at beginning of period</w:t>
            </w:r>
          </w:p>
        </w:tc>
        <w:tc>
          <w:tcPr>
            <w:tcW w:w="794" w:type="dxa"/>
          </w:tcPr>
          <w:p w14:paraId="23DC6A7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73 125</w:t>
            </w:r>
          </w:p>
        </w:tc>
        <w:tc>
          <w:tcPr>
            <w:tcW w:w="794" w:type="dxa"/>
          </w:tcPr>
          <w:p w14:paraId="59ECFE6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73 125</w:t>
            </w:r>
          </w:p>
        </w:tc>
        <w:tc>
          <w:tcPr>
            <w:tcW w:w="794" w:type="dxa"/>
          </w:tcPr>
          <w:p w14:paraId="73E928A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73 542</w:t>
            </w:r>
          </w:p>
        </w:tc>
        <w:tc>
          <w:tcPr>
            <w:tcW w:w="794" w:type="dxa"/>
          </w:tcPr>
          <w:p w14:paraId="52C8BFE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74 954</w:t>
            </w:r>
          </w:p>
        </w:tc>
        <w:tc>
          <w:tcPr>
            <w:tcW w:w="794" w:type="dxa"/>
          </w:tcPr>
          <w:p w14:paraId="7A7777F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75 866</w:t>
            </w:r>
          </w:p>
        </w:tc>
      </w:tr>
      <w:tr w:rsidR="008D6F13" w14:paraId="3BD5F786"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A7557CD" w14:textId="77777777" w:rsidR="008D6F13" w:rsidRDefault="008D6F13" w:rsidP="0031078F">
            <w:r>
              <w:t>Net contributions to other sectors by owner</w:t>
            </w:r>
          </w:p>
        </w:tc>
        <w:tc>
          <w:tcPr>
            <w:tcW w:w="794" w:type="dxa"/>
          </w:tcPr>
          <w:p w14:paraId="02B65AC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11 080</w:t>
            </w:r>
          </w:p>
        </w:tc>
        <w:tc>
          <w:tcPr>
            <w:tcW w:w="794" w:type="dxa"/>
          </w:tcPr>
          <w:p w14:paraId="28C5F96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4 107</w:t>
            </w:r>
          </w:p>
        </w:tc>
        <w:tc>
          <w:tcPr>
            <w:tcW w:w="794" w:type="dxa"/>
          </w:tcPr>
          <w:p w14:paraId="4DFD041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7 609</w:t>
            </w:r>
          </w:p>
        </w:tc>
        <w:tc>
          <w:tcPr>
            <w:tcW w:w="794" w:type="dxa"/>
          </w:tcPr>
          <w:p w14:paraId="7E91B40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4 206</w:t>
            </w:r>
          </w:p>
        </w:tc>
        <w:tc>
          <w:tcPr>
            <w:tcW w:w="794" w:type="dxa"/>
          </w:tcPr>
          <w:p w14:paraId="36B43EB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5 646</w:t>
            </w:r>
          </w:p>
        </w:tc>
      </w:tr>
      <w:tr w:rsidR="008D6F13" w14:paraId="0EFC4A6A"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1A85A6C0" w14:textId="77777777" w:rsidR="008D6F13" w:rsidRDefault="008D6F13" w:rsidP="0031078F">
            <w:r>
              <w:t>Revaluation gain/(loss) for period</w:t>
            </w:r>
          </w:p>
        </w:tc>
        <w:tc>
          <w:tcPr>
            <w:tcW w:w="794" w:type="dxa"/>
            <w:tcBorders>
              <w:bottom w:val="single" w:sz="6" w:space="0" w:color="auto"/>
            </w:tcBorders>
          </w:tcPr>
          <w:p w14:paraId="145AC9C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(7 403)</w:t>
            </w:r>
          </w:p>
        </w:tc>
        <w:tc>
          <w:tcPr>
            <w:tcW w:w="794" w:type="dxa"/>
            <w:tcBorders>
              <w:bottom w:val="single" w:sz="6" w:space="0" w:color="auto"/>
            </w:tcBorders>
          </w:tcPr>
          <w:p w14:paraId="79FB895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(3 690)</w:t>
            </w:r>
          </w:p>
        </w:tc>
        <w:tc>
          <w:tcPr>
            <w:tcW w:w="794" w:type="dxa"/>
            <w:tcBorders>
              <w:bottom w:val="single" w:sz="6" w:space="0" w:color="auto"/>
            </w:tcBorders>
          </w:tcPr>
          <w:p w14:paraId="41D0DBB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(6 198)</w:t>
            </w:r>
          </w:p>
        </w:tc>
        <w:tc>
          <w:tcPr>
            <w:tcW w:w="794" w:type="dxa"/>
            <w:tcBorders>
              <w:bottom w:val="single" w:sz="6" w:space="0" w:color="auto"/>
            </w:tcBorders>
          </w:tcPr>
          <w:p w14:paraId="048916B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(3 294)</w:t>
            </w:r>
          </w:p>
        </w:tc>
        <w:tc>
          <w:tcPr>
            <w:tcW w:w="794" w:type="dxa"/>
            <w:tcBorders>
              <w:bottom w:val="single" w:sz="6" w:space="0" w:color="auto"/>
            </w:tcBorders>
          </w:tcPr>
          <w:p w14:paraId="1A38C57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(2 875)</w:t>
            </w:r>
          </w:p>
        </w:tc>
      </w:tr>
      <w:tr w:rsidR="008D6F13" w14:paraId="57C75BD7"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FBF725C" w14:textId="77777777" w:rsidR="008D6F13" w:rsidRDefault="008D6F13" w:rsidP="0031078F">
            <w:r>
              <w:rPr>
                <w:b/>
              </w:rPr>
              <w:t>Investment in other sector entities at end of period</w:t>
            </w:r>
          </w:p>
        </w:tc>
        <w:tc>
          <w:tcPr>
            <w:tcW w:w="794" w:type="dxa"/>
          </w:tcPr>
          <w:p w14:paraId="6E9339E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76 802</w:t>
            </w:r>
          </w:p>
        </w:tc>
        <w:tc>
          <w:tcPr>
            <w:tcW w:w="794" w:type="dxa"/>
          </w:tcPr>
          <w:p w14:paraId="2121C80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73 542</w:t>
            </w:r>
          </w:p>
        </w:tc>
        <w:tc>
          <w:tcPr>
            <w:tcW w:w="794" w:type="dxa"/>
          </w:tcPr>
          <w:p w14:paraId="2802D44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74 954</w:t>
            </w:r>
          </w:p>
        </w:tc>
        <w:tc>
          <w:tcPr>
            <w:tcW w:w="794" w:type="dxa"/>
          </w:tcPr>
          <w:p w14:paraId="0F95D88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75 866</w:t>
            </w:r>
          </w:p>
        </w:tc>
        <w:tc>
          <w:tcPr>
            <w:tcW w:w="794" w:type="dxa"/>
          </w:tcPr>
          <w:p w14:paraId="02A0396A" w14:textId="6972C230"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78 637</w:t>
            </w:r>
          </w:p>
        </w:tc>
      </w:tr>
    </w:tbl>
    <w:p w14:paraId="161B3A20" w14:textId="3103EF5C" w:rsidR="008D6F13" w:rsidRDefault="008D6F13" w:rsidP="008D6F13"/>
    <w:p w14:paraId="7F027A01" w14:textId="77777777" w:rsidR="00041FCE" w:rsidRDefault="00041FCE" w:rsidP="008D6F13"/>
    <w:p w14:paraId="2D91A123" w14:textId="77777777" w:rsidR="008D6F13" w:rsidRPr="003D5A92" w:rsidRDefault="008D6F13" w:rsidP="008D6F13">
      <w:pPr>
        <w:pStyle w:val="Heading3"/>
        <w:spacing w:after="60"/>
        <w:rPr>
          <w:sz w:val="20"/>
          <w:szCs w:val="20"/>
        </w:rPr>
      </w:pPr>
      <w:bookmarkStart w:id="101" w:name="_Toc85799810"/>
      <w:r w:rsidRPr="00020772">
        <w:rPr>
          <w:sz w:val="20"/>
          <w:szCs w:val="20"/>
        </w:rPr>
        <w:t>Payables</w:t>
      </w:r>
      <w:r w:rsidRPr="00020772">
        <w:rPr>
          <w:sz w:val="20"/>
          <w:szCs w:val="20"/>
        </w:rPr>
        <w:tab/>
        <w:t>($ million)</w:t>
      </w:r>
      <w:bookmarkEnd w:id="101"/>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78C2A814"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46DF8871" w14:textId="428286AE" w:rsidR="008D6F13" w:rsidRDefault="008D6F13" w:rsidP="0031078F"/>
        </w:tc>
        <w:tc>
          <w:tcPr>
            <w:tcW w:w="794" w:type="dxa"/>
          </w:tcPr>
          <w:p w14:paraId="088230E5"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br/>
              <w:t>budget</w:t>
            </w:r>
          </w:p>
        </w:tc>
        <w:tc>
          <w:tcPr>
            <w:tcW w:w="794" w:type="dxa"/>
          </w:tcPr>
          <w:p w14:paraId="059A6C8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br/>
              <w:t>revised</w:t>
            </w:r>
          </w:p>
        </w:tc>
        <w:tc>
          <w:tcPr>
            <w:tcW w:w="794" w:type="dxa"/>
          </w:tcPr>
          <w:p w14:paraId="104143E5"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br/>
              <w:t>estimate</w:t>
            </w:r>
          </w:p>
        </w:tc>
        <w:tc>
          <w:tcPr>
            <w:tcW w:w="794" w:type="dxa"/>
          </w:tcPr>
          <w:p w14:paraId="32D6500E"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br/>
              <w:t>estimate</w:t>
            </w:r>
          </w:p>
        </w:tc>
        <w:tc>
          <w:tcPr>
            <w:tcW w:w="794" w:type="dxa"/>
          </w:tcPr>
          <w:p w14:paraId="62C9F4D6"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2025</w:t>
            </w:r>
            <w:r>
              <w:br/>
              <w:t>estimate</w:t>
            </w:r>
          </w:p>
        </w:tc>
      </w:tr>
      <w:tr w:rsidR="008D6F13" w14:paraId="1D211478"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EB70E82" w14:textId="77777777" w:rsidR="008D6F13" w:rsidRDefault="008D6F13" w:rsidP="0031078F">
            <w:r>
              <w:rPr>
                <w:b/>
              </w:rPr>
              <w:t>Contractual</w:t>
            </w:r>
          </w:p>
        </w:tc>
        <w:tc>
          <w:tcPr>
            <w:tcW w:w="794" w:type="dxa"/>
          </w:tcPr>
          <w:p w14:paraId="2FB48C2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C72C3B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9C9FDE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51E148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E0767A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2A1D20D6"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91AF10D" w14:textId="77777777" w:rsidR="008D6F13" w:rsidRDefault="008D6F13" w:rsidP="0031078F">
            <w:r>
              <w:t>Accounts payable</w:t>
            </w:r>
          </w:p>
        </w:tc>
        <w:tc>
          <w:tcPr>
            <w:tcW w:w="794" w:type="dxa"/>
          </w:tcPr>
          <w:p w14:paraId="399E2EB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898</w:t>
            </w:r>
          </w:p>
        </w:tc>
        <w:tc>
          <w:tcPr>
            <w:tcW w:w="794" w:type="dxa"/>
          </w:tcPr>
          <w:p w14:paraId="047284F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916</w:t>
            </w:r>
          </w:p>
        </w:tc>
        <w:tc>
          <w:tcPr>
            <w:tcW w:w="794" w:type="dxa"/>
          </w:tcPr>
          <w:p w14:paraId="3863957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919</w:t>
            </w:r>
          </w:p>
        </w:tc>
        <w:tc>
          <w:tcPr>
            <w:tcW w:w="794" w:type="dxa"/>
          </w:tcPr>
          <w:p w14:paraId="5F6A476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924</w:t>
            </w:r>
          </w:p>
        </w:tc>
        <w:tc>
          <w:tcPr>
            <w:tcW w:w="794" w:type="dxa"/>
          </w:tcPr>
          <w:p w14:paraId="0B43263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930</w:t>
            </w:r>
          </w:p>
        </w:tc>
      </w:tr>
      <w:tr w:rsidR="008D6F13" w14:paraId="3B54FECB"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A816EF6" w14:textId="77777777" w:rsidR="008D6F13" w:rsidRDefault="008D6F13" w:rsidP="0031078F">
            <w:r>
              <w:t>Accrued expenses</w:t>
            </w:r>
          </w:p>
        </w:tc>
        <w:tc>
          <w:tcPr>
            <w:tcW w:w="794" w:type="dxa"/>
          </w:tcPr>
          <w:p w14:paraId="128A963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4 593</w:t>
            </w:r>
          </w:p>
        </w:tc>
        <w:tc>
          <w:tcPr>
            <w:tcW w:w="794" w:type="dxa"/>
          </w:tcPr>
          <w:p w14:paraId="69B123A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4 353</w:t>
            </w:r>
          </w:p>
        </w:tc>
        <w:tc>
          <w:tcPr>
            <w:tcW w:w="794" w:type="dxa"/>
          </w:tcPr>
          <w:p w14:paraId="4BB0B00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4 063</w:t>
            </w:r>
          </w:p>
        </w:tc>
        <w:tc>
          <w:tcPr>
            <w:tcW w:w="794" w:type="dxa"/>
          </w:tcPr>
          <w:p w14:paraId="545ED76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4 054</w:t>
            </w:r>
          </w:p>
        </w:tc>
        <w:tc>
          <w:tcPr>
            <w:tcW w:w="794" w:type="dxa"/>
          </w:tcPr>
          <w:p w14:paraId="5579C3A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4 044</w:t>
            </w:r>
          </w:p>
        </w:tc>
      </w:tr>
      <w:tr w:rsidR="008D6F13" w14:paraId="5BE5D92F"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6BF9301" w14:textId="77777777" w:rsidR="008D6F13" w:rsidRDefault="008D6F13" w:rsidP="0031078F">
            <w:r>
              <w:t>Contract liabilities</w:t>
            </w:r>
          </w:p>
        </w:tc>
        <w:tc>
          <w:tcPr>
            <w:tcW w:w="794" w:type="dxa"/>
          </w:tcPr>
          <w:p w14:paraId="3E775E5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214</w:t>
            </w:r>
          </w:p>
        </w:tc>
        <w:tc>
          <w:tcPr>
            <w:tcW w:w="794" w:type="dxa"/>
          </w:tcPr>
          <w:p w14:paraId="046BD6D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214</w:t>
            </w:r>
          </w:p>
        </w:tc>
        <w:tc>
          <w:tcPr>
            <w:tcW w:w="794" w:type="dxa"/>
          </w:tcPr>
          <w:p w14:paraId="381D299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214</w:t>
            </w:r>
          </w:p>
        </w:tc>
        <w:tc>
          <w:tcPr>
            <w:tcW w:w="794" w:type="dxa"/>
          </w:tcPr>
          <w:p w14:paraId="51D1E7B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214</w:t>
            </w:r>
          </w:p>
        </w:tc>
        <w:tc>
          <w:tcPr>
            <w:tcW w:w="794" w:type="dxa"/>
          </w:tcPr>
          <w:p w14:paraId="7CB2369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214</w:t>
            </w:r>
          </w:p>
        </w:tc>
      </w:tr>
      <w:tr w:rsidR="008D6F13" w14:paraId="31AB5155"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BC9CA1A" w14:textId="77777777" w:rsidR="008D6F13" w:rsidRDefault="008D6F13" w:rsidP="0031078F">
            <w:r>
              <w:t>Unearned income and grant of a right to the operator liability</w:t>
            </w:r>
          </w:p>
        </w:tc>
        <w:tc>
          <w:tcPr>
            <w:tcW w:w="794" w:type="dxa"/>
          </w:tcPr>
          <w:p w14:paraId="275AFBB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13 732</w:t>
            </w:r>
          </w:p>
        </w:tc>
        <w:tc>
          <w:tcPr>
            <w:tcW w:w="794" w:type="dxa"/>
          </w:tcPr>
          <w:p w14:paraId="68789FF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10 394</w:t>
            </w:r>
          </w:p>
        </w:tc>
        <w:tc>
          <w:tcPr>
            <w:tcW w:w="794" w:type="dxa"/>
          </w:tcPr>
          <w:p w14:paraId="769E58F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13 796</w:t>
            </w:r>
          </w:p>
        </w:tc>
        <w:tc>
          <w:tcPr>
            <w:tcW w:w="794" w:type="dxa"/>
          </w:tcPr>
          <w:p w14:paraId="33C7F47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13 825</w:t>
            </w:r>
          </w:p>
        </w:tc>
        <w:tc>
          <w:tcPr>
            <w:tcW w:w="794" w:type="dxa"/>
          </w:tcPr>
          <w:p w14:paraId="18F95E8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13 240</w:t>
            </w:r>
          </w:p>
        </w:tc>
      </w:tr>
      <w:tr w:rsidR="008D6F13" w14:paraId="486046A2"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45BF4E3" w14:textId="77777777" w:rsidR="008D6F13" w:rsidRDefault="008D6F13" w:rsidP="0031078F">
            <w:r>
              <w:rPr>
                <w:b/>
              </w:rPr>
              <w:t>Statutory</w:t>
            </w:r>
          </w:p>
        </w:tc>
        <w:tc>
          <w:tcPr>
            <w:tcW w:w="794" w:type="dxa"/>
          </w:tcPr>
          <w:p w14:paraId="26CE552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4A469F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283060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78BCCD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93EC6E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26F93CC0"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08284BA" w14:textId="77777777" w:rsidR="008D6F13" w:rsidRDefault="008D6F13" w:rsidP="0031078F">
            <w:r>
              <w:t>Accrued taxes payable</w:t>
            </w:r>
          </w:p>
        </w:tc>
        <w:tc>
          <w:tcPr>
            <w:tcW w:w="794" w:type="dxa"/>
          </w:tcPr>
          <w:p w14:paraId="1A2A9F2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47</w:t>
            </w:r>
          </w:p>
        </w:tc>
        <w:tc>
          <w:tcPr>
            <w:tcW w:w="794" w:type="dxa"/>
          </w:tcPr>
          <w:p w14:paraId="70293F6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47</w:t>
            </w:r>
          </w:p>
        </w:tc>
        <w:tc>
          <w:tcPr>
            <w:tcW w:w="794" w:type="dxa"/>
          </w:tcPr>
          <w:p w14:paraId="7971A21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47</w:t>
            </w:r>
          </w:p>
        </w:tc>
        <w:tc>
          <w:tcPr>
            <w:tcW w:w="794" w:type="dxa"/>
          </w:tcPr>
          <w:p w14:paraId="1764203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48</w:t>
            </w:r>
          </w:p>
        </w:tc>
        <w:tc>
          <w:tcPr>
            <w:tcW w:w="794" w:type="dxa"/>
          </w:tcPr>
          <w:p w14:paraId="7734284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48</w:t>
            </w:r>
          </w:p>
        </w:tc>
      </w:tr>
      <w:tr w:rsidR="008D6F13" w14:paraId="562F2B2A"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29C6465" w14:textId="77777777" w:rsidR="008D6F13" w:rsidRDefault="008D6F13" w:rsidP="0031078F">
            <w:r>
              <w:t>Unearned income</w:t>
            </w:r>
          </w:p>
        </w:tc>
        <w:tc>
          <w:tcPr>
            <w:tcW w:w="794" w:type="dxa"/>
            <w:tcBorders>
              <w:bottom w:val="single" w:sz="6" w:space="0" w:color="auto"/>
            </w:tcBorders>
          </w:tcPr>
          <w:p w14:paraId="04C45DF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306</w:t>
            </w:r>
          </w:p>
        </w:tc>
        <w:tc>
          <w:tcPr>
            <w:tcW w:w="794" w:type="dxa"/>
            <w:tcBorders>
              <w:bottom w:val="single" w:sz="6" w:space="0" w:color="auto"/>
            </w:tcBorders>
          </w:tcPr>
          <w:p w14:paraId="7C54CBE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306</w:t>
            </w:r>
          </w:p>
        </w:tc>
        <w:tc>
          <w:tcPr>
            <w:tcW w:w="794" w:type="dxa"/>
            <w:tcBorders>
              <w:bottom w:val="single" w:sz="6" w:space="0" w:color="auto"/>
            </w:tcBorders>
          </w:tcPr>
          <w:p w14:paraId="5C203A1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235</w:t>
            </w:r>
          </w:p>
        </w:tc>
        <w:tc>
          <w:tcPr>
            <w:tcW w:w="794" w:type="dxa"/>
            <w:tcBorders>
              <w:bottom w:val="single" w:sz="6" w:space="0" w:color="auto"/>
            </w:tcBorders>
          </w:tcPr>
          <w:p w14:paraId="5B61228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163</w:t>
            </w:r>
          </w:p>
        </w:tc>
        <w:tc>
          <w:tcPr>
            <w:tcW w:w="794" w:type="dxa"/>
            <w:tcBorders>
              <w:bottom w:val="single" w:sz="6" w:space="0" w:color="auto"/>
            </w:tcBorders>
          </w:tcPr>
          <w:p w14:paraId="38775CC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91</w:t>
            </w:r>
          </w:p>
        </w:tc>
      </w:tr>
      <w:tr w:rsidR="008D6F13" w14:paraId="70CD38A9"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6A97C12C" w14:textId="77777777" w:rsidR="008D6F13" w:rsidRDefault="008D6F13" w:rsidP="0031078F">
            <w:r>
              <w:rPr>
                <w:b/>
              </w:rPr>
              <w:t>Total payables and contract liabilities</w:t>
            </w:r>
          </w:p>
        </w:tc>
        <w:tc>
          <w:tcPr>
            <w:tcW w:w="794" w:type="dxa"/>
            <w:tcBorders>
              <w:top w:val="single" w:sz="6" w:space="0" w:color="auto"/>
              <w:bottom w:val="single" w:sz="12" w:space="0" w:color="auto"/>
            </w:tcBorders>
          </w:tcPr>
          <w:p w14:paraId="5ADAA9C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19 789</w:t>
            </w:r>
          </w:p>
        </w:tc>
        <w:tc>
          <w:tcPr>
            <w:tcW w:w="794" w:type="dxa"/>
            <w:tcBorders>
              <w:top w:val="single" w:sz="6" w:space="0" w:color="auto"/>
              <w:bottom w:val="single" w:sz="12" w:space="0" w:color="auto"/>
            </w:tcBorders>
          </w:tcPr>
          <w:p w14:paraId="11B0D7C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16 231</w:t>
            </w:r>
          </w:p>
        </w:tc>
        <w:tc>
          <w:tcPr>
            <w:tcW w:w="794" w:type="dxa"/>
            <w:tcBorders>
              <w:top w:val="single" w:sz="6" w:space="0" w:color="auto"/>
              <w:bottom w:val="single" w:sz="12" w:space="0" w:color="auto"/>
            </w:tcBorders>
          </w:tcPr>
          <w:p w14:paraId="485260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19 275</w:t>
            </w:r>
          </w:p>
        </w:tc>
        <w:tc>
          <w:tcPr>
            <w:tcW w:w="794" w:type="dxa"/>
            <w:tcBorders>
              <w:top w:val="single" w:sz="6" w:space="0" w:color="auto"/>
              <w:bottom w:val="single" w:sz="12" w:space="0" w:color="auto"/>
            </w:tcBorders>
          </w:tcPr>
          <w:p w14:paraId="1B40A6B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19 228</w:t>
            </w:r>
          </w:p>
        </w:tc>
        <w:tc>
          <w:tcPr>
            <w:tcW w:w="794" w:type="dxa"/>
            <w:tcBorders>
              <w:top w:val="single" w:sz="6" w:space="0" w:color="auto"/>
              <w:bottom w:val="single" w:sz="12" w:space="0" w:color="auto"/>
            </w:tcBorders>
          </w:tcPr>
          <w:p w14:paraId="1A48AAC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18 568</w:t>
            </w:r>
          </w:p>
        </w:tc>
      </w:tr>
      <w:tr w:rsidR="008D6F13" w14:paraId="450BC6AF"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0C03A276" w14:textId="77777777" w:rsidR="008D6F13" w:rsidRDefault="008D6F13" w:rsidP="0031078F">
            <w:r>
              <w:rPr>
                <w:b/>
              </w:rPr>
              <w:t>Represented by:</w:t>
            </w:r>
          </w:p>
        </w:tc>
        <w:tc>
          <w:tcPr>
            <w:tcW w:w="794" w:type="dxa"/>
            <w:tcBorders>
              <w:top w:val="single" w:sz="6" w:space="0" w:color="auto"/>
            </w:tcBorders>
          </w:tcPr>
          <w:p w14:paraId="027C2E1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101A63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7524EB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BA3B9C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31B9AB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64355B65"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FD1FDBD" w14:textId="77777777" w:rsidR="008D6F13" w:rsidRDefault="008D6F13" w:rsidP="0031078F">
            <w:r>
              <w:t>Current payables and contract liabilities</w:t>
            </w:r>
          </w:p>
        </w:tc>
        <w:tc>
          <w:tcPr>
            <w:tcW w:w="794" w:type="dxa"/>
          </w:tcPr>
          <w:p w14:paraId="6600378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6 656</w:t>
            </w:r>
          </w:p>
        </w:tc>
        <w:tc>
          <w:tcPr>
            <w:tcW w:w="794" w:type="dxa"/>
          </w:tcPr>
          <w:p w14:paraId="315EA68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6 364</w:t>
            </w:r>
          </w:p>
        </w:tc>
        <w:tc>
          <w:tcPr>
            <w:tcW w:w="794" w:type="dxa"/>
          </w:tcPr>
          <w:p w14:paraId="1727989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6 084</w:t>
            </w:r>
          </w:p>
        </w:tc>
        <w:tc>
          <w:tcPr>
            <w:tcW w:w="794" w:type="dxa"/>
          </w:tcPr>
          <w:p w14:paraId="65164D0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6 016</w:t>
            </w:r>
          </w:p>
        </w:tc>
        <w:tc>
          <w:tcPr>
            <w:tcW w:w="794" w:type="dxa"/>
          </w:tcPr>
          <w:p w14:paraId="23969DE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5 954</w:t>
            </w:r>
          </w:p>
        </w:tc>
      </w:tr>
      <w:tr w:rsidR="008D6F13" w14:paraId="5448804E"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E002AC6" w14:textId="77777777" w:rsidR="008D6F13" w:rsidRDefault="008D6F13" w:rsidP="0031078F">
            <w:r>
              <w:t>Non</w:t>
            </w:r>
            <w:r>
              <w:noBreakHyphen/>
              <w:t>current payables and contract liabilities</w:t>
            </w:r>
          </w:p>
        </w:tc>
        <w:tc>
          <w:tcPr>
            <w:tcW w:w="794" w:type="dxa"/>
          </w:tcPr>
          <w:p w14:paraId="1775DC2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13 133</w:t>
            </w:r>
          </w:p>
        </w:tc>
        <w:tc>
          <w:tcPr>
            <w:tcW w:w="794" w:type="dxa"/>
          </w:tcPr>
          <w:p w14:paraId="1F8B7F2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9 867</w:t>
            </w:r>
          </w:p>
        </w:tc>
        <w:tc>
          <w:tcPr>
            <w:tcW w:w="794" w:type="dxa"/>
          </w:tcPr>
          <w:p w14:paraId="459939A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13 191</w:t>
            </w:r>
          </w:p>
        </w:tc>
        <w:tc>
          <w:tcPr>
            <w:tcW w:w="794" w:type="dxa"/>
          </w:tcPr>
          <w:p w14:paraId="2246AB7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13 212</w:t>
            </w:r>
          </w:p>
        </w:tc>
        <w:tc>
          <w:tcPr>
            <w:tcW w:w="794" w:type="dxa"/>
          </w:tcPr>
          <w:p w14:paraId="0C2DCE1A" w14:textId="39C7D6A7" w:rsidR="008D6F13" w:rsidRDefault="008D6F13" w:rsidP="0031078F">
            <w:pPr>
              <w:cnfStyle w:val="000000000000" w:firstRow="0" w:lastRow="0" w:firstColumn="0" w:lastColumn="0" w:oddVBand="0" w:evenVBand="0" w:oddHBand="0" w:evenHBand="0" w:firstRowFirstColumn="0" w:firstRowLastColumn="0" w:lastRowFirstColumn="0" w:lastRowLastColumn="0"/>
            </w:pPr>
            <w:r>
              <w:t>12 614</w:t>
            </w:r>
          </w:p>
        </w:tc>
      </w:tr>
    </w:tbl>
    <w:p w14:paraId="7C6F0766" w14:textId="77777777" w:rsidR="008D6F13" w:rsidRDefault="008D6F13" w:rsidP="008D6F13"/>
    <w:p w14:paraId="4A7BD6CE" w14:textId="77777777" w:rsidR="008D6F13" w:rsidRPr="007A1818" w:rsidRDefault="008D6F13" w:rsidP="008D6F13"/>
    <w:p w14:paraId="0BEC7554" w14:textId="77777777" w:rsidR="008D6F13" w:rsidRDefault="008D6F13" w:rsidP="008D6F13"/>
    <w:p w14:paraId="095DDEDA" w14:textId="77777777" w:rsidR="008D6F13" w:rsidRDefault="008D6F13" w:rsidP="008D6F13">
      <w:r>
        <w:br w:type="page"/>
      </w:r>
    </w:p>
    <w:p w14:paraId="713B01AC" w14:textId="77777777" w:rsidR="008D6F13" w:rsidRPr="00D02438" w:rsidRDefault="008D6F13" w:rsidP="008D6F13">
      <w:pPr>
        <w:pStyle w:val="Heading3"/>
      </w:pPr>
      <w:bookmarkStart w:id="102" w:name="_Toc85799811"/>
      <w:r w:rsidRPr="00D02438">
        <w:lastRenderedPageBreak/>
        <w:t>Superannuation</w:t>
      </w:r>
      <w:bookmarkEnd w:id="102"/>
    </w:p>
    <w:p w14:paraId="7FBC1153" w14:textId="77777777" w:rsidR="008D6F13" w:rsidRDefault="008D6F13" w:rsidP="008D6F13">
      <w:pPr>
        <w:pStyle w:val="TableHeading"/>
      </w:pPr>
      <w:r w:rsidRPr="00D02438">
        <w:t>Reconciliation of the superannuation liabilities</w:t>
      </w:r>
      <w:r w:rsidRPr="00D02438">
        <w:tab/>
        <w:t>($ million)</w:t>
      </w:r>
    </w:p>
    <w:tbl>
      <w:tblPr>
        <w:tblStyle w:val="DTFTableNumeric"/>
        <w:tblW w:w="7710" w:type="dxa"/>
        <w:tblLayout w:type="fixed"/>
        <w:tblLook w:val="06A0" w:firstRow="1" w:lastRow="0" w:firstColumn="1" w:lastColumn="0" w:noHBand="1" w:noVBand="1"/>
      </w:tblPr>
      <w:tblGrid>
        <w:gridCol w:w="3686"/>
        <w:gridCol w:w="709"/>
        <w:gridCol w:w="850"/>
        <w:gridCol w:w="851"/>
        <w:gridCol w:w="850"/>
        <w:gridCol w:w="764"/>
      </w:tblGrid>
      <w:tr w:rsidR="008D6F13" w14:paraId="5A928744"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tcBorders>
          </w:tcPr>
          <w:p w14:paraId="6CF1A871" w14:textId="00327D7F" w:rsidR="008D6F13" w:rsidRDefault="008D6F13" w:rsidP="0031078F"/>
        </w:tc>
        <w:tc>
          <w:tcPr>
            <w:tcW w:w="709" w:type="dxa"/>
            <w:tcBorders>
              <w:top w:val="single" w:sz="6" w:space="0" w:color="auto"/>
            </w:tcBorders>
          </w:tcPr>
          <w:p w14:paraId="0DD7EAAB"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850" w:type="dxa"/>
            <w:tcBorders>
              <w:top w:val="single" w:sz="6" w:space="0" w:color="auto"/>
            </w:tcBorders>
          </w:tcPr>
          <w:p w14:paraId="2F526017"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851" w:type="dxa"/>
            <w:tcBorders>
              <w:top w:val="single" w:sz="6" w:space="0" w:color="auto"/>
            </w:tcBorders>
          </w:tcPr>
          <w:p w14:paraId="063D0E27"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850" w:type="dxa"/>
            <w:tcBorders>
              <w:top w:val="single" w:sz="6" w:space="0" w:color="auto"/>
            </w:tcBorders>
          </w:tcPr>
          <w:p w14:paraId="6F549FB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64" w:type="dxa"/>
            <w:tcBorders>
              <w:top w:val="single" w:sz="6" w:space="0" w:color="auto"/>
            </w:tcBorders>
          </w:tcPr>
          <w:p w14:paraId="1C7F4BFA"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7F35DFC5" w14:textId="77777777" w:rsidTr="0031078F">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tcBorders>
          </w:tcPr>
          <w:p w14:paraId="425C268D" w14:textId="77777777" w:rsidR="008D6F13" w:rsidRDefault="008D6F13" w:rsidP="0031078F">
            <w:r>
              <w:rPr>
                <w:b/>
              </w:rPr>
              <w:t>Emergency Services and State Super</w:t>
            </w:r>
          </w:p>
        </w:tc>
        <w:tc>
          <w:tcPr>
            <w:tcW w:w="709" w:type="dxa"/>
            <w:tcBorders>
              <w:top w:val="single" w:sz="6" w:space="0" w:color="auto"/>
            </w:tcBorders>
          </w:tcPr>
          <w:p w14:paraId="643FC9C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7E2DFB3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tcBorders>
          </w:tcPr>
          <w:p w14:paraId="450A5D5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39ABCB0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64" w:type="dxa"/>
            <w:tcBorders>
              <w:top w:val="single" w:sz="6" w:space="0" w:color="auto"/>
            </w:tcBorders>
          </w:tcPr>
          <w:p w14:paraId="0E982E5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0C091A50" w14:textId="77777777" w:rsidTr="0031078F">
        <w:tc>
          <w:tcPr>
            <w:cnfStyle w:val="001000000000" w:firstRow="0" w:lastRow="0" w:firstColumn="1" w:lastColumn="0" w:oddVBand="0" w:evenVBand="0" w:oddHBand="0" w:evenHBand="0" w:firstRowFirstColumn="0" w:firstRowLastColumn="0" w:lastRowFirstColumn="0" w:lastRowLastColumn="0"/>
            <w:tcW w:w="3686" w:type="dxa"/>
          </w:tcPr>
          <w:p w14:paraId="50D67C8E" w14:textId="77777777" w:rsidR="008D6F13" w:rsidRDefault="008D6F13" w:rsidP="0031078F">
            <w:r>
              <w:t>Defined benefit obligation</w:t>
            </w:r>
          </w:p>
        </w:tc>
        <w:tc>
          <w:tcPr>
            <w:tcW w:w="709" w:type="dxa"/>
          </w:tcPr>
          <w:p w14:paraId="4F75345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48 426</w:t>
            </w:r>
          </w:p>
        </w:tc>
        <w:tc>
          <w:tcPr>
            <w:tcW w:w="850" w:type="dxa"/>
          </w:tcPr>
          <w:p w14:paraId="5E64F45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48 037</w:t>
            </w:r>
          </w:p>
        </w:tc>
        <w:tc>
          <w:tcPr>
            <w:tcW w:w="851" w:type="dxa"/>
          </w:tcPr>
          <w:p w14:paraId="61FFBE6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47 532</w:t>
            </w:r>
          </w:p>
        </w:tc>
        <w:tc>
          <w:tcPr>
            <w:tcW w:w="850" w:type="dxa"/>
          </w:tcPr>
          <w:p w14:paraId="2B38196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47 121</w:t>
            </w:r>
          </w:p>
        </w:tc>
        <w:tc>
          <w:tcPr>
            <w:tcW w:w="764" w:type="dxa"/>
          </w:tcPr>
          <w:p w14:paraId="2232A5A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46 796</w:t>
            </w:r>
          </w:p>
        </w:tc>
      </w:tr>
      <w:tr w:rsidR="008D6F13" w14:paraId="0CAEEE16" w14:textId="77777777" w:rsidTr="0031078F">
        <w:tc>
          <w:tcPr>
            <w:cnfStyle w:val="001000000000" w:firstRow="0" w:lastRow="0" w:firstColumn="1" w:lastColumn="0" w:oddVBand="0" w:evenVBand="0" w:oddHBand="0" w:evenHBand="0" w:firstRowFirstColumn="0" w:firstRowLastColumn="0" w:lastRowFirstColumn="0" w:lastRowLastColumn="0"/>
            <w:tcW w:w="3686" w:type="dxa"/>
          </w:tcPr>
          <w:p w14:paraId="54431619" w14:textId="77777777" w:rsidR="008D6F13" w:rsidRDefault="008D6F13" w:rsidP="0031078F">
            <w:r>
              <w:t xml:space="preserve">Tax liability </w:t>
            </w:r>
            <w:r>
              <w:rPr>
                <w:vertAlign w:val="superscript"/>
              </w:rPr>
              <w:t>(a)</w:t>
            </w:r>
          </w:p>
        </w:tc>
        <w:tc>
          <w:tcPr>
            <w:tcW w:w="709" w:type="dxa"/>
          </w:tcPr>
          <w:p w14:paraId="2CB3AF4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2 198</w:t>
            </w:r>
          </w:p>
        </w:tc>
        <w:tc>
          <w:tcPr>
            <w:tcW w:w="850" w:type="dxa"/>
          </w:tcPr>
          <w:p w14:paraId="0457E36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1 909</w:t>
            </w:r>
          </w:p>
        </w:tc>
        <w:tc>
          <w:tcPr>
            <w:tcW w:w="851" w:type="dxa"/>
          </w:tcPr>
          <w:p w14:paraId="3ABAB6A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1 790</w:t>
            </w:r>
          </w:p>
        </w:tc>
        <w:tc>
          <w:tcPr>
            <w:tcW w:w="850" w:type="dxa"/>
          </w:tcPr>
          <w:p w14:paraId="27FD601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1 657</w:t>
            </w:r>
          </w:p>
        </w:tc>
        <w:tc>
          <w:tcPr>
            <w:tcW w:w="764" w:type="dxa"/>
          </w:tcPr>
          <w:p w14:paraId="3E5CE44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1 527</w:t>
            </w:r>
          </w:p>
        </w:tc>
      </w:tr>
      <w:tr w:rsidR="008D6F13" w14:paraId="2A484523" w14:textId="77777777" w:rsidTr="0031078F">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2DF0777E" w14:textId="77777777" w:rsidR="008D6F13" w:rsidRDefault="008D6F13" w:rsidP="0031078F">
            <w:r>
              <w:t>Plan assets</w:t>
            </w:r>
          </w:p>
        </w:tc>
        <w:tc>
          <w:tcPr>
            <w:tcW w:w="709" w:type="dxa"/>
            <w:tcBorders>
              <w:bottom w:val="single" w:sz="6" w:space="0" w:color="auto"/>
            </w:tcBorders>
          </w:tcPr>
          <w:p w14:paraId="7D24EAC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(25 770)</w:t>
            </w:r>
          </w:p>
        </w:tc>
        <w:tc>
          <w:tcPr>
            <w:tcW w:w="850" w:type="dxa"/>
            <w:tcBorders>
              <w:bottom w:val="single" w:sz="6" w:space="0" w:color="auto"/>
            </w:tcBorders>
          </w:tcPr>
          <w:p w14:paraId="0C4F8B2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(25 648)</w:t>
            </w:r>
          </w:p>
        </w:tc>
        <w:tc>
          <w:tcPr>
            <w:tcW w:w="851" w:type="dxa"/>
            <w:tcBorders>
              <w:bottom w:val="single" w:sz="6" w:space="0" w:color="auto"/>
            </w:tcBorders>
          </w:tcPr>
          <w:p w14:paraId="6299BC6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(26 168)</w:t>
            </w:r>
          </w:p>
        </w:tc>
        <w:tc>
          <w:tcPr>
            <w:tcW w:w="850" w:type="dxa"/>
            <w:tcBorders>
              <w:bottom w:val="single" w:sz="6" w:space="0" w:color="auto"/>
            </w:tcBorders>
          </w:tcPr>
          <w:p w14:paraId="3EDE34A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(26 788)</w:t>
            </w:r>
          </w:p>
        </w:tc>
        <w:tc>
          <w:tcPr>
            <w:tcW w:w="764" w:type="dxa"/>
            <w:tcBorders>
              <w:bottom w:val="single" w:sz="6" w:space="0" w:color="auto"/>
            </w:tcBorders>
          </w:tcPr>
          <w:p w14:paraId="6D95E39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(27 409)</w:t>
            </w:r>
          </w:p>
        </w:tc>
      </w:tr>
      <w:tr w:rsidR="008D6F13" w14:paraId="6D7D4D19" w14:textId="77777777" w:rsidTr="0031078F">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6" w:space="0" w:color="auto"/>
            </w:tcBorders>
          </w:tcPr>
          <w:p w14:paraId="3191152D" w14:textId="77777777" w:rsidR="008D6F13" w:rsidRDefault="008D6F13" w:rsidP="0031078F">
            <w:r>
              <w:rPr>
                <w:b/>
              </w:rPr>
              <w:t>Net liability/(asset)</w:t>
            </w:r>
          </w:p>
        </w:tc>
        <w:tc>
          <w:tcPr>
            <w:tcW w:w="709" w:type="dxa"/>
            <w:tcBorders>
              <w:top w:val="single" w:sz="6" w:space="0" w:color="auto"/>
              <w:bottom w:val="single" w:sz="6" w:space="0" w:color="auto"/>
            </w:tcBorders>
          </w:tcPr>
          <w:p w14:paraId="25E6217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24 854</w:t>
            </w:r>
          </w:p>
        </w:tc>
        <w:tc>
          <w:tcPr>
            <w:tcW w:w="850" w:type="dxa"/>
            <w:tcBorders>
              <w:top w:val="single" w:sz="6" w:space="0" w:color="auto"/>
              <w:bottom w:val="single" w:sz="6" w:space="0" w:color="auto"/>
            </w:tcBorders>
          </w:tcPr>
          <w:p w14:paraId="089D811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24 298</w:t>
            </w:r>
          </w:p>
        </w:tc>
        <w:tc>
          <w:tcPr>
            <w:tcW w:w="851" w:type="dxa"/>
            <w:tcBorders>
              <w:top w:val="single" w:sz="6" w:space="0" w:color="auto"/>
              <w:bottom w:val="single" w:sz="6" w:space="0" w:color="auto"/>
            </w:tcBorders>
          </w:tcPr>
          <w:p w14:paraId="1D6EC43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23 154</w:t>
            </w:r>
          </w:p>
        </w:tc>
        <w:tc>
          <w:tcPr>
            <w:tcW w:w="850" w:type="dxa"/>
            <w:tcBorders>
              <w:top w:val="single" w:sz="6" w:space="0" w:color="auto"/>
              <w:bottom w:val="single" w:sz="6" w:space="0" w:color="auto"/>
            </w:tcBorders>
          </w:tcPr>
          <w:p w14:paraId="3D6A894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21 990</w:t>
            </w:r>
          </w:p>
        </w:tc>
        <w:tc>
          <w:tcPr>
            <w:tcW w:w="764" w:type="dxa"/>
            <w:tcBorders>
              <w:top w:val="single" w:sz="6" w:space="0" w:color="auto"/>
              <w:bottom w:val="single" w:sz="6" w:space="0" w:color="auto"/>
            </w:tcBorders>
          </w:tcPr>
          <w:p w14:paraId="3B209EE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20 914</w:t>
            </w:r>
          </w:p>
        </w:tc>
      </w:tr>
      <w:tr w:rsidR="008D6F13" w14:paraId="0C3BD76D" w14:textId="77777777" w:rsidTr="0031078F">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tcBorders>
          </w:tcPr>
          <w:p w14:paraId="7B03ACF8" w14:textId="77777777" w:rsidR="008D6F13" w:rsidRDefault="008D6F13" w:rsidP="0031078F">
            <w:r>
              <w:rPr>
                <w:b/>
              </w:rPr>
              <w:t xml:space="preserve">Other funds </w:t>
            </w:r>
            <w:r>
              <w:rPr>
                <w:b/>
                <w:vertAlign w:val="superscript"/>
              </w:rPr>
              <w:t>(b)</w:t>
            </w:r>
          </w:p>
        </w:tc>
        <w:tc>
          <w:tcPr>
            <w:tcW w:w="709" w:type="dxa"/>
            <w:tcBorders>
              <w:top w:val="single" w:sz="6" w:space="0" w:color="auto"/>
            </w:tcBorders>
          </w:tcPr>
          <w:p w14:paraId="570F8DB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0ABCADC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tcBorders>
          </w:tcPr>
          <w:p w14:paraId="03636E4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188A827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64" w:type="dxa"/>
            <w:tcBorders>
              <w:top w:val="single" w:sz="6" w:space="0" w:color="auto"/>
            </w:tcBorders>
          </w:tcPr>
          <w:p w14:paraId="14BC05E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560D923E" w14:textId="77777777" w:rsidTr="0031078F">
        <w:tc>
          <w:tcPr>
            <w:cnfStyle w:val="001000000000" w:firstRow="0" w:lastRow="0" w:firstColumn="1" w:lastColumn="0" w:oddVBand="0" w:evenVBand="0" w:oddHBand="0" w:evenHBand="0" w:firstRowFirstColumn="0" w:firstRowLastColumn="0" w:lastRowFirstColumn="0" w:lastRowLastColumn="0"/>
            <w:tcW w:w="3686" w:type="dxa"/>
          </w:tcPr>
          <w:p w14:paraId="6EC415E9" w14:textId="77777777" w:rsidR="008D6F13" w:rsidRDefault="008D6F13" w:rsidP="0031078F">
            <w:r>
              <w:t>Defined benefit obligation</w:t>
            </w:r>
          </w:p>
        </w:tc>
        <w:tc>
          <w:tcPr>
            <w:tcW w:w="709" w:type="dxa"/>
          </w:tcPr>
          <w:p w14:paraId="7389770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2 449</w:t>
            </w:r>
          </w:p>
        </w:tc>
        <w:tc>
          <w:tcPr>
            <w:tcW w:w="850" w:type="dxa"/>
          </w:tcPr>
          <w:p w14:paraId="7BA7B98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2 363</w:t>
            </w:r>
          </w:p>
        </w:tc>
        <w:tc>
          <w:tcPr>
            <w:tcW w:w="851" w:type="dxa"/>
          </w:tcPr>
          <w:p w14:paraId="6C85719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2 378</w:t>
            </w:r>
          </w:p>
        </w:tc>
        <w:tc>
          <w:tcPr>
            <w:tcW w:w="850" w:type="dxa"/>
          </w:tcPr>
          <w:p w14:paraId="5663B04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2 411</w:t>
            </w:r>
          </w:p>
        </w:tc>
        <w:tc>
          <w:tcPr>
            <w:tcW w:w="764" w:type="dxa"/>
          </w:tcPr>
          <w:p w14:paraId="496F835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2 437</w:t>
            </w:r>
          </w:p>
        </w:tc>
      </w:tr>
      <w:tr w:rsidR="008D6F13" w14:paraId="35271610" w14:textId="77777777" w:rsidTr="0031078F">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61B029DD" w14:textId="77777777" w:rsidR="008D6F13" w:rsidRDefault="008D6F13" w:rsidP="0031078F">
            <w:r>
              <w:t>Plan assets</w:t>
            </w:r>
          </w:p>
        </w:tc>
        <w:tc>
          <w:tcPr>
            <w:tcW w:w="709" w:type="dxa"/>
            <w:tcBorders>
              <w:bottom w:val="single" w:sz="6" w:space="0" w:color="auto"/>
            </w:tcBorders>
          </w:tcPr>
          <w:p w14:paraId="3E42FF3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(865)</w:t>
            </w:r>
          </w:p>
        </w:tc>
        <w:tc>
          <w:tcPr>
            <w:tcW w:w="850" w:type="dxa"/>
            <w:tcBorders>
              <w:bottom w:val="single" w:sz="6" w:space="0" w:color="auto"/>
            </w:tcBorders>
          </w:tcPr>
          <w:p w14:paraId="2B45CB7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(915)</w:t>
            </w:r>
          </w:p>
        </w:tc>
        <w:tc>
          <w:tcPr>
            <w:tcW w:w="851" w:type="dxa"/>
            <w:tcBorders>
              <w:bottom w:val="single" w:sz="6" w:space="0" w:color="auto"/>
            </w:tcBorders>
          </w:tcPr>
          <w:p w14:paraId="2F9AFF4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(883)</w:t>
            </w:r>
          </w:p>
        </w:tc>
        <w:tc>
          <w:tcPr>
            <w:tcW w:w="850" w:type="dxa"/>
            <w:tcBorders>
              <w:bottom w:val="single" w:sz="6" w:space="0" w:color="auto"/>
            </w:tcBorders>
          </w:tcPr>
          <w:p w14:paraId="683F197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(856)</w:t>
            </w:r>
          </w:p>
        </w:tc>
        <w:tc>
          <w:tcPr>
            <w:tcW w:w="764" w:type="dxa"/>
            <w:tcBorders>
              <w:bottom w:val="single" w:sz="6" w:space="0" w:color="auto"/>
            </w:tcBorders>
          </w:tcPr>
          <w:p w14:paraId="57C17EB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(826)</w:t>
            </w:r>
          </w:p>
        </w:tc>
      </w:tr>
      <w:tr w:rsidR="008D6F13" w14:paraId="2BE74E23" w14:textId="77777777" w:rsidTr="0031078F">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6" w:space="0" w:color="auto"/>
            </w:tcBorders>
          </w:tcPr>
          <w:p w14:paraId="378626A6" w14:textId="77777777" w:rsidR="008D6F13" w:rsidRDefault="008D6F13" w:rsidP="0031078F">
            <w:r>
              <w:rPr>
                <w:b/>
              </w:rPr>
              <w:t>Net liability/(asset)</w:t>
            </w:r>
          </w:p>
        </w:tc>
        <w:tc>
          <w:tcPr>
            <w:tcW w:w="709" w:type="dxa"/>
            <w:tcBorders>
              <w:top w:val="single" w:sz="6" w:space="0" w:color="auto"/>
              <w:bottom w:val="single" w:sz="6" w:space="0" w:color="auto"/>
            </w:tcBorders>
          </w:tcPr>
          <w:p w14:paraId="3085890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1 584</w:t>
            </w:r>
          </w:p>
        </w:tc>
        <w:tc>
          <w:tcPr>
            <w:tcW w:w="850" w:type="dxa"/>
            <w:tcBorders>
              <w:top w:val="single" w:sz="6" w:space="0" w:color="auto"/>
              <w:bottom w:val="single" w:sz="6" w:space="0" w:color="auto"/>
            </w:tcBorders>
          </w:tcPr>
          <w:p w14:paraId="0DE7439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1 448</w:t>
            </w:r>
          </w:p>
        </w:tc>
        <w:tc>
          <w:tcPr>
            <w:tcW w:w="851" w:type="dxa"/>
            <w:tcBorders>
              <w:top w:val="single" w:sz="6" w:space="0" w:color="auto"/>
              <w:bottom w:val="single" w:sz="6" w:space="0" w:color="auto"/>
            </w:tcBorders>
          </w:tcPr>
          <w:p w14:paraId="7C17B99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1 496</w:t>
            </w:r>
          </w:p>
        </w:tc>
        <w:tc>
          <w:tcPr>
            <w:tcW w:w="850" w:type="dxa"/>
            <w:tcBorders>
              <w:top w:val="single" w:sz="6" w:space="0" w:color="auto"/>
              <w:bottom w:val="single" w:sz="6" w:space="0" w:color="auto"/>
            </w:tcBorders>
          </w:tcPr>
          <w:p w14:paraId="35388EC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1 555</w:t>
            </w:r>
          </w:p>
        </w:tc>
        <w:tc>
          <w:tcPr>
            <w:tcW w:w="764" w:type="dxa"/>
            <w:tcBorders>
              <w:top w:val="single" w:sz="6" w:space="0" w:color="auto"/>
              <w:bottom w:val="single" w:sz="6" w:space="0" w:color="auto"/>
            </w:tcBorders>
          </w:tcPr>
          <w:p w14:paraId="55C9705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1 611</w:t>
            </w:r>
          </w:p>
        </w:tc>
      </w:tr>
      <w:tr w:rsidR="008D6F13" w14:paraId="2DCBA1E3" w14:textId="77777777" w:rsidTr="0031078F">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tcBorders>
          </w:tcPr>
          <w:p w14:paraId="63AD65B6" w14:textId="77777777" w:rsidR="008D6F13" w:rsidRDefault="008D6F13" w:rsidP="0031078F">
            <w:r>
              <w:rPr>
                <w:b/>
              </w:rPr>
              <w:t>Total superannuation</w:t>
            </w:r>
          </w:p>
        </w:tc>
        <w:tc>
          <w:tcPr>
            <w:tcW w:w="709" w:type="dxa"/>
            <w:tcBorders>
              <w:top w:val="single" w:sz="6" w:space="0" w:color="auto"/>
            </w:tcBorders>
          </w:tcPr>
          <w:p w14:paraId="0E23DE8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111C614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tcBorders>
          </w:tcPr>
          <w:p w14:paraId="08CC5C7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23036D1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64" w:type="dxa"/>
            <w:tcBorders>
              <w:top w:val="single" w:sz="6" w:space="0" w:color="auto"/>
            </w:tcBorders>
          </w:tcPr>
          <w:p w14:paraId="557CBF8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77774BCD" w14:textId="77777777" w:rsidTr="0031078F">
        <w:tc>
          <w:tcPr>
            <w:cnfStyle w:val="001000000000" w:firstRow="0" w:lastRow="0" w:firstColumn="1" w:lastColumn="0" w:oddVBand="0" w:evenVBand="0" w:oddHBand="0" w:evenHBand="0" w:firstRowFirstColumn="0" w:firstRowLastColumn="0" w:lastRowFirstColumn="0" w:lastRowLastColumn="0"/>
            <w:tcW w:w="3686" w:type="dxa"/>
          </w:tcPr>
          <w:p w14:paraId="780E5C20" w14:textId="77777777" w:rsidR="008D6F13" w:rsidRDefault="008D6F13" w:rsidP="0031078F">
            <w:r>
              <w:t>Defined benefit obligation</w:t>
            </w:r>
          </w:p>
        </w:tc>
        <w:tc>
          <w:tcPr>
            <w:tcW w:w="709" w:type="dxa"/>
          </w:tcPr>
          <w:p w14:paraId="59F12F9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50 875</w:t>
            </w:r>
          </w:p>
        </w:tc>
        <w:tc>
          <w:tcPr>
            <w:tcW w:w="850" w:type="dxa"/>
          </w:tcPr>
          <w:p w14:paraId="14BB5FF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50 400</w:t>
            </w:r>
          </w:p>
        </w:tc>
        <w:tc>
          <w:tcPr>
            <w:tcW w:w="851" w:type="dxa"/>
          </w:tcPr>
          <w:p w14:paraId="735E463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49 910</w:t>
            </w:r>
          </w:p>
        </w:tc>
        <w:tc>
          <w:tcPr>
            <w:tcW w:w="850" w:type="dxa"/>
          </w:tcPr>
          <w:p w14:paraId="02B8E65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49 533</w:t>
            </w:r>
          </w:p>
        </w:tc>
        <w:tc>
          <w:tcPr>
            <w:tcW w:w="764" w:type="dxa"/>
          </w:tcPr>
          <w:p w14:paraId="0A68F47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49 233</w:t>
            </w:r>
          </w:p>
        </w:tc>
      </w:tr>
      <w:tr w:rsidR="008D6F13" w14:paraId="53920A76" w14:textId="77777777" w:rsidTr="0031078F">
        <w:tc>
          <w:tcPr>
            <w:cnfStyle w:val="001000000000" w:firstRow="0" w:lastRow="0" w:firstColumn="1" w:lastColumn="0" w:oddVBand="0" w:evenVBand="0" w:oddHBand="0" w:evenHBand="0" w:firstRowFirstColumn="0" w:firstRowLastColumn="0" w:lastRowFirstColumn="0" w:lastRowLastColumn="0"/>
            <w:tcW w:w="3686" w:type="dxa"/>
          </w:tcPr>
          <w:p w14:paraId="36A3EEC0" w14:textId="77777777" w:rsidR="008D6F13" w:rsidRDefault="008D6F13" w:rsidP="0031078F">
            <w:r>
              <w:t xml:space="preserve">Tax liability </w:t>
            </w:r>
            <w:r>
              <w:rPr>
                <w:vertAlign w:val="superscript"/>
              </w:rPr>
              <w:t>(a)</w:t>
            </w:r>
          </w:p>
        </w:tc>
        <w:tc>
          <w:tcPr>
            <w:tcW w:w="709" w:type="dxa"/>
          </w:tcPr>
          <w:p w14:paraId="4A0B0D0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2 198</w:t>
            </w:r>
          </w:p>
        </w:tc>
        <w:tc>
          <w:tcPr>
            <w:tcW w:w="850" w:type="dxa"/>
          </w:tcPr>
          <w:p w14:paraId="2500624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1 909</w:t>
            </w:r>
          </w:p>
        </w:tc>
        <w:tc>
          <w:tcPr>
            <w:tcW w:w="851" w:type="dxa"/>
          </w:tcPr>
          <w:p w14:paraId="1AC6D3E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1 790</w:t>
            </w:r>
          </w:p>
        </w:tc>
        <w:tc>
          <w:tcPr>
            <w:tcW w:w="850" w:type="dxa"/>
          </w:tcPr>
          <w:p w14:paraId="58BBE86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1 657</w:t>
            </w:r>
          </w:p>
        </w:tc>
        <w:tc>
          <w:tcPr>
            <w:tcW w:w="764" w:type="dxa"/>
          </w:tcPr>
          <w:p w14:paraId="3BD0C7E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1 527</w:t>
            </w:r>
          </w:p>
        </w:tc>
      </w:tr>
      <w:tr w:rsidR="008D6F13" w14:paraId="3C9874BB" w14:textId="77777777" w:rsidTr="0031078F">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24A84263" w14:textId="77777777" w:rsidR="008D6F13" w:rsidRDefault="008D6F13" w:rsidP="0031078F">
            <w:r>
              <w:t>Plan assets</w:t>
            </w:r>
          </w:p>
        </w:tc>
        <w:tc>
          <w:tcPr>
            <w:tcW w:w="709" w:type="dxa"/>
            <w:tcBorders>
              <w:bottom w:val="single" w:sz="6" w:space="0" w:color="auto"/>
            </w:tcBorders>
          </w:tcPr>
          <w:p w14:paraId="66078A8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(26 635)</w:t>
            </w:r>
          </w:p>
        </w:tc>
        <w:tc>
          <w:tcPr>
            <w:tcW w:w="850" w:type="dxa"/>
            <w:tcBorders>
              <w:bottom w:val="single" w:sz="6" w:space="0" w:color="auto"/>
            </w:tcBorders>
          </w:tcPr>
          <w:p w14:paraId="4A5B6B7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(26 563)</w:t>
            </w:r>
          </w:p>
        </w:tc>
        <w:tc>
          <w:tcPr>
            <w:tcW w:w="851" w:type="dxa"/>
            <w:tcBorders>
              <w:bottom w:val="single" w:sz="6" w:space="0" w:color="auto"/>
            </w:tcBorders>
          </w:tcPr>
          <w:p w14:paraId="3035793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(27 050)</w:t>
            </w:r>
          </w:p>
        </w:tc>
        <w:tc>
          <w:tcPr>
            <w:tcW w:w="850" w:type="dxa"/>
            <w:tcBorders>
              <w:bottom w:val="single" w:sz="6" w:space="0" w:color="auto"/>
            </w:tcBorders>
          </w:tcPr>
          <w:p w14:paraId="0E77D81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(27 644)</w:t>
            </w:r>
          </w:p>
        </w:tc>
        <w:tc>
          <w:tcPr>
            <w:tcW w:w="764" w:type="dxa"/>
            <w:tcBorders>
              <w:bottom w:val="single" w:sz="6" w:space="0" w:color="auto"/>
            </w:tcBorders>
          </w:tcPr>
          <w:p w14:paraId="26A9010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(28 235)</w:t>
            </w:r>
          </w:p>
        </w:tc>
      </w:tr>
      <w:tr w:rsidR="008D6F13" w14:paraId="566CF886" w14:textId="77777777" w:rsidTr="0031078F">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6" w:space="0" w:color="auto"/>
            </w:tcBorders>
          </w:tcPr>
          <w:p w14:paraId="3FC2FCF4" w14:textId="77777777" w:rsidR="008D6F13" w:rsidRDefault="008D6F13" w:rsidP="0031078F">
            <w:r>
              <w:rPr>
                <w:b/>
              </w:rPr>
              <w:t>Superannuation liability</w:t>
            </w:r>
          </w:p>
        </w:tc>
        <w:tc>
          <w:tcPr>
            <w:tcW w:w="709" w:type="dxa"/>
            <w:tcBorders>
              <w:top w:val="single" w:sz="6" w:space="0" w:color="auto"/>
              <w:bottom w:val="single" w:sz="6" w:space="0" w:color="auto"/>
            </w:tcBorders>
          </w:tcPr>
          <w:p w14:paraId="366F005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26 439</w:t>
            </w:r>
          </w:p>
        </w:tc>
        <w:tc>
          <w:tcPr>
            <w:tcW w:w="850" w:type="dxa"/>
            <w:tcBorders>
              <w:top w:val="single" w:sz="6" w:space="0" w:color="auto"/>
              <w:bottom w:val="single" w:sz="6" w:space="0" w:color="auto"/>
            </w:tcBorders>
          </w:tcPr>
          <w:p w14:paraId="5B6E0D4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25 747</w:t>
            </w:r>
          </w:p>
        </w:tc>
        <w:tc>
          <w:tcPr>
            <w:tcW w:w="851" w:type="dxa"/>
            <w:tcBorders>
              <w:top w:val="single" w:sz="6" w:space="0" w:color="auto"/>
              <w:bottom w:val="single" w:sz="6" w:space="0" w:color="auto"/>
            </w:tcBorders>
          </w:tcPr>
          <w:p w14:paraId="28007C0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24 649</w:t>
            </w:r>
          </w:p>
        </w:tc>
        <w:tc>
          <w:tcPr>
            <w:tcW w:w="850" w:type="dxa"/>
            <w:tcBorders>
              <w:top w:val="single" w:sz="6" w:space="0" w:color="auto"/>
              <w:bottom w:val="single" w:sz="6" w:space="0" w:color="auto"/>
            </w:tcBorders>
          </w:tcPr>
          <w:p w14:paraId="35A27EC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23 546</w:t>
            </w:r>
          </w:p>
        </w:tc>
        <w:tc>
          <w:tcPr>
            <w:tcW w:w="764" w:type="dxa"/>
            <w:tcBorders>
              <w:top w:val="single" w:sz="6" w:space="0" w:color="auto"/>
              <w:bottom w:val="single" w:sz="6" w:space="0" w:color="auto"/>
            </w:tcBorders>
          </w:tcPr>
          <w:p w14:paraId="35E612D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22 525</w:t>
            </w:r>
          </w:p>
        </w:tc>
      </w:tr>
      <w:tr w:rsidR="008D6F13" w14:paraId="5F11209F" w14:textId="77777777" w:rsidTr="0031078F">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tcBorders>
          </w:tcPr>
          <w:p w14:paraId="2D871EA6" w14:textId="77777777" w:rsidR="008D6F13" w:rsidRDefault="008D6F13" w:rsidP="0031078F">
            <w:r>
              <w:rPr>
                <w:b/>
              </w:rPr>
              <w:t>Represented by:</w:t>
            </w:r>
          </w:p>
        </w:tc>
        <w:tc>
          <w:tcPr>
            <w:tcW w:w="709" w:type="dxa"/>
            <w:tcBorders>
              <w:top w:val="single" w:sz="6" w:space="0" w:color="auto"/>
            </w:tcBorders>
          </w:tcPr>
          <w:p w14:paraId="33AF845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6F750D1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tcBorders>
          </w:tcPr>
          <w:p w14:paraId="7884257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009F094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64" w:type="dxa"/>
            <w:tcBorders>
              <w:top w:val="single" w:sz="6" w:space="0" w:color="auto"/>
            </w:tcBorders>
          </w:tcPr>
          <w:p w14:paraId="703291D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596AD286" w14:textId="77777777" w:rsidTr="0031078F">
        <w:tc>
          <w:tcPr>
            <w:cnfStyle w:val="001000000000" w:firstRow="0" w:lastRow="0" w:firstColumn="1" w:lastColumn="0" w:oddVBand="0" w:evenVBand="0" w:oddHBand="0" w:evenHBand="0" w:firstRowFirstColumn="0" w:firstRowLastColumn="0" w:lastRowFirstColumn="0" w:lastRowLastColumn="0"/>
            <w:tcW w:w="3686" w:type="dxa"/>
          </w:tcPr>
          <w:p w14:paraId="2F1D5864" w14:textId="77777777" w:rsidR="008D6F13" w:rsidRDefault="008D6F13" w:rsidP="0031078F">
            <w:r>
              <w:t>Current liability</w:t>
            </w:r>
          </w:p>
        </w:tc>
        <w:tc>
          <w:tcPr>
            <w:tcW w:w="709" w:type="dxa"/>
          </w:tcPr>
          <w:p w14:paraId="13D4CBF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1 007</w:t>
            </w:r>
          </w:p>
        </w:tc>
        <w:tc>
          <w:tcPr>
            <w:tcW w:w="850" w:type="dxa"/>
          </w:tcPr>
          <w:p w14:paraId="65A2BD0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1 007</w:t>
            </w:r>
          </w:p>
        </w:tc>
        <w:tc>
          <w:tcPr>
            <w:tcW w:w="851" w:type="dxa"/>
          </w:tcPr>
          <w:p w14:paraId="2F3B2CC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1 079</w:t>
            </w:r>
          </w:p>
        </w:tc>
        <w:tc>
          <w:tcPr>
            <w:tcW w:w="850" w:type="dxa"/>
          </w:tcPr>
          <w:p w14:paraId="0C32C49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1 042</w:t>
            </w:r>
          </w:p>
        </w:tc>
        <w:tc>
          <w:tcPr>
            <w:tcW w:w="764" w:type="dxa"/>
          </w:tcPr>
          <w:p w14:paraId="12AB871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1 068</w:t>
            </w:r>
          </w:p>
        </w:tc>
      </w:tr>
      <w:tr w:rsidR="008D6F13" w14:paraId="40FC714E" w14:textId="77777777" w:rsidTr="0031078F">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721B55F6" w14:textId="77777777" w:rsidR="008D6F13" w:rsidRDefault="008D6F13" w:rsidP="0031078F">
            <w:r>
              <w:t>Non</w:t>
            </w:r>
            <w:r>
              <w:noBreakHyphen/>
              <w:t>current liability</w:t>
            </w:r>
          </w:p>
        </w:tc>
        <w:tc>
          <w:tcPr>
            <w:tcW w:w="709" w:type="dxa"/>
            <w:tcBorders>
              <w:bottom w:val="single" w:sz="6" w:space="0" w:color="auto"/>
            </w:tcBorders>
          </w:tcPr>
          <w:p w14:paraId="1DBDC52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25 431</w:t>
            </w:r>
          </w:p>
        </w:tc>
        <w:tc>
          <w:tcPr>
            <w:tcW w:w="850" w:type="dxa"/>
            <w:tcBorders>
              <w:bottom w:val="single" w:sz="6" w:space="0" w:color="auto"/>
            </w:tcBorders>
          </w:tcPr>
          <w:p w14:paraId="1441AD6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24 739</w:t>
            </w:r>
          </w:p>
        </w:tc>
        <w:tc>
          <w:tcPr>
            <w:tcW w:w="851" w:type="dxa"/>
            <w:tcBorders>
              <w:bottom w:val="single" w:sz="6" w:space="0" w:color="auto"/>
            </w:tcBorders>
          </w:tcPr>
          <w:p w14:paraId="36A63DC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23 570</w:t>
            </w:r>
          </w:p>
        </w:tc>
        <w:tc>
          <w:tcPr>
            <w:tcW w:w="850" w:type="dxa"/>
            <w:tcBorders>
              <w:bottom w:val="single" w:sz="6" w:space="0" w:color="auto"/>
            </w:tcBorders>
          </w:tcPr>
          <w:p w14:paraId="229C003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22 504</w:t>
            </w:r>
          </w:p>
        </w:tc>
        <w:tc>
          <w:tcPr>
            <w:tcW w:w="764" w:type="dxa"/>
            <w:tcBorders>
              <w:bottom w:val="single" w:sz="6" w:space="0" w:color="auto"/>
            </w:tcBorders>
          </w:tcPr>
          <w:p w14:paraId="55BFFA9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21 458</w:t>
            </w:r>
          </w:p>
        </w:tc>
      </w:tr>
      <w:tr w:rsidR="008D6F13" w14:paraId="31189729" w14:textId="77777777" w:rsidTr="0031078F">
        <w:tc>
          <w:tcPr>
            <w:cnfStyle w:val="001000000000" w:firstRow="0" w:lastRow="0" w:firstColumn="1" w:lastColumn="0" w:oddVBand="0" w:evenVBand="0" w:oddHBand="0" w:evenHBand="0" w:firstRowFirstColumn="0" w:firstRowLastColumn="0" w:lastRowFirstColumn="0" w:lastRowLastColumn="0"/>
            <w:tcW w:w="3686" w:type="dxa"/>
          </w:tcPr>
          <w:p w14:paraId="2F939501" w14:textId="77777777" w:rsidR="008D6F13" w:rsidRDefault="008D6F13" w:rsidP="0031078F">
            <w:r>
              <w:rPr>
                <w:b/>
              </w:rPr>
              <w:t>Total superannuation liability</w:t>
            </w:r>
          </w:p>
        </w:tc>
        <w:tc>
          <w:tcPr>
            <w:tcW w:w="709" w:type="dxa"/>
          </w:tcPr>
          <w:p w14:paraId="4BC80EC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26 439</w:t>
            </w:r>
          </w:p>
        </w:tc>
        <w:tc>
          <w:tcPr>
            <w:tcW w:w="850" w:type="dxa"/>
          </w:tcPr>
          <w:p w14:paraId="54EB796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25 747</w:t>
            </w:r>
          </w:p>
        </w:tc>
        <w:tc>
          <w:tcPr>
            <w:tcW w:w="851" w:type="dxa"/>
          </w:tcPr>
          <w:p w14:paraId="689C419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24 649</w:t>
            </w:r>
          </w:p>
        </w:tc>
        <w:tc>
          <w:tcPr>
            <w:tcW w:w="850" w:type="dxa"/>
          </w:tcPr>
          <w:p w14:paraId="4D8D6FB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23 546</w:t>
            </w:r>
          </w:p>
        </w:tc>
        <w:tc>
          <w:tcPr>
            <w:tcW w:w="764" w:type="dxa"/>
          </w:tcPr>
          <w:p w14:paraId="46046161" w14:textId="52EA43A9"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22 525</w:t>
            </w:r>
          </w:p>
        </w:tc>
      </w:tr>
    </w:tbl>
    <w:p w14:paraId="176BE054" w14:textId="77777777" w:rsidR="008D6F13" w:rsidRDefault="008D6F13" w:rsidP="008D6F13">
      <w:pPr>
        <w:pStyle w:val="Note"/>
        <w:ind w:left="0" w:firstLine="0"/>
      </w:pPr>
      <w:r>
        <w:t>Notes:</w:t>
      </w:r>
    </w:p>
    <w:p w14:paraId="2089C797" w14:textId="77777777" w:rsidR="008D6F13" w:rsidRDefault="008D6F13" w:rsidP="008D6F13">
      <w:pPr>
        <w:pStyle w:val="Note"/>
      </w:pPr>
      <w:r>
        <w:t>(a)</w:t>
      </w:r>
      <w:r>
        <w:tab/>
        <w:t>Tax liability is the present value of tax payments on contributions that are expected to be required to fund accrued benefits.</w:t>
      </w:r>
    </w:p>
    <w:p w14:paraId="60BAB3DC" w14:textId="77777777" w:rsidR="008D6F13" w:rsidRDefault="008D6F13" w:rsidP="008D6F13">
      <w:pPr>
        <w:pStyle w:val="Note"/>
      </w:pPr>
      <w:r>
        <w:t>(b)</w:t>
      </w:r>
      <w:r>
        <w:tab/>
        <w:t>Other funds include constitutionally protected schemes and the State’s share of liabilities of the Defined Benefit Scheme of the former Health Super Fund.</w:t>
      </w:r>
    </w:p>
    <w:p w14:paraId="7592EE1D" w14:textId="77777777" w:rsidR="008D6F13" w:rsidRPr="00964DF6" w:rsidRDefault="008D6F13" w:rsidP="008D6F13"/>
    <w:p w14:paraId="20C5BDA8" w14:textId="77777777" w:rsidR="008D6F13" w:rsidRDefault="008D6F13" w:rsidP="008D6F13">
      <w:pPr>
        <w:rPr>
          <w:rFonts w:asciiTheme="majorHAnsi" w:hAnsiTheme="majorHAnsi"/>
          <w:b/>
          <w:sz w:val="20"/>
        </w:rPr>
      </w:pPr>
      <w:r>
        <w:br w:type="page"/>
      </w:r>
    </w:p>
    <w:p w14:paraId="5D0997E4" w14:textId="77777777" w:rsidR="008D6F13" w:rsidRDefault="008D6F13" w:rsidP="008D6F13">
      <w:pPr>
        <w:pStyle w:val="TableHeading"/>
        <w:ind w:left="0" w:firstLine="0"/>
      </w:pPr>
      <w:r w:rsidRPr="00D02438">
        <w:lastRenderedPageBreak/>
        <w:t>Reconciliation of the present value of the defined benefit obligation</w:t>
      </w:r>
      <w:r w:rsidRPr="00D02438">
        <w:tab/>
        <w:t>($ million)</w:t>
      </w:r>
    </w:p>
    <w:tbl>
      <w:tblPr>
        <w:tblStyle w:val="DTFTableNumeric"/>
        <w:tblW w:w="7710" w:type="dxa"/>
        <w:tblLayout w:type="fixed"/>
        <w:tblLook w:val="06A0" w:firstRow="1" w:lastRow="0" w:firstColumn="1" w:lastColumn="0" w:noHBand="1" w:noVBand="1"/>
      </w:tblPr>
      <w:tblGrid>
        <w:gridCol w:w="3544"/>
        <w:gridCol w:w="851"/>
        <w:gridCol w:w="850"/>
        <w:gridCol w:w="851"/>
        <w:gridCol w:w="850"/>
        <w:gridCol w:w="764"/>
      </w:tblGrid>
      <w:tr w:rsidR="008D6F13" w14:paraId="4F5B6097"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tcBorders>
          </w:tcPr>
          <w:p w14:paraId="5414F911" w14:textId="0FE297A5" w:rsidR="008D6F13" w:rsidRDefault="008D6F13" w:rsidP="0031078F"/>
        </w:tc>
        <w:tc>
          <w:tcPr>
            <w:tcW w:w="851" w:type="dxa"/>
            <w:tcBorders>
              <w:top w:val="single" w:sz="6" w:space="0" w:color="auto"/>
            </w:tcBorders>
          </w:tcPr>
          <w:p w14:paraId="43A3E8F4"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850" w:type="dxa"/>
            <w:tcBorders>
              <w:top w:val="single" w:sz="6" w:space="0" w:color="auto"/>
            </w:tcBorders>
          </w:tcPr>
          <w:p w14:paraId="022CA213"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851" w:type="dxa"/>
            <w:tcBorders>
              <w:top w:val="single" w:sz="6" w:space="0" w:color="auto"/>
            </w:tcBorders>
          </w:tcPr>
          <w:p w14:paraId="055266AF"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850" w:type="dxa"/>
            <w:tcBorders>
              <w:top w:val="single" w:sz="6" w:space="0" w:color="auto"/>
            </w:tcBorders>
          </w:tcPr>
          <w:p w14:paraId="4539E865"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64" w:type="dxa"/>
            <w:tcBorders>
              <w:top w:val="single" w:sz="6" w:space="0" w:color="auto"/>
            </w:tcBorders>
          </w:tcPr>
          <w:p w14:paraId="59954A97"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2ED9AD61" w14:textId="77777777" w:rsidTr="0031078F">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tcBorders>
          </w:tcPr>
          <w:p w14:paraId="7F95639B" w14:textId="77777777" w:rsidR="008D6F13" w:rsidRDefault="008D6F13" w:rsidP="0031078F">
            <w:r>
              <w:rPr>
                <w:b/>
              </w:rPr>
              <w:t>Opening balance of defined benefit obligation</w:t>
            </w:r>
          </w:p>
        </w:tc>
        <w:tc>
          <w:tcPr>
            <w:tcW w:w="851" w:type="dxa"/>
            <w:tcBorders>
              <w:top w:val="single" w:sz="6" w:space="0" w:color="auto"/>
            </w:tcBorders>
          </w:tcPr>
          <w:p w14:paraId="211B40F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53 439</w:t>
            </w:r>
          </w:p>
        </w:tc>
        <w:tc>
          <w:tcPr>
            <w:tcW w:w="850" w:type="dxa"/>
            <w:tcBorders>
              <w:top w:val="single" w:sz="6" w:space="0" w:color="auto"/>
            </w:tcBorders>
          </w:tcPr>
          <w:p w14:paraId="2D9765B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53 439</w:t>
            </w:r>
          </w:p>
        </w:tc>
        <w:tc>
          <w:tcPr>
            <w:tcW w:w="851" w:type="dxa"/>
            <w:tcBorders>
              <w:top w:val="single" w:sz="6" w:space="0" w:color="auto"/>
            </w:tcBorders>
          </w:tcPr>
          <w:p w14:paraId="2425391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52 309</w:t>
            </w:r>
          </w:p>
        </w:tc>
        <w:tc>
          <w:tcPr>
            <w:tcW w:w="850" w:type="dxa"/>
            <w:tcBorders>
              <w:top w:val="single" w:sz="6" w:space="0" w:color="auto"/>
            </w:tcBorders>
          </w:tcPr>
          <w:p w14:paraId="430B7ED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51 699</w:t>
            </w:r>
          </w:p>
        </w:tc>
        <w:tc>
          <w:tcPr>
            <w:tcW w:w="764" w:type="dxa"/>
            <w:tcBorders>
              <w:top w:val="single" w:sz="6" w:space="0" w:color="auto"/>
            </w:tcBorders>
          </w:tcPr>
          <w:p w14:paraId="2B0D0DD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51 190</w:t>
            </w:r>
          </w:p>
        </w:tc>
      </w:tr>
      <w:tr w:rsidR="008D6F13" w14:paraId="6D05A63E" w14:textId="77777777" w:rsidTr="0031078F">
        <w:tc>
          <w:tcPr>
            <w:cnfStyle w:val="001000000000" w:firstRow="0" w:lastRow="0" w:firstColumn="1" w:lastColumn="0" w:oddVBand="0" w:evenVBand="0" w:oddHBand="0" w:evenHBand="0" w:firstRowFirstColumn="0" w:firstRowLastColumn="0" w:lastRowFirstColumn="0" w:lastRowLastColumn="0"/>
            <w:tcW w:w="3544" w:type="dxa"/>
          </w:tcPr>
          <w:p w14:paraId="6FDD30C3" w14:textId="77777777" w:rsidR="008D6F13" w:rsidRDefault="008D6F13" w:rsidP="0031078F">
            <w:r>
              <w:t>Current service cost</w:t>
            </w:r>
          </w:p>
        </w:tc>
        <w:tc>
          <w:tcPr>
            <w:tcW w:w="851" w:type="dxa"/>
          </w:tcPr>
          <w:p w14:paraId="13A4907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1 489</w:t>
            </w:r>
          </w:p>
        </w:tc>
        <w:tc>
          <w:tcPr>
            <w:tcW w:w="850" w:type="dxa"/>
          </w:tcPr>
          <w:p w14:paraId="2B47072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1 349</w:t>
            </w:r>
          </w:p>
        </w:tc>
        <w:tc>
          <w:tcPr>
            <w:tcW w:w="851" w:type="dxa"/>
          </w:tcPr>
          <w:p w14:paraId="5EEA993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1 443</w:t>
            </w:r>
          </w:p>
        </w:tc>
        <w:tc>
          <w:tcPr>
            <w:tcW w:w="850" w:type="dxa"/>
          </w:tcPr>
          <w:p w14:paraId="6905C83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1 560</w:t>
            </w:r>
          </w:p>
        </w:tc>
        <w:tc>
          <w:tcPr>
            <w:tcW w:w="764" w:type="dxa"/>
          </w:tcPr>
          <w:p w14:paraId="1DDE1CD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1 661</w:t>
            </w:r>
          </w:p>
        </w:tc>
      </w:tr>
      <w:tr w:rsidR="008D6F13" w14:paraId="5A84BB07" w14:textId="77777777" w:rsidTr="0031078F">
        <w:tc>
          <w:tcPr>
            <w:cnfStyle w:val="001000000000" w:firstRow="0" w:lastRow="0" w:firstColumn="1" w:lastColumn="0" w:oddVBand="0" w:evenVBand="0" w:oddHBand="0" w:evenHBand="0" w:firstRowFirstColumn="0" w:firstRowLastColumn="0" w:lastRowFirstColumn="0" w:lastRowLastColumn="0"/>
            <w:tcW w:w="3544" w:type="dxa"/>
          </w:tcPr>
          <w:p w14:paraId="0CC78A91" w14:textId="77777777" w:rsidR="008D6F13" w:rsidRDefault="008D6F13" w:rsidP="0031078F">
            <w:r>
              <w:t>Interest expense</w:t>
            </w:r>
          </w:p>
        </w:tc>
        <w:tc>
          <w:tcPr>
            <w:tcW w:w="851" w:type="dxa"/>
          </w:tcPr>
          <w:p w14:paraId="5E1BA1D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1 028</w:t>
            </w:r>
          </w:p>
        </w:tc>
        <w:tc>
          <w:tcPr>
            <w:tcW w:w="850" w:type="dxa"/>
          </w:tcPr>
          <w:p w14:paraId="651C5B5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928</w:t>
            </w:r>
          </w:p>
        </w:tc>
        <w:tc>
          <w:tcPr>
            <w:tcW w:w="851" w:type="dxa"/>
          </w:tcPr>
          <w:p w14:paraId="0BE824B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900</w:t>
            </w:r>
          </w:p>
        </w:tc>
        <w:tc>
          <w:tcPr>
            <w:tcW w:w="850" w:type="dxa"/>
          </w:tcPr>
          <w:p w14:paraId="63D4743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890</w:t>
            </w:r>
          </w:p>
        </w:tc>
        <w:tc>
          <w:tcPr>
            <w:tcW w:w="764" w:type="dxa"/>
          </w:tcPr>
          <w:p w14:paraId="687B3A9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883</w:t>
            </w:r>
          </w:p>
        </w:tc>
      </w:tr>
      <w:tr w:rsidR="008D6F13" w14:paraId="523836BB" w14:textId="77777777" w:rsidTr="0031078F">
        <w:tc>
          <w:tcPr>
            <w:cnfStyle w:val="001000000000" w:firstRow="0" w:lastRow="0" w:firstColumn="1" w:lastColumn="0" w:oddVBand="0" w:evenVBand="0" w:oddHBand="0" w:evenHBand="0" w:firstRowFirstColumn="0" w:firstRowLastColumn="0" w:lastRowFirstColumn="0" w:lastRowLastColumn="0"/>
            <w:tcW w:w="3544" w:type="dxa"/>
          </w:tcPr>
          <w:p w14:paraId="3107F082" w14:textId="77777777" w:rsidR="008D6F13" w:rsidRDefault="008D6F13" w:rsidP="0031078F">
            <w:r>
              <w:t>Contributions by plan participants</w:t>
            </w:r>
          </w:p>
        </w:tc>
        <w:tc>
          <w:tcPr>
            <w:tcW w:w="851" w:type="dxa"/>
          </w:tcPr>
          <w:p w14:paraId="18A2737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215</w:t>
            </w:r>
          </w:p>
        </w:tc>
        <w:tc>
          <w:tcPr>
            <w:tcW w:w="850" w:type="dxa"/>
          </w:tcPr>
          <w:p w14:paraId="2B342D3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220</w:t>
            </w:r>
          </w:p>
        </w:tc>
        <w:tc>
          <w:tcPr>
            <w:tcW w:w="851" w:type="dxa"/>
          </w:tcPr>
          <w:p w14:paraId="0BB85FE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223</w:t>
            </w:r>
          </w:p>
        </w:tc>
        <w:tc>
          <w:tcPr>
            <w:tcW w:w="850" w:type="dxa"/>
          </w:tcPr>
          <w:p w14:paraId="3B447D4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227</w:t>
            </w:r>
          </w:p>
        </w:tc>
        <w:tc>
          <w:tcPr>
            <w:tcW w:w="764" w:type="dxa"/>
          </w:tcPr>
          <w:p w14:paraId="4D8714D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231</w:t>
            </w:r>
          </w:p>
        </w:tc>
      </w:tr>
      <w:tr w:rsidR="008D6F13" w14:paraId="086B95C2" w14:textId="77777777" w:rsidTr="0031078F">
        <w:tc>
          <w:tcPr>
            <w:cnfStyle w:val="001000000000" w:firstRow="0" w:lastRow="0" w:firstColumn="1" w:lastColumn="0" w:oddVBand="0" w:evenVBand="0" w:oddHBand="0" w:evenHBand="0" w:firstRowFirstColumn="0" w:firstRowLastColumn="0" w:lastRowFirstColumn="0" w:lastRowLastColumn="0"/>
            <w:tcW w:w="3544" w:type="dxa"/>
          </w:tcPr>
          <w:p w14:paraId="5198729C" w14:textId="77777777" w:rsidR="008D6F13" w:rsidRDefault="008D6F13" w:rsidP="0031078F">
            <w:r>
              <w:t>Actuarial (gains)/losses on the defined benefit obligation, due to:</w:t>
            </w:r>
          </w:p>
        </w:tc>
        <w:tc>
          <w:tcPr>
            <w:tcW w:w="851" w:type="dxa"/>
          </w:tcPr>
          <w:p w14:paraId="607199D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50" w:type="dxa"/>
          </w:tcPr>
          <w:p w14:paraId="0128D9A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51" w:type="dxa"/>
          </w:tcPr>
          <w:p w14:paraId="1731B24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50" w:type="dxa"/>
          </w:tcPr>
          <w:p w14:paraId="68904D5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64" w:type="dxa"/>
          </w:tcPr>
          <w:p w14:paraId="02F4E7C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31368146" w14:textId="77777777" w:rsidTr="0031078F">
        <w:tc>
          <w:tcPr>
            <w:cnfStyle w:val="001000000000" w:firstRow="0" w:lastRow="0" w:firstColumn="1" w:lastColumn="0" w:oddVBand="0" w:evenVBand="0" w:oddHBand="0" w:evenHBand="0" w:firstRowFirstColumn="0" w:firstRowLastColumn="0" w:lastRowFirstColumn="0" w:lastRowLastColumn="0"/>
            <w:tcW w:w="3544" w:type="dxa"/>
          </w:tcPr>
          <w:p w14:paraId="225CE143" w14:textId="77777777" w:rsidR="008D6F13" w:rsidRDefault="008D6F13" w:rsidP="0031078F">
            <w:r>
              <w:t xml:space="preserve">   Changes in financial assumptions</w:t>
            </w:r>
          </w:p>
        </w:tc>
        <w:tc>
          <w:tcPr>
            <w:tcW w:w="851" w:type="dxa"/>
          </w:tcPr>
          <w:p w14:paraId="603A912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41DEB31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(372)</w:t>
            </w:r>
          </w:p>
        </w:tc>
        <w:tc>
          <w:tcPr>
            <w:tcW w:w="851" w:type="dxa"/>
          </w:tcPr>
          <w:p w14:paraId="17891A2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01BDF94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64" w:type="dxa"/>
          </w:tcPr>
          <w:p w14:paraId="7010025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706A8DDE" w14:textId="77777777" w:rsidTr="0031078F">
        <w:tc>
          <w:tcPr>
            <w:cnfStyle w:val="001000000000" w:firstRow="0" w:lastRow="0" w:firstColumn="1" w:lastColumn="0" w:oddVBand="0" w:evenVBand="0" w:oddHBand="0" w:evenHBand="0" w:firstRowFirstColumn="0" w:firstRowLastColumn="0" w:lastRowFirstColumn="0" w:lastRowLastColumn="0"/>
            <w:tcW w:w="3544" w:type="dxa"/>
            <w:tcBorders>
              <w:bottom w:val="single" w:sz="6" w:space="0" w:color="auto"/>
            </w:tcBorders>
          </w:tcPr>
          <w:p w14:paraId="130A37B8" w14:textId="77777777" w:rsidR="008D6F13" w:rsidRDefault="008D6F13" w:rsidP="0031078F">
            <w:r>
              <w:t>Benefits paid</w:t>
            </w:r>
          </w:p>
        </w:tc>
        <w:tc>
          <w:tcPr>
            <w:tcW w:w="851" w:type="dxa"/>
            <w:tcBorders>
              <w:bottom w:val="single" w:sz="6" w:space="0" w:color="auto"/>
            </w:tcBorders>
          </w:tcPr>
          <w:p w14:paraId="0A0846C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(3 098)</w:t>
            </w:r>
          </w:p>
        </w:tc>
        <w:tc>
          <w:tcPr>
            <w:tcW w:w="850" w:type="dxa"/>
            <w:tcBorders>
              <w:bottom w:val="single" w:sz="6" w:space="0" w:color="auto"/>
            </w:tcBorders>
          </w:tcPr>
          <w:p w14:paraId="7A908F0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(3 255)</w:t>
            </w:r>
          </w:p>
        </w:tc>
        <w:tc>
          <w:tcPr>
            <w:tcW w:w="851" w:type="dxa"/>
            <w:tcBorders>
              <w:bottom w:val="single" w:sz="6" w:space="0" w:color="auto"/>
            </w:tcBorders>
          </w:tcPr>
          <w:p w14:paraId="16CB924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(3 176)</w:t>
            </w:r>
          </w:p>
        </w:tc>
        <w:tc>
          <w:tcPr>
            <w:tcW w:w="850" w:type="dxa"/>
            <w:tcBorders>
              <w:bottom w:val="single" w:sz="6" w:space="0" w:color="auto"/>
            </w:tcBorders>
          </w:tcPr>
          <w:p w14:paraId="1AB7712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(3 187)</w:t>
            </w:r>
          </w:p>
        </w:tc>
        <w:tc>
          <w:tcPr>
            <w:tcW w:w="764" w:type="dxa"/>
            <w:tcBorders>
              <w:bottom w:val="single" w:sz="6" w:space="0" w:color="auto"/>
            </w:tcBorders>
          </w:tcPr>
          <w:p w14:paraId="0A7CCA5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(3 205)</w:t>
            </w:r>
          </w:p>
        </w:tc>
      </w:tr>
      <w:tr w:rsidR="008D6F13" w14:paraId="52BEC0A2" w14:textId="77777777" w:rsidTr="0031078F">
        <w:tc>
          <w:tcPr>
            <w:cnfStyle w:val="001000000000" w:firstRow="0" w:lastRow="0" w:firstColumn="1" w:lastColumn="0" w:oddVBand="0" w:evenVBand="0" w:oddHBand="0" w:evenHBand="0" w:firstRowFirstColumn="0" w:firstRowLastColumn="0" w:lastRowFirstColumn="0" w:lastRowLastColumn="0"/>
            <w:tcW w:w="3544" w:type="dxa"/>
          </w:tcPr>
          <w:p w14:paraId="42D174EF" w14:textId="77777777" w:rsidR="008D6F13" w:rsidRDefault="008D6F13" w:rsidP="0031078F">
            <w:r>
              <w:rPr>
                <w:b/>
              </w:rPr>
              <w:t>Closing balance of defined benefit obligation</w:t>
            </w:r>
          </w:p>
        </w:tc>
        <w:tc>
          <w:tcPr>
            <w:tcW w:w="851" w:type="dxa"/>
          </w:tcPr>
          <w:p w14:paraId="787FD54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53 074</w:t>
            </w:r>
          </w:p>
        </w:tc>
        <w:tc>
          <w:tcPr>
            <w:tcW w:w="850" w:type="dxa"/>
          </w:tcPr>
          <w:p w14:paraId="5B25160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52 309</w:t>
            </w:r>
          </w:p>
        </w:tc>
        <w:tc>
          <w:tcPr>
            <w:tcW w:w="851" w:type="dxa"/>
          </w:tcPr>
          <w:p w14:paraId="38CBB8E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51 699</w:t>
            </w:r>
          </w:p>
        </w:tc>
        <w:tc>
          <w:tcPr>
            <w:tcW w:w="850" w:type="dxa"/>
          </w:tcPr>
          <w:p w14:paraId="7A80668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51 190</w:t>
            </w:r>
          </w:p>
        </w:tc>
        <w:tc>
          <w:tcPr>
            <w:tcW w:w="764" w:type="dxa"/>
          </w:tcPr>
          <w:p w14:paraId="2AE949BE" w14:textId="73188CE8"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50 760</w:t>
            </w:r>
          </w:p>
        </w:tc>
      </w:tr>
    </w:tbl>
    <w:p w14:paraId="7AF0F30B" w14:textId="77777777" w:rsidR="008D6F13" w:rsidRPr="007A1818" w:rsidRDefault="008D6F13" w:rsidP="008D6F13"/>
    <w:p w14:paraId="08A8F84B" w14:textId="77777777" w:rsidR="008D6F13" w:rsidRDefault="008D6F13" w:rsidP="008D6F13">
      <w:pPr>
        <w:pStyle w:val="TableHeading"/>
      </w:pPr>
      <w:r w:rsidRPr="00D02438">
        <w:t>Reconciliation of the fair value of superannuation plan assets</w:t>
      </w:r>
      <w:r w:rsidRPr="00D02438">
        <w:tab/>
        <w:t>($ million)</w:t>
      </w:r>
    </w:p>
    <w:tbl>
      <w:tblPr>
        <w:tblStyle w:val="DTFTableNumeric"/>
        <w:tblW w:w="7710" w:type="dxa"/>
        <w:tblLayout w:type="fixed"/>
        <w:tblLook w:val="06A0" w:firstRow="1" w:lastRow="0" w:firstColumn="1" w:lastColumn="0" w:noHBand="1" w:noVBand="1"/>
      </w:tblPr>
      <w:tblGrid>
        <w:gridCol w:w="3544"/>
        <w:gridCol w:w="851"/>
        <w:gridCol w:w="850"/>
        <w:gridCol w:w="851"/>
        <w:gridCol w:w="850"/>
        <w:gridCol w:w="764"/>
      </w:tblGrid>
      <w:tr w:rsidR="008D6F13" w14:paraId="55A31883"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tcBorders>
          </w:tcPr>
          <w:p w14:paraId="5549FC22" w14:textId="29945999" w:rsidR="008D6F13" w:rsidRDefault="008D6F13" w:rsidP="0031078F"/>
        </w:tc>
        <w:tc>
          <w:tcPr>
            <w:tcW w:w="851" w:type="dxa"/>
            <w:tcBorders>
              <w:top w:val="single" w:sz="6" w:space="0" w:color="auto"/>
            </w:tcBorders>
          </w:tcPr>
          <w:p w14:paraId="125A889C"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850" w:type="dxa"/>
            <w:tcBorders>
              <w:top w:val="single" w:sz="6" w:space="0" w:color="auto"/>
            </w:tcBorders>
          </w:tcPr>
          <w:p w14:paraId="36377D7F"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851" w:type="dxa"/>
            <w:tcBorders>
              <w:top w:val="single" w:sz="6" w:space="0" w:color="auto"/>
            </w:tcBorders>
          </w:tcPr>
          <w:p w14:paraId="09D64D27"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850" w:type="dxa"/>
            <w:tcBorders>
              <w:top w:val="single" w:sz="6" w:space="0" w:color="auto"/>
            </w:tcBorders>
          </w:tcPr>
          <w:p w14:paraId="7D5A86BD"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64" w:type="dxa"/>
            <w:tcBorders>
              <w:top w:val="single" w:sz="6" w:space="0" w:color="auto"/>
            </w:tcBorders>
          </w:tcPr>
          <w:p w14:paraId="14EFFBFF"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16B49FC6" w14:textId="77777777" w:rsidTr="0031078F">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tcBorders>
          </w:tcPr>
          <w:p w14:paraId="6CF0403D" w14:textId="77777777" w:rsidR="008D6F13" w:rsidRDefault="008D6F13" w:rsidP="0031078F">
            <w:r>
              <w:rPr>
                <w:b/>
              </w:rPr>
              <w:t>Opening balance of plan assets</w:t>
            </w:r>
          </w:p>
        </w:tc>
        <w:tc>
          <w:tcPr>
            <w:tcW w:w="851" w:type="dxa"/>
            <w:tcBorders>
              <w:top w:val="single" w:sz="6" w:space="0" w:color="auto"/>
            </w:tcBorders>
          </w:tcPr>
          <w:p w14:paraId="57DD5E8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26 222</w:t>
            </w:r>
          </w:p>
        </w:tc>
        <w:tc>
          <w:tcPr>
            <w:tcW w:w="850" w:type="dxa"/>
            <w:tcBorders>
              <w:top w:val="single" w:sz="6" w:space="0" w:color="auto"/>
            </w:tcBorders>
          </w:tcPr>
          <w:p w14:paraId="627FDF9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26 222</w:t>
            </w:r>
          </w:p>
        </w:tc>
        <w:tc>
          <w:tcPr>
            <w:tcW w:w="851" w:type="dxa"/>
            <w:tcBorders>
              <w:top w:val="single" w:sz="6" w:space="0" w:color="auto"/>
            </w:tcBorders>
          </w:tcPr>
          <w:p w14:paraId="5EB29F4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26 563</w:t>
            </w:r>
          </w:p>
        </w:tc>
        <w:tc>
          <w:tcPr>
            <w:tcW w:w="850" w:type="dxa"/>
            <w:tcBorders>
              <w:top w:val="single" w:sz="6" w:space="0" w:color="auto"/>
            </w:tcBorders>
          </w:tcPr>
          <w:p w14:paraId="0595D37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27 050</w:t>
            </w:r>
          </w:p>
        </w:tc>
        <w:tc>
          <w:tcPr>
            <w:tcW w:w="764" w:type="dxa"/>
            <w:tcBorders>
              <w:top w:val="single" w:sz="6" w:space="0" w:color="auto"/>
            </w:tcBorders>
          </w:tcPr>
          <w:p w14:paraId="5FDF5B0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27 644</w:t>
            </w:r>
          </w:p>
        </w:tc>
      </w:tr>
      <w:tr w:rsidR="008D6F13" w14:paraId="671FEFBF" w14:textId="77777777" w:rsidTr="0031078F">
        <w:tc>
          <w:tcPr>
            <w:cnfStyle w:val="001000000000" w:firstRow="0" w:lastRow="0" w:firstColumn="1" w:lastColumn="0" w:oddVBand="0" w:evenVBand="0" w:oddHBand="0" w:evenHBand="0" w:firstRowFirstColumn="0" w:firstRowLastColumn="0" w:lastRowFirstColumn="0" w:lastRowLastColumn="0"/>
            <w:tcW w:w="3544" w:type="dxa"/>
          </w:tcPr>
          <w:p w14:paraId="2A621C30" w14:textId="77777777" w:rsidR="008D6F13" w:rsidRDefault="008D6F13" w:rsidP="0031078F">
            <w:r>
              <w:t>Interest income</w:t>
            </w:r>
          </w:p>
        </w:tc>
        <w:tc>
          <w:tcPr>
            <w:tcW w:w="851" w:type="dxa"/>
          </w:tcPr>
          <w:p w14:paraId="10E02C3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463</w:t>
            </w:r>
          </w:p>
        </w:tc>
        <w:tc>
          <w:tcPr>
            <w:tcW w:w="850" w:type="dxa"/>
          </w:tcPr>
          <w:p w14:paraId="030C039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447</w:t>
            </w:r>
          </w:p>
        </w:tc>
        <w:tc>
          <w:tcPr>
            <w:tcW w:w="851" w:type="dxa"/>
          </w:tcPr>
          <w:p w14:paraId="7EF326C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450</w:t>
            </w:r>
          </w:p>
        </w:tc>
        <w:tc>
          <w:tcPr>
            <w:tcW w:w="850" w:type="dxa"/>
          </w:tcPr>
          <w:p w14:paraId="512469F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459</w:t>
            </w:r>
          </w:p>
        </w:tc>
        <w:tc>
          <w:tcPr>
            <w:tcW w:w="764" w:type="dxa"/>
          </w:tcPr>
          <w:p w14:paraId="7D02952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469</w:t>
            </w:r>
          </w:p>
        </w:tc>
      </w:tr>
      <w:tr w:rsidR="008D6F13" w14:paraId="2BA1DB8B" w14:textId="77777777" w:rsidTr="0031078F">
        <w:tc>
          <w:tcPr>
            <w:cnfStyle w:val="001000000000" w:firstRow="0" w:lastRow="0" w:firstColumn="1" w:lastColumn="0" w:oddVBand="0" w:evenVBand="0" w:oddHBand="0" w:evenHBand="0" w:firstRowFirstColumn="0" w:firstRowLastColumn="0" w:lastRowFirstColumn="0" w:lastRowLastColumn="0"/>
            <w:tcW w:w="3544" w:type="dxa"/>
          </w:tcPr>
          <w:p w14:paraId="4F3D6DCB" w14:textId="77777777" w:rsidR="008D6F13" w:rsidRDefault="008D6F13" w:rsidP="0031078F">
            <w:r>
              <w:t>Return on plan assets not included in interest income</w:t>
            </w:r>
          </w:p>
        </w:tc>
        <w:tc>
          <w:tcPr>
            <w:tcW w:w="851" w:type="dxa"/>
          </w:tcPr>
          <w:p w14:paraId="02A9E4C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1 241</w:t>
            </w:r>
          </w:p>
        </w:tc>
        <w:tc>
          <w:tcPr>
            <w:tcW w:w="850" w:type="dxa"/>
          </w:tcPr>
          <w:p w14:paraId="4ABB876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1 318</w:t>
            </w:r>
          </w:p>
        </w:tc>
        <w:tc>
          <w:tcPr>
            <w:tcW w:w="851" w:type="dxa"/>
          </w:tcPr>
          <w:p w14:paraId="1747639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1 371</w:t>
            </w:r>
          </w:p>
        </w:tc>
        <w:tc>
          <w:tcPr>
            <w:tcW w:w="850" w:type="dxa"/>
          </w:tcPr>
          <w:p w14:paraId="28C3DC5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1 394</w:t>
            </w:r>
          </w:p>
        </w:tc>
        <w:tc>
          <w:tcPr>
            <w:tcW w:w="764" w:type="dxa"/>
          </w:tcPr>
          <w:p w14:paraId="7CE9AD1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1 420</w:t>
            </w:r>
          </w:p>
        </w:tc>
      </w:tr>
      <w:tr w:rsidR="008D6F13" w14:paraId="66CB37B4" w14:textId="77777777" w:rsidTr="0031078F">
        <w:tc>
          <w:tcPr>
            <w:cnfStyle w:val="001000000000" w:firstRow="0" w:lastRow="0" w:firstColumn="1" w:lastColumn="0" w:oddVBand="0" w:evenVBand="0" w:oddHBand="0" w:evenHBand="0" w:firstRowFirstColumn="0" w:firstRowLastColumn="0" w:lastRowFirstColumn="0" w:lastRowLastColumn="0"/>
            <w:tcW w:w="3544" w:type="dxa"/>
          </w:tcPr>
          <w:p w14:paraId="7B701FF6" w14:textId="77777777" w:rsidR="008D6F13" w:rsidRDefault="008D6F13" w:rsidP="0031078F">
            <w:r>
              <w:t>Employer contributions</w:t>
            </w:r>
          </w:p>
        </w:tc>
        <w:tc>
          <w:tcPr>
            <w:tcW w:w="851" w:type="dxa"/>
          </w:tcPr>
          <w:p w14:paraId="1787109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1 592</w:t>
            </w:r>
          </w:p>
        </w:tc>
        <w:tc>
          <w:tcPr>
            <w:tcW w:w="850" w:type="dxa"/>
          </w:tcPr>
          <w:p w14:paraId="33950E6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1 610</w:t>
            </w:r>
          </w:p>
        </w:tc>
        <w:tc>
          <w:tcPr>
            <w:tcW w:w="851" w:type="dxa"/>
          </w:tcPr>
          <w:p w14:paraId="78568E8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1 620</w:t>
            </w:r>
          </w:p>
        </w:tc>
        <w:tc>
          <w:tcPr>
            <w:tcW w:w="850" w:type="dxa"/>
          </w:tcPr>
          <w:p w14:paraId="2BA7070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1 701</w:t>
            </w:r>
          </w:p>
        </w:tc>
        <w:tc>
          <w:tcPr>
            <w:tcW w:w="764" w:type="dxa"/>
          </w:tcPr>
          <w:p w14:paraId="41C612C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1 675</w:t>
            </w:r>
          </w:p>
        </w:tc>
      </w:tr>
      <w:tr w:rsidR="008D6F13" w14:paraId="29994B95" w14:textId="77777777" w:rsidTr="0031078F">
        <w:tc>
          <w:tcPr>
            <w:cnfStyle w:val="001000000000" w:firstRow="0" w:lastRow="0" w:firstColumn="1" w:lastColumn="0" w:oddVBand="0" w:evenVBand="0" w:oddHBand="0" w:evenHBand="0" w:firstRowFirstColumn="0" w:firstRowLastColumn="0" w:lastRowFirstColumn="0" w:lastRowLastColumn="0"/>
            <w:tcW w:w="3544" w:type="dxa"/>
          </w:tcPr>
          <w:p w14:paraId="1D24E54F" w14:textId="77777777" w:rsidR="008D6F13" w:rsidRDefault="008D6F13" w:rsidP="0031078F">
            <w:r>
              <w:t>Contributions by plan participants</w:t>
            </w:r>
          </w:p>
        </w:tc>
        <w:tc>
          <w:tcPr>
            <w:tcW w:w="851" w:type="dxa"/>
          </w:tcPr>
          <w:p w14:paraId="2B7DD74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215</w:t>
            </w:r>
          </w:p>
        </w:tc>
        <w:tc>
          <w:tcPr>
            <w:tcW w:w="850" w:type="dxa"/>
          </w:tcPr>
          <w:p w14:paraId="15B86E8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220</w:t>
            </w:r>
          </w:p>
        </w:tc>
        <w:tc>
          <w:tcPr>
            <w:tcW w:w="851" w:type="dxa"/>
          </w:tcPr>
          <w:p w14:paraId="5F74D93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223</w:t>
            </w:r>
          </w:p>
        </w:tc>
        <w:tc>
          <w:tcPr>
            <w:tcW w:w="850" w:type="dxa"/>
          </w:tcPr>
          <w:p w14:paraId="20BD878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227</w:t>
            </w:r>
          </w:p>
        </w:tc>
        <w:tc>
          <w:tcPr>
            <w:tcW w:w="764" w:type="dxa"/>
          </w:tcPr>
          <w:p w14:paraId="2204B4D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231</w:t>
            </w:r>
          </w:p>
        </w:tc>
      </w:tr>
      <w:tr w:rsidR="008D6F13" w14:paraId="251AEC09" w14:textId="77777777" w:rsidTr="0031078F">
        <w:tc>
          <w:tcPr>
            <w:cnfStyle w:val="001000000000" w:firstRow="0" w:lastRow="0" w:firstColumn="1" w:lastColumn="0" w:oddVBand="0" w:evenVBand="0" w:oddHBand="0" w:evenHBand="0" w:firstRowFirstColumn="0" w:firstRowLastColumn="0" w:lastRowFirstColumn="0" w:lastRowLastColumn="0"/>
            <w:tcW w:w="3544" w:type="dxa"/>
            <w:tcBorders>
              <w:bottom w:val="single" w:sz="6" w:space="0" w:color="auto"/>
            </w:tcBorders>
          </w:tcPr>
          <w:p w14:paraId="78F5598F" w14:textId="77777777" w:rsidR="008D6F13" w:rsidRDefault="008D6F13" w:rsidP="0031078F">
            <w:r>
              <w:t>Benefits paid (including tax paid)</w:t>
            </w:r>
          </w:p>
        </w:tc>
        <w:tc>
          <w:tcPr>
            <w:tcW w:w="851" w:type="dxa"/>
            <w:tcBorders>
              <w:bottom w:val="single" w:sz="6" w:space="0" w:color="auto"/>
            </w:tcBorders>
          </w:tcPr>
          <w:p w14:paraId="7779B94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(3 098)</w:t>
            </w:r>
          </w:p>
        </w:tc>
        <w:tc>
          <w:tcPr>
            <w:tcW w:w="850" w:type="dxa"/>
            <w:tcBorders>
              <w:bottom w:val="single" w:sz="6" w:space="0" w:color="auto"/>
            </w:tcBorders>
          </w:tcPr>
          <w:p w14:paraId="13C511F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(3 255)</w:t>
            </w:r>
          </w:p>
        </w:tc>
        <w:tc>
          <w:tcPr>
            <w:tcW w:w="851" w:type="dxa"/>
            <w:tcBorders>
              <w:bottom w:val="single" w:sz="6" w:space="0" w:color="auto"/>
            </w:tcBorders>
          </w:tcPr>
          <w:p w14:paraId="0A4FD7E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(3 176)</w:t>
            </w:r>
          </w:p>
        </w:tc>
        <w:tc>
          <w:tcPr>
            <w:tcW w:w="850" w:type="dxa"/>
            <w:tcBorders>
              <w:bottom w:val="single" w:sz="6" w:space="0" w:color="auto"/>
            </w:tcBorders>
          </w:tcPr>
          <w:p w14:paraId="3419725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(3 187)</w:t>
            </w:r>
          </w:p>
        </w:tc>
        <w:tc>
          <w:tcPr>
            <w:tcW w:w="764" w:type="dxa"/>
            <w:tcBorders>
              <w:bottom w:val="single" w:sz="6" w:space="0" w:color="auto"/>
            </w:tcBorders>
          </w:tcPr>
          <w:p w14:paraId="4F44FFE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(3 205)</w:t>
            </w:r>
          </w:p>
        </w:tc>
      </w:tr>
      <w:tr w:rsidR="008D6F13" w14:paraId="545BDB8C" w14:textId="77777777" w:rsidTr="0031078F">
        <w:tc>
          <w:tcPr>
            <w:cnfStyle w:val="001000000000" w:firstRow="0" w:lastRow="0" w:firstColumn="1" w:lastColumn="0" w:oddVBand="0" w:evenVBand="0" w:oddHBand="0" w:evenHBand="0" w:firstRowFirstColumn="0" w:firstRowLastColumn="0" w:lastRowFirstColumn="0" w:lastRowLastColumn="0"/>
            <w:tcW w:w="3544" w:type="dxa"/>
          </w:tcPr>
          <w:p w14:paraId="14DDCCF2" w14:textId="77777777" w:rsidR="008D6F13" w:rsidRDefault="008D6F13" w:rsidP="0031078F">
            <w:r>
              <w:rPr>
                <w:b/>
              </w:rPr>
              <w:t>Closing balance of plan assets</w:t>
            </w:r>
          </w:p>
        </w:tc>
        <w:tc>
          <w:tcPr>
            <w:tcW w:w="851" w:type="dxa"/>
          </w:tcPr>
          <w:p w14:paraId="1C0C11D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26 635</w:t>
            </w:r>
          </w:p>
        </w:tc>
        <w:tc>
          <w:tcPr>
            <w:tcW w:w="850" w:type="dxa"/>
          </w:tcPr>
          <w:p w14:paraId="161457B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26 563</w:t>
            </w:r>
          </w:p>
        </w:tc>
        <w:tc>
          <w:tcPr>
            <w:tcW w:w="851" w:type="dxa"/>
          </w:tcPr>
          <w:p w14:paraId="2575EAB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27 050</w:t>
            </w:r>
          </w:p>
        </w:tc>
        <w:tc>
          <w:tcPr>
            <w:tcW w:w="850" w:type="dxa"/>
          </w:tcPr>
          <w:p w14:paraId="37B9284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27 644</w:t>
            </w:r>
          </w:p>
        </w:tc>
        <w:tc>
          <w:tcPr>
            <w:tcW w:w="764" w:type="dxa"/>
          </w:tcPr>
          <w:p w14:paraId="554BB497" w14:textId="3248AFFD"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28 235</w:t>
            </w:r>
          </w:p>
        </w:tc>
      </w:tr>
    </w:tbl>
    <w:p w14:paraId="630269C4" w14:textId="77777777" w:rsidR="008D6F13" w:rsidRDefault="008D6F13" w:rsidP="008D6F13"/>
    <w:p w14:paraId="6EA07139" w14:textId="77777777" w:rsidR="008D6F13" w:rsidRDefault="008D6F13" w:rsidP="008D6F13">
      <w:r>
        <w:t>See Note 4.3.2 for further information on superannuation assumptions.</w:t>
      </w:r>
    </w:p>
    <w:p w14:paraId="1C247C90" w14:textId="77777777" w:rsidR="008D6F13" w:rsidRDefault="008D6F13" w:rsidP="008D6F13"/>
    <w:bookmarkEnd w:id="100"/>
    <w:p w14:paraId="3ECB66AC" w14:textId="77777777" w:rsidR="008D6F13" w:rsidRDefault="008D6F13" w:rsidP="008D6F13"/>
    <w:p w14:paraId="1C2E9D78" w14:textId="77777777" w:rsidR="008D6F13" w:rsidRDefault="008D6F13" w:rsidP="008D6F13">
      <w:pPr>
        <w:sectPr w:rsidR="008D6F13" w:rsidSect="0031078F">
          <w:type w:val="continuous"/>
          <w:pgSz w:w="9979" w:h="14175" w:code="9"/>
          <w:pgMar w:top="1134" w:right="1134" w:bottom="1134" w:left="1134" w:header="624" w:footer="567" w:gutter="0"/>
          <w:cols w:space="708"/>
          <w:titlePg/>
          <w:docGrid w:linePitch="360"/>
        </w:sectPr>
      </w:pPr>
    </w:p>
    <w:p w14:paraId="435BB4EC" w14:textId="77777777" w:rsidR="008D6F13" w:rsidRDefault="008D6F13" w:rsidP="008D6F13">
      <w:pPr>
        <w:pStyle w:val="Heading2"/>
      </w:pPr>
      <w:r w:rsidRPr="00020772">
        <w:lastRenderedPageBreak/>
        <w:t>OTHER DISCLOSURES</w:t>
      </w:r>
    </w:p>
    <w:p w14:paraId="3038A1A5" w14:textId="77777777" w:rsidR="008D6F13" w:rsidRDefault="008D6F13" w:rsidP="008D6F13">
      <w:pPr>
        <w:sectPr w:rsidR="008D6F13" w:rsidSect="0031078F">
          <w:pgSz w:w="9979" w:h="14175" w:code="9"/>
          <w:pgMar w:top="1134" w:right="1134" w:bottom="1134" w:left="1134" w:header="624" w:footer="567" w:gutter="0"/>
          <w:cols w:space="708"/>
          <w:titlePg/>
          <w:docGrid w:linePitch="360"/>
        </w:sectPr>
      </w:pPr>
    </w:p>
    <w:p w14:paraId="079DFD9A" w14:textId="77777777" w:rsidR="008D6F13" w:rsidRPr="00D02438" w:rsidRDefault="008D6F13" w:rsidP="008D6F13">
      <w:pPr>
        <w:pStyle w:val="Heading30"/>
      </w:pPr>
      <w:r w:rsidRPr="00D02438">
        <w:t>Introduction</w:t>
      </w:r>
    </w:p>
    <w:p w14:paraId="5316BB6F" w14:textId="77777777" w:rsidR="008D6F13" w:rsidRPr="00D02438" w:rsidRDefault="008D6F13" w:rsidP="008D6F13">
      <w:r w:rsidRPr="00D02438">
        <w:t>This section includes several additional disclosures that assist the understanding of the Estimated Financial Statements.</w:t>
      </w:r>
    </w:p>
    <w:p w14:paraId="2A217DE6" w14:textId="77777777" w:rsidR="008D6F13" w:rsidRPr="00D02438" w:rsidRDefault="008D6F13" w:rsidP="008D6F13">
      <w:pPr>
        <w:pStyle w:val="Heading30"/>
      </w:pPr>
      <w:r w:rsidRPr="00D02438">
        <w:br w:type="column"/>
      </w:r>
      <w:r w:rsidRPr="00D02438">
        <w:t>Structure</w:t>
      </w:r>
    </w:p>
    <w:p w14:paraId="61E79B99" w14:textId="35C9DA47" w:rsidR="008D6F13" w:rsidRDefault="008D6F13" w:rsidP="008D6F13">
      <w:pPr>
        <w:pStyle w:val="TOC9"/>
        <w:rPr>
          <w:rFonts w:eastAsiaTheme="minorEastAsia"/>
          <w:noProof/>
          <w:spacing w:val="0"/>
          <w:lang w:eastAsia="en-AU"/>
        </w:rPr>
      </w:pPr>
      <w:r w:rsidRPr="00D02438">
        <w:fldChar w:fldCharType="begin"/>
      </w:r>
      <w:r w:rsidRPr="00D02438">
        <w:instrText xml:space="preserve"> TOC \h \z \t "Heading 3 (#),9" \b Section_7 \* MERGEFORMAT </w:instrText>
      </w:r>
      <w:r w:rsidRPr="00D02438">
        <w:fldChar w:fldCharType="separate"/>
      </w:r>
      <w:hyperlink w:anchor="_Toc85802078" w:history="1">
        <w:r w:rsidRPr="00020742">
          <w:rPr>
            <w:rStyle w:val="Hyperlink"/>
            <w:noProof/>
          </w:rPr>
          <w:t>4.7.1</w:t>
        </w:r>
        <w:r>
          <w:rPr>
            <w:rFonts w:eastAsiaTheme="minorEastAsia"/>
            <w:noProof/>
            <w:spacing w:val="0"/>
            <w:lang w:eastAsia="en-AU"/>
          </w:rPr>
          <w:tab/>
        </w:r>
        <w:r w:rsidRPr="00020742">
          <w:rPr>
            <w:rStyle w:val="Hyperlink"/>
            <w:noProof/>
          </w:rPr>
          <w:t>Other gains/(losses) from other economic flows</w:t>
        </w:r>
        <w:r>
          <w:rPr>
            <w:noProof/>
            <w:webHidden/>
          </w:rPr>
          <w:tab/>
        </w:r>
        <w:r>
          <w:rPr>
            <w:noProof/>
            <w:webHidden/>
          </w:rPr>
          <w:fldChar w:fldCharType="begin"/>
        </w:r>
        <w:r>
          <w:rPr>
            <w:noProof/>
            <w:webHidden/>
          </w:rPr>
          <w:instrText xml:space="preserve"> PAGEREF _Toc85802078 \h </w:instrText>
        </w:r>
        <w:r>
          <w:rPr>
            <w:noProof/>
            <w:webHidden/>
          </w:rPr>
        </w:r>
        <w:r>
          <w:rPr>
            <w:noProof/>
            <w:webHidden/>
          </w:rPr>
          <w:fldChar w:fldCharType="separate"/>
        </w:r>
        <w:r w:rsidR="00104E8F">
          <w:rPr>
            <w:noProof/>
            <w:webHidden/>
          </w:rPr>
          <w:t>82</w:t>
        </w:r>
        <w:r>
          <w:rPr>
            <w:noProof/>
            <w:webHidden/>
          </w:rPr>
          <w:fldChar w:fldCharType="end"/>
        </w:r>
      </w:hyperlink>
    </w:p>
    <w:p w14:paraId="0D491B85" w14:textId="52D8577E" w:rsidR="008D6F13" w:rsidRDefault="005D5407" w:rsidP="008D6F13">
      <w:pPr>
        <w:pStyle w:val="TOC9"/>
        <w:rPr>
          <w:rFonts w:eastAsiaTheme="minorEastAsia"/>
          <w:noProof/>
          <w:spacing w:val="0"/>
          <w:lang w:eastAsia="en-AU"/>
        </w:rPr>
      </w:pPr>
      <w:hyperlink w:anchor="_Toc85802079" w:history="1">
        <w:r w:rsidR="008D6F13" w:rsidRPr="00020742">
          <w:rPr>
            <w:rStyle w:val="Hyperlink"/>
            <w:noProof/>
          </w:rPr>
          <w:t>4.7.2</w:t>
        </w:r>
        <w:r w:rsidR="008D6F13">
          <w:rPr>
            <w:rFonts w:eastAsiaTheme="minorEastAsia"/>
            <w:noProof/>
            <w:spacing w:val="0"/>
            <w:lang w:eastAsia="en-AU"/>
          </w:rPr>
          <w:tab/>
        </w:r>
        <w:r w:rsidR="008D6F13" w:rsidRPr="00020742">
          <w:rPr>
            <w:rStyle w:val="Hyperlink"/>
            <w:noProof/>
          </w:rPr>
          <w:t>Reconciliation to Government Finance Statistics and Australian Accounting Standards</w:t>
        </w:r>
        <w:r w:rsidR="008D6F13">
          <w:rPr>
            <w:noProof/>
            <w:webHidden/>
          </w:rPr>
          <w:tab/>
        </w:r>
        <w:r w:rsidR="008D6F13">
          <w:rPr>
            <w:noProof/>
            <w:webHidden/>
          </w:rPr>
          <w:fldChar w:fldCharType="begin"/>
        </w:r>
        <w:r w:rsidR="008D6F13">
          <w:rPr>
            <w:noProof/>
            <w:webHidden/>
          </w:rPr>
          <w:instrText xml:space="preserve"> PAGEREF _Toc85802079 \h </w:instrText>
        </w:r>
        <w:r w:rsidR="008D6F13">
          <w:rPr>
            <w:noProof/>
            <w:webHidden/>
          </w:rPr>
        </w:r>
        <w:r w:rsidR="008D6F13">
          <w:rPr>
            <w:noProof/>
            <w:webHidden/>
          </w:rPr>
          <w:fldChar w:fldCharType="separate"/>
        </w:r>
        <w:r w:rsidR="00104E8F">
          <w:rPr>
            <w:noProof/>
            <w:webHidden/>
          </w:rPr>
          <w:t>83</w:t>
        </w:r>
        <w:r w:rsidR="008D6F13">
          <w:rPr>
            <w:noProof/>
            <w:webHidden/>
          </w:rPr>
          <w:fldChar w:fldCharType="end"/>
        </w:r>
      </w:hyperlink>
    </w:p>
    <w:p w14:paraId="48B1761D" w14:textId="5B75B4D3" w:rsidR="008D6F13" w:rsidRDefault="005D5407" w:rsidP="008D6F13">
      <w:pPr>
        <w:pStyle w:val="TOC9"/>
        <w:rPr>
          <w:rFonts w:eastAsiaTheme="minorEastAsia"/>
          <w:noProof/>
          <w:spacing w:val="0"/>
          <w:lang w:eastAsia="en-AU"/>
        </w:rPr>
      </w:pPr>
      <w:hyperlink w:anchor="_Toc85802080" w:history="1">
        <w:r w:rsidR="008D6F13" w:rsidRPr="00020742">
          <w:rPr>
            <w:rStyle w:val="Hyperlink"/>
            <w:noProof/>
          </w:rPr>
          <w:t>4.7.3</w:t>
        </w:r>
        <w:r w:rsidR="008D6F13">
          <w:rPr>
            <w:rFonts w:eastAsiaTheme="minorEastAsia"/>
            <w:noProof/>
            <w:spacing w:val="0"/>
            <w:lang w:eastAsia="en-AU"/>
          </w:rPr>
          <w:tab/>
        </w:r>
        <w:r w:rsidR="008D6F13" w:rsidRPr="00020742">
          <w:rPr>
            <w:rStyle w:val="Hyperlink"/>
            <w:noProof/>
          </w:rPr>
          <w:t xml:space="preserve">Prospective accounting and </w:t>
        </w:r>
        <w:r w:rsidR="008D6F13">
          <w:rPr>
            <w:rStyle w:val="Hyperlink"/>
            <w:noProof/>
          </w:rPr>
          <w:br/>
        </w:r>
        <w:r w:rsidR="008D6F13" w:rsidRPr="00020742">
          <w:rPr>
            <w:rStyle w:val="Hyperlink"/>
            <w:noProof/>
          </w:rPr>
          <w:t>reporting changes</w:t>
        </w:r>
        <w:r w:rsidR="008D6F13">
          <w:rPr>
            <w:noProof/>
            <w:webHidden/>
          </w:rPr>
          <w:tab/>
        </w:r>
        <w:r w:rsidR="008D6F13">
          <w:rPr>
            <w:noProof/>
            <w:webHidden/>
          </w:rPr>
          <w:fldChar w:fldCharType="begin"/>
        </w:r>
        <w:r w:rsidR="008D6F13">
          <w:rPr>
            <w:noProof/>
            <w:webHidden/>
          </w:rPr>
          <w:instrText xml:space="preserve"> PAGEREF _Toc85802080 \h </w:instrText>
        </w:r>
        <w:r w:rsidR="008D6F13">
          <w:rPr>
            <w:noProof/>
            <w:webHidden/>
          </w:rPr>
        </w:r>
        <w:r w:rsidR="008D6F13">
          <w:rPr>
            <w:noProof/>
            <w:webHidden/>
          </w:rPr>
          <w:fldChar w:fldCharType="separate"/>
        </w:r>
        <w:r w:rsidR="00104E8F">
          <w:rPr>
            <w:noProof/>
            <w:webHidden/>
          </w:rPr>
          <w:t>86</w:t>
        </w:r>
        <w:r w:rsidR="008D6F13">
          <w:rPr>
            <w:noProof/>
            <w:webHidden/>
          </w:rPr>
          <w:fldChar w:fldCharType="end"/>
        </w:r>
      </w:hyperlink>
    </w:p>
    <w:p w14:paraId="5B0D043C" w14:textId="147FA9CB" w:rsidR="008D6F13" w:rsidRDefault="005D5407" w:rsidP="008D6F13">
      <w:pPr>
        <w:pStyle w:val="TOC9"/>
        <w:rPr>
          <w:rFonts w:eastAsiaTheme="minorEastAsia"/>
          <w:noProof/>
          <w:spacing w:val="0"/>
          <w:lang w:eastAsia="en-AU"/>
        </w:rPr>
      </w:pPr>
      <w:hyperlink w:anchor="_Toc85802081" w:history="1">
        <w:r w:rsidR="008D6F13" w:rsidRPr="00020742">
          <w:rPr>
            <w:rStyle w:val="Hyperlink"/>
            <w:noProof/>
          </w:rPr>
          <w:t>4.7.4</w:t>
        </w:r>
        <w:r w:rsidR="008D6F13">
          <w:rPr>
            <w:rFonts w:eastAsiaTheme="minorEastAsia"/>
            <w:noProof/>
            <w:spacing w:val="0"/>
            <w:lang w:eastAsia="en-AU"/>
          </w:rPr>
          <w:tab/>
        </w:r>
        <w:r w:rsidR="008D6F13" w:rsidRPr="00020742">
          <w:rPr>
            <w:rStyle w:val="Hyperlink"/>
            <w:noProof/>
          </w:rPr>
          <w:t>Controlled entities</w:t>
        </w:r>
        <w:r w:rsidR="008D6F13">
          <w:rPr>
            <w:noProof/>
            <w:webHidden/>
          </w:rPr>
          <w:tab/>
        </w:r>
        <w:r w:rsidR="008D6F13">
          <w:rPr>
            <w:noProof/>
            <w:webHidden/>
          </w:rPr>
          <w:fldChar w:fldCharType="begin"/>
        </w:r>
        <w:r w:rsidR="008D6F13">
          <w:rPr>
            <w:noProof/>
            <w:webHidden/>
          </w:rPr>
          <w:instrText xml:space="preserve"> PAGEREF _Toc85802081 \h </w:instrText>
        </w:r>
        <w:r w:rsidR="008D6F13">
          <w:rPr>
            <w:noProof/>
            <w:webHidden/>
          </w:rPr>
        </w:r>
        <w:r w:rsidR="008D6F13">
          <w:rPr>
            <w:noProof/>
            <w:webHidden/>
          </w:rPr>
          <w:fldChar w:fldCharType="separate"/>
        </w:r>
        <w:r w:rsidR="00104E8F">
          <w:rPr>
            <w:noProof/>
            <w:webHidden/>
          </w:rPr>
          <w:t>87</w:t>
        </w:r>
        <w:r w:rsidR="008D6F13">
          <w:rPr>
            <w:noProof/>
            <w:webHidden/>
          </w:rPr>
          <w:fldChar w:fldCharType="end"/>
        </w:r>
      </w:hyperlink>
    </w:p>
    <w:p w14:paraId="1D685980" w14:textId="77777777" w:rsidR="008D6F13" w:rsidRDefault="008D6F13" w:rsidP="008D6F13">
      <w:pPr>
        <w:sectPr w:rsidR="008D6F13" w:rsidSect="0031078F">
          <w:type w:val="continuous"/>
          <w:pgSz w:w="9979" w:h="14175" w:code="9"/>
          <w:pgMar w:top="1134" w:right="1134" w:bottom="1134" w:left="1134" w:header="624" w:footer="567" w:gutter="0"/>
          <w:cols w:num="2" w:space="708"/>
          <w:titlePg/>
          <w:docGrid w:linePitch="360"/>
        </w:sectPr>
      </w:pPr>
      <w:r w:rsidRPr="00D02438">
        <w:fldChar w:fldCharType="end"/>
      </w:r>
    </w:p>
    <w:p w14:paraId="473E45F6" w14:textId="77777777" w:rsidR="008D6F13" w:rsidRPr="000C7F14" w:rsidRDefault="008D6F13" w:rsidP="008D6F13">
      <w:pPr>
        <w:pStyle w:val="Heading3"/>
        <w:spacing w:after="60"/>
        <w:rPr>
          <w:sz w:val="20"/>
          <w:szCs w:val="20"/>
        </w:rPr>
      </w:pPr>
      <w:bookmarkStart w:id="103" w:name="_Toc85802078"/>
      <w:bookmarkStart w:id="104" w:name="Section_7"/>
      <w:r w:rsidRPr="000070F7">
        <w:rPr>
          <w:sz w:val="20"/>
          <w:szCs w:val="20"/>
        </w:rPr>
        <w:t>Other gains/(losses) from other economic flows</w:t>
      </w:r>
      <w:r w:rsidRPr="000070F7">
        <w:rPr>
          <w:sz w:val="20"/>
          <w:szCs w:val="20"/>
        </w:rPr>
        <w:tab/>
        <w:t>($ million)</w:t>
      </w:r>
      <w:bookmarkEnd w:id="103"/>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7E87586C"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3B0ECCA1" w14:textId="75365977" w:rsidR="008D6F13" w:rsidRDefault="008D6F13" w:rsidP="0031078F"/>
        </w:tc>
        <w:tc>
          <w:tcPr>
            <w:tcW w:w="794" w:type="dxa"/>
          </w:tcPr>
          <w:p w14:paraId="41CD034C"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71044709"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4C260899"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6A24B7D0"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1DAC856D"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20FD91A9"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9581F6C" w14:textId="77777777" w:rsidR="008D6F13" w:rsidRDefault="008D6F13" w:rsidP="0031078F">
            <w:r>
              <w:t>Net (increase)/decrease in allowances for credit losses</w:t>
            </w:r>
          </w:p>
        </w:tc>
        <w:tc>
          <w:tcPr>
            <w:tcW w:w="794" w:type="dxa"/>
          </w:tcPr>
          <w:p w14:paraId="34BA333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(149)</w:t>
            </w:r>
          </w:p>
        </w:tc>
        <w:tc>
          <w:tcPr>
            <w:tcW w:w="794" w:type="dxa"/>
          </w:tcPr>
          <w:p w14:paraId="664AF18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w:t>
            </w:r>
          </w:p>
        </w:tc>
        <w:tc>
          <w:tcPr>
            <w:tcW w:w="794" w:type="dxa"/>
          </w:tcPr>
          <w:p w14:paraId="641FFB1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60</w:t>
            </w:r>
          </w:p>
        </w:tc>
        <w:tc>
          <w:tcPr>
            <w:tcW w:w="794" w:type="dxa"/>
          </w:tcPr>
          <w:p w14:paraId="39F08CA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(142)</w:t>
            </w:r>
          </w:p>
        </w:tc>
        <w:tc>
          <w:tcPr>
            <w:tcW w:w="794" w:type="dxa"/>
          </w:tcPr>
          <w:p w14:paraId="5C50C0B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(59)</w:t>
            </w:r>
          </w:p>
        </w:tc>
      </w:tr>
      <w:tr w:rsidR="008D6F13" w14:paraId="13F01AA5"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AC9B2D2" w14:textId="77777777" w:rsidR="008D6F13" w:rsidRDefault="008D6F13" w:rsidP="0031078F">
            <w:r>
              <w:t>Amortisation of intangible non</w:t>
            </w:r>
            <w:r>
              <w:noBreakHyphen/>
              <w:t>produced assets</w:t>
            </w:r>
          </w:p>
        </w:tc>
        <w:tc>
          <w:tcPr>
            <w:tcW w:w="794" w:type="dxa"/>
          </w:tcPr>
          <w:p w14:paraId="66DE057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w:t>
            </w:r>
          </w:p>
        </w:tc>
        <w:tc>
          <w:tcPr>
            <w:tcW w:w="794" w:type="dxa"/>
          </w:tcPr>
          <w:p w14:paraId="6E859F7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w:t>
            </w:r>
          </w:p>
        </w:tc>
        <w:tc>
          <w:tcPr>
            <w:tcW w:w="794" w:type="dxa"/>
          </w:tcPr>
          <w:p w14:paraId="1744941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w:t>
            </w:r>
          </w:p>
        </w:tc>
        <w:tc>
          <w:tcPr>
            <w:tcW w:w="794" w:type="dxa"/>
          </w:tcPr>
          <w:p w14:paraId="3CF319B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w:t>
            </w:r>
          </w:p>
        </w:tc>
        <w:tc>
          <w:tcPr>
            <w:tcW w:w="794" w:type="dxa"/>
          </w:tcPr>
          <w:p w14:paraId="552F558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w:t>
            </w:r>
          </w:p>
        </w:tc>
      </w:tr>
      <w:tr w:rsidR="008D6F13" w14:paraId="150E5930"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D3AEB2D" w14:textId="77777777" w:rsidR="008D6F13" w:rsidRDefault="008D6F13" w:rsidP="0031078F">
            <w:r>
              <w:t>Bad debts written off</w:t>
            </w:r>
          </w:p>
        </w:tc>
        <w:tc>
          <w:tcPr>
            <w:tcW w:w="794" w:type="dxa"/>
          </w:tcPr>
          <w:p w14:paraId="585D293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(353)</w:t>
            </w:r>
          </w:p>
        </w:tc>
        <w:tc>
          <w:tcPr>
            <w:tcW w:w="794" w:type="dxa"/>
          </w:tcPr>
          <w:p w14:paraId="0903E7C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(353)</w:t>
            </w:r>
          </w:p>
        </w:tc>
        <w:tc>
          <w:tcPr>
            <w:tcW w:w="794" w:type="dxa"/>
          </w:tcPr>
          <w:p w14:paraId="75E0406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(526)</w:t>
            </w:r>
          </w:p>
        </w:tc>
        <w:tc>
          <w:tcPr>
            <w:tcW w:w="794" w:type="dxa"/>
          </w:tcPr>
          <w:p w14:paraId="371340E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(316)</w:t>
            </w:r>
          </w:p>
        </w:tc>
        <w:tc>
          <w:tcPr>
            <w:tcW w:w="794" w:type="dxa"/>
          </w:tcPr>
          <w:p w14:paraId="78ACB7A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(367)</w:t>
            </w:r>
          </w:p>
        </w:tc>
      </w:tr>
      <w:tr w:rsidR="008D6F13" w14:paraId="01C12CA9"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62803FE8" w14:textId="77777777" w:rsidR="008D6F13" w:rsidRDefault="008D6F13" w:rsidP="0031078F">
            <w:r>
              <w:t>Other gains/(losses)</w:t>
            </w:r>
          </w:p>
        </w:tc>
        <w:tc>
          <w:tcPr>
            <w:tcW w:w="794" w:type="dxa"/>
            <w:tcBorders>
              <w:bottom w:val="single" w:sz="6" w:space="0" w:color="auto"/>
            </w:tcBorders>
          </w:tcPr>
          <w:p w14:paraId="6D208D5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w:t>
            </w:r>
          </w:p>
        </w:tc>
        <w:tc>
          <w:tcPr>
            <w:tcW w:w="794" w:type="dxa"/>
            <w:tcBorders>
              <w:bottom w:val="single" w:sz="6" w:space="0" w:color="auto"/>
            </w:tcBorders>
          </w:tcPr>
          <w:p w14:paraId="14DADED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w:t>
            </w:r>
          </w:p>
        </w:tc>
        <w:tc>
          <w:tcPr>
            <w:tcW w:w="794" w:type="dxa"/>
            <w:tcBorders>
              <w:bottom w:val="single" w:sz="6" w:space="0" w:color="auto"/>
            </w:tcBorders>
          </w:tcPr>
          <w:p w14:paraId="2BA43D7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(40)</w:t>
            </w:r>
          </w:p>
        </w:tc>
        <w:tc>
          <w:tcPr>
            <w:tcW w:w="794" w:type="dxa"/>
            <w:tcBorders>
              <w:bottom w:val="single" w:sz="6" w:space="0" w:color="auto"/>
            </w:tcBorders>
          </w:tcPr>
          <w:p w14:paraId="56D6EA2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w:t>
            </w:r>
          </w:p>
        </w:tc>
        <w:tc>
          <w:tcPr>
            <w:tcW w:w="794" w:type="dxa"/>
            <w:tcBorders>
              <w:bottom w:val="single" w:sz="6" w:space="0" w:color="auto"/>
            </w:tcBorders>
          </w:tcPr>
          <w:p w14:paraId="0DE0BD0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w:t>
            </w:r>
          </w:p>
        </w:tc>
      </w:tr>
      <w:tr w:rsidR="008D6F13" w14:paraId="3C5171E5"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ADB04D1" w14:textId="77777777" w:rsidR="008D6F13" w:rsidRDefault="008D6F13" w:rsidP="0031078F">
            <w:r>
              <w:rPr>
                <w:b/>
              </w:rPr>
              <w:t>Total other gains/(losses) from other economic flows</w:t>
            </w:r>
          </w:p>
        </w:tc>
        <w:tc>
          <w:tcPr>
            <w:tcW w:w="794" w:type="dxa"/>
          </w:tcPr>
          <w:p w14:paraId="6F54B35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(521)</w:t>
            </w:r>
          </w:p>
        </w:tc>
        <w:tc>
          <w:tcPr>
            <w:tcW w:w="794" w:type="dxa"/>
          </w:tcPr>
          <w:p w14:paraId="1F70493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(396)</w:t>
            </w:r>
          </w:p>
        </w:tc>
        <w:tc>
          <w:tcPr>
            <w:tcW w:w="794" w:type="dxa"/>
          </w:tcPr>
          <w:p w14:paraId="31B4FF7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(513)</w:t>
            </w:r>
          </w:p>
        </w:tc>
        <w:tc>
          <w:tcPr>
            <w:tcW w:w="794" w:type="dxa"/>
          </w:tcPr>
          <w:p w14:paraId="07B9858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(489)</w:t>
            </w:r>
          </w:p>
        </w:tc>
        <w:tc>
          <w:tcPr>
            <w:tcW w:w="794" w:type="dxa"/>
          </w:tcPr>
          <w:p w14:paraId="7345155C" w14:textId="076CD50F"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(444)</w:t>
            </w:r>
          </w:p>
        </w:tc>
      </w:tr>
    </w:tbl>
    <w:p w14:paraId="1B8B2141" w14:textId="77777777" w:rsidR="008D6F13" w:rsidRDefault="008D6F13" w:rsidP="008D6F13"/>
    <w:p w14:paraId="438783E5" w14:textId="77777777" w:rsidR="008D6F13" w:rsidRPr="00F84EE1" w:rsidRDefault="008D6F13" w:rsidP="008D6F13">
      <w:pPr>
        <w:pStyle w:val="Heading3"/>
        <w:pageBreakBefore/>
      </w:pPr>
      <w:bookmarkStart w:id="105" w:name="_Toc496606683"/>
      <w:bookmarkStart w:id="106" w:name="_Toc85802079"/>
      <w:r w:rsidRPr="00F84EE1">
        <w:lastRenderedPageBreak/>
        <w:t>Reconciliation to Government Finance Statistics and Australian Accounting Standards</w:t>
      </w:r>
      <w:bookmarkEnd w:id="105"/>
      <w:bookmarkEnd w:id="106"/>
    </w:p>
    <w:p w14:paraId="40DBB465" w14:textId="77777777" w:rsidR="008D6F13" w:rsidRDefault="008D6F13" w:rsidP="008D6F13">
      <w:r w:rsidRPr="00563C12">
        <w:t xml:space="preserve">This financial report has been prepared </w:t>
      </w:r>
      <w:proofErr w:type="gramStart"/>
      <w:r w:rsidRPr="00563C12">
        <w:t>on the basis of</w:t>
      </w:r>
      <w:proofErr w:type="gramEnd"/>
      <w:r w:rsidRPr="00563C12">
        <w:t xml:space="preserve"> relevant Australian Accounting Standards (AAS). This note outlines the key </w:t>
      </w:r>
      <w:proofErr w:type="spellStart"/>
      <w:r w:rsidRPr="00563C12">
        <w:t>unconverged</w:t>
      </w:r>
      <w:proofErr w:type="spellEnd"/>
      <w:r w:rsidRPr="00563C12">
        <w:t xml:space="preserve"> differences between the AAS and GFS reporting frameworks, to explain the relationship between the balances and aggregates presented in this financial report and the related balances and aggregates presented under the Government Finance Statistics (GFS) reporting framework. </w:t>
      </w:r>
    </w:p>
    <w:p w14:paraId="47A4561E" w14:textId="77777777" w:rsidR="008D6F13" w:rsidRDefault="008D6F13" w:rsidP="008D6F13">
      <w:r>
        <w:t>GFS information enables policymakers and analysts to study developments in the financial operations, financial position and liquidity situation of governments based on consistent economic reporting rules and definitions.</w:t>
      </w:r>
    </w:p>
    <w:p w14:paraId="0688850F" w14:textId="77777777" w:rsidR="008D6F13" w:rsidRDefault="008D6F13" w:rsidP="008D6F13">
      <w:r>
        <w:t xml:space="preserve">AASB 1049 provides optional relief from the disclosure of reconciliations of key fiscal aggregates measured in accordance with the GFS where they differ from the key fiscal aggregates provided pursuant to this accounting standard. </w:t>
      </w:r>
    </w:p>
    <w:p w14:paraId="3E6540DA" w14:textId="77777777" w:rsidR="008D6F13" w:rsidRDefault="008D6F13" w:rsidP="008D6F13">
      <w:r>
        <w:t xml:space="preserve">The State has adopted the optional relief, which requires an explanation of how each of the key fiscal aggregates required by AASB 1049 are calculated and how it differs from the corresponding key fiscal aggregate measured in accordance with the ABS GFS. </w:t>
      </w:r>
    </w:p>
    <w:p w14:paraId="4D75D212" w14:textId="77777777" w:rsidR="008D6F13" w:rsidRDefault="008D6F13" w:rsidP="008D6F13">
      <w:r>
        <w:t>The key fiscal aggregates below, as defined by AASB 1049, have convergence differences with the GFS:</w:t>
      </w:r>
    </w:p>
    <w:p w14:paraId="3C08E570" w14:textId="77777777" w:rsidR="008D6F13" w:rsidRDefault="008D6F13" w:rsidP="008D6F13">
      <w:pPr>
        <w:pStyle w:val="ListBullet"/>
      </w:pPr>
      <w:r w:rsidRPr="000070F7">
        <w:rPr>
          <w:b/>
          <w:bCs/>
        </w:rPr>
        <w:t>Cash surplus/deficit</w:t>
      </w:r>
      <w:r>
        <w:t xml:space="preserve"> represents the net cash flows from operating activities plus the net cash flows from investments in non-financial assets (less dividends paid for the PNFC and PFC sectors).</w:t>
      </w:r>
    </w:p>
    <w:p w14:paraId="3C56DEEB" w14:textId="77777777" w:rsidR="008D6F13" w:rsidRDefault="008D6F13" w:rsidP="008D6F13">
      <w:pPr>
        <w:pStyle w:val="ListBullet"/>
      </w:pPr>
      <w:r w:rsidRPr="000070F7">
        <w:rPr>
          <w:b/>
          <w:bCs/>
        </w:rPr>
        <w:t>Comprehensive result – total change in net worth</w:t>
      </w:r>
      <w:r>
        <w:t xml:space="preserve"> is the amount included in the operating statement representing the total change in net worth other than transactions with owners as owners.</w:t>
      </w:r>
    </w:p>
    <w:p w14:paraId="6BB2A00E" w14:textId="77777777" w:rsidR="008D6F13" w:rsidRDefault="008D6F13" w:rsidP="008D6F13">
      <w:pPr>
        <w:pStyle w:val="ListBullet"/>
      </w:pPr>
      <w:r w:rsidRPr="000070F7">
        <w:rPr>
          <w:b/>
          <w:bCs/>
        </w:rPr>
        <w:t>Net lending/borrowing</w:t>
      </w:r>
      <w:r>
        <w:t xml:space="preserve"> is the financing requirement of government, calculated as the net operating balance less the net acquisition of non-financial assets. A positive result reflects a net lending </w:t>
      </w:r>
      <w:proofErr w:type="gramStart"/>
      <w:r>
        <w:t>position</w:t>
      </w:r>
      <w:proofErr w:type="gramEnd"/>
      <w:r>
        <w:t xml:space="preserve"> and a negative result reflects a net borrowing position.</w:t>
      </w:r>
    </w:p>
    <w:p w14:paraId="3EB32C40" w14:textId="77777777" w:rsidR="008D6F13" w:rsidRDefault="008D6F13" w:rsidP="008D6F13">
      <w:pPr>
        <w:pStyle w:val="ListBullet"/>
      </w:pPr>
      <w:r w:rsidRPr="000070F7">
        <w:rPr>
          <w:b/>
          <w:bCs/>
        </w:rPr>
        <w:t>Net result from transactions – net operating balance</w:t>
      </w:r>
      <w:r>
        <w:t xml:space="preserve">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7AB57421" w14:textId="77777777" w:rsidR="008D6F13" w:rsidRDefault="008D6F13" w:rsidP="008D6F13">
      <w:pPr>
        <w:pStyle w:val="ListBullet"/>
      </w:pPr>
      <w:r w:rsidRPr="000070F7">
        <w:rPr>
          <w:b/>
          <w:bCs/>
        </w:rPr>
        <w:t>Net worth</w:t>
      </w:r>
      <w:r>
        <w:t xml:space="preserve"> is calculated as assets less liabilities, which is an economic measure of wealth.</w:t>
      </w:r>
    </w:p>
    <w:p w14:paraId="1E3510E0" w14:textId="77777777" w:rsidR="008D6F13" w:rsidRDefault="008D6F13" w:rsidP="008D6F13"/>
    <w:p w14:paraId="74D510A7" w14:textId="77777777" w:rsidR="008D6F13" w:rsidRDefault="008D6F13" w:rsidP="008D6F13">
      <w:pPr>
        <w:pageBreakBefore/>
        <w:spacing w:after="120"/>
      </w:pPr>
      <w:r>
        <w:lastRenderedPageBreak/>
        <w:t>The convergence differences between AASB 1049 and the GFS and their expected impacts applying GFS methodology are outlined in the following table.</w:t>
      </w:r>
    </w:p>
    <w:tbl>
      <w:tblPr>
        <w:tblStyle w:val="DTFTableText"/>
        <w:tblW w:w="0" w:type="auto"/>
        <w:tblLook w:val="06A0" w:firstRow="1" w:lastRow="0" w:firstColumn="1" w:lastColumn="0" w:noHBand="1" w:noVBand="1"/>
      </w:tblPr>
      <w:tblGrid>
        <w:gridCol w:w="1560"/>
        <w:gridCol w:w="2126"/>
        <w:gridCol w:w="2028"/>
        <w:gridCol w:w="1997"/>
      </w:tblGrid>
      <w:tr w:rsidR="008D6F13" w:rsidRPr="00295561" w14:paraId="38565878" w14:textId="77777777" w:rsidTr="0031078F">
        <w:trPr>
          <w:cnfStyle w:val="100000000000" w:firstRow="1" w:lastRow="0" w:firstColumn="0" w:lastColumn="0" w:oddVBand="0" w:evenVBand="0" w:oddHBand="0" w:evenHBand="0" w:firstRowFirstColumn="0" w:firstRowLastColumn="0" w:lastRowFirstColumn="0" w:lastRowLastColumn="0"/>
          <w:tblHeader/>
        </w:trPr>
        <w:tc>
          <w:tcPr>
            <w:tcW w:w="1560" w:type="dxa"/>
          </w:tcPr>
          <w:p w14:paraId="2CECC81C" w14:textId="77777777" w:rsidR="008D6F13" w:rsidRPr="00295561" w:rsidRDefault="008D6F13" w:rsidP="0031078F">
            <w:pPr>
              <w:autoSpaceDE w:val="0"/>
              <w:autoSpaceDN w:val="0"/>
              <w:adjustRightInd w:val="0"/>
              <w:spacing w:before="40" w:after="40"/>
              <w:rPr>
                <w:rFonts w:eastAsiaTheme="minorEastAsia" w:cs="Calibri"/>
                <w:iCs/>
                <w:szCs w:val="17"/>
                <w:lang w:eastAsia="en-AU"/>
              </w:rPr>
            </w:pPr>
            <w:r w:rsidRPr="00295561">
              <w:rPr>
                <w:rFonts w:eastAsiaTheme="minorEastAsia" w:cs="Calibri"/>
                <w:iCs/>
                <w:szCs w:val="17"/>
                <w:lang w:eastAsia="en-AU"/>
              </w:rPr>
              <w:t>Convergence difference</w:t>
            </w:r>
          </w:p>
        </w:tc>
        <w:tc>
          <w:tcPr>
            <w:tcW w:w="2126" w:type="dxa"/>
            <w:vAlign w:val="bottom"/>
          </w:tcPr>
          <w:p w14:paraId="12C5B450" w14:textId="77777777" w:rsidR="008D6F13" w:rsidRPr="00295561" w:rsidRDefault="008D6F13" w:rsidP="0031078F">
            <w:pPr>
              <w:autoSpaceDE w:val="0"/>
              <w:autoSpaceDN w:val="0"/>
              <w:adjustRightInd w:val="0"/>
              <w:spacing w:before="40" w:after="40"/>
              <w:rPr>
                <w:rFonts w:eastAsiaTheme="minorEastAsia" w:cs="Calibri"/>
                <w:iCs/>
                <w:szCs w:val="17"/>
                <w:lang w:eastAsia="en-AU"/>
              </w:rPr>
            </w:pPr>
            <w:r w:rsidRPr="00295561">
              <w:rPr>
                <w:rFonts w:eastAsiaTheme="minorEastAsia" w:cs="Calibri"/>
                <w:iCs/>
                <w:szCs w:val="17"/>
                <w:lang w:eastAsia="en-AU"/>
              </w:rPr>
              <w:t xml:space="preserve">AASB 1049 </w:t>
            </w:r>
            <w:r>
              <w:rPr>
                <w:rFonts w:eastAsiaTheme="minorEastAsia" w:cs="Calibri"/>
                <w:iCs/>
                <w:szCs w:val="17"/>
                <w:lang w:eastAsia="en-AU"/>
              </w:rPr>
              <w:t>t</w:t>
            </w:r>
            <w:r w:rsidRPr="00295561">
              <w:rPr>
                <w:rFonts w:eastAsiaTheme="minorEastAsia" w:cs="Calibri"/>
                <w:iCs/>
                <w:szCs w:val="17"/>
                <w:lang w:eastAsia="en-AU"/>
              </w:rPr>
              <w:t>reatment</w:t>
            </w:r>
          </w:p>
        </w:tc>
        <w:tc>
          <w:tcPr>
            <w:tcW w:w="2028" w:type="dxa"/>
            <w:vAlign w:val="bottom"/>
          </w:tcPr>
          <w:p w14:paraId="45A3283F" w14:textId="77777777" w:rsidR="008D6F13" w:rsidRPr="00295561" w:rsidRDefault="008D6F13" w:rsidP="0031078F">
            <w:pPr>
              <w:autoSpaceDE w:val="0"/>
              <w:autoSpaceDN w:val="0"/>
              <w:adjustRightInd w:val="0"/>
              <w:spacing w:before="40" w:after="40"/>
              <w:rPr>
                <w:rFonts w:eastAsiaTheme="minorEastAsia" w:cs="Calibri"/>
                <w:iCs/>
                <w:szCs w:val="17"/>
                <w:lang w:eastAsia="en-AU"/>
              </w:rPr>
            </w:pPr>
            <w:r w:rsidRPr="00295561">
              <w:rPr>
                <w:rFonts w:eastAsiaTheme="minorEastAsia" w:cs="Calibri"/>
                <w:iCs/>
                <w:szCs w:val="17"/>
                <w:lang w:eastAsia="en-AU"/>
              </w:rPr>
              <w:t xml:space="preserve">ABS GFS </w:t>
            </w:r>
            <w:r>
              <w:rPr>
                <w:rFonts w:eastAsiaTheme="minorEastAsia" w:cs="Calibri"/>
                <w:iCs/>
                <w:szCs w:val="17"/>
                <w:lang w:eastAsia="en-AU"/>
              </w:rPr>
              <w:t>t</w:t>
            </w:r>
            <w:r w:rsidRPr="00295561">
              <w:rPr>
                <w:rFonts w:eastAsiaTheme="minorEastAsia" w:cs="Calibri"/>
                <w:iCs/>
                <w:szCs w:val="17"/>
                <w:lang w:eastAsia="en-AU"/>
              </w:rPr>
              <w:t>reatment</w:t>
            </w:r>
          </w:p>
        </w:tc>
        <w:tc>
          <w:tcPr>
            <w:tcW w:w="1997" w:type="dxa"/>
            <w:vAlign w:val="bottom"/>
          </w:tcPr>
          <w:p w14:paraId="1F4BC1CB" w14:textId="77777777" w:rsidR="008D6F13" w:rsidRPr="00295561" w:rsidRDefault="008D6F13" w:rsidP="0031078F">
            <w:pPr>
              <w:autoSpaceDE w:val="0"/>
              <w:autoSpaceDN w:val="0"/>
              <w:adjustRightInd w:val="0"/>
              <w:spacing w:before="40" w:after="40"/>
              <w:rPr>
                <w:rFonts w:eastAsiaTheme="minorEastAsia" w:cs="Calibri"/>
                <w:iCs/>
                <w:szCs w:val="17"/>
                <w:lang w:eastAsia="en-AU"/>
              </w:rPr>
            </w:pPr>
            <w:r w:rsidRPr="00295561">
              <w:rPr>
                <w:rFonts w:eastAsiaTheme="minorEastAsia" w:cs="Calibri"/>
                <w:iCs/>
                <w:szCs w:val="17"/>
                <w:lang w:eastAsia="en-AU"/>
              </w:rPr>
              <w:t>Fiscal aggregate impact</w:t>
            </w:r>
          </w:p>
        </w:tc>
      </w:tr>
      <w:tr w:rsidR="008D6F13" w:rsidRPr="00295561" w14:paraId="2D38DB69" w14:textId="77777777" w:rsidTr="0031078F">
        <w:tc>
          <w:tcPr>
            <w:tcW w:w="0" w:type="auto"/>
            <w:gridSpan w:val="4"/>
            <w:tcBorders>
              <w:bottom w:val="nil"/>
            </w:tcBorders>
            <w:shd w:val="clear" w:color="auto" w:fill="D9D9D9" w:themeFill="background1" w:themeFillShade="D9"/>
          </w:tcPr>
          <w:p w14:paraId="638CD79F" w14:textId="77777777" w:rsidR="008D6F13" w:rsidRPr="00295561" w:rsidRDefault="008D6F13" w:rsidP="0031078F">
            <w:pPr>
              <w:keepNext/>
              <w:spacing w:before="40" w:after="40"/>
              <w:rPr>
                <w:szCs w:val="17"/>
                <w:lang w:eastAsia="en-AU"/>
              </w:rPr>
            </w:pPr>
            <w:r w:rsidRPr="00295561">
              <w:rPr>
                <w:b/>
                <w:bCs/>
                <w:szCs w:val="17"/>
                <w:lang w:eastAsia="en-AU"/>
              </w:rPr>
              <w:t xml:space="preserve">AASB 16 </w:t>
            </w:r>
            <w:r w:rsidRPr="00295561">
              <w:rPr>
                <w:b/>
                <w:bCs/>
                <w:i/>
                <w:iCs/>
                <w:szCs w:val="17"/>
                <w:lang w:eastAsia="en-AU"/>
              </w:rPr>
              <w:t>Leases</w:t>
            </w:r>
          </w:p>
        </w:tc>
      </w:tr>
      <w:tr w:rsidR="008D6F13" w:rsidRPr="00295561" w14:paraId="7E933332" w14:textId="77777777" w:rsidTr="0031078F">
        <w:tc>
          <w:tcPr>
            <w:tcW w:w="1560" w:type="dxa"/>
            <w:tcBorders>
              <w:top w:val="nil"/>
              <w:bottom w:val="nil"/>
            </w:tcBorders>
          </w:tcPr>
          <w:p w14:paraId="79460D27" w14:textId="77777777" w:rsidR="008D6F13" w:rsidRPr="00295561" w:rsidRDefault="008D6F13" w:rsidP="0031078F">
            <w:pPr>
              <w:spacing w:after="0"/>
              <w:rPr>
                <w:szCs w:val="17"/>
                <w:lang w:eastAsia="en-AU"/>
              </w:rPr>
            </w:pPr>
          </w:p>
        </w:tc>
        <w:tc>
          <w:tcPr>
            <w:tcW w:w="2126" w:type="dxa"/>
            <w:tcBorders>
              <w:top w:val="nil"/>
              <w:bottom w:val="nil"/>
            </w:tcBorders>
          </w:tcPr>
          <w:p w14:paraId="0F739259" w14:textId="77777777" w:rsidR="008D6F13" w:rsidRPr="00295561" w:rsidRDefault="008D6F13" w:rsidP="0031078F">
            <w:pPr>
              <w:spacing w:after="0"/>
              <w:rPr>
                <w:szCs w:val="17"/>
                <w:lang w:eastAsia="en-AU"/>
              </w:rPr>
            </w:pPr>
            <w:r w:rsidRPr="00295561">
              <w:rPr>
                <w:szCs w:val="17"/>
                <w:lang w:eastAsia="en-AU"/>
              </w:rPr>
              <w:t xml:space="preserve">Operating leases are recognised on the balance sheet under AASB 16 </w:t>
            </w:r>
            <w:r w:rsidRPr="00295561">
              <w:rPr>
                <w:i/>
                <w:iCs/>
                <w:szCs w:val="17"/>
                <w:lang w:eastAsia="en-AU"/>
              </w:rPr>
              <w:t>Leases</w:t>
            </w:r>
            <w:r w:rsidRPr="00295561">
              <w:rPr>
                <w:szCs w:val="17"/>
                <w:lang w:eastAsia="en-AU"/>
              </w:rPr>
              <w:t xml:space="preserve"> unless the lease is shorter than 12 months or where the underlying assets are worth less than $10</w:t>
            </w:r>
            <w:r>
              <w:rPr>
                <w:szCs w:val="17"/>
                <w:lang w:eastAsia="en-AU"/>
              </w:rPr>
              <w:t> </w:t>
            </w:r>
            <w:r w:rsidRPr="00295561">
              <w:rPr>
                <w:szCs w:val="17"/>
                <w:lang w:eastAsia="en-AU"/>
              </w:rPr>
              <w:t>000.</w:t>
            </w:r>
          </w:p>
        </w:tc>
        <w:tc>
          <w:tcPr>
            <w:tcW w:w="2028" w:type="dxa"/>
            <w:tcBorders>
              <w:top w:val="nil"/>
              <w:bottom w:val="nil"/>
            </w:tcBorders>
          </w:tcPr>
          <w:p w14:paraId="5FC21980" w14:textId="77777777" w:rsidR="008D6F13" w:rsidRPr="00295561" w:rsidRDefault="008D6F13" w:rsidP="0031078F">
            <w:pPr>
              <w:spacing w:after="0"/>
              <w:rPr>
                <w:szCs w:val="17"/>
                <w:lang w:eastAsia="en-AU"/>
              </w:rPr>
            </w:pPr>
            <w:r>
              <w:rPr>
                <w:szCs w:val="17"/>
                <w:lang w:eastAsia="en-AU"/>
              </w:rPr>
              <w:t>O</w:t>
            </w:r>
            <w:r w:rsidRPr="00295561">
              <w:rPr>
                <w:szCs w:val="17"/>
                <w:lang w:eastAsia="en-AU"/>
              </w:rPr>
              <w:t>perating leases are not recognised on the balance sheet.</w:t>
            </w:r>
          </w:p>
        </w:tc>
        <w:tc>
          <w:tcPr>
            <w:tcW w:w="1997" w:type="dxa"/>
            <w:tcBorders>
              <w:top w:val="nil"/>
              <w:bottom w:val="nil"/>
            </w:tcBorders>
          </w:tcPr>
          <w:p w14:paraId="3459340B" w14:textId="77777777" w:rsidR="008D6F13" w:rsidRPr="00295561" w:rsidRDefault="008D6F13" w:rsidP="008D6F13">
            <w:pPr>
              <w:pStyle w:val="ListParagraph"/>
              <w:numPr>
                <w:ilvl w:val="0"/>
                <w:numId w:val="28"/>
              </w:numPr>
              <w:spacing w:after="0"/>
              <w:ind w:left="234" w:hanging="234"/>
              <w:rPr>
                <w:szCs w:val="17"/>
                <w:lang w:eastAsia="en-AU"/>
              </w:rPr>
            </w:pPr>
            <w:r w:rsidRPr="00295561">
              <w:rPr>
                <w:szCs w:val="17"/>
                <w:lang w:eastAsia="en-AU"/>
              </w:rPr>
              <w:t>Cash surplus/ deficit</w:t>
            </w:r>
          </w:p>
          <w:p w14:paraId="5D2E5D17" w14:textId="77777777" w:rsidR="008D6F13" w:rsidRPr="00295561" w:rsidRDefault="008D6F13" w:rsidP="008D6F13">
            <w:pPr>
              <w:pStyle w:val="ListParagraph"/>
              <w:numPr>
                <w:ilvl w:val="0"/>
                <w:numId w:val="28"/>
              </w:numPr>
              <w:spacing w:after="0"/>
              <w:ind w:left="234" w:hanging="234"/>
              <w:rPr>
                <w:szCs w:val="17"/>
                <w:lang w:eastAsia="en-AU"/>
              </w:rPr>
            </w:pPr>
            <w:r w:rsidRPr="00295561">
              <w:rPr>
                <w:szCs w:val="17"/>
                <w:lang w:eastAsia="en-AU"/>
              </w:rPr>
              <w:t>Comprehensive result – total change in net worth</w:t>
            </w:r>
          </w:p>
          <w:p w14:paraId="56B6260D" w14:textId="77777777" w:rsidR="008D6F13" w:rsidRPr="00295561" w:rsidRDefault="008D6F13" w:rsidP="008D6F13">
            <w:pPr>
              <w:pStyle w:val="ListParagraph"/>
              <w:numPr>
                <w:ilvl w:val="0"/>
                <w:numId w:val="28"/>
              </w:numPr>
              <w:spacing w:after="0"/>
              <w:ind w:left="234" w:hanging="234"/>
              <w:rPr>
                <w:szCs w:val="17"/>
                <w:lang w:eastAsia="en-AU"/>
              </w:rPr>
            </w:pPr>
            <w:r w:rsidRPr="00295561">
              <w:rPr>
                <w:szCs w:val="17"/>
                <w:lang w:eastAsia="en-AU"/>
              </w:rPr>
              <w:t xml:space="preserve">Net lending/ borrowing </w:t>
            </w:r>
          </w:p>
          <w:p w14:paraId="24DEB3BD" w14:textId="77777777" w:rsidR="008D6F13" w:rsidRPr="00295561" w:rsidRDefault="008D6F13" w:rsidP="008D6F13">
            <w:pPr>
              <w:pStyle w:val="ListParagraph"/>
              <w:numPr>
                <w:ilvl w:val="0"/>
                <w:numId w:val="28"/>
              </w:numPr>
              <w:spacing w:after="0"/>
              <w:ind w:left="234" w:hanging="234"/>
              <w:rPr>
                <w:szCs w:val="17"/>
                <w:lang w:eastAsia="en-AU"/>
              </w:rPr>
            </w:pPr>
            <w:r w:rsidRPr="00295561">
              <w:rPr>
                <w:szCs w:val="17"/>
                <w:lang w:eastAsia="en-AU"/>
              </w:rPr>
              <w:t xml:space="preserve">Net result from transactions – net operating balance </w:t>
            </w:r>
          </w:p>
          <w:p w14:paraId="0EA22C89" w14:textId="77777777" w:rsidR="008D6F13" w:rsidRPr="00295561" w:rsidRDefault="008D6F13" w:rsidP="008D6F13">
            <w:pPr>
              <w:pStyle w:val="ListParagraph"/>
              <w:numPr>
                <w:ilvl w:val="0"/>
                <w:numId w:val="28"/>
              </w:numPr>
              <w:spacing w:before="120"/>
              <w:ind w:left="232" w:hanging="232"/>
              <w:rPr>
                <w:szCs w:val="17"/>
                <w:lang w:eastAsia="en-AU"/>
              </w:rPr>
            </w:pPr>
            <w:r w:rsidRPr="00295561">
              <w:rPr>
                <w:szCs w:val="17"/>
                <w:lang w:eastAsia="en-AU"/>
              </w:rPr>
              <w:t>Net worth</w:t>
            </w:r>
          </w:p>
        </w:tc>
      </w:tr>
      <w:tr w:rsidR="008D6F13" w:rsidRPr="00295561" w14:paraId="175B1A3F" w14:textId="77777777" w:rsidTr="0031078F">
        <w:tc>
          <w:tcPr>
            <w:tcW w:w="0" w:type="auto"/>
            <w:gridSpan w:val="4"/>
            <w:tcBorders>
              <w:bottom w:val="nil"/>
            </w:tcBorders>
            <w:shd w:val="clear" w:color="auto" w:fill="D9D9D9" w:themeFill="background1" w:themeFillShade="D9"/>
          </w:tcPr>
          <w:p w14:paraId="7020048A" w14:textId="77777777" w:rsidR="008D6F13" w:rsidRPr="00295561" w:rsidRDefault="008D6F13" w:rsidP="0031078F">
            <w:pPr>
              <w:spacing w:before="40" w:after="40"/>
              <w:rPr>
                <w:b/>
                <w:bCs/>
                <w:szCs w:val="17"/>
                <w:lang w:eastAsia="en-AU"/>
              </w:rPr>
            </w:pPr>
            <w:r w:rsidRPr="00295561">
              <w:rPr>
                <w:b/>
                <w:bCs/>
                <w:szCs w:val="17"/>
                <w:lang w:eastAsia="en-AU"/>
              </w:rPr>
              <w:t xml:space="preserve">AASB 1059 </w:t>
            </w:r>
            <w:r w:rsidRPr="00295561">
              <w:rPr>
                <w:b/>
                <w:bCs/>
                <w:i/>
                <w:iCs/>
                <w:szCs w:val="17"/>
                <w:lang w:eastAsia="en-AU"/>
              </w:rPr>
              <w:t>Service concession arrangements</w:t>
            </w:r>
          </w:p>
        </w:tc>
      </w:tr>
      <w:tr w:rsidR="008D6F13" w:rsidRPr="00295561" w14:paraId="09D5CB20" w14:textId="77777777" w:rsidTr="0031078F">
        <w:tc>
          <w:tcPr>
            <w:tcW w:w="1560" w:type="dxa"/>
            <w:tcBorders>
              <w:top w:val="nil"/>
              <w:bottom w:val="nil"/>
            </w:tcBorders>
          </w:tcPr>
          <w:p w14:paraId="1D0A9CF5" w14:textId="77777777" w:rsidR="008D6F13" w:rsidRPr="00295561" w:rsidRDefault="008D6F13" w:rsidP="0031078F">
            <w:pPr>
              <w:spacing w:after="0"/>
              <w:rPr>
                <w:szCs w:val="17"/>
                <w:lang w:eastAsia="en-AU"/>
              </w:rPr>
            </w:pPr>
          </w:p>
        </w:tc>
        <w:tc>
          <w:tcPr>
            <w:tcW w:w="2126" w:type="dxa"/>
            <w:tcBorders>
              <w:top w:val="nil"/>
              <w:bottom w:val="nil"/>
            </w:tcBorders>
          </w:tcPr>
          <w:p w14:paraId="3B343414" w14:textId="77777777" w:rsidR="008D6F13" w:rsidRPr="00295561" w:rsidRDefault="008D6F13" w:rsidP="0031078F">
            <w:pPr>
              <w:spacing w:after="0"/>
              <w:rPr>
                <w:szCs w:val="17"/>
                <w:lang w:eastAsia="en-AU"/>
              </w:rPr>
            </w:pPr>
            <w:r w:rsidRPr="00295561">
              <w:rPr>
                <w:szCs w:val="17"/>
                <w:lang w:eastAsia="en-AU"/>
              </w:rPr>
              <w:t>Economic service concession arrangements, such as toll roads, are recognised on the State</w:t>
            </w:r>
            <w:r>
              <w:rPr>
                <w:szCs w:val="17"/>
                <w:lang w:eastAsia="en-AU"/>
              </w:rPr>
              <w:t>’</w:t>
            </w:r>
            <w:r w:rsidRPr="00295561">
              <w:rPr>
                <w:szCs w:val="17"/>
                <w:lang w:eastAsia="en-AU"/>
              </w:rPr>
              <w:t>s balance sheet under AASB</w:t>
            </w:r>
            <w:r>
              <w:rPr>
                <w:szCs w:val="17"/>
                <w:lang w:eastAsia="en-AU"/>
              </w:rPr>
              <w:t> </w:t>
            </w:r>
            <w:r w:rsidRPr="00295561">
              <w:rPr>
                <w:szCs w:val="17"/>
                <w:lang w:eastAsia="en-AU"/>
              </w:rPr>
              <w:t xml:space="preserve">1059 </w:t>
            </w:r>
            <w:r w:rsidRPr="00295561">
              <w:rPr>
                <w:i/>
                <w:iCs/>
                <w:szCs w:val="17"/>
                <w:lang w:eastAsia="en-AU"/>
              </w:rPr>
              <w:t>Service Concession Arrangements: Grantors</w:t>
            </w:r>
            <w:r w:rsidRPr="00295561">
              <w:rPr>
                <w:szCs w:val="17"/>
                <w:lang w:eastAsia="en-AU"/>
              </w:rPr>
              <w:t>.</w:t>
            </w:r>
          </w:p>
        </w:tc>
        <w:tc>
          <w:tcPr>
            <w:tcW w:w="2028" w:type="dxa"/>
            <w:tcBorders>
              <w:top w:val="nil"/>
              <w:bottom w:val="nil"/>
            </w:tcBorders>
          </w:tcPr>
          <w:p w14:paraId="5CBEAB45" w14:textId="77777777" w:rsidR="008D6F13" w:rsidRPr="00295561" w:rsidRDefault="008D6F13" w:rsidP="0031078F">
            <w:pPr>
              <w:spacing w:after="0"/>
              <w:rPr>
                <w:szCs w:val="17"/>
                <w:lang w:eastAsia="en-AU"/>
              </w:rPr>
            </w:pPr>
            <w:r>
              <w:rPr>
                <w:szCs w:val="17"/>
                <w:lang w:eastAsia="en-AU"/>
              </w:rPr>
              <w:t>E</w:t>
            </w:r>
            <w:r w:rsidRPr="00295561">
              <w:rPr>
                <w:szCs w:val="17"/>
                <w:lang w:eastAsia="en-AU"/>
              </w:rPr>
              <w:t>conomic service concession arrangements, such as toll roads, are not recognised on the balance sheet.</w:t>
            </w:r>
          </w:p>
        </w:tc>
        <w:tc>
          <w:tcPr>
            <w:tcW w:w="1997" w:type="dxa"/>
            <w:tcBorders>
              <w:top w:val="nil"/>
              <w:bottom w:val="nil"/>
            </w:tcBorders>
          </w:tcPr>
          <w:p w14:paraId="19BD6543" w14:textId="77777777" w:rsidR="008D6F13" w:rsidRPr="00295561" w:rsidRDefault="008D6F13" w:rsidP="008D6F13">
            <w:pPr>
              <w:pStyle w:val="ListParagraph"/>
              <w:numPr>
                <w:ilvl w:val="0"/>
                <w:numId w:val="28"/>
              </w:numPr>
              <w:spacing w:after="0"/>
              <w:ind w:left="234" w:hanging="234"/>
              <w:rPr>
                <w:szCs w:val="17"/>
                <w:lang w:eastAsia="en-AU"/>
              </w:rPr>
            </w:pPr>
            <w:r w:rsidRPr="00295561">
              <w:rPr>
                <w:szCs w:val="17"/>
                <w:lang w:eastAsia="en-AU"/>
              </w:rPr>
              <w:t>Cash surplus/deficit</w:t>
            </w:r>
          </w:p>
          <w:p w14:paraId="11E28419" w14:textId="77777777" w:rsidR="008D6F13" w:rsidRPr="00295561" w:rsidRDefault="008D6F13" w:rsidP="008D6F13">
            <w:pPr>
              <w:pStyle w:val="ListParagraph"/>
              <w:numPr>
                <w:ilvl w:val="0"/>
                <w:numId w:val="28"/>
              </w:numPr>
              <w:spacing w:after="0"/>
              <w:ind w:left="234" w:hanging="234"/>
              <w:rPr>
                <w:szCs w:val="17"/>
                <w:lang w:eastAsia="en-AU"/>
              </w:rPr>
            </w:pPr>
            <w:r w:rsidRPr="00295561">
              <w:rPr>
                <w:szCs w:val="17"/>
                <w:lang w:eastAsia="en-AU"/>
              </w:rPr>
              <w:t>Comprehensive result – total change in net worth</w:t>
            </w:r>
          </w:p>
          <w:p w14:paraId="39F274DF" w14:textId="77777777" w:rsidR="008D6F13" w:rsidRPr="00295561" w:rsidRDefault="008D6F13" w:rsidP="008D6F13">
            <w:pPr>
              <w:pStyle w:val="ListParagraph"/>
              <w:numPr>
                <w:ilvl w:val="0"/>
                <w:numId w:val="28"/>
              </w:numPr>
              <w:spacing w:before="120" w:after="0"/>
              <w:ind w:left="234" w:hanging="234"/>
              <w:rPr>
                <w:b/>
                <w:bCs/>
                <w:szCs w:val="17"/>
                <w:lang w:eastAsia="en-AU"/>
              </w:rPr>
            </w:pPr>
            <w:r w:rsidRPr="00295561">
              <w:rPr>
                <w:szCs w:val="17"/>
                <w:lang w:eastAsia="en-AU"/>
              </w:rPr>
              <w:t xml:space="preserve">Net lending/borrowing </w:t>
            </w:r>
          </w:p>
          <w:p w14:paraId="257A54EC" w14:textId="77777777" w:rsidR="008D6F13" w:rsidRPr="00295561" w:rsidRDefault="008D6F13" w:rsidP="008D6F13">
            <w:pPr>
              <w:pStyle w:val="ListParagraph"/>
              <w:numPr>
                <w:ilvl w:val="0"/>
                <w:numId w:val="28"/>
              </w:numPr>
              <w:spacing w:before="120" w:after="0"/>
              <w:ind w:left="234" w:hanging="234"/>
              <w:rPr>
                <w:szCs w:val="17"/>
                <w:lang w:eastAsia="en-AU"/>
              </w:rPr>
            </w:pPr>
            <w:r w:rsidRPr="00295561">
              <w:rPr>
                <w:szCs w:val="17"/>
                <w:lang w:eastAsia="en-AU"/>
              </w:rPr>
              <w:t xml:space="preserve">Net result from transactions – net operating balance </w:t>
            </w:r>
          </w:p>
          <w:p w14:paraId="6118A744" w14:textId="77777777" w:rsidR="008D6F13" w:rsidRPr="00295561" w:rsidRDefault="008D6F13" w:rsidP="008D6F13">
            <w:pPr>
              <w:pStyle w:val="ListParagraph"/>
              <w:numPr>
                <w:ilvl w:val="0"/>
                <w:numId w:val="28"/>
              </w:numPr>
              <w:spacing w:before="120"/>
              <w:ind w:left="232" w:hanging="232"/>
              <w:rPr>
                <w:b/>
                <w:bCs/>
                <w:szCs w:val="17"/>
                <w:lang w:eastAsia="en-AU"/>
              </w:rPr>
            </w:pPr>
            <w:r w:rsidRPr="00295561">
              <w:rPr>
                <w:szCs w:val="17"/>
                <w:lang w:eastAsia="en-AU"/>
              </w:rPr>
              <w:t>Net worth</w:t>
            </w:r>
          </w:p>
        </w:tc>
      </w:tr>
      <w:tr w:rsidR="008D6F13" w:rsidRPr="00295561" w14:paraId="0E93D686" w14:textId="77777777" w:rsidTr="0031078F">
        <w:tc>
          <w:tcPr>
            <w:tcW w:w="0" w:type="auto"/>
            <w:gridSpan w:val="4"/>
            <w:tcBorders>
              <w:bottom w:val="nil"/>
            </w:tcBorders>
            <w:shd w:val="clear" w:color="auto" w:fill="D9D9D9" w:themeFill="background1" w:themeFillShade="D9"/>
          </w:tcPr>
          <w:p w14:paraId="69DE41EB" w14:textId="77777777" w:rsidR="008D6F13" w:rsidRPr="00295561" w:rsidRDefault="008D6F13" w:rsidP="0031078F">
            <w:pPr>
              <w:keepNext/>
              <w:spacing w:before="40" w:after="40"/>
              <w:rPr>
                <w:szCs w:val="17"/>
                <w:lang w:eastAsia="en-AU"/>
              </w:rPr>
            </w:pPr>
            <w:r w:rsidRPr="00295561">
              <w:rPr>
                <w:b/>
                <w:bCs/>
                <w:szCs w:val="17"/>
                <w:lang w:eastAsia="en-AU"/>
              </w:rPr>
              <w:t xml:space="preserve">AASB 15 </w:t>
            </w:r>
            <w:r w:rsidRPr="00295561">
              <w:rPr>
                <w:b/>
                <w:bCs/>
                <w:i/>
                <w:iCs/>
                <w:szCs w:val="17"/>
                <w:lang w:eastAsia="en-AU"/>
              </w:rPr>
              <w:t>Revenue from Contracts with Customers</w:t>
            </w:r>
            <w:r w:rsidRPr="00295561">
              <w:rPr>
                <w:b/>
                <w:bCs/>
                <w:szCs w:val="17"/>
                <w:lang w:eastAsia="en-AU"/>
              </w:rPr>
              <w:t xml:space="preserve"> and AASB 1058 </w:t>
            </w:r>
            <w:r w:rsidRPr="00295561">
              <w:rPr>
                <w:b/>
                <w:bCs/>
                <w:i/>
                <w:iCs/>
                <w:szCs w:val="17"/>
                <w:lang w:eastAsia="en-AU"/>
              </w:rPr>
              <w:t>Income of Not-for-Profit Entities</w:t>
            </w:r>
          </w:p>
        </w:tc>
      </w:tr>
      <w:tr w:rsidR="008D6F13" w:rsidRPr="00295561" w14:paraId="02682CD1" w14:textId="77777777" w:rsidTr="0031078F">
        <w:tc>
          <w:tcPr>
            <w:tcW w:w="1560" w:type="dxa"/>
            <w:tcBorders>
              <w:top w:val="nil"/>
              <w:bottom w:val="single" w:sz="6" w:space="0" w:color="auto"/>
            </w:tcBorders>
          </w:tcPr>
          <w:p w14:paraId="589999B6" w14:textId="77777777" w:rsidR="008D6F13" w:rsidRPr="00295561" w:rsidRDefault="008D6F13" w:rsidP="0031078F">
            <w:pPr>
              <w:spacing w:after="0"/>
              <w:rPr>
                <w:szCs w:val="17"/>
                <w:lang w:eastAsia="en-AU"/>
              </w:rPr>
            </w:pPr>
          </w:p>
        </w:tc>
        <w:tc>
          <w:tcPr>
            <w:tcW w:w="2126" w:type="dxa"/>
            <w:tcBorders>
              <w:top w:val="nil"/>
              <w:bottom w:val="single" w:sz="6" w:space="0" w:color="auto"/>
            </w:tcBorders>
          </w:tcPr>
          <w:p w14:paraId="17AABC74" w14:textId="77777777" w:rsidR="008D6F13" w:rsidRPr="00295561" w:rsidRDefault="008D6F13" w:rsidP="0031078F">
            <w:pPr>
              <w:spacing w:after="0"/>
              <w:rPr>
                <w:szCs w:val="17"/>
                <w:lang w:eastAsia="en-AU"/>
              </w:rPr>
            </w:pPr>
            <w:r w:rsidRPr="00295561">
              <w:rPr>
                <w:szCs w:val="17"/>
                <w:lang w:eastAsia="en-AU"/>
              </w:rPr>
              <w:t xml:space="preserve">Deferral of revenue recognition, such as where performance obligations </w:t>
            </w:r>
            <w:r>
              <w:rPr>
                <w:szCs w:val="17"/>
                <w:lang w:eastAsia="en-AU"/>
              </w:rPr>
              <w:t xml:space="preserve">have not been satisfied, or </w:t>
            </w:r>
            <w:r w:rsidRPr="00295561">
              <w:rPr>
                <w:szCs w:val="17"/>
                <w:lang w:eastAsia="en-AU"/>
              </w:rPr>
              <w:t>for capital grants from the Commonwealth Government, is a requirement under AASB</w:t>
            </w:r>
            <w:r>
              <w:rPr>
                <w:szCs w:val="17"/>
                <w:lang w:eastAsia="en-AU"/>
              </w:rPr>
              <w:t> </w:t>
            </w:r>
            <w:r w:rsidRPr="00295561">
              <w:rPr>
                <w:szCs w:val="17"/>
                <w:lang w:eastAsia="en-AU"/>
              </w:rPr>
              <w:t xml:space="preserve">15 </w:t>
            </w:r>
            <w:r w:rsidRPr="00295561">
              <w:rPr>
                <w:i/>
                <w:iCs/>
                <w:szCs w:val="17"/>
                <w:lang w:eastAsia="en-AU"/>
              </w:rPr>
              <w:t>Revenue from Contracts with Customers</w:t>
            </w:r>
            <w:r w:rsidRPr="00295561">
              <w:rPr>
                <w:szCs w:val="17"/>
                <w:lang w:eastAsia="en-AU"/>
              </w:rPr>
              <w:t xml:space="preserve"> and AASB 1058 </w:t>
            </w:r>
            <w:r w:rsidRPr="00295561">
              <w:rPr>
                <w:i/>
                <w:iCs/>
                <w:szCs w:val="17"/>
                <w:lang w:eastAsia="en-AU"/>
              </w:rPr>
              <w:t>Income of Not-for-Profit Entities</w:t>
            </w:r>
            <w:r w:rsidRPr="00295561">
              <w:rPr>
                <w:szCs w:val="17"/>
                <w:lang w:eastAsia="en-AU"/>
              </w:rPr>
              <w:t>.</w:t>
            </w:r>
          </w:p>
        </w:tc>
        <w:tc>
          <w:tcPr>
            <w:tcW w:w="2028" w:type="dxa"/>
            <w:tcBorders>
              <w:top w:val="nil"/>
              <w:bottom w:val="single" w:sz="6" w:space="0" w:color="auto"/>
            </w:tcBorders>
          </w:tcPr>
          <w:p w14:paraId="0C0C5FBF" w14:textId="77777777" w:rsidR="008D6F13" w:rsidRPr="00295561" w:rsidRDefault="008D6F13" w:rsidP="0031078F">
            <w:pPr>
              <w:rPr>
                <w:szCs w:val="17"/>
                <w:lang w:eastAsia="en-AU"/>
              </w:rPr>
            </w:pPr>
            <w:r>
              <w:rPr>
                <w:szCs w:val="17"/>
                <w:lang w:eastAsia="en-AU"/>
              </w:rPr>
              <w:t>D</w:t>
            </w:r>
            <w:r w:rsidRPr="00295561">
              <w:rPr>
                <w:szCs w:val="17"/>
                <w:lang w:eastAsia="en-AU"/>
              </w:rPr>
              <w:t xml:space="preserve">eferral of revenue recognition, such as where performance obligations </w:t>
            </w:r>
            <w:r>
              <w:rPr>
                <w:szCs w:val="17"/>
                <w:lang w:eastAsia="en-AU"/>
              </w:rPr>
              <w:t>have not been satisfied, or</w:t>
            </w:r>
            <w:r w:rsidRPr="00295561">
              <w:rPr>
                <w:szCs w:val="17"/>
                <w:lang w:eastAsia="en-AU"/>
              </w:rPr>
              <w:t xml:space="preserve"> for capital grants from the Commonwealth Government, is not recognised. This timing difference is expected to impact all the key fiscal aggregates. While it is expected that there will not be a net change to the fiscal aggregates over time, there will be convergence differences in any given year.</w:t>
            </w:r>
          </w:p>
        </w:tc>
        <w:tc>
          <w:tcPr>
            <w:tcW w:w="1997" w:type="dxa"/>
            <w:tcBorders>
              <w:top w:val="nil"/>
              <w:bottom w:val="single" w:sz="6" w:space="0" w:color="auto"/>
            </w:tcBorders>
          </w:tcPr>
          <w:p w14:paraId="51C1DF4D" w14:textId="77777777" w:rsidR="008D6F13" w:rsidRPr="00295561" w:rsidRDefault="008D6F13" w:rsidP="008D6F13">
            <w:pPr>
              <w:pStyle w:val="ListParagraph"/>
              <w:numPr>
                <w:ilvl w:val="0"/>
                <w:numId w:val="28"/>
              </w:numPr>
              <w:spacing w:after="0"/>
              <w:ind w:left="232" w:hanging="232"/>
              <w:rPr>
                <w:szCs w:val="17"/>
                <w:lang w:eastAsia="en-AU"/>
              </w:rPr>
            </w:pPr>
            <w:r w:rsidRPr="00295561">
              <w:rPr>
                <w:szCs w:val="17"/>
                <w:lang w:eastAsia="en-AU"/>
              </w:rPr>
              <w:t>Cash surplus/deficit</w:t>
            </w:r>
          </w:p>
          <w:p w14:paraId="15A080AA" w14:textId="77777777" w:rsidR="008D6F13" w:rsidRPr="00295561" w:rsidRDefault="008D6F13" w:rsidP="008D6F13">
            <w:pPr>
              <w:pStyle w:val="ListParagraph"/>
              <w:numPr>
                <w:ilvl w:val="0"/>
                <w:numId w:val="28"/>
              </w:numPr>
              <w:spacing w:before="120" w:after="0"/>
              <w:ind w:left="234" w:hanging="234"/>
              <w:rPr>
                <w:szCs w:val="17"/>
                <w:lang w:eastAsia="en-AU"/>
              </w:rPr>
            </w:pPr>
            <w:r w:rsidRPr="00295561">
              <w:rPr>
                <w:szCs w:val="17"/>
                <w:lang w:eastAsia="en-AU"/>
              </w:rPr>
              <w:t>Comprehensive result – total change in net worth</w:t>
            </w:r>
          </w:p>
          <w:p w14:paraId="4974BE9E" w14:textId="77777777" w:rsidR="008D6F13" w:rsidRPr="00295561" w:rsidRDefault="008D6F13" w:rsidP="008D6F13">
            <w:pPr>
              <w:pStyle w:val="ListParagraph"/>
              <w:numPr>
                <w:ilvl w:val="0"/>
                <w:numId w:val="28"/>
              </w:numPr>
              <w:spacing w:before="120" w:after="0"/>
              <w:ind w:left="234" w:hanging="234"/>
              <w:rPr>
                <w:szCs w:val="17"/>
                <w:lang w:eastAsia="en-AU"/>
              </w:rPr>
            </w:pPr>
            <w:r w:rsidRPr="00295561">
              <w:rPr>
                <w:szCs w:val="17"/>
                <w:lang w:eastAsia="en-AU"/>
              </w:rPr>
              <w:t xml:space="preserve">Net lending/borrowing </w:t>
            </w:r>
          </w:p>
          <w:p w14:paraId="1EC18A78" w14:textId="77777777" w:rsidR="008D6F13" w:rsidRPr="00295561" w:rsidRDefault="008D6F13" w:rsidP="008D6F13">
            <w:pPr>
              <w:pStyle w:val="ListParagraph"/>
              <w:numPr>
                <w:ilvl w:val="0"/>
                <w:numId w:val="28"/>
              </w:numPr>
              <w:spacing w:before="120" w:after="0"/>
              <w:ind w:left="234" w:hanging="234"/>
              <w:rPr>
                <w:szCs w:val="17"/>
                <w:lang w:eastAsia="en-AU"/>
              </w:rPr>
            </w:pPr>
            <w:r w:rsidRPr="00295561">
              <w:rPr>
                <w:szCs w:val="17"/>
                <w:lang w:eastAsia="en-AU"/>
              </w:rPr>
              <w:t>Net result from transactions – net operating balance</w:t>
            </w:r>
          </w:p>
          <w:p w14:paraId="01E9D39F" w14:textId="77777777" w:rsidR="008D6F13" w:rsidRPr="00295561" w:rsidRDefault="008D6F13" w:rsidP="008D6F13">
            <w:pPr>
              <w:pStyle w:val="ListParagraph"/>
              <w:numPr>
                <w:ilvl w:val="0"/>
                <w:numId w:val="28"/>
              </w:numPr>
              <w:spacing w:before="120" w:after="0"/>
              <w:ind w:left="234" w:hanging="234"/>
              <w:rPr>
                <w:szCs w:val="17"/>
                <w:lang w:eastAsia="en-AU"/>
              </w:rPr>
            </w:pPr>
            <w:r w:rsidRPr="00295561">
              <w:rPr>
                <w:szCs w:val="17"/>
                <w:lang w:eastAsia="en-AU"/>
              </w:rPr>
              <w:t>Net worth</w:t>
            </w:r>
          </w:p>
        </w:tc>
      </w:tr>
    </w:tbl>
    <w:p w14:paraId="718C0E4A" w14:textId="77777777" w:rsidR="008D6F13" w:rsidRDefault="008D6F13" w:rsidP="008D6F13"/>
    <w:p w14:paraId="250D1ED9" w14:textId="77777777" w:rsidR="008D6F13" w:rsidRDefault="008D6F13" w:rsidP="008D6F13">
      <w:pPr>
        <w:keepLines w:val="0"/>
      </w:pPr>
      <w:r>
        <w:br w:type="page"/>
      </w:r>
    </w:p>
    <w:p w14:paraId="0365214F" w14:textId="77777777" w:rsidR="008D6F13" w:rsidRDefault="008D6F13" w:rsidP="008D6F13">
      <w:pPr>
        <w:spacing w:after="120"/>
      </w:pPr>
      <w:r>
        <w:lastRenderedPageBreak/>
        <w:br/>
      </w:r>
    </w:p>
    <w:tbl>
      <w:tblPr>
        <w:tblStyle w:val="DTFTableText"/>
        <w:tblW w:w="0" w:type="auto"/>
        <w:tblLook w:val="06A0" w:firstRow="1" w:lastRow="0" w:firstColumn="1" w:lastColumn="0" w:noHBand="1" w:noVBand="1"/>
      </w:tblPr>
      <w:tblGrid>
        <w:gridCol w:w="1560"/>
        <w:gridCol w:w="2126"/>
        <w:gridCol w:w="2028"/>
        <w:gridCol w:w="1997"/>
      </w:tblGrid>
      <w:tr w:rsidR="008D6F13" w:rsidRPr="00295561" w14:paraId="3CE77C66" w14:textId="77777777" w:rsidTr="00E66BCA">
        <w:trPr>
          <w:cnfStyle w:val="100000000000" w:firstRow="1" w:lastRow="0" w:firstColumn="0" w:lastColumn="0" w:oddVBand="0" w:evenVBand="0" w:oddHBand="0" w:evenHBand="0" w:firstRowFirstColumn="0" w:firstRowLastColumn="0" w:lastRowFirstColumn="0" w:lastRowLastColumn="0"/>
          <w:tblHeader/>
        </w:trPr>
        <w:tc>
          <w:tcPr>
            <w:tcW w:w="1560" w:type="dxa"/>
            <w:vAlign w:val="bottom"/>
          </w:tcPr>
          <w:p w14:paraId="59BB8932" w14:textId="77777777" w:rsidR="008D6F13" w:rsidRPr="00295561" w:rsidRDefault="008D6F13" w:rsidP="00E66BCA">
            <w:pPr>
              <w:autoSpaceDE w:val="0"/>
              <w:autoSpaceDN w:val="0"/>
              <w:adjustRightInd w:val="0"/>
              <w:spacing w:after="0"/>
              <w:rPr>
                <w:rFonts w:eastAsiaTheme="minorEastAsia" w:cs="Calibri"/>
                <w:iCs/>
                <w:szCs w:val="17"/>
                <w:lang w:eastAsia="en-AU"/>
              </w:rPr>
            </w:pPr>
            <w:r w:rsidRPr="00295561">
              <w:rPr>
                <w:rFonts w:eastAsiaTheme="minorEastAsia" w:cs="Calibri"/>
                <w:iCs/>
                <w:szCs w:val="17"/>
                <w:lang w:eastAsia="en-AU"/>
              </w:rPr>
              <w:t>Convergence difference</w:t>
            </w:r>
          </w:p>
        </w:tc>
        <w:tc>
          <w:tcPr>
            <w:tcW w:w="2126" w:type="dxa"/>
            <w:vAlign w:val="bottom"/>
          </w:tcPr>
          <w:p w14:paraId="0A8B3788" w14:textId="77777777" w:rsidR="008D6F13" w:rsidRPr="00295561" w:rsidRDefault="008D6F13" w:rsidP="00E66BCA">
            <w:pPr>
              <w:autoSpaceDE w:val="0"/>
              <w:autoSpaceDN w:val="0"/>
              <w:adjustRightInd w:val="0"/>
              <w:spacing w:after="0"/>
              <w:rPr>
                <w:rFonts w:eastAsiaTheme="minorEastAsia" w:cs="Calibri"/>
                <w:iCs/>
                <w:szCs w:val="17"/>
                <w:lang w:eastAsia="en-AU"/>
              </w:rPr>
            </w:pPr>
            <w:r w:rsidRPr="00295561">
              <w:rPr>
                <w:rFonts w:eastAsiaTheme="minorEastAsia" w:cs="Calibri"/>
                <w:iCs/>
                <w:szCs w:val="17"/>
                <w:lang w:eastAsia="en-AU"/>
              </w:rPr>
              <w:t xml:space="preserve">AASB 1049 </w:t>
            </w:r>
            <w:r>
              <w:rPr>
                <w:rFonts w:eastAsiaTheme="minorEastAsia" w:cs="Calibri"/>
                <w:iCs/>
                <w:szCs w:val="17"/>
                <w:lang w:eastAsia="en-AU"/>
              </w:rPr>
              <w:t>t</w:t>
            </w:r>
            <w:r w:rsidRPr="00295561">
              <w:rPr>
                <w:rFonts w:eastAsiaTheme="minorEastAsia" w:cs="Calibri"/>
                <w:iCs/>
                <w:szCs w:val="17"/>
                <w:lang w:eastAsia="en-AU"/>
              </w:rPr>
              <w:t>reatment</w:t>
            </w:r>
          </w:p>
        </w:tc>
        <w:tc>
          <w:tcPr>
            <w:tcW w:w="2028" w:type="dxa"/>
            <w:vAlign w:val="bottom"/>
          </w:tcPr>
          <w:p w14:paraId="19DE1342" w14:textId="77777777" w:rsidR="008D6F13" w:rsidRPr="00295561" w:rsidRDefault="008D6F13" w:rsidP="00E66BCA">
            <w:pPr>
              <w:autoSpaceDE w:val="0"/>
              <w:autoSpaceDN w:val="0"/>
              <w:adjustRightInd w:val="0"/>
              <w:spacing w:after="0"/>
              <w:rPr>
                <w:rFonts w:eastAsiaTheme="minorEastAsia" w:cs="Calibri"/>
                <w:iCs/>
                <w:szCs w:val="17"/>
                <w:lang w:eastAsia="en-AU"/>
              </w:rPr>
            </w:pPr>
            <w:r w:rsidRPr="00295561">
              <w:rPr>
                <w:rFonts w:eastAsiaTheme="minorEastAsia" w:cs="Calibri"/>
                <w:iCs/>
                <w:szCs w:val="17"/>
                <w:lang w:eastAsia="en-AU"/>
              </w:rPr>
              <w:t xml:space="preserve">ABS GFS </w:t>
            </w:r>
            <w:r>
              <w:rPr>
                <w:rFonts w:eastAsiaTheme="minorEastAsia" w:cs="Calibri"/>
                <w:iCs/>
                <w:szCs w:val="17"/>
                <w:lang w:eastAsia="en-AU"/>
              </w:rPr>
              <w:t>t</w:t>
            </w:r>
            <w:r w:rsidRPr="00295561">
              <w:rPr>
                <w:rFonts w:eastAsiaTheme="minorEastAsia" w:cs="Calibri"/>
                <w:iCs/>
                <w:szCs w:val="17"/>
                <w:lang w:eastAsia="en-AU"/>
              </w:rPr>
              <w:t>reatment</w:t>
            </w:r>
          </w:p>
        </w:tc>
        <w:tc>
          <w:tcPr>
            <w:tcW w:w="1997" w:type="dxa"/>
            <w:vAlign w:val="bottom"/>
          </w:tcPr>
          <w:p w14:paraId="77957CF3" w14:textId="77777777" w:rsidR="008D6F13" w:rsidRPr="00295561" w:rsidRDefault="008D6F13" w:rsidP="00E66BCA">
            <w:pPr>
              <w:autoSpaceDE w:val="0"/>
              <w:autoSpaceDN w:val="0"/>
              <w:adjustRightInd w:val="0"/>
              <w:spacing w:after="0"/>
              <w:rPr>
                <w:rFonts w:eastAsiaTheme="minorEastAsia" w:cs="Calibri"/>
                <w:iCs/>
                <w:szCs w:val="17"/>
                <w:lang w:eastAsia="en-AU"/>
              </w:rPr>
            </w:pPr>
            <w:r w:rsidRPr="00295561">
              <w:rPr>
                <w:rFonts w:eastAsiaTheme="minorEastAsia" w:cs="Calibri"/>
                <w:iCs/>
                <w:szCs w:val="17"/>
                <w:lang w:eastAsia="en-AU"/>
              </w:rPr>
              <w:t>Fiscal aggregate impact</w:t>
            </w:r>
          </w:p>
        </w:tc>
      </w:tr>
      <w:tr w:rsidR="008D6F13" w:rsidRPr="00295561" w14:paraId="5E8ECF8D" w14:textId="77777777" w:rsidTr="0031078F">
        <w:tc>
          <w:tcPr>
            <w:tcW w:w="0" w:type="auto"/>
            <w:gridSpan w:val="4"/>
            <w:tcBorders>
              <w:top w:val="single" w:sz="6" w:space="0" w:color="auto"/>
              <w:bottom w:val="nil"/>
            </w:tcBorders>
            <w:shd w:val="clear" w:color="auto" w:fill="D9D9D9" w:themeFill="background1" w:themeFillShade="D9"/>
          </w:tcPr>
          <w:p w14:paraId="179C344B" w14:textId="77777777" w:rsidR="008D6F13" w:rsidRPr="00295561" w:rsidRDefault="008D6F13" w:rsidP="0031078F">
            <w:pPr>
              <w:keepNext/>
              <w:spacing w:before="40" w:after="40"/>
              <w:rPr>
                <w:szCs w:val="17"/>
                <w:lang w:eastAsia="en-AU"/>
              </w:rPr>
            </w:pPr>
            <w:r w:rsidRPr="00295561">
              <w:rPr>
                <w:b/>
                <w:bCs/>
                <w:szCs w:val="17"/>
                <w:lang w:eastAsia="en-AU"/>
              </w:rPr>
              <w:t>Port of Melbourne lease transaction</w:t>
            </w:r>
          </w:p>
        </w:tc>
      </w:tr>
      <w:tr w:rsidR="008D6F13" w:rsidRPr="00295561" w14:paraId="33A1B4B9" w14:textId="77777777" w:rsidTr="0031078F">
        <w:trPr>
          <w:trHeight w:val="1944"/>
        </w:trPr>
        <w:tc>
          <w:tcPr>
            <w:tcW w:w="1560" w:type="dxa"/>
            <w:tcBorders>
              <w:top w:val="nil"/>
            </w:tcBorders>
          </w:tcPr>
          <w:p w14:paraId="27BD37CE" w14:textId="77777777" w:rsidR="008D6F13" w:rsidRPr="00295561" w:rsidRDefault="008D6F13" w:rsidP="0031078F">
            <w:pPr>
              <w:keepNext/>
              <w:spacing w:after="0"/>
              <w:rPr>
                <w:b/>
                <w:bCs/>
                <w:szCs w:val="17"/>
                <w:lang w:eastAsia="en-AU"/>
              </w:rPr>
            </w:pPr>
            <w:r w:rsidRPr="00295561">
              <w:rPr>
                <w:szCs w:val="17"/>
                <w:lang w:eastAsia="en-AU"/>
              </w:rPr>
              <w:t>Port Licence Fee</w:t>
            </w:r>
          </w:p>
        </w:tc>
        <w:tc>
          <w:tcPr>
            <w:tcW w:w="2126" w:type="dxa"/>
            <w:tcBorders>
              <w:top w:val="nil"/>
            </w:tcBorders>
          </w:tcPr>
          <w:p w14:paraId="21129CAD" w14:textId="77777777" w:rsidR="008D6F13" w:rsidRPr="00295561" w:rsidRDefault="008D6F13" w:rsidP="0031078F">
            <w:pPr>
              <w:keepNext/>
              <w:spacing w:after="0"/>
              <w:rPr>
                <w:szCs w:val="17"/>
                <w:lang w:eastAsia="en-AU"/>
              </w:rPr>
            </w:pPr>
            <w:r>
              <w:rPr>
                <w:szCs w:val="17"/>
                <w:lang w:eastAsia="en-AU"/>
              </w:rPr>
              <w:t>T</w:t>
            </w:r>
            <w:r w:rsidRPr="00295561">
              <w:rPr>
                <w:szCs w:val="17"/>
                <w:lang w:eastAsia="en-AU"/>
              </w:rPr>
              <w:t>he 15-year prepaid Port Licence Fee from the medium-term lease of the Port of Melbourne is recognised upfront upon receipt.</w:t>
            </w:r>
          </w:p>
        </w:tc>
        <w:tc>
          <w:tcPr>
            <w:tcW w:w="2028" w:type="dxa"/>
            <w:tcBorders>
              <w:top w:val="nil"/>
            </w:tcBorders>
          </w:tcPr>
          <w:p w14:paraId="62114D39" w14:textId="77777777" w:rsidR="008D6F13" w:rsidRPr="00295561" w:rsidRDefault="008D6F13" w:rsidP="0031078F">
            <w:pPr>
              <w:keepNext/>
              <w:spacing w:after="0"/>
              <w:rPr>
                <w:szCs w:val="17"/>
                <w:lang w:eastAsia="en-AU"/>
              </w:rPr>
            </w:pPr>
            <w:r>
              <w:rPr>
                <w:szCs w:val="17"/>
                <w:lang w:eastAsia="en-AU"/>
              </w:rPr>
              <w:t>T</w:t>
            </w:r>
            <w:r w:rsidRPr="00295561">
              <w:rPr>
                <w:szCs w:val="17"/>
                <w:lang w:eastAsia="en-AU"/>
              </w:rPr>
              <w:t>he 15-year prepaid Port Licence Fee from the medium-term lease of the Port of Melbourne is recognised as revenue over the 15-year period.</w:t>
            </w:r>
          </w:p>
        </w:tc>
        <w:tc>
          <w:tcPr>
            <w:tcW w:w="1997" w:type="dxa"/>
            <w:tcBorders>
              <w:top w:val="nil"/>
            </w:tcBorders>
          </w:tcPr>
          <w:p w14:paraId="4CCC5C46" w14:textId="77777777" w:rsidR="008D6F13" w:rsidRPr="00295561" w:rsidRDefault="008D6F13" w:rsidP="008D6F13">
            <w:pPr>
              <w:pStyle w:val="ListParagraph"/>
              <w:numPr>
                <w:ilvl w:val="0"/>
                <w:numId w:val="28"/>
              </w:numPr>
              <w:spacing w:after="0"/>
              <w:ind w:left="232" w:hanging="232"/>
              <w:rPr>
                <w:szCs w:val="17"/>
                <w:lang w:eastAsia="en-AU"/>
              </w:rPr>
            </w:pPr>
            <w:r w:rsidRPr="00295561">
              <w:rPr>
                <w:szCs w:val="17"/>
                <w:lang w:eastAsia="en-AU"/>
              </w:rPr>
              <w:t>Comprehensive result – total change in net worth</w:t>
            </w:r>
          </w:p>
          <w:p w14:paraId="56FCB7BB" w14:textId="77777777" w:rsidR="008D6F13" w:rsidRPr="00295561" w:rsidRDefault="008D6F13" w:rsidP="008D6F13">
            <w:pPr>
              <w:pStyle w:val="ListParagraph"/>
              <w:numPr>
                <w:ilvl w:val="0"/>
                <w:numId w:val="28"/>
              </w:numPr>
              <w:spacing w:before="120" w:after="0"/>
              <w:ind w:left="234" w:hanging="234"/>
              <w:rPr>
                <w:szCs w:val="17"/>
                <w:lang w:eastAsia="en-AU"/>
              </w:rPr>
            </w:pPr>
            <w:r w:rsidRPr="00295561">
              <w:rPr>
                <w:szCs w:val="17"/>
                <w:lang w:eastAsia="en-AU"/>
              </w:rPr>
              <w:t xml:space="preserve">Net lending/borrowing </w:t>
            </w:r>
          </w:p>
          <w:p w14:paraId="382153A8" w14:textId="77777777" w:rsidR="008D6F13" w:rsidRPr="00295561" w:rsidRDefault="008D6F13" w:rsidP="008D6F13">
            <w:pPr>
              <w:pStyle w:val="ListParagraph"/>
              <w:numPr>
                <w:ilvl w:val="0"/>
                <w:numId w:val="28"/>
              </w:numPr>
              <w:spacing w:before="120" w:after="0"/>
              <w:ind w:left="234" w:hanging="234"/>
              <w:rPr>
                <w:szCs w:val="17"/>
                <w:lang w:eastAsia="en-AU"/>
              </w:rPr>
            </w:pPr>
            <w:r w:rsidRPr="00295561">
              <w:rPr>
                <w:szCs w:val="17"/>
                <w:lang w:eastAsia="en-AU"/>
              </w:rPr>
              <w:t>Net result from transactions – net</w:t>
            </w:r>
            <w:r>
              <w:rPr>
                <w:szCs w:val="17"/>
                <w:lang w:eastAsia="en-AU"/>
              </w:rPr>
              <w:t> </w:t>
            </w:r>
            <w:r w:rsidRPr="00295561">
              <w:rPr>
                <w:szCs w:val="17"/>
                <w:lang w:eastAsia="en-AU"/>
              </w:rPr>
              <w:t>operating balance</w:t>
            </w:r>
          </w:p>
          <w:p w14:paraId="71931BE3" w14:textId="77777777" w:rsidR="008D6F13" w:rsidRPr="00295561" w:rsidRDefault="008D6F13" w:rsidP="008D6F13">
            <w:pPr>
              <w:pStyle w:val="ListParagraph"/>
              <w:numPr>
                <w:ilvl w:val="0"/>
                <w:numId w:val="28"/>
              </w:numPr>
              <w:spacing w:before="120"/>
              <w:ind w:left="232" w:hanging="232"/>
              <w:rPr>
                <w:szCs w:val="17"/>
                <w:lang w:eastAsia="en-AU"/>
              </w:rPr>
            </w:pPr>
            <w:r w:rsidRPr="00295561">
              <w:rPr>
                <w:szCs w:val="17"/>
                <w:lang w:eastAsia="en-AU"/>
              </w:rPr>
              <w:t>Net worth</w:t>
            </w:r>
          </w:p>
        </w:tc>
      </w:tr>
      <w:tr w:rsidR="008D6F13" w:rsidRPr="00295561" w14:paraId="3C8D024B" w14:textId="77777777" w:rsidTr="0031078F">
        <w:tc>
          <w:tcPr>
            <w:tcW w:w="1560" w:type="dxa"/>
            <w:tcBorders>
              <w:bottom w:val="nil"/>
            </w:tcBorders>
          </w:tcPr>
          <w:p w14:paraId="5D9EEE5A" w14:textId="77777777" w:rsidR="008D6F13" w:rsidRPr="00295561" w:rsidRDefault="008D6F13" w:rsidP="0031078F">
            <w:pPr>
              <w:keepNext/>
              <w:spacing w:after="0"/>
              <w:rPr>
                <w:szCs w:val="17"/>
                <w:lang w:eastAsia="en-AU"/>
              </w:rPr>
            </w:pPr>
            <w:r w:rsidRPr="00295561">
              <w:rPr>
                <w:szCs w:val="17"/>
                <w:lang w:eastAsia="en-AU"/>
              </w:rPr>
              <w:t>Port of Melbourne lease transaction</w:t>
            </w:r>
          </w:p>
        </w:tc>
        <w:tc>
          <w:tcPr>
            <w:tcW w:w="2126" w:type="dxa"/>
            <w:tcBorders>
              <w:bottom w:val="nil"/>
            </w:tcBorders>
          </w:tcPr>
          <w:p w14:paraId="352AE809" w14:textId="77777777" w:rsidR="008D6F13" w:rsidRPr="00295561" w:rsidRDefault="008D6F13" w:rsidP="0031078F">
            <w:pPr>
              <w:keepNext/>
              <w:spacing w:after="0"/>
              <w:rPr>
                <w:szCs w:val="17"/>
                <w:lang w:eastAsia="en-AU"/>
              </w:rPr>
            </w:pPr>
            <w:r>
              <w:rPr>
                <w:szCs w:val="17"/>
                <w:lang w:eastAsia="en-AU"/>
              </w:rPr>
              <w:t>T</w:t>
            </w:r>
            <w:r w:rsidRPr="00295561">
              <w:rPr>
                <w:szCs w:val="17"/>
                <w:lang w:eastAsia="en-AU"/>
              </w:rPr>
              <w:t xml:space="preserve">he Port of Melbourne lease transaction </w:t>
            </w:r>
            <w:r>
              <w:rPr>
                <w:szCs w:val="17"/>
                <w:lang w:eastAsia="en-AU"/>
              </w:rPr>
              <w:t>is</w:t>
            </w:r>
            <w:r w:rsidRPr="00295561">
              <w:rPr>
                <w:szCs w:val="17"/>
                <w:lang w:eastAsia="en-AU"/>
              </w:rPr>
              <w:t xml:space="preserve"> treated as an operating lease with the leased assets remaining with the PNFC sector.</w:t>
            </w:r>
          </w:p>
        </w:tc>
        <w:tc>
          <w:tcPr>
            <w:tcW w:w="2028" w:type="dxa"/>
            <w:tcBorders>
              <w:bottom w:val="nil"/>
            </w:tcBorders>
          </w:tcPr>
          <w:p w14:paraId="4A1465FA" w14:textId="77777777" w:rsidR="008D6F13" w:rsidRPr="00295561" w:rsidRDefault="008D6F13" w:rsidP="0031078F">
            <w:pPr>
              <w:keepNext/>
              <w:spacing w:after="0"/>
              <w:rPr>
                <w:szCs w:val="17"/>
                <w:lang w:eastAsia="en-AU"/>
              </w:rPr>
            </w:pPr>
            <w:r>
              <w:rPr>
                <w:szCs w:val="17"/>
                <w:lang w:eastAsia="en-AU"/>
              </w:rPr>
              <w:t>T</w:t>
            </w:r>
            <w:r w:rsidRPr="00295561">
              <w:rPr>
                <w:szCs w:val="17"/>
                <w:lang w:eastAsia="en-AU"/>
              </w:rPr>
              <w:t>he Port of Melbourne lease transaction is recognised as a sale of equity from the general government sector.</w:t>
            </w:r>
          </w:p>
        </w:tc>
        <w:tc>
          <w:tcPr>
            <w:tcW w:w="1997" w:type="dxa"/>
            <w:tcBorders>
              <w:bottom w:val="nil"/>
            </w:tcBorders>
          </w:tcPr>
          <w:p w14:paraId="0B991751" w14:textId="77777777" w:rsidR="008D6F13" w:rsidRPr="00295561" w:rsidRDefault="008D6F13" w:rsidP="008D6F13">
            <w:pPr>
              <w:pStyle w:val="ListParagraph"/>
              <w:numPr>
                <w:ilvl w:val="0"/>
                <w:numId w:val="28"/>
              </w:numPr>
              <w:spacing w:after="0"/>
              <w:ind w:left="232" w:hanging="232"/>
              <w:rPr>
                <w:szCs w:val="17"/>
                <w:lang w:eastAsia="en-AU"/>
              </w:rPr>
            </w:pPr>
            <w:r w:rsidRPr="00295561">
              <w:rPr>
                <w:szCs w:val="17"/>
                <w:lang w:eastAsia="en-AU"/>
              </w:rPr>
              <w:t>Cash surplus/deficit</w:t>
            </w:r>
          </w:p>
          <w:p w14:paraId="0B203CB2" w14:textId="77777777" w:rsidR="008D6F13" w:rsidRPr="00295561" w:rsidRDefault="008D6F13" w:rsidP="008D6F13">
            <w:pPr>
              <w:pStyle w:val="ListParagraph"/>
              <w:numPr>
                <w:ilvl w:val="0"/>
                <w:numId w:val="28"/>
              </w:numPr>
              <w:spacing w:after="0"/>
              <w:ind w:left="232" w:hanging="232"/>
              <w:rPr>
                <w:szCs w:val="17"/>
                <w:lang w:eastAsia="en-AU"/>
              </w:rPr>
            </w:pPr>
            <w:r w:rsidRPr="00295561">
              <w:rPr>
                <w:szCs w:val="17"/>
                <w:lang w:eastAsia="en-AU"/>
              </w:rPr>
              <w:t>Comprehensive result – total change in net worth</w:t>
            </w:r>
          </w:p>
          <w:p w14:paraId="6EC529F7" w14:textId="77777777" w:rsidR="008D6F13" w:rsidRPr="00295561" w:rsidRDefault="008D6F13" w:rsidP="008D6F13">
            <w:pPr>
              <w:pStyle w:val="ListParagraph"/>
              <w:numPr>
                <w:ilvl w:val="0"/>
                <w:numId w:val="28"/>
              </w:numPr>
              <w:spacing w:before="120" w:after="0"/>
              <w:ind w:left="234" w:hanging="234"/>
              <w:rPr>
                <w:szCs w:val="17"/>
                <w:lang w:eastAsia="en-AU"/>
              </w:rPr>
            </w:pPr>
            <w:r w:rsidRPr="00295561">
              <w:rPr>
                <w:szCs w:val="17"/>
                <w:lang w:eastAsia="en-AU"/>
              </w:rPr>
              <w:t xml:space="preserve">Net lending/borrowing </w:t>
            </w:r>
          </w:p>
          <w:p w14:paraId="1CE7D681" w14:textId="77777777" w:rsidR="008D6F13" w:rsidRPr="00295561" w:rsidRDefault="008D6F13" w:rsidP="008D6F13">
            <w:pPr>
              <w:pStyle w:val="ListParagraph"/>
              <w:numPr>
                <w:ilvl w:val="0"/>
                <w:numId w:val="28"/>
              </w:numPr>
              <w:spacing w:before="120" w:after="0"/>
              <w:ind w:left="234" w:hanging="234"/>
              <w:rPr>
                <w:szCs w:val="17"/>
                <w:lang w:eastAsia="en-AU"/>
              </w:rPr>
            </w:pPr>
            <w:r w:rsidRPr="00295561">
              <w:rPr>
                <w:szCs w:val="17"/>
                <w:lang w:eastAsia="en-AU"/>
              </w:rPr>
              <w:t>Net result from transactions – net</w:t>
            </w:r>
            <w:r>
              <w:rPr>
                <w:szCs w:val="17"/>
                <w:lang w:eastAsia="en-AU"/>
              </w:rPr>
              <w:t> </w:t>
            </w:r>
            <w:r w:rsidRPr="00295561">
              <w:rPr>
                <w:szCs w:val="17"/>
                <w:lang w:eastAsia="en-AU"/>
              </w:rPr>
              <w:t>operating balance</w:t>
            </w:r>
          </w:p>
          <w:p w14:paraId="051CCA64" w14:textId="77777777" w:rsidR="008D6F13" w:rsidRPr="00295561" w:rsidRDefault="008D6F13" w:rsidP="008D6F13">
            <w:pPr>
              <w:pStyle w:val="ListParagraph"/>
              <w:numPr>
                <w:ilvl w:val="0"/>
                <w:numId w:val="28"/>
              </w:numPr>
              <w:spacing w:before="120"/>
              <w:ind w:left="232" w:hanging="232"/>
              <w:rPr>
                <w:b/>
                <w:bCs/>
                <w:szCs w:val="17"/>
                <w:lang w:eastAsia="en-AU"/>
              </w:rPr>
            </w:pPr>
            <w:r w:rsidRPr="00295561">
              <w:rPr>
                <w:szCs w:val="17"/>
                <w:lang w:eastAsia="en-AU"/>
              </w:rPr>
              <w:t>Net worth</w:t>
            </w:r>
          </w:p>
        </w:tc>
      </w:tr>
      <w:tr w:rsidR="008D6F13" w:rsidRPr="00295561" w14:paraId="2A7EFE40" w14:textId="77777777" w:rsidTr="0031078F">
        <w:tc>
          <w:tcPr>
            <w:tcW w:w="0" w:type="auto"/>
            <w:gridSpan w:val="4"/>
            <w:tcBorders>
              <w:bottom w:val="nil"/>
            </w:tcBorders>
            <w:shd w:val="clear" w:color="auto" w:fill="D9D9D9" w:themeFill="background1" w:themeFillShade="D9"/>
          </w:tcPr>
          <w:p w14:paraId="089DD848" w14:textId="77777777" w:rsidR="008D6F13" w:rsidRPr="00295561" w:rsidRDefault="008D6F13" w:rsidP="0031078F">
            <w:pPr>
              <w:spacing w:before="40" w:after="40"/>
              <w:rPr>
                <w:b/>
                <w:bCs/>
                <w:szCs w:val="17"/>
                <w:lang w:eastAsia="en-AU"/>
              </w:rPr>
            </w:pPr>
            <w:r w:rsidRPr="00295561">
              <w:rPr>
                <w:b/>
                <w:bCs/>
                <w:szCs w:val="17"/>
                <w:lang w:eastAsia="en-AU"/>
              </w:rPr>
              <w:t>Doubtful receivables</w:t>
            </w:r>
          </w:p>
        </w:tc>
      </w:tr>
      <w:tr w:rsidR="008D6F13" w:rsidRPr="00295561" w14:paraId="7948F6D3" w14:textId="77777777" w:rsidTr="0031078F">
        <w:tc>
          <w:tcPr>
            <w:tcW w:w="1560" w:type="dxa"/>
            <w:tcBorders>
              <w:top w:val="nil"/>
              <w:bottom w:val="nil"/>
            </w:tcBorders>
          </w:tcPr>
          <w:p w14:paraId="64ECAAA6" w14:textId="77777777" w:rsidR="008D6F13" w:rsidRPr="00295561" w:rsidRDefault="008D6F13" w:rsidP="0031078F">
            <w:pPr>
              <w:spacing w:after="0"/>
              <w:rPr>
                <w:b/>
                <w:bCs/>
                <w:szCs w:val="17"/>
                <w:lang w:eastAsia="en-AU"/>
              </w:rPr>
            </w:pPr>
          </w:p>
        </w:tc>
        <w:tc>
          <w:tcPr>
            <w:tcW w:w="2126" w:type="dxa"/>
            <w:tcBorders>
              <w:top w:val="nil"/>
              <w:bottom w:val="nil"/>
            </w:tcBorders>
          </w:tcPr>
          <w:p w14:paraId="665B947E" w14:textId="77777777" w:rsidR="008D6F13" w:rsidRPr="00295561" w:rsidRDefault="008D6F13" w:rsidP="0031078F">
            <w:pPr>
              <w:spacing w:after="0"/>
              <w:rPr>
                <w:szCs w:val="17"/>
                <w:lang w:eastAsia="en-AU"/>
              </w:rPr>
            </w:pPr>
            <w:r>
              <w:rPr>
                <w:szCs w:val="17"/>
              </w:rPr>
              <w:t>P</w:t>
            </w:r>
            <w:r w:rsidRPr="00295561">
              <w:rPr>
                <w:szCs w:val="17"/>
              </w:rPr>
              <w:t>rovisions for doubtful receivables are included on the balance sheet a</w:t>
            </w:r>
            <w:r>
              <w:rPr>
                <w:szCs w:val="17"/>
              </w:rPr>
              <w:t>s a</w:t>
            </w:r>
            <w:r w:rsidRPr="00295561">
              <w:rPr>
                <w:szCs w:val="17"/>
              </w:rPr>
              <w:t xml:space="preserve"> </w:t>
            </w:r>
            <w:r>
              <w:rPr>
                <w:szCs w:val="17"/>
              </w:rPr>
              <w:t xml:space="preserve">reduction in </w:t>
            </w:r>
            <w:r w:rsidRPr="00295561">
              <w:rPr>
                <w:szCs w:val="17"/>
              </w:rPr>
              <w:t>assets</w:t>
            </w:r>
            <w:r w:rsidRPr="00295561">
              <w:rPr>
                <w:szCs w:val="17"/>
                <w:lang w:eastAsia="en-AU"/>
              </w:rPr>
              <w:t>.</w:t>
            </w:r>
          </w:p>
        </w:tc>
        <w:tc>
          <w:tcPr>
            <w:tcW w:w="2028" w:type="dxa"/>
            <w:tcBorders>
              <w:top w:val="nil"/>
              <w:bottom w:val="nil"/>
            </w:tcBorders>
          </w:tcPr>
          <w:p w14:paraId="625C9F15" w14:textId="77777777" w:rsidR="008D6F13" w:rsidRPr="00295561" w:rsidRDefault="008D6F13" w:rsidP="0031078F">
            <w:pPr>
              <w:rPr>
                <w:szCs w:val="17"/>
                <w:lang w:eastAsia="en-AU"/>
              </w:rPr>
            </w:pPr>
            <w:r>
              <w:rPr>
                <w:szCs w:val="17"/>
                <w:lang w:eastAsia="en-AU"/>
              </w:rPr>
              <w:t>T</w:t>
            </w:r>
            <w:r w:rsidRPr="00295561">
              <w:rPr>
                <w:szCs w:val="17"/>
                <w:lang w:eastAsia="en-AU"/>
              </w:rPr>
              <w:t>he act of creating provisions is not considered an economic event and is therefore not included on the balance sheet.</w:t>
            </w:r>
          </w:p>
        </w:tc>
        <w:tc>
          <w:tcPr>
            <w:tcW w:w="1997" w:type="dxa"/>
            <w:tcBorders>
              <w:top w:val="nil"/>
              <w:bottom w:val="nil"/>
            </w:tcBorders>
          </w:tcPr>
          <w:p w14:paraId="164FC565" w14:textId="77777777" w:rsidR="008D6F13" w:rsidRPr="00295561" w:rsidRDefault="008D6F13" w:rsidP="008D6F13">
            <w:pPr>
              <w:pStyle w:val="ListParagraph"/>
              <w:numPr>
                <w:ilvl w:val="0"/>
                <w:numId w:val="28"/>
              </w:numPr>
              <w:spacing w:after="0"/>
              <w:ind w:left="234" w:hanging="234"/>
              <w:rPr>
                <w:szCs w:val="17"/>
                <w:lang w:eastAsia="en-AU"/>
              </w:rPr>
            </w:pPr>
            <w:r w:rsidRPr="00295561">
              <w:rPr>
                <w:szCs w:val="17"/>
                <w:lang w:eastAsia="en-AU"/>
              </w:rPr>
              <w:t>Comprehensive result – total change in net worth</w:t>
            </w:r>
          </w:p>
          <w:p w14:paraId="0D54623A" w14:textId="77777777" w:rsidR="008D6F13" w:rsidRPr="00295561" w:rsidRDefault="008D6F13" w:rsidP="008D6F13">
            <w:pPr>
              <w:pStyle w:val="ListParagraph"/>
              <w:numPr>
                <w:ilvl w:val="0"/>
                <w:numId w:val="28"/>
              </w:numPr>
              <w:spacing w:before="120" w:after="0"/>
              <w:ind w:left="234" w:hanging="234"/>
              <w:rPr>
                <w:b/>
                <w:bCs/>
                <w:szCs w:val="17"/>
                <w:lang w:eastAsia="en-AU"/>
              </w:rPr>
            </w:pPr>
            <w:r w:rsidRPr="00295561">
              <w:rPr>
                <w:szCs w:val="17"/>
                <w:lang w:eastAsia="en-AU"/>
              </w:rPr>
              <w:t>Net worth</w:t>
            </w:r>
          </w:p>
        </w:tc>
      </w:tr>
      <w:tr w:rsidR="008D6F13" w:rsidRPr="00295561" w14:paraId="3C312A22" w14:textId="77777777" w:rsidTr="0031078F">
        <w:tc>
          <w:tcPr>
            <w:tcW w:w="0" w:type="auto"/>
            <w:gridSpan w:val="4"/>
            <w:tcBorders>
              <w:bottom w:val="nil"/>
            </w:tcBorders>
            <w:shd w:val="clear" w:color="auto" w:fill="D9D9D9" w:themeFill="background1" w:themeFillShade="D9"/>
          </w:tcPr>
          <w:p w14:paraId="7F31FFD9" w14:textId="77777777" w:rsidR="008D6F13" w:rsidRPr="00295561" w:rsidRDefault="008D6F13" w:rsidP="0031078F">
            <w:pPr>
              <w:keepNext/>
              <w:spacing w:before="40" w:after="40"/>
              <w:rPr>
                <w:b/>
                <w:bCs/>
                <w:szCs w:val="17"/>
                <w:lang w:eastAsia="en-AU"/>
              </w:rPr>
            </w:pPr>
            <w:r w:rsidRPr="00295561">
              <w:rPr>
                <w:b/>
                <w:bCs/>
                <w:szCs w:val="17"/>
                <w:lang w:eastAsia="en-AU"/>
              </w:rPr>
              <w:t>Investment in other sector entities</w:t>
            </w:r>
          </w:p>
        </w:tc>
      </w:tr>
      <w:tr w:rsidR="008D6F13" w:rsidRPr="00295561" w14:paraId="22C5F240" w14:textId="77777777" w:rsidTr="0031078F">
        <w:tc>
          <w:tcPr>
            <w:tcW w:w="1560" w:type="dxa"/>
            <w:tcBorders>
              <w:top w:val="nil"/>
            </w:tcBorders>
          </w:tcPr>
          <w:p w14:paraId="452A2F65" w14:textId="77777777" w:rsidR="008D6F13" w:rsidRPr="00295561" w:rsidRDefault="008D6F13" w:rsidP="0031078F">
            <w:pPr>
              <w:spacing w:after="0"/>
              <w:rPr>
                <w:b/>
                <w:bCs/>
                <w:szCs w:val="17"/>
                <w:lang w:eastAsia="en-AU"/>
              </w:rPr>
            </w:pPr>
          </w:p>
        </w:tc>
        <w:tc>
          <w:tcPr>
            <w:tcW w:w="2126" w:type="dxa"/>
            <w:tcBorders>
              <w:top w:val="nil"/>
            </w:tcBorders>
          </w:tcPr>
          <w:p w14:paraId="7E6915BF" w14:textId="77777777" w:rsidR="008D6F13" w:rsidRPr="00295561" w:rsidRDefault="008D6F13" w:rsidP="0031078F">
            <w:pPr>
              <w:rPr>
                <w:szCs w:val="17"/>
                <w:lang w:eastAsia="en-AU"/>
              </w:rPr>
            </w:pPr>
            <w:r>
              <w:rPr>
                <w:szCs w:val="17"/>
                <w:lang w:eastAsia="en-AU"/>
              </w:rPr>
              <w:t>T</w:t>
            </w:r>
            <w:r w:rsidRPr="00295561">
              <w:rPr>
                <w:szCs w:val="17"/>
                <w:lang w:eastAsia="en-AU"/>
              </w:rPr>
              <w:t>he net worth of investments in other sector entities for the general government sector includes doubtful receivables, future tax benefits and deferred tax liabilities of the PNFC and PFC sectors.</w:t>
            </w:r>
          </w:p>
        </w:tc>
        <w:tc>
          <w:tcPr>
            <w:tcW w:w="2028" w:type="dxa"/>
            <w:tcBorders>
              <w:top w:val="nil"/>
            </w:tcBorders>
          </w:tcPr>
          <w:p w14:paraId="20743B59" w14:textId="77777777" w:rsidR="008D6F13" w:rsidRPr="00295561" w:rsidRDefault="008D6F13" w:rsidP="0031078F">
            <w:pPr>
              <w:spacing w:after="0"/>
              <w:rPr>
                <w:szCs w:val="17"/>
                <w:lang w:eastAsia="en-AU"/>
              </w:rPr>
            </w:pPr>
            <w:r>
              <w:rPr>
                <w:szCs w:val="17"/>
                <w:lang w:eastAsia="en-AU"/>
              </w:rPr>
              <w:t>T</w:t>
            </w:r>
            <w:r w:rsidRPr="00295561">
              <w:rPr>
                <w:szCs w:val="17"/>
                <w:lang w:eastAsia="en-AU"/>
              </w:rPr>
              <w:t>he determination of net worth is exclusive of this.</w:t>
            </w:r>
          </w:p>
        </w:tc>
        <w:tc>
          <w:tcPr>
            <w:tcW w:w="1997" w:type="dxa"/>
            <w:tcBorders>
              <w:top w:val="nil"/>
            </w:tcBorders>
          </w:tcPr>
          <w:p w14:paraId="26157BA8" w14:textId="77777777" w:rsidR="008D6F13" w:rsidRPr="00295561" w:rsidRDefault="008D6F13" w:rsidP="008D6F13">
            <w:pPr>
              <w:pStyle w:val="ListParagraph"/>
              <w:numPr>
                <w:ilvl w:val="0"/>
                <w:numId w:val="28"/>
              </w:numPr>
              <w:spacing w:after="0"/>
              <w:ind w:left="234" w:hanging="234"/>
              <w:rPr>
                <w:szCs w:val="17"/>
                <w:lang w:eastAsia="en-AU"/>
              </w:rPr>
            </w:pPr>
            <w:r w:rsidRPr="00295561">
              <w:rPr>
                <w:szCs w:val="17"/>
                <w:lang w:eastAsia="en-AU"/>
              </w:rPr>
              <w:t>Comprehensive result – total change in net worth</w:t>
            </w:r>
          </w:p>
          <w:p w14:paraId="2135A9F5" w14:textId="77777777" w:rsidR="008D6F13" w:rsidRPr="00295561" w:rsidRDefault="008D6F13" w:rsidP="008D6F13">
            <w:pPr>
              <w:pStyle w:val="ListParagraph"/>
              <w:numPr>
                <w:ilvl w:val="0"/>
                <w:numId w:val="28"/>
              </w:numPr>
              <w:spacing w:after="0"/>
              <w:ind w:left="234" w:hanging="234"/>
              <w:rPr>
                <w:szCs w:val="17"/>
                <w:lang w:eastAsia="en-AU"/>
              </w:rPr>
            </w:pPr>
            <w:r w:rsidRPr="00295561">
              <w:rPr>
                <w:szCs w:val="17"/>
                <w:lang w:eastAsia="en-AU"/>
              </w:rPr>
              <w:t>Net worth</w:t>
            </w:r>
          </w:p>
        </w:tc>
      </w:tr>
    </w:tbl>
    <w:p w14:paraId="1EEB375A" w14:textId="77777777" w:rsidR="008D6F13" w:rsidRDefault="008D6F13" w:rsidP="008D6F13"/>
    <w:p w14:paraId="40B730B7" w14:textId="77777777" w:rsidR="008D6F13" w:rsidRDefault="008D6F13" w:rsidP="008D6F13">
      <w:r>
        <w:br w:type="page"/>
      </w:r>
    </w:p>
    <w:p w14:paraId="4ED4BF16" w14:textId="77777777" w:rsidR="008D6F13" w:rsidRDefault="008D6F13" w:rsidP="008D6F13">
      <w:pPr>
        <w:pStyle w:val="Heading3"/>
      </w:pPr>
      <w:bookmarkStart w:id="107" w:name="_Toc85802080"/>
      <w:r w:rsidRPr="00F872C9">
        <w:lastRenderedPageBreak/>
        <w:t>Prospective accounting and reporting changes</w:t>
      </w:r>
      <w:bookmarkEnd w:id="107"/>
    </w:p>
    <w:p w14:paraId="52B38A54" w14:textId="77777777" w:rsidR="008D6F13" w:rsidRPr="00A7102E" w:rsidRDefault="008D6F13" w:rsidP="008D6F13">
      <w:r w:rsidRPr="00A7102E">
        <w:t xml:space="preserve">New and revised accounting standards have been issued which are not effective for the 2021-22 reporting period. These accounting standards have not been applied to the Estimated Financial Statements. The State is reviewing its existing policies and assessing the potential implications of: </w:t>
      </w:r>
    </w:p>
    <w:p w14:paraId="4CCEA277" w14:textId="77777777" w:rsidR="008D6F13" w:rsidRPr="00A7102E" w:rsidRDefault="008D6F13" w:rsidP="008D6F13">
      <w:pPr>
        <w:pStyle w:val="ListBullet"/>
      </w:pPr>
      <w:r w:rsidRPr="00A7102E">
        <w:t xml:space="preserve">AASB 2020-1 </w:t>
      </w:r>
      <w:r w:rsidRPr="00F872C9">
        <w:rPr>
          <w:i/>
          <w:iCs/>
        </w:rPr>
        <w:t>Amendments to Australian Accounting Standards – Classification of Liabilities as Current or Non-Current</w:t>
      </w:r>
      <w:r w:rsidRPr="00A7102E">
        <w:t xml:space="preserve">. </w:t>
      </w:r>
      <w:bookmarkStart w:id="108" w:name="_Hlk66808131"/>
      <w:r w:rsidRPr="00A7102E">
        <w:t xml:space="preserve">The operative date of this standard has been deferred by AASB 2020-6 </w:t>
      </w:r>
      <w:r w:rsidRPr="00F872C9">
        <w:rPr>
          <w:i/>
          <w:iCs/>
        </w:rPr>
        <w:t>Amendments to Australian Accounting Standards – Classification of Liabilities as Current or Non-current</w:t>
      </w:r>
      <w:r w:rsidRPr="00A7102E">
        <w:t xml:space="preserve"> to reporting periods beginning on or after 1 January 2023 with earlier application permitted. </w:t>
      </w:r>
      <w:bookmarkEnd w:id="108"/>
      <w:r w:rsidRPr="00A7102E">
        <w:t>This standard amends AASB 101 to clarify requirements for the presentation of liabilities in the balance sheet as current or non-current. The State is in the process of analysing the impacts of this standard and it is not anticipated to have a material impact.</w:t>
      </w:r>
    </w:p>
    <w:p w14:paraId="2E3B82ED" w14:textId="77777777" w:rsidR="008D6F13" w:rsidRPr="00A7102E" w:rsidRDefault="008D6F13" w:rsidP="008D6F13">
      <w:pPr>
        <w:pStyle w:val="ListBullet"/>
      </w:pPr>
      <w:r w:rsidRPr="00A7102E">
        <w:t xml:space="preserve">AASB 2020-3 </w:t>
      </w:r>
      <w:r w:rsidRPr="00F872C9">
        <w:rPr>
          <w:i/>
          <w:iCs/>
        </w:rPr>
        <w:t>Amendments to Australian Accounting Standards – Annual Improvements 2018</w:t>
      </w:r>
      <w:r w:rsidRPr="00F872C9">
        <w:rPr>
          <w:i/>
          <w:iCs/>
        </w:rPr>
        <w:noBreakHyphen/>
        <w:t>2020 and Other Amendments</w:t>
      </w:r>
      <w:r w:rsidRPr="00A7102E">
        <w:t xml:space="preserve"> operative on or after 1 January 2022. This standard amends AASB 1, AASB 3, AASB 9, AASB 116, AASB 137 and AASB 141 arising from changes made by the International Accounting Standards Board. The State is in the process of analysing the impacts of this standard, and it is not anticipated to have a material impact.</w:t>
      </w:r>
    </w:p>
    <w:p w14:paraId="3C1A93D1" w14:textId="77777777" w:rsidR="008D6F13" w:rsidRPr="00A7102E" w:rsidRDefault="008D6F13" w:rsidP="008D6F13">
      <w:pPr>
        <w:pStyle w:val="ListBullet"/>
      </w:pPr>
      <w:r w:rsidRPr="00A7102E">
        <w:t xml:space="preserve">AASB 17 </w:t>
      </w:r>
      <w:r w:rsidRPr="00F872C9">
        <w:rPr>
          <w:i/>
          <w:iCs/>
        </w:rPr>
        <w:t>Insurance Contracts</w:t>
      </w:r>
      <w:bookmarkStart w:id="109" w:name="_Hlk66808391"/>
      <w:r w:rsidRPr="00A7102E">
        <w:t xml:space="preserve">: the operative date of this standard has been deferred by AASB 2020-5 </w:t>
      </w:r>
      <w:r w:rsidRPr="00F872C9">
        <w:rPr>
          <w:i/>
          <w:iCs/>
        </w:rPr>
        <w:t>Amendments to Australian Accounting Standards – Insurance Contracts</w:t>
      </w:r>
      <w:r w:rsidRPr="00A7102E">
        <w:t xml:space="preserve"> to reporting periods beginning on or after 1 January 2023 and</w:t>
      </w:r>
      <w:bookmarkEnd w:id="109"/>
      <w:r w:rsidRPr="00A7102E">
        <w:t xml:space="preserve"> will supersede AASB 4 </w:t>
      </w:r>
      <w:r w:rsidRPr="00F872C9">
        <w:rPr>
          <w:i/>
          <w:iCs/>
        </w:rPr>
        <w:t>Insurance Contracts</w:t>
      </w:r>
      <w:r w:rsidRPr="00A7102E">
        <w:t>. AASB 17 seeks to eliminate inconsistencies and weaknesses in existing practices by providing a single principle</w:t>
      </w:r>
      <w:r w:rsidRPr="00A7102E">
        <w:noBreakHyphen/>
        <w:t>based framework to account for all types of insurance contracts, including reissuance contracts that an insurer holds. The standard also provides new requirements for presentation and disclosure to enhance comparability between entities. The standard currently does not apply to not-for-profit public sector entities.</w:t>
      </w:r>
    </w:p>
    <w:p w14:paraId="62A58AF8" w14:textId="77777777" w:rsidR="008D6F13" w:rsidRPr="009E03FE" w:rsidRDefault="008D6F13" w:rsidP="008D6F13">
      <w:r w:rsidRPr="00A7102E">
        <w:t>In addition, several other amending standards and AASB interpretations have been issued that apply to future reporting periods but are considered to have limited impact on public sector reporting.</w:t>
      </w:r>
      <w:r w:rsidRPr="00A7102E">
        <w:br w:type="page"/>
      </w:r>
    </w:p>
    <w:p w14:paraId="03D14854" w14:textId="77777777" w:rsidR="008D6F13" w:rsidRPr="00A7102E" w:rsidRDefault="008D6F13" w:rsidP="008D6F13">
      <w:pPr>
        <w:pStyle w:val="Heading3"/>
      </w:pPr>
      <w:bookmarkStart w:id="110" w:name="_Toc85802081"/>
      <w:r w:rsidRPr="00A7102E">
        <w:lastRenderedPageBreak/>
        <w:t>Controlled entities</w:t>
      </w:r>
      <w:bookmarkEnd w:id="110"/>
    </w:p>
    <w:p w14:paraId="0ED07824" w14:textId="77777777" w:rsidR="008D6F13" w:rsidRPr="00A7102E" w:rsidRDefault="008D6F13" w:rsidP="008D6F13">
      <w:bookmarkStart w:id="111" w:name="_Hlk531351592"/>
      <w:r w:rsidRPr="00A7102E">
        <w:t xml:space="preserve">Note 9.8 in Chapter 4 of the </w:t>
      </w:r>
      <w:r w:rsidRPr="00F872C9">
        <w:rPr>
          <w:i/>
          <w:iCs/>
        </w:rPr>
        <w:t>2020</w:t>
      </w:r>
      <w:r w:rsidRPr="00F872C9">
        <w:rPr>
          <w:i/>
          <w:iCs/>
        </w:rPr>
        <w:noBreakHyphen/>
        <w:t>21 Financial Report</w:t>
      </w:r>
      <w:r w:rsidRPr="00A7102E">
        <w:t xml:space="preserve"> for the State of Victoria</w:t>
      </w:r>
      <w:r w:rsidRPr="00A7102E" w:rsidDel="00F21926">
        <w:t xml:space="preserve"> </w:t>
      </w:r>
      <w:r w:rsidRPr="00A7102E">
        <w:t xml:space="preserve">lists significant controlled entities, which were consolidated in that financial report. </w:t>
      </w:r>
    </w:p>
    <w:p w14:paraId="6E9DA457" w14:textId="77777777" w:rsidR="008D6F13" w:rsidRDefault="008D6F13" w:rsidP="008D6F13">
      <w:pPr>
        <w:spacing w:after="120"/>
      </w:pPr>
      <w:r w:rsidRPr="00A7102E">
        <w:t>The following are changes in general government sector entities since 1 July 2021, which have also been incorporated in this financial report:</w:t>
      </w:r>
    </w:p>
    <w:tbl>
      <w:tblPr>
        <w:tblStyle w:val="DTFTableText"/>
        <w:tblW w:w="4947" w:type="pct"/>
        <w:tblLook w:val="06A0" w:firstRow="1" w:lastRow="0" w:firstColumn="1" w:lastColumn="0" w:noHBand="1" w:noVBand="1"/>
      </w:tblPr>
      <w:tblGrid>
        <w:gridCol w:w="7629"/>
      </w:tblGrid>
      <w:tr w:rsidR="008D6F13" w:rsidRPr="006E4AE9" w14:paraId="64199643" w14:textId="77777777" w:rsidTr="0031078F">
        <w:trPr>
          <w:cnfStyle w:val="100000000000" w:firstRow="1" w:lastRow="0" w:firstColumn="0" w:lastColumn="0" w:oddVBand="0" w:evenVBand="0" w:oddHBand="0" w:evenHBand="0" w:firstRowFirstColumn="0" w:firstRowLastColumn="0" w:lastRowFirstColumn="0" w:lastRowLastColumn="0"/>
        </w:trPr>
        <w:tc>
          <w:tcPr>
            <w:tcW w:w="5000" w:type="pct"/>
          </w:tcPr>
          <w:bookmarkEnd w:id="111"/>
          <w:p w14:paraId="30B67E57" w14:textId="77777777" w:rsidR="008D6F13" w:rsidRPr="006E4AE9" w:rsidRDefault="008D6F13" w:rsidP="0031078F">
            <w:pPr>
              <w:spacing w:after="40"/>
            </w:pPr>
            <w:r w:rsidRPr="006E4AE9">
              <w:t>General government sector</w:t>
            </w:r>
          </w:p>
        </w:tc>
      </w:tr>
      <w:tr w:rsidR="008D6F13" w:rsidRPr="00AD1F6B" w14:paraId="18C6A37F" w14:textId="77777777" w:rsidTr="0031078F">
        <w:tc>
          <w:tcPr>
            <w:tcW w:w="5000" w:type="pct"/>
            <w:tcBorders>
              <w:bottom w:val="nil"/>
            </w:tcBorders>
          </w:tcPr>
          <w:p w14:paraId="44A66D32" w14:textId="77777777" w:rsidR="008D6F13" w:rsidRPr="00AD1F6B" w:rsidRDefault="008D6F13" w:rsidP="0031078F">
            <w:pPr>
              <w:pStyle w:val="ControlledEntitiesDepartment"/>
              <w:spacing w:after="40"/>
              <w:rPr>
                <w:color w:val="auto"/>
              </w:rPr>
            </w:pPr>
            <w:r w:rsidRPr="00AD1F6B">
              <w:rPr>
                <w:color w:val="auto"/>
              </w:rPr>
              <w:t xml:space="preserve">Department of </w:t>
            </w:r>
            <w:r>
              <w:rPr>
                <w:color w:val="auto"/>
              </w:rPr>
              <w:t>Health</w:t>
            </w:r>
          </w:p>
          <w:p w14:paraId="3FB7DD5F" w14:textId="77777777" w:rsidR="008D6F13" w:rsidRDefault="008D6F13" w:rsidP="0031078F">
            <w:pPr>
              <w:spacing w:after="40"/>
              <w:rPr>
                <w:vertAlign w:val="superscript"/>
              </w:rPr>
            </w:pPr>
            <w:r>
              <w:t>Grampians Health</w:t>
            </w:r>
            <w:r w:rsidRPr="00AD1F6B">
              <w:rPr>
                <w:vertAlign w:val="superscript"/>
              </w:rPr>
              <w:t xml:space="preserve"> (a)</w:t>
            </w:r>
          </w:p>
          <w:p w14:paraId="0BB466EC" w14:textId="77777777" w:rsidR="008D6F13" w:rsidRPr="00AD1F6B" w:rsidRDefault="008D6F13" w:rsidP="0031078F">
            <w:pPr>
              <w:pStyle w:val="ControlledEntitiesDepartment"/>
              <w:spacing w:after="40"/>
              <w:rPr>
                <w:color w:val="auto"/>
              </w:rPr>
            </w:pPr>
            <w:r w:rsidRPr="00AD1F6B">
              <w:rPr>
                <w:color w:val="auto"/>
              </w:rPr>
              <w:t xml:space="preserve">Department of </w:t>
            </w:r>
            <w:r>
              <w:rPr>
                <w:color w:val="auto"/>
              </w:rPr>
              <w:t>Premier and Cabinet</w:t>
            </w:r>
          </w:p>
          <w:p w14:paraId="22DD244F" w14:textId="77777777" w:rsidR="008D6F13" w:rsidRPr="00AD1F6B" w:rsidRDefault="008D6F13" w:rsidP="0031078F">
            <w:pPr>
              <w:spacing w:after="40"/>
            </w:pPr>
            <w:r>
              <w:t>Wage Inspectorate Victoria</w:t>
            </w:r>
            <w:r w:rsidRPr="00AD1F6B">
              <w:rPr>
                <w:vertAlign w:val="superscript"/>
              </w:rPr>
              <w:t xml:space="preserve"> (</w:t>
            </w:r>
            <w:r>
              <w:rPr>
                <w:vertAlign w:val="superscript"/>
              </w:rPr>
              <w:t>b</w:t>
            </w:r>
            <w:r w:rsidRPr="00AD1F6B">
              <w:rPr>
                <w:vertAlign w:val="superscript"/>
              </w:rPr>
              <w:t>)</w:t>
            </w:r>
          </w:p>
        </w:tc>
      </w:tr>
      <w:tr w:rsidR="008D6F13" w:rsidRPr="00E907A7" w14:paraId="66A85571" w14:textId="77777777" w:rsidTr="0031078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5000" w:type="pct"/>
            <w:tcBorders>
              <w:bottom w:val="nil"/>
            </w:tcBorders>
            <w:shd w:val="clear" w:color="auto" w:fill="000000" w:themeFill="text1"/>
          </w:tcPr>
          <w:p w14:paraId="177B0CD7" w14:textId="77777777" w:rsidR="008D6F13" w:rsidRPr="00E907A7" w:rsidRDefault="008D6F13" w:rsidP="0031078F">
            <w:pPr>
              <w:spacing w:before="20" w:after="40"/>
              <w:rPr>
                <w:i/>
                <w:iCs/>
              </w:rPr>
            </w:pPr>
            <w:r>
              <w:rPr>
                <w:i/>
                <w:iCs/>
              </w:rPr>
              <w:t>Public non-financial corporate sector</w:t>
            </w:r>
          </w:p>
        </w:tc>
      </w:tr>
      <w:tr w:rsidR="008D6F13" w:rsidRPr="00AD1F6B" w14:paraId="49E3FFA3" w14:textId="77777777" w:rsidTr="0031078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5000" w:type="pct"/>
            <w:tcBorders>
              <w:bottom w:val="single" w:sz="12" w:space="0" w:color="auto"/>
            </w:tcBorders>
          </w:tcPr>
          <w:p w14:paraId="62E2B8E0" w14:textId="77777777" w:rsidR="008D6F13" w:rsidRPr="002B74A0" w:rsidRDefault="008D6F13" w:rsidP="0031078F">
            <w:pPr>
              <w:pStyle w:val="ControlledEntitiesDepartment"/>
              <w:spacing w:after="40"/>
              <w:rPr>
                <w:color w:val="auto"/>
              </w:rPr>
            </w:pPr>
            <w:r w:rsidRPr="002B74A0">
              <w:rPr>
                <w:color w:val="auto"/>
              </w:rPr>
              <w:t>Department of Environment, Land,</w:t>
            </w:r>
            <w:r>
              <w:rPr>
                <w:color w:val="auto"/>
              </w:rPr>
              <w:t xml:space="preserve"> Water and Planning</w:t>
            </w:r>
          </w:p>
          <w:p w14:paraId="2EDB47A3" w14:textId="77777777" w:rsidR="008D6F13" w:rsidRDefault="008D6F13" w:rsidP="0031078F">
            <w:pPr>
              <w:spacing w:after="40"/>
              <w:rPr>
                <w:vertAlign w:val="superscript"/>
              </w:rPr>
            </w:pPr>
            <w:r>
              <w:t xml:space="preserve">Greater Western Water </w:t>
            </w:r>
            <w:r w:rsidRPr="00BB0CE7">
              <w:rPr>
                <w:vertAlign w:val="superscript"/>
              </w:rPr>
              <w:t>(</w:t>
            </w:r>
            <w:r>
              <w:rPr>
                <w:vertAlign w:val="superscript"/>
              </w:rPr>
              <w:t>c</w:t>
            </w:r>
            <w:r w:rsidRPr="00BB0CE7">
              <w:rPr>
                <w:vertAlign w:val="superscript"/>
              </w:rPr>
              <w:t>)</w:t>
            </w:r>
          </w:p>
          <w:p w14:paraId="2D57FF06" w14:textId="77777777" w:rsidR="008D6F13" w:rsidRPr="002B74A0" w:rsidRDefault="008D6F13" w:rsidP="0031078F">
            <w:pPr>
              <w:pStyle w:val="ControlledEntitiesDepartment"/>
              <w:spacing w:after="40"/>
              <w:rPr>
                <w:color w:val="auto"/>
              </w:rPr>
            </w:pPr>
            <w:r w:rsidRPr="002B74A0">
              <w:rPr>
                <w:color w:val="auto"/>
              </w:rPr>
              <w:t xml:space="preserve">Department of </w:t>
            </w:r>
            <w:r>
              <w:rPr>
                <w:color w:val="auto"/>
              </w:rPr>
              <w:t>Transport</w:t>
            </w:r>
          </w:p>
          <w:p w14:paraId="23DF559C" w14:textId="77777777" w:rsidR="008D6F13" w:rsidRPr="00AD1F6B" w:rsidRDefault="008D6F13" w:rsidP="0031078F">
            <w:pPr>
              <w:spacing w:after="40"/>
            </w:pPr>
            <w:r>
              <w:t xml:space="preserve">Ports Victoria </w:t>
            </w:r>
            <w:r w:rsidRPr="00BB0CE7">
              <w:rPr>
                <w:vertAlign w:val="superscript"/>
              </w:rPr>
              <w:t>(</w:t>
            </w:r>
            <w:r>
              <w:rPr>
                <w:vertAlign w:val="superscript"/>
              </w:rPr>
              <w:t>d</w:t>
            </w:r>
            <w:r w:rsidRPr="00BB0CE7">
              <w:rPr>
                <w:vertAlign w:val="superscript"/>
              </w:rPr>
              <w:t>)</w:t>
            </w:r>
          </w:p>
        </w:tc>
      </w:tr>
    </w:tbl>
    <w:p w14:paraId="4AD2F25F" w14:textId="77777777" w:rsidR="008D6F13" w:rsidRDefault="008D6F13" w:rsidP="008D6F13">
      <w:pPr>
        <w:pStyle w:val="Note"/>
      </w:pPr>
      <w:r>
        <w:t>Notes:</w:t>
      </w:r>
    </w:p>
    <w:p w14:paraId="19A8FE68" w14:textId="77777777" w:rsidR="008D6F13" w:rsidRDefault="008D6F13" w:rsidP="008D6F13">
      <w:pPr>
        <w:pStyle w:val="Note"/>
        <w:rPr>
          <w:color w:val="000000"/>
          <w:shd w:val="clear" w:color="auto" w:fill="FFFFFF"/>
        </w:rPr>
      </w:pPr>
      <w:r>
        <w:t>(a)</w:t>
      </w:r>
      <w:r>
        <w:tab/>
      </w:r>
      <w:r w:rsidRPr="000B6020">
        <w:rPr>
          <w:color w:val="000000"/>
          <w:shd w:val="clear" w:color="auto" w:fill="FFFFFF"/>
        </w:rPr>
        <w:t>Effective from 1 November 2021, Ballarat Health Services, Edenhope and District Memorial Hospital, Stawell Regional Health and Wimmera Health Care Group were amalgamated into Grampians Health.</w:t>
      </w:r>
    </w:p>
    <w:p w14:paraId="033491BC" w14:textId="77777777" w:rsidR="008D6F13" w:rsidRDefault="008D6F13" w:rsidP="008D6F13">
      <w:pPr>
        <w:pStyle w:val="Note"/>
      </w:pPr>
      <w:r>
        <w:t>(b)</w:t>
      </w:r>
      <w:r>
        <w:tab/>
      </w:r>
      <w:r w:rsidRPr="002A5FFC">
        <w:t xml:space="preserve">Effective from 1 July 2021, the Wage Inspectorate Victoria was established by the </w:t>
      </w:r>
      <w:r w:rsidRPr="005852C9">
        <w:rPr>
          <w:i w:val="0"/>
          <w:iCs/>
        </w:rPr>
        <w:t>Wage Theft Act 2020</w:t>
      </w:r>
      <w:r w:rsidRPr="002A5FFC">
        <w:t xml:space="preserve"> to promote, monitor, and enforce a range of Victorian workplace laws to ensure workers and businesses are treated fairly.</w:t>
      </w:r>
      <w:r>
        <w:t xml:space="preserve"> </w:t>
      </w:r>
    </w:p>
    <w:p w14:paraId="12C78462" w14:textId="77777777" w:rsidR="008D6F13" w:rsidRDefault="008D6F13" w:rsidP="008D6F13">
      <w:pPr>
        <w:pStyle w:val="Note"/>
      </w:pPr>
      <w:r>
        <w:t>(c)</w:t>
      </w:r>
      <w:r>
        <w:tab/>
      </w:r>
      <w:r w:rsidRPr="00F36BFC">
        <w:t>Effective</w:t>
      </w:r>
      <w:r>
        <w:t xml:space="preserve"> from</w:t>
      </w:r>
      <w:r w:rsidRPr="00F36BFC">
        <w:t xml:space="preserve"> 1 July 2021, City West Water Corporation and Western Region Water Corporation integrated to form a new water corporation called Greater Western Water.</w:t>
      </w:r>
    </w:p>
    <w:p w14:paraId="0B2E6818" w14:textId="77777777" w:rsidR="008D6F13" w:rsidRDefault="008D6F13" w:rsidP="008D6F13">
      <w:pPr>
        <w:pStyle w:val="Note"/>
      </w:pPr>
      <w:r>
        <w:t>(d)</w:t>
      </w:r>
      <w:r>
        <w:tab/>
        <w:t>Effective from 1 July 2021, Victorian Ports Corporation (Melbourne) and Victorian Regional Channels Authority merged and created a new entity called Ports Victoria. Ports Victoria will lead the strategic management and operation of Victorian commercial ports and waterways.</w:t>
      </w:r>
    </w:p>
    <w:p w14:paraId="0E5C0596" w14:textId="77777777" w:rsidR="008D6F13" w:rsidRDefault="008D6F13" w:rsidP="008D6F13">
      <w:pPr>
        <w:pStyle w:val="Note"/>
      </w:pPr>
    </w:p>
    <w:p w14:paraId="7B4F0D0D" w14:textId="77777777" w:rsidR="008D6F13" w:rsidRPr="00A7102E" w:rsidRDefault="008D6F13" w:rsidP="008D6F13">
      <w:pPr>
        <w:pStyle w:val="Note"/>
        <w:rPr>
          <w:highlight w:val="yellow"/>
        </w:rPr>
      </w:pPr>
    </w:p>
    <w:p w14:paraId="22B4A974" w14:textId="11D63405" w:rsidR="0031078F" w:rsidRDefault="0031078F">
      <w:pPr>
        <w:keepLines w:val="0"/>
      </w:pPr>
      <w:r>
        <w:br w:type="page"/>
      </w:r>
    </w:p>
    <w:p w14:paraId="619669DF" w14:textId="77777777" w:rsidR="008D6F13" w:rsidRPr="00F872C9" w:rsidRDefault="008D6F13" w:rsidP="008D6F13"/>
    <w:bookmarkEnd w:id="104"/>
    <w:p w14:paraId="3F778355" w14:textId="5DE4F983" w:rsidR="008D6F13" w:rsidRDefault="008D6F13">
      <w:pPr>
        <w:keepLines w:val="0"/>
      </w:pPr>
    </w:p>
    <w:p w14:paraId="6AB31684" w14:textId="77777777" w:rsidR="008D6F13" w:rsidRDefault="008D6F13" w:rsidP="003610AD"/>
    <w:p w14:paraId="0F640514" w14:textId="0B2377AE" w:rsidR="008D6F13" w:rsidRDefault="008D6F13" w:rsidP="003610AD">
      <w:pPr>
        <w:sectPr w:rsidR="008D6F13" w:rsidSect="00041FCE">
          <w:footerReference w:type="even" r:id="rId46"/>
          <w:footerReference w:type="default" r:id="rId47"/>
          <w:footerReference w:type="first" r:id="rId48"/>
          <w:type w:val="continuous"/>
          <w:pgSz w:w="9979" w:h="14175" w:code="9"/>
          <w:pgMar w:top="1134" w:right="1134" w:bottom="1134" w:left="1134" w:header="624" w:footer="567" w:gutter="0"/>
          <w:cols w:space="708"/>
          <w:titlePg/>
          <w:docGrid w:linePitch="360"/>
        </w:sectPr>
      </w:pPr>
    </w:p>
    <w:p w14:paraId="65A1CF5B" w14:textId="77777777" w:rsidR="008D6F13" w:rsidRPr="00921F69" w:rsidRDefault="008D6F13" w:rsidP="008D6F13">
      <w:pPr>
        <w:pStyle w:val="ChapterHeading"/>
      </w:pPr>
      <w:bookmarkStart w:id="112" w:name="_Toc89423592"/>
      <w:r w:rsidRPr="00921F69">
        <w:lastRenderedPageBreak/>
        <w:t>Chapter 5 – Supplementary uniform presentation framework tables</w:t>
      </w:r>
      <w:bookmarkEnd w:id="112"/>
    </w:p>
    <w:p w14:paraId="0B9CC362" w14:textId="77777777" w:rsidR="008D6F13" w:rsidRPr="00921F69" w:rsidRDefault="008D6F13" w:rsidP="008D6F13">
      <w:pPr>
        <w:pStyle w:val="TableHeading"/>
      </w:pPr>
      <w:r w:rsidRPr="00921F69">
        <w:t>Table 5.1</w:t>
      </w:r>
      <w:r w:rsidRPr="00921F69">
        <w:tab/>
        <w:t xml:space="preserve">Public non-financial </w:t>
      </w:r>
      <w:proofErr w:type="gramStart"/>
      <w:r w:rsidRPr="00921F69">
        <w:t>corporations</w:t>
      </w:r>
      <w:proofErr w:type="gramEnd"/>
      <w:r w:rsidRPr="00921F69">
        <w:t xml:space="preserve"> sector comprehensive operating </w:t>
      </w:r>
      <w:r w:rsidRPr="00921F69">
        <w:br/>
        <w:t>statement for the financial year ended 30 June</w:t>
      </w:r>
      <w:r w:rsidRPr="00921F69">
        <w:tab/>
        <w:t>($ million)</w:t>
      </w:r>
    </w:p>
    <w:tbl>
      <w:tblPr>
        <w:tblStyle w:val="DTFTableNumeric"/>
        <w:tblW w:w="7655" w:type="dxa"/>
        <w:tblLayout w:type="fixed"/>
        <w:tblLook w:val="06A0" w:firstRow="1" w:lastRow="0" w:firstColumn="1" w:lastColumn="0" w:noHBand="1" w:noVBand="1"/>
      </w:tblPr>
      <w:tblGrid>
        <w:gridCol w:w="3612"/>
        <w:gridCol w:w="754"/>
        <w:gridCol w:w="794"/>
        <w:gridCol w:w="794"/>
        <w:gridCol w:w="850"/>
        <w:gridCol w:w="851"/>
      </w:tblGrid>
      <w:tr w:rsidR="008D6F13" w14:paraId="2CFE3548"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12" w:type="dxa"/>
          </w:tcPr>
          <w:p w14:paraId="18003A9B" w14:textId="44116F7E" w:rsidR="008D6F13" w:rsidRDefault="008D6F13" w:rsidP="0031078F"/>
        </w:tc>
        <w:tc>
          <w:tcPr>
            <w:tcW w:w="754" w:type="dxa"/>
          </w:tcPr>
          <w:p w14:paraId="5BD50208"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15BBCFD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61202F69"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850" w:type="dxa"/>
          </w:tcPr>
          <w:p w14:paraId="2AC7A89C"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851" w:type="dxa"/>
          </w:tcPr>
          <w:p w14:paraId="489C3DDD"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09C6C98D" w14:textId="77777777" w:rsidTr="0031078F">
        <w:tc>
          <w:tcPr>
            <w:cnfStyle w:val="001000000000" w:firstRow="0" w:lastRow="0" w:firstColumn="1" w:lastColumn="0" w:oddVBand="0" w:evenVBand="0" w:oddHBand="0" w:evenHBand="0" w:firstRowFirstColumn="0" w:firstRowLastColumn="0" w:lastRowFirstColumn="0" w:lastRowLastColumn="0"/>
            <w:tcW w:w="3612" w:type="dxa"/>
          </w:tcPr>
          <w:p w14:paraId="2F4ED782" w14:textId="77777777" w:rsidR="008D6F13" w:rsidRDefault="008D6F13" w:rsidP="0031078F">
            <w:r>
              <w:rPr>
                <w:b/>
              </w:rPr>
              <w:t>Revenue and income from transactions</w:t>
            </w:r>
          </w:p>
        </w:tc>
        <w:tc>
          <w:tcPr>
            <w:tcW w:w="754" w:type="dxa"/>
          </w:tcPr>
          <w:p w14:paraId="7EAE739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59527C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623882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50" w:type="dxa"/>
          </w:tcPr>
          <w:p w14:paraId="5C2B4D5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51" w:type="dxa"/>
          </w:tcPr>
          <w:p w14:paraId="044297D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4B53594F" w14:textId="77777777" w:rsidTr="0031078F">
        <w:tc>
          <w:tcPr>
            <w:cnfStyle w:val="001000000000" w:firstRow="0" w:lastRow="0" w:firstColumn="1" w:lastColumn="0" w:oddVBand="0" w:evenVBand="0" w:oddHBand="0" w:evenHBand="0" w:firstRowFirstColumn="0" w:firstRowLastColumn="0" w:lastRowFirstColumn="0" w:lastRowLastColumn="0"/>
            <w:tcW w:w="3612" w:type="dxa"/>
          </w:tcPr>
          <w:p w14:paraId="2A2EE889" w14:textId="77777777" w:rsidR="008D6F13" w:rsidRDefault="008D6F13" w:rsidP="0031078F">
            <w:r>
              <w:t>Interest income</w:t>
            </w:r>
          </w:p>
        </w:tc>
        <w:tc>
          <w:tcPr>
            <w:tcW w:w="754" w:type="dxa"/>
          </w:tcPr>
          <w:p w14:paraId="649BA01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30</w:t>
            </w:r>
          </w:p>
        </w:tc>
        <w:tc>
          <w:tcPr>
            <w:tcW w:w="794" w:type="dxa"/>
          </w:tcPr>
          <w:p w14:paraId="415987C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28</w:t>
            </w:r>
          </w:p>
        </w:tc>
        <w:tc>
          <w:tcPr>
            <w:tcW w:w="794" w:type="dxa"/>
          </w:tcPr>
          <w:p w14:paraId="22BA5C3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w:t>
            </w:r>
          </w:p>
        </w:tc>
        <w:tc>
          <w:tcPr>
            <w:tcW w:w="850" w:type="dxa"/>
          </w:tcPr>
          <w:p w14:paraId="6271A1E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w:t>
            </w:r>
          </w:p>
        </w:tc>
        <w:tc>
          <w:tcPr>
            <w:tcW w:w="851" w:type="dxa"/>
          </w:tcPr>
          <w:p w14:paraId="3C5CB33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w:t>
            </w:r>
          </w:p>
        </w:tc>
      </w:tr>
      <w:tr w:rsidR="008D6F13" w14:paraId="22F0F156" w14:textId="77777777" w:rsidTr="0031078F">
        <w:tc>
          <w:tcPr>
            <w:cnfStyle w:val="001000000000" w:firstRow="0" w:lastRow="0" w:firstColumn="1" w:lastColumn="0" w:oddVBand="0" w:evenVBand="0" w:oddHBand="0" w:evenHBand="0" w:firstRowFirstColumn="0" w:firstRowLastColumn="0" w:lastRowFirstColumn="0" w:lastRowLastColumn="0"/>
            <w:tcW w:w="3612" w:type="dxa"/>
          </w:tcPr>
          <w:p w14:paraId="579604DD" w14:textId="77777777" w:rsidR="008D6F13" w:rsidRDefault="008D6F13" w:rsidP="0031078F">
            <w:r>
              <w:t>Dividend income</w:t>
            </w:r>
          </w:p>
        </w:tc>
        <w:tc>
          <w:tcPr>
            <w:tcW w:w="754" w:type="dxa"/>
          </w:tcPr>
          <w:p w14:paraId="314571F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w:t>
            </w:r>
          </w:p>
        </w:tc>
        <w:tc>
          <w:tcPr>
            <w:tcW w:w="794" w:type="dxa"/>
          </w:tcPr>
          <w:p w14:paraId="50320F3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w:t>
            </w:r>
          </w:p>
        </w:tc>
        <w:tc>
          <w:tcPr>
            <w:tcW w:w="794" w:type="dxa"/>
          </w:tcPr>
          <w:p w14:paraId="2B7E557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w:t>
            </w:r>
          </w:p>
        </w:tc>
        <w:tc>
          <w:tcPr>
            <w:tcW w:w="850" w:type="dxa"/>
          </w:tcPr>
          <w:p w14:paraId="28A1C80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w:t>
            </w:r>
          </w:p>
        </w:tc>
        <w:tc>
          <w:tcPr>
            <w:tcW w:w="851" w:type="dxa"/>
          </w:tcPr>
          <w:p w14:paraId="6184139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w:t>
            </w:r>
          </w:p>
        </w:tc>
      </w:tr>
      <w:tr w:rsidR="008D6F13" w14:paraId="553004BF" w14:textId="77777777" w:rsidTr="0031078F">
        <w:tc>
          <w:tcPr>
            <w:cnfStyle w:val="001000000000" w:firstRow="0" w:lastRow="0" w:firstColumn="1" w:lastColumn="0" w:oddVBand="0" w:evenVBand="0" w:oddHBand="0" w:evenHBand="0" w:firstRowFirstColumn="0" w:firstRowLastColumn="0" w:lastRowFirstColumn="0" w:lastRowLastColumn="0"/>
            <w:tcW w:w="3612" w:type="dxa"/>
          </w:tcPr>
          <w:p w14:paraId="1067236C" w14:textId="77777777" w:rsidR="008D6F13" w:rsidRDefault="008D6F13" w:rsidP="0031078F">
            <w:r>
              <w:t>Sales of goods and services</w:t>
            </w:r>
          </w:p>
        </w:tc>
        <w:tc>
          <w:tcPr>
            <w:tcW w:w="754" w:type="dxa"/>
          </w:tcPr>
          <w:p w14:paraId="5FC69C0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6 443</w:t>
            </w:r>
          </w:p>
        </w:tc>
        <w:tc>
          <w:tcPr>
            <w:tcW w:w="794" w:type="dxa"/>
          </w:tcPr>
          <w:p w14:paraId="615CC8C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6 623</w:t>
            </w:r>
          </w:p>
        </w:tc>
        <w:tc>
          <w:tcPr>
            <w:tcW w:w="794" w:type="dxa"/>
          </w:tcPr>
          <w:p w14:paraId="3F8F6D6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7 161</w:t>
            </w:r>
          </w:p>
        </w:tc>
        <w:tc>
          <w:tcPr>
            <w:tcW w:w="850" w:type="dxa"/>
          </w:tcPr>
          <w:p w14:paraId="7C64227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7 272</w:t>
            </w:r>
          </w:p>
        </w:tc>
        <w:tc>
          <w:tcPr>
            <w:tcW w:w="851" w:type="dxa"/>
          </w:tcPr>
          <w:p w14:paraId="288A1AB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7 394</w:t>
            </w:r>
          </w:p>
        </w:tc>
      </w:tr>
      <w:tr w:rsidR="008D6F13" w14:paraId="6E3097B2" w14:textId="77777777" w:rsidTr="0031078F">
        <w:tc>
          <w:tcPr>
            <w:cnfStyle w:val="001000000000" w:firstRow="0" w:lastRow="0" w:firstColumn="1" w:lastColumn="0" w:oddVBand="0" w:evenVBand="0" w:oddHBand="0" w:evenHBand="0" w:firstRowFirstColumn="0" w:firstRowLastColumn="0" w:lastRowFirstColumn="0" w:lastRowLastColumn="0"/>
            <w:tcW w:w="3612" w:type="dxa"/>
          </w:tcPr>
          <w:p w14:paraId="2E32EF8D" w14:textId="77777777" w:rsidR="008D6F13" w:rsidRDefault="008D6F13" w:rsidP="0031078F">
            <w:r>
              <w:t>Grants</w:t>
            </w:r>
          </w:p>
        </w:tc>
        <w:tc>
          <w:tcPr>
            <w:tcW w:w="754" w:type="dxa"/>
          </w:tcPr>
          <w:p w14:paraId="731CB7B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3 463</w:t>
            </w:r>
          </w:p>
        </w:tc>
        <w:tc>
          <w:tcPr>
            <w:tcW w:w="794" w:type="dxa"/>
          </w:tcPr>
          <w:p w14:paraId="2FC1740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2 822</w:t>
            </w:r>
          </w:p>
        </w:tc>
        <w:tc>
          <w:tcPr>
            <w:tcW w:w="794" w:type="dxa"/>
          </w:tcPr>
          <w:p w14:paraId="2B8CE40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2 017</w:t>
            </w:r>
          </w:p>
        </w:tc>
        <w:tc>
          <w:tcPr>
            <w:tcW w:w="850" w:type="dxa"/>
          </w:tcPr>
          <w:p w14:paraId="5714657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1 832</w:t>
            </w:r>
          </w:p>
        </w:tc>
        <w:tc>
          <w:tcPr>
            <w:tcW w:w="851" w:type="dxa"/>
          </w:tcPr>
          <w:p w14:paraId="448645C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1 591</w:t>
            </w:r>
          </w:p>
        </w:tc>
      </w:tr>
      <w:tr w:rsidR="008D6F13" w14:paraId="343BD2CB" w14:textId="77777777" w:rsidTr="0031078F">
        <w:tc>
          <w:tcPr>
            <w:cnfStyle w:val="001000000000" w:firstRow="0" w:lastRow="0" w:firstColumn="1" w:lastColumn="0" w:oddVBand="0" w:evenVBand="0" w:oddHBand="0" w:evenHBand="0" w:firstRowFirstColumn="0" w:firstRowLastColumn="0" w:lastRowFirstColumn="0" w:lastRowLastColumn="0"/>
            <w:tcW w:w="3612" w:type="dxa"/>
            <w:tcBorders>
              <w:bottom w:val="single" w:sz="6" w:space="0" w:color="auto"/>
            </w:tcBorders>
          </w:tcPr>
          <w:p w14:paraId="593879C7" w14:textId="77777777" w:rsidR="008D6F13" w:rsidRDefault="008D6F13" w:rsidP="0031078F">
            <w:r>
              <w:t>Other revenue and income</w:t>
            </w:r>
          </w:p>
        </w:tc>
        <w:tc>
          <w:tcPr>
            <w:tcW w:w="754" w:type="dxa"/>
            <w:tcBorders>
              <w:bottom w:val="single" w:sz="6" w:space="0" w:color="auto"/>
            </w:tcBorders>
          </w:tcPr>
          <w:p w14:paraId="66A4B9B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645</w:t>
            </w:r>
          </w:p>
        </w:tc>
        <w:tc>
          <w:tcPr>
            <w:tcW w:w="794" w:type="dxa"/>
            <w:tcBorders>
              <w:bottom w:val="single" w:sz="6" w:space="0" w:color="auto"/>
            </w:tcBorders>
          </w:tcPr>
          <w:p w14:paraId="58753C9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671</w:t>
            </w:r>
          </w:p>
        </w:tc>
        <w:tc>
          <w:tcPr>
            <w:tcW w:w="794" w:type="dxa"/>
            <w:tcBorders>
              <w:bottom w:val="single" w:sz="6" w:space="0" w:color="auto"/>
            </w:tcBorders>
          </w:tcPr>
          <w:p w14:paraId="24A2D6B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645</w:t>
            </w:r>
          </w:p>
        </w:tc>
        <w:tc>
          <w:tcPr>
            <w:tcW w:w="850" w:type="dxa"/>
            <w:tcBorders>
              <w:bottom w:val="single" w:sz="6" w:space="0" w:color="auto"/>
            </w:tcBorders>
          </w:tcPr>
          <w:p w14:paraId="1613B3C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650</w:t>
            </w:r>
          </w:p>
        </w:tc>
        <w:tc>
          <w:tcPr>
            <w:tcW w:w="851" w:type="dxa"/>
            <w:tcBorders>
              <w:bottom w:val="single" w:sz="6" w:space="0" w:color="auto"/>
            </w:tcBorders>
          </w:tcPr>
          <w:p w14:paraId="0CE47A7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669</w:t>
            </w:r>
          </w:p>
        </w:tc>
      </w:tr>
      <w:tr w:rsidR="008D6F13" w14:paraId="737F7DA5" w14:textId="77777777" w:rsidTr="0031078F">
        <w:tc>
          <w:tcPr>
            <w:cnfStyle w:val="001000000000" w:firstRow="0" w:lastRow="0" w:firstColumn="1" w:lastColumn="0" w:oddVBand="0" w:evenVBand="0" w:oddHBand="0" w:evenHBand="0" w:firstRowFirstColumn="0" w:firstRowLastColumn="0" w:lastRowFirstColumn="0" w:lastRowLastColumn="0"/>
            <w:tcW w:w="3612" w:type="dxa"/>
            <w:tcBorders>
              <w:top w:val="single" w:sz="6" w:space="0" w:color="auto"/>
            </w:tcBorders>
          </w:tcPr>
          <w:p w14:paraId="7612973A" w14:textId="77777777" w:rsidR="008D6F13" w:rsidRDefault="008D6F13" w:rsidP="0031078F">
            <w:r>
              <w:rPr>
                <w:b/>
              </w:rPr>
              <w:t>Total revenue and income from transactions</w:t>
            </w:r>
          </w:p>
        </w:tc>
        <w:tc>
          <w:tcPr>
            <w:tcW w:w="754" w:type="dxa"/>
            <w:tcBorders>
              <w:top w:val="single" w:sz="6" w:space="0" w:color="auto"/>
            </w:tcBorders>
          </w:tcPr>
          <w:p w14:paraId="424071F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10 605</w:t>
            </w:r>
          </w:p>
        </w:tc>
        <w:tc>
          <w:tcPr>
            <w:tcW w:w="794" w:type="dxa"/>
            <w:tcBorders>
              <w:top w:val="single" w:sz="6" w:space="0" w:color="auto"/>
            </w:tcBorders>
          </w:tcPr>
          <w:p w14:paraId="3D61387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10 167</w:t>
            </w:r>
          </w:p>
        </w:tc>
        <w:tc>
          <w:tcPr>
            <w:tcW w:w="794" w:type="dxa"/>
            <w:tcBorders>
              <w:top w:val="single" w:sz="6" w:space="0" w:color="auto"/>
            </w:tcBorders>
          </w:tcPr>
          <w:p w14:paraId="55C12E3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9 861</w:t>
            </w:r>
          </w:p>
        </w:tc>
        <w:tc>
          <w:tcPr>
            <w:tcW w:w="850" w:type="dxa"/>
            <w:tcBorders>
              <w:top w:val="single" w:sz="6" w:space="0" w:color="auto"/>
            </w:tcBorders>
          </w:tcPr>
          <w:p w14:paraId="6F16B1C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9 789</w:t>
            </w:r>
          </w:p>
        </w:tc>
        <w:tc>
          <w:tcPr>
            <w:tcW w:w="851" w:type="dxa"/>
            <w:tcBorders>
              <w:top w:val="single" w:sz="6" w:space="0" w:color="auto"/>
            </w:tcBorders>
          </w:tcPr>
          <w:p w14:paraId="54AFB35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9 689</w:t>
            </w:r>
          </w:p>
        </w:tc>
      </w:tr>
      <w:tr w:rsidR="008D6F13" w14:paraId="224C2798" w14:textId="77777777" w:rsidTr="0031078F">
        <w:tc>
          <w:tcPr>
            <w:cnfStyle w:val="001000000000" w:firstRow="0" w:lastRow="0" w:firstColumn="1" w:lastColumn="0" w:oddVBand="0" w:evenVBand="0" w:oddHBand="0" w:evenHBand="0" w:firstRowFirstColumn="0" w:firstRowLastColumn="0" w:lastRowFirstColumn="0" w:lastRowLastColumn="0"/>
            <w:tcW w:w="3612" w:type="dxa"/>
          </w:tcPr>
          <w:p w14:paraId="7D0424DD" w14:textId="77777777" w:rsidR="008D6F13" w:rsidRDefault="008D6F13" w:rsidP="0031078F">
            <w:r>
              <w:rPr>
                <w:b/>
              </w:rPr>
              <w:t>Expenses from transactions</w:t>
            </w:r>
          </w:p>
        </w:tc>
        <w:tc>
          <w:tcPr>
            <w:tcW w:w="754" w:type="dxa"/>
          </w:tcPr>
          <w:p w14:paraId="2307314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5FAB93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EA0BBA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50" w:type="dxa"/>
          </w:tcPr>
          <w:p w14:paraId="574B46B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51" w:type="dxa"/>
          </w:tcPr>
          <w:p w14:paraId="7DE3AC0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764CD54C" w14:textId="77777777" w:rsidTr="0031078F">
        <w:tc>
          <w:tcPr>
            <w:cnfStyle w:val="001000000000" w:firstRow="0" w:lastRow="0" w:firstColumn="1" w:lastColumn="0" w:oddVBand="0" w:evenVBand="0" w:oddHBand="0" w:evenHBand="0" w:firstRowFirstColumn="0" w:firstRowLastColumn="0" w:lastRowFirstColumn="0" w:lastRowLastColumn="0"/>
            <w:tcW w:w="3612" w:type="dxa"/>
          </w:tcPr>
          <w:p w14:paraId="5E97C6F6" w14:textId="77777777" w:rsidR="008D6F13" w:rsidRDefault="008D6F13" w:rsidP="0031078F">
            <w:r>
              <w:t>Employee expenses</w:t>
            </w:r>
          </w:p>
        </w:tc>
        <w:tc>
          <w:tcPr>
            <w:tcW w:w="754" w:type="dxa"/>
          </w:tcPr>
          <w:p w14:paraId="7FB8B5E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1 503</w:t>
            </w:r>
          </w:p>
        </w:tc>
        <w:tc>
          <w:tcPr>
            <w:tcW w:w="794" w:type="dxa"/>
          </w:tcPr>
          <w:p w14:paraId="6C27B71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1 594</w:t>
            </w:r>
          </w:p>
        </w:tc>
        <w:tc>
          <w:tcPr>
            <w:tcW w:w="794" w:type="dxa"/>
          </w:tcPr>
          <w:p w14:paraId="4AA7A2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1 626</w:t>
            </w:r>
          </w:p>
        </w:tc>
        <w:tc>
          <w:tcPr>
            <w:tcW w:w="850" w:type="dxa"/>
          </w:tcPr>
          <w:p w14:paraId="1C059AC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1 660</w:t>
            </w:r>
          </w:p>
        </w:tc>
        <w:tc>
          <w:tcPr>
            <w:tcW w:w="851" w:type="dxa"/>
          </w:tcPr>
          <w:p w14:paraId="1E10670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1 691</w:t>
            </w:r>
          </w:p>
        </w:tc>
      </w:tr>
      <w:tr w:rsidR="008D6F13" w14:paraId="576BDCF7" w14:textId="77777777" w:rsidTr="0031078F">
        <w:tc>
          <w:tcPr>
            <w:cnfStyle w:val="001000000000" w:firstRow="0" w:lastRow="0" w:firstColumn="1" w:lastColumn="0" w:oddVBand="0" w:evenVBand="0" w:oddHBand="0" w:evenHBand="0" w:firstRowFirstColumn="0" w:firstRowLastColumn="0" w:lastRowFirstColumn="0" w:lastRowLastColumn="0"/>
            <w:tcW w:w="3612" w:type="dxa"/>
          </w:tcPr>
          <w:p w14:paraId="7C9FC46F" w14:textId="77777777" w:rsidR="008D6F13" w:rsidRDefault="008D6F13" w:rsidP="0031078F">
            <w:r>
              <w:t>Net superannuation interest expense</w:t>
            </w:r>
          </w:p>
        </w:tc>
        <w:tc>
          <w:tcPr>
            <w:tcW w:w="754" w:type="dxa"/>
          </w:tcPr>
          <w:p w14:paraId="183FD20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6369528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w:t>
            </w:r>
          </w:p>
        </w:tc>
        <w:tc>
          <w:tcPr>
            <w:tcW w:w="794" w:type="dxa"/>
          </w:tcPr>
          <w:p w14:paraId="5A90B64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w:t>
            </w:r>
          </w:p>
        </w:tc>
        <w:tc>
          <w:tcPr>
            <w:tcW w:w="850" w:type="dxa"/>
          </w:tcPr>
          <w:p w14:paraId="7CAE81F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w:t>
            </w:r>
          </w:p>
        </w:tc>
        <w:tc>
          <w:tcPr>
            <w:tcW w:w="851" w:type="dxa"/>
          </w:tcPr>
          <w:p w14:paraId="4DBC99F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w:t>
            </w:r>
          </w:p>
        </w:tc>
      </w:tr>
      <w:tr w:rsidR="008D6F13" w14:paraId="340ED031" w14:textId="77777777" w:rsidTr="0031078F">
        <w:tc>
          <w:tcPr>
            <w:cnfStyle w:val="001000000000" w:firstRow="0" w:lastRow="0" w:firstColumn="1" w:lastColumn="0" w:oddVBand="0" w:evenVBand="0" w:oddHBand="0" w:evenHBand="0" w:firstRowFirstColumn="0" w:firstRowLastColumn="0" w:lastRowFirstColumn="0" w:lastRowLastColumn="0"/>
            <w:tcW w:w="3612" w:type="dxa"/>
          </w:tcPr>
          <w:p w14:paraId="6008E511" w14:textId="77777777" w:rsidR="008D6F13" w:rsidRDefault="008D6F13" w:rsidP="0031078F">
            <w:r>
              <w:t>Other superannuation</w:t>
            </w:r>
          </w:p>
        </w:tc>
        <w:tc>
          <w:tcPr>
            <w:tcW w:w="754" w:type="dxa"/>
          </w:tcPr>
          <w:p w14:paraId="5048A83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135</w:t>
            </w:r>
          </w:p>
        </w:tc>
        <w:tc>
          <w:tcPr>
            <w:tcW w:w="794" w:type="dxa"/>
          </w:tcPr>
          <w:p w14:paraId="0E6B686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139</w:t>
            </w:r>
          </w:p>
        </w:tc>
        <w:tc>
          <w:tcPr>
            <w:tcW w:w="794" w:type="dxa"/>
          </w:tcPr>
          <w:p w14:paraId="499035D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145</w:t>
            </w:r>
          </w:p>
        </w:tc>
        <w:tc>
          <w:tcPr>
            <w:tcW w:w="850" w:type="dxa"/>
          </w:tcPr>
          <w:p w14:paraId="3C6F5D5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151</w:t>
            </w:r>
          </w:p>
        </w:tc>
        <w:tc>
          <w:tcPr>
            <w:tcW w:w="851" w:type="dxa"/>
          </w:tcPr>
          <w:p w14:paraId="175BB3D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157</w:t>
            </w:r>
          </w:p>
        </w:tc>
      </w:tr>
      <w:tr w:rsidR="008D6F13" w14:paraId="51B75333" w14:textId="77777777" w:rsidTr="0031078F">
        <w:tc>
          <w:tcPr>
            <w:cnfStyle w:val="001000000000" w:firstRow="0" w:lastRow="0" w:firstColumn="1" w:lastColumn="0" w:oddVBand="0" w:evenVBand="0" w:oddHBand="0" w:evenHBand="0" w:firstRowFirstColumn="0" w:firstRowLastColumn="0" w:lastRowFirstColumn="0" w:lastRowLastColumn="0"/>
            <w:tcW w:w="3612" w:type="dxa"/>
          </w:tcPr>
          <w:p w14:paraId="3755AB2A" w14:textId="77777777" w:rsidR="008D6F13" w:rsidRDefault="008D6F13" w:rsidP="0031078F">
            <w:r>
              <w:t>Depreciation</w:t>
            </w:r>
          </w:p>
        </w:tc>
        <w:tc>
          <w:tcPr>
            <w:tcW w:w="754" w:type="dxa"/>
          </w:tcPr>
          <w:p w14:paraId="6C94290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1 789</w:t>
            </w:r>
          </w:p>
        </w:tc>
        <w:tc>
          <w:tcPr>
            <w:tcW w:w="794" w:type="dxa"/>
          </w:tcPr>
          <w:p w14:paraId="0AF7937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1 876</w:t>
            </w:r>
          </w:p>
        </w:tc>
        <w:tc>
          <w:tcPr>
            <w:tcW w:w="794" w:type="dxa"/>
          </w:tcPr>
          <w:p w14:paraId="56E0270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1 940</w:t>
            </w:r>
          </w:p>
        </w:tc>
        <w:tc>
          <w:tcPr>
            <w:tcW w:w="850" w:type="dxa"/>
          </w:tcPr>
          <w:p w14:paraId="7046DEC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2 009</w:t>
            </w:r>
          </w:p>
        </w:tc>
        <w:tc>
          <w:tcPr>
            <w:tcW w:w="851" w:type="dxa"/>
          </w:tcPr>
          <w:p w14:paraId="69DCABC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2 072</w:t>
            </w:r>
          </w:p>
        </w:tc>
      </w:tr>
      <w:tr w:rsidR="008D6F13" w14:paraId="6CB940C6" w14:textId="77777777" w:rsidTr="0031078F">
        <w:tc>
          <w:tcPr>
            <w:cnfStyle w:val="001000000000" w:firstRow="0" w:lastRow="0" w:firstColumn="1" w:lastColumn="0" w:oddVBand="0" w:evenVBand="0" w:oddHBand="0" w:evenHBand="0" w:firstRowFirstColumn="0" w:firstRowLastColumn="0" w:lastRowFirstColumn="0" w:lastRowLastColumn="0"/>
            <w:tcW w:w="3612" w:type="dxa"/>
          </w:tcPr>
          <w:p w14:paraId="00FFBE2C" w14:textId="77777777" w:rsidR="008D6F13" w:rsidRDefault="008D6F13" w:rsidP="0031078F">
            <w:r>
              <w:t>Interest expense</w:t>
            </w:r>
          </w:p>
        </w:tc>
        <w:tc>
          <w:tcPr>
            <w:tcW w:w="754" w:type="dxa"/>
          </w:tcPr>
          <w:p w14:paraId="6E2F4E0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871</w:t>
            </w:r>
          </w:p>
        </w:tc>
        <w:tc>
          <w:tcPr>
            <w:tcW w:w="794" w:type="dxa"/>
          </w:tcPr>
          <w:p w14:paraId="27D0B37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858</w:t>
            </w:r>
          </w:p>
        </w:tc>
        <w:tc>
          <w:tcPr>
            <w:tcW w:w="794" w:type="dxa"/>
          </w:tcPr>
          <w:p w14:paraId="0C82A51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875</w:t>
            </w:r>
          </w:p>
        </w:tc>
        <w:tc>
          <w:tcPr>
            <w:tcW w:w="850" w:type="dxa"/>
          </w:tcPr>
          <w:p w14:paraId="0B0445A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937</w:t>
            </w:r>
          </w:p>
        </w:tc>
        <w:tc>
          <w:tcPr>
            <w:tcW w:w="851" w:type="dxa"/>
          </w:tcPr>
          <w:p w14:paraId="3DF14A3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1 006</w:t>
            </w:r>
          </w:p>
        </w:tc>
      </w:tr>
      <w:tr w:rsidR="008D6F13" w14:paraId="46DDD49C" w14:textId="77777777" w:rsidTr="0031078F">
        <w:tc>
          <w:tcPr>
            <w:cnfStyle w:val="001000000000" w:firstRow="0" w:lastRow="0" w:firstColumn="1" w:lastColumn="0" w:oddVBand="0" w:evenVBand="0" w:oddHBand="0" w:evenHBand="0" w:firstRowFirstColumn="0" w:firstRowLastColumn="0" w:lastRowFirstColumn="0" w:lastRowLastColumn="0"/>
            <w:tcW w:w="3612" w:type="dxa"/>
          </w:tcPr>
          <w:p w14:paraId="19F6E47E" w14:textId="77777777" w:rsidR="008D6F13" w:rsidRDefault="008D6F13" w:rsidP="0031078F">
            <w:r>
              <w:t>Grant expense</w:t>
            </w:r>
          </w:p>
        </w:tc>
        <w:tc>
          <w:tcPr>
            <w:tcW w:w="754" w:type="dxa"/>
          </w:tcPr>
          <w:p w14:paraId="2FA8734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1 837</w:t>
            </w:r>
          </w:p>
        </w:tc>
        <w:tc>
          <w:tcPr>
            <w:tcW w:w="794" w:type="dxa"/>
          </w:tcPr>
          <w:p w14:paraId="6C5BBC9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1 362</w:t>
            </w:r>
          </w:p>
        </w:tc>
        <w:tc>
          <w:tcPr>
            <w:tcW w:w="794" w:type="dxa"/>
          </w:tcPr>
          <w:p w14:paraId="165EDD7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733</w:t>
            </w:r>
          </w:p>
        </w:tc>
        <w:tc>
          <w:tcPr>
            <w:tcW w:w="850" w:type="dxa"/>
          </w:tcPr>
          <w:p w14:paraId="5063451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666</w:t>
            </w:r>
          </w:p>
        </w:tc>
        <w:tc>
          <w:tcPr>
            <w:tcW w:w="851" w:type="dxa"/>
          </w:tcPr>
          <w:p w14:paraId="0B5E974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425</w:t>
            </w:r>
          </w:p>
        </w:tc>
      </w:tr>
      <w:tr w:rsidR="008D6F13" w14:paraId="6F3BDE97" w14:textId="77777777" w:rsidTr="0031078F">
        <w:tc>
          <w:tcPr>
            <w:cnfStyle w:val="001000000000" w:firstRow="0" w:lastRow="0" w:firstColumn="1" w:lastColumn="0" w:oddVBand="0" w:evenVBand="0" w:oddHBand="0" w:evenHBand="0" w:firstRowFirstColumn="0" w:firstRowLastColumn="0" w:lastRowFirstColumn="0" w:lastRowLastColumn="0"/>
            <w:tcW w:w="3612" w:type="dxa"/>
          </w:tcPr>
          <w:p w14:paraId="47323465" w14:textId="77777777" w:rsidR="008D6F13" w:rsidRDefault="008D6F13" w:rsidP="0031078F">
            <w:r>
              <w:t>Other operating expenses</w:t>
            </w:r>
          </w:p>
        </w:tc>
        <w:tc>
          <w:tcPr>
            <w:tcW w:w="754" w:type="dxa"/>
          </w:tcPr>
          <w:p w14:paraId="6C10EAB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4 164</w:t>
            </w:r>
          </w:p>
        </w:tc>
        <w:tc>
          <w:tcPr>
            <w:tcW w:w="794" w:type="dxa"/>
          </w:tcPr>
          <w:p w14:paraId="6009817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4 660</w:t>
            </w:r>
          </w:p>
        </w:tc>
        <w:tc>
          <w:tcPr>
            <w:tcW w:w="794" w:type="dxa"/>
          </w:tcPr>
          <w:p w14:paraId="67B980E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4 359</w:t>
            </w:r>
          </w:p>
        </w:tc>
        <w:tc>
          <w:tcPr>
            <w:tcW w:w="850" w:type="dxa"/>
          </w:tcPr>
          <w:p w14:paraId="5294399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4 115</w:t>
            </w:r>
          </w:p>
        </w:tc>
        <w:tc>
          <w:tcPr>
            <w:tcW w:w="851" w:type="dxa"/>
          </w:tcPr>
          <w:p w14:paraId="1B7193B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4 015</w:t>
            </w:r>
          </w:p>
        </w:tc>
      </w:tr>
      <w:tr w:rsidR="008D6F13" w14:paraId="50DC4F32" w14:textId="77777777" w:rsidTr="0031078F">
        <w:tc>
          <w:tcPr>
            <w:cnfStyle w:val="001000000000" w:firstRow="0" w:lastRow="0" w:firstColumn="1" w:lastColumn="0" w:oddVBand="0" w:evenVBand="0" w:oddHBand="0" w:evenHBand="0" w:firstRowFirstColumn="0" w:firstRowLastColumn="0" w:lastRowFirstColumn="0" w:lastRowLastColumn="0"/>
            <w:tcW w:w="3612" w:type="dxa"/>
            <w:tcBorders>
              <w:bottom w:val="single" w:sz="6" w:space="0" w:color="auto"/>
            </w:tcBorders>
          </w:tcPr>
          <w:p w14:paraId="66D73945" w14:textId="77777777" w:rsidR="008D6F13" w:rsidRDefault="008D6F13" w:rsidP="0031078F">
            <w:r>
              <w:t>Other property expenses</w:t>
            </w:r>
          </w:p>
        </w:tc>
        <w:tc>
          <w:tcPr>
            <w:tcW w:w="754" w:type="dxa"/>
            <w:tcBorders>
              <w:bottom w:val="single" w:sz="6" w:space="0" w:color="auto"/>
            </w:tcBorders>
          </w:tcPr>
          <w:p w14:paraId="69BCF3F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219</w:t>
            </w:r>
          </w:p>
        </w:tc>
        <w:tc>
          <w:tcPr>
            <w:tcW w:w="794" w:type="dxa"/>
            <w:tcBorders>
              <w:bottom w:val="single" w:sz="6" w:space="0" w:color="auto"/>
            </w:tcBorders>
          </w:tcPr>
          <w:p w14:paraId="10E92EA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214</w:t>
            </w:r>
          </w:p>
        </w:tc>
        <w:tc>
          <w:tcPr>
            <w:tcW w:w="794" w:type="dxa"/>
            <w:tcBorders>
              <w:bottom w:val="single" w:sz="6" w:space="0" w:color="auto"/>
            </w:tcBorders>
          </w:tcPr>
          <w:p w14:paraId="5CAF1B7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195</w:t>
            </w:r>
          </w:p>
        </w:tc>
        <w:tc>
          <w:tcPr>
            <w:tcW w:w="850" w:type="dxa"/>
            <w:tcBorders>
              <w:bottom w:val="single" w:sz="6" w:space="0" w:color="auto"/>
            </w:tcBorders>
          </w:tcPr>
          <w:p w14:paraId="44BDDF4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214</w:t>
            </w:r>
          </w:p>
        </w:tc>
        <w:tc>
          <w:tcPr>
            <w:tcW w:w="851" w:type="dxa"/>
            <w:tcBorders>
              <w:bottom w:val="single" w:sz="6" w:space="0" w:color="auto"/>
            </w:tcBorders>
          </w:tcPr>
          <w:p w14:paraId="432A827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223</w:t>
            </w:r>
          </w:p>
        </w:tc>
      </w:tr>
      <w:tr w:rsidR="008D6F13" w14:paraId="685C8812" w14:textId="77777777" w:rsidTr="0031078F">
        <w:tc>
          <w:tcPr>
            <w:cnfStyle w:val="001000000000" w:firstRow="0" w:lastRow="0" w:firstColumn="1" w:lastColumn="0" w:oddVBand="0" w:evenVBand="0" w:oddHBand="0" w:evenHBand="0" w:firstRowFirstColumn="0" w:firstRowLastColumn="0" w:lastRowFirstColumn="0" w:lastRowLastColumn="0"/>
            <w:tcW w:w="3612" w:type="dxa"/>
            <w:tcBorders>
              <w:top w:val="single" w:sz="6" w:space="0" w:color="auto"/>
              <w:bottom w:val="single" w:sz="6" w:space="0" w:color="auto"/>
            </w:tcBorders>
          </w:tcPr>
          <w:p w14:paraId="2ED718F1" w14:textId="77777777" w:rsidR="008D6F13" w:rsidRDefault="008D6F13" w:rsidP="0031078F">
            <w:r>
              <w:rPr>
                <w:b/>
              </w:rPr>
              <w:t>Total expenses from transactions</w:t>
            </w:r>
          </w:p>
        </w:tc>
        <w:tc>
          <w:tcPr>
            <w:tcW w:w="754" w:type="dxa"/>
            <w:tcBorders>
              <w:top w:val="single" w:sz="6" w:space="0" w:color="auto"/>
              <w:bottom w:val="single" w:sz="6" w:space="0" w:color="auto"/>
            </w:tcBorders>
          </w:tcPr>
          <w:p w14:paraId="0CE49EF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10 523</w:t>
            </w:r>
          </w:p>
        </w:tc>
        <w:tc>
          <w:tcPr>
            <w:tcW w:w="794" w:type="dxa"/>
            <w:tcBorders>
              <w:top w:val="single" w:sz="6" w:space="0" w:color="auto"/>
              <w:bottom w:val="single" w:sz="6" w:space="0" w:color="auto"/>
            </w:tcBorders>
          </w:tcPr>
          <w:p w14:paraId="39B3DD5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10 706</w:t>
            </w:r>
          </w:p>
        </w:tc>
        <w:tc>
          <w:tcPr>
            <w:tcW w:w="794" w:type="dxa"/>
            <w:tcBorders>
              <w:top w:val="single" w:sz="6" w:space="0" w:color="auto"/>
              <w:bottom w:val="single" w:sz="6" w:space="0" w:color="auto"/>
            </w:tcBorders>
          </w:tcPr>
          <w:p w14:paraId="443E805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9 877</w:t>
            </w:r>
          </w:p>
        </w:tc>
        <w:tc>
          <w:tcPr>
            <w:tcW w:w="850" w:type="dxa"/>
            <w:tcBorders>
              <w:top w:val="single" w:sz="6" w:space="0" w:color="auto"/>
              <w:bottom w:val="single" w:sz="6" w:space="0" w:color="auto"/>
            </w:tcBorders>
          </w:tcPr>
          <w:p w14:paraId="2CCE2C2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9 756</w:t>
            </w:r>
          </w:p>
        </w:tc>
        <w:tc>
          <w:tcPr>
            <w:tcW w:w="851" w:type="dxa"/>
            <w:tcBorders>
              <w:top w:val="single" w:sz="6" w:space="0" w:color="auto"/>
              <w:bottom w:val="single" w:sz="6" w:space="0" w:color="auto"/>
            </w:tcBorders>
          </w:tcPr>
          <w:p w14:paraId="7C807D8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9 593</w:t>
            </w:r>
          </w:p>
        </w:tc>
      </w:tr>
      <w:tr w:rsidR="008D6F13" w14:paraId="76142CD7" w14:textId="77777777" w:rsidTr="0031078F">
        <w:tc>
          <w:tcPr>
            <w:cnfStyle w:val="001000000000" w:firstRow="0" w:lastRow="0" w:firstColumn="1" w:lastColumn="0" w:oddVBand="0" w:evenVBand="0" w:oddHBand="0" w:evenHBand="0" w:firstRowFirstColumn="0" w:firstRowLastColumn="0" w:lastRowFirstColumn="0" w:lastRowLastColumn="0"/>
            <w:tcW w:w="3612" w:type="dxa"/>
            <w:tcBorders>
              <w:top w:val="single" w:sz="6" w:space="0" w:color="auto"/>
              <w:bottom w:val="single" w:sz="12" w:space="0" w:color="auto"/>
            </w:tcBorders>
          </w:tcPr>
          <w:p w14:paraId="40DD0743" w14:textId="77777777" w:rsidR="008D6F13" w:rsidRDefault="008D6F13" w:rsidP="0031078F">
            <w:r>
              <w:rPr>
                <w:b/>
              </w:rPr>
              <w:t xml:space="preserve">Net result from transactions – </w:t>
            </w:r>
            <w:r>
              <w:rPr>
                <w:b/>
              </w:rPr>
              <w:br/>
              <w:t>net operating balance</w:t>
            </w:r>
          </w:p>
        </w:tc>
        <w:tc>
          <w:tcPr>
            <w:tcW w:w="754" w:type="dxa"/>
            <w:tcBorders>
              <w:top w:val="single" w:sz="6" w:space="0" w:color="auto"/>
              <w:bottom w:val="single" w:sz="12" w:space="0" w:color="auto"/>
            </w:tcBorders>
          </w:tcPr>
          <w:p w14:paraId="7A6C5E5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82</w:t>
            </w:r>
          </w:p>
        </w:tc>
        <w:tc>
          <w:tcPr>
            <w:tcW w:w="794" w:type="dxa"/>
            <w:tcBorders>
              <w:top w:val="single" w:sz="6" w:space="0" w:color="auto"/>
              <w:bottom w:val="single" w:sz="12" w:space="0" w:color="auto"/>
            </w:tcBorders>
          </w:tcPr>
          <w:p w14:paraId="2A6B467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(539)</w:t>
            </w:r>
          </w:p>
        </w:tc>
        <w:tc>
          <w:tcPr>
            <w:tcW w:w="794" w:type="dxa"/>
            <w:tcBorders>
              <w:top w:val="single" w:sz="6" w:space="0" w:color="auto"/>
              <w:bottom w:val="single" w:sz="12" w:space="0" w:color="auto"/>
            </w:tcBorders>
          </w:tcPr>
          <w:p w14:paraId="707BBCA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(17)</w:t>
            </w:r>
          </w:p>
        </w:tc>
        <w:tc>
          <w:tcPr>
            <w:tcW w:w="850" w:type="dxa"/>
            <w:tcBorders>
              <w:top w:val="single" w:sz="6" w:space="0" w:color="auto"/>
              <w:bottom w:val="single" w:sz="12" w:space="0" w:color="auto"/>
            </w:tcBorders>
          </w:tcPr>
          <w:p w14:paraId="5601B9B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33</w:t>
            </w:r>
          </w:p>
        </w:tc>
        <w:tc>
          <w:tcPr>
            <w:tcW w:w="851" w:type="dxa"/>
            <w:tcBorders>
              <w:top w:val="single" w:sz="6" w:space="0" w:color="auto"/>
              <w:bottom w:val="single" w:sz="12" w:space="0" w:color="auto"/>
            </w:tcBorders>
          </w:tcPr>
          <w:p w14:paraId="1B3FB51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96</w:t>
            </w:r>
          </w:p>
        </w:tc>
      </w:tr>
      <w:tr w:rsidR="008D6F13" w14:paraId="74AED685" w14:textId="77777777" w:rsidTr="0031078F">
        <w:tc>
          <w:tcPr>
            <w:cnfStyle w:val="001000000000" w:firstRow="0" w:lastRow="0" w:firstColumn="1" w:lastColumn="0" w:oddVBand="0" w:evenVBand="0" w:oddHBand="0" w:evenHBand="0" w:firstRowFirstColumn="0" w:firstRowLastColumn="0" w:lastRowFirstColumn="0" w:lastRowLastColumn="0"/>
            <w:tcW w:w="3612" w:type="dxa"/>
            <w:tcBorders>
              <w:top w:val="single" w:sz="6" w:space="0" w:color="auto"/>
            </w:tcBorders>
          </w:tcPr>
          <w:p w14:paraId="7F09385A" w14:textId="77777777" w:rsidR="008D6F13" w:rsidRDefault="008D6F13" w:rsidP="0031078F">
            <w:r>
              <w:rPr>
                <w:b/>
              </w:rPr>
              <w:t>Other economic flows included in net result</w:t>
            </w:r>
          </w:p>
        </w:tc>
        <w:tc>
          <w:tcPr>
            <w:tcW w:w="754" w:type="dxa"/>
            <w:tcBorders>
              <w:top w:val="single" w:sz="6" w:space="0" w:color="auto"/>
            </w:tcBorders>
          </w:tcPr>
          <w:p w14:paraId="1FC3C57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47B27F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3B82DD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7BC3F43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tcBorders>
          </w:tcPr>
          <w:p w14:paraId="277CAAB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6BB873B1" w14:textId="77777777" w:rsidTr="0031078F">
        <w:tc>
          <w:tcPr>
            <w:cnfStyle w:val="001000000000" w:firstRow="0" w:lastRow="0" w:firstColumn="1" w:lastColumn="0" w:oddVBand="0" w:evenVBand="0" w:oddHBand="0" w:evenHBand="0" w:firstRowFirstColumn="0" w:firstRowLastColumn="0" w:lastRowFirstColumn="0" w:lastRowLastColumn="0"/>
            <w:tcW w:w="3612" w:type="dxa"/>
          </w:tcPr>
          <w:p w14:paraId="72689F8E" w14:textId="77777777" w:rsidR="008D6F13" w:rsidRDefault="008D6F13" w:rsidP="0031078F">
            <w:r>
              <w:t>Net gain/(loss) on disposal of non</w:t>
            </w:r>
            <w:r>
              <w:noBreakHyphen/>
              <w:t>financial assets</w:t>
            </w:r>
          </w:p>
        </w:tc>
        <w:tc>
          <w:tcPr>
            <w:tcW w:w="754" w:type="dxa"/>
          </w:tcPr>
          <w:p w14:paraId="32BDF28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49</w:t>
            </w:r>
          </w:p>
        </w:tc>
        <w:tc>
          <w:tcPr>
            <w:tcW w:w="794" w:type="dxa"/>
          </w:tcPr>
          <w:p w14:paraId="3C0D630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60</w:t>
            </w:r>
          </w:p>
        </w:tc>
        <w:tc>
          <w:tcPr>
            <w:tcW w:w="794" w:type="dxa"/>
          </w:tcPr>
          <w:p w14:paraId="689D02C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48</w:t>
            </w:r>
          </w:p>
        </w:tc>
        <w:tc>
          <w:tcPr>
            <w:tcW w:w="850" w:type="dxa"/>
          </w:tcPr>
          <w:p w14:paraId="6A8029B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442</w:t>
            </w:r>
          </w:p>
        </w:tc>
        <w:tc>
          <w:tcPr>
            <w:tcW w:w="851" w:type="dxa"/>
          </w:tcPr>
          <w:p w14:paraId="51CE204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38</w:t>
            </w:r>
          </w:p>
        </w:tc>
      </w:tr>
      <w:tr w:rsidR="008D6F13" w14:paraId="253121FC" w14:textId="77777777" w:rsidTr="0031078F">
        <w:tc>
          <w:tcPr>
            <w:cnfStyle w:val="001000000000" w:firstRow="0" w:lastRow="0" w:firstColumn="1" w:lastColumn="0" w:oddVBand="0" w:evenVBand="0" w:oddHBand="0" w:evenHBand="0" w:firstRowFirstColumn="0" w:firstRowLastColumn="0" w:lastRowFirstColumn="0" w:lastRowLastColumn="0"/>
            <w:tcW w:w="3612" w:type="dxa"/>
          </w:tcPr>
          <w:p w14:paraId="1E3B46D6" w14:textId="77777777" w:rsidR="008D6F13" w:rsidRDefault="008D6F13" w:rsidP="0031078F">
            <w:r>
              <w:t>Net gain/(loss) on financial assets or liabilities at fair value</w:t>
            </w:r>
          </w:p>
        </w:tc>
        <w:tc>
          <w:tcPr>
            <w:tcW w:w="754" w:type="dxa"/>
          </w:tcPr>
          <w:p w14:paraId="63194B3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C6693A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663A78D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w:t>
            </w:r>
          </w:p>
        </w:tc>
        <w:tc>
          <w:tcPr>
            <w:tcW w:w="850" w:type="dxa"/>
          </w:tcPr>
          <w:p w14:paraId="6C3B3C9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w:t>
            </w:r>
          </w:p>
        </w:tc>
        <w:tc>
          <w:tcPr>
            <w:tcW w:w="851" w:type="dxa"/>
          </w:tcPr>
          <w:p w14:paraId="378FDD7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w:t>
            </w:r>
          </w:p>
        </w:tc>
      </w:tr>
      <w:tr w:rsidR="008D6F13" w14:paraId="6AE88AE1" w14:textId="77777777" w:rsidTr="0031078F">
        <w:tc>
          <w:tcPr>
            <w:cnfStyle w:val="001000000000" w:firstRow="0" w:lastRow="0" w:firstColumn="1" w:lastColumn="0" w:oddVBand="0" w:evenVBand="0" w:oddHBand="0" w:evenHBand="0" w:firstRowFirstColumn="0" w:firstRowLastColumn="0" w:lastRowFirstColumn="0" w:lastRowLastColumn="0"/>
            <w:tcW w:w="3612" w:type="dxa"/>
            <w:tcBorders>
              <w:bottom w:val="single" w:sz="6" w:space="0" w:color="auto"/>
            </w:tcBorders>
          </w:tcPr>
          <w:p w14:paraId="68F19A02" w14:textId="77777777" w:rsidR="008D6F13" w:rsidRDefault="008D6F13" w:rsidP="0031078F">
            <w:r>
              <w:t>Other gains/(losses) from other economic flows</w:t>
            </w:r>
          </w:p>
        </w:tc>
        <w:tc>
          <w:tcPr>
            <w:tcW w:w="754" w:type="dxa"/>
            <w:tcBorders>
              <w:bottom w:val="single" w:sz="6" w:space="0" w:color="auto"/>
            </w:tcBorders>
          </w:tcPr>
          <w:p w14:paraId="17AE3A4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(6 613)</w:t>
            </w:r>
          </w:p>
        </w:tc>
        <w:tc>
          <w:tcPr>
            <w:tcW w:w="794" w:type="dxa"/>
            <w:tcBorders>
              <w:bottom w:val="single" w:sz="6" w:space="0" w:color="auto"/>
            </w:tcBorders>
          </w:tcPr>
          <w:p w14:paraId="11FECA2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(2 457)</w:t>
            </w:r>
          </w:p>
        </w:tc>
        <w:tc>
          <w:tcPr>
            <w:tcW w:w="794" w:type="dxa"/>
            <w:tcBorders>
              <w:bottom w:val="single" w:sz="6" w:space="0" w:color="auto"/>
            </w:tcBorders>
          </w:tcPr>
          <w:p w14:paraId="769E068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(6 304)</w:t>
            </w:r>
          </w:p>
        </w:tc>
        <w:tc>
          <w:tcPr>
            <w:tcW w:w="850" w:type="dxa"/>
            <w:tcBorders>
              <w:bottom w:val="single" w:sz="6" w:space="0" w:color="auto"/>
            </w:tcBorders>
          </w:tcPr>
          <w:p w14:paraId="276CF9A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(3 855)</w:t>
            </w:r>
          </w:p>
        </w:tc>
        <w:tc>
          <w:tcPr>
            <w:tcW w:w="851" w:type="dxa"/>
            <w:tcBorders>
              <w:bottom w:val="single" w:sz="6" w:space="0" w:color="auto"/>
            </w:tcBorders>
          </w:tcPr>
          <w:p w14:paraId="1AB3484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(2 984)</w:t>
            </w:r>
          </w:p>
        </w:tc>
      </w:tr>
      <w:tr w:rsidR="008D6F13" w14:paraId="529A06A0" w14:textId="77777777" w:rsidTr="0031078F">
        <w:tc>
          <w:tcPr>
            <w:cnfStyle w:val="001000000000" w:firstRow="0" w:lastRow="0" w:firstColumn="1" w:lastColumn="0" w:oddVBand="0" w:evenVBand="0" w:oddHBand="0" w:evenHBand="0" w:firstRowFirstColumn="0" w:firstRowLastColumn="0" w:lastRowFirstColumn="0" w:lastRowLastColumn="0"/>
            <w:tcW w:w="3612" w:type="dxa"/>
            <w:tcBorders>
              <w:top w:val="single" w:sz="6" w:space="0" w:color="auto"/>
              <w:bottom w:val="single" w:sz="6" w:space="0" w:color="auto"/>
            </w:tcBorders>
          </w:tcPr>
          <w:p w14:paraId="7624D7B1" w14:textId="77777777" w:rsidR="008D6F13" w:rsidRDefault="008D6F13" w:rsidP="0031078F">
            <w:r>
              <w:rPr>
                <w:b/>
              </w:rPr>
              <w:t>Total other economic flows included in net result</w:t>
            </w:r>
          </w:p>
        </w:tc>
        <w:tc>
          <w:tcPr>
            <w:tcW w:w="754" w:type="dxa"/>
            <w:tcBorders>
              <w:top w:val="single" w:sz="6" w:space="0" w:color="auto"/>
              <w:bottom w:val="single" w:sz="6" w:space="0" w:color="auto"/>
            </w:tcBorders>
          </w:tcPr>
          <w:p w14:paraId="7E73882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(6 564)</w:t>
            </w:r>
          </w:p>
        </w:tc>
        <w:tc>
          <w:tcPr>
            <w:tcW w:w="794" w:type="dxa"/>
            <w:tcBorders>
              <w:top w:val="single" w:sz="6" w:space="0" w:color="auto"/>
              <w:bottom w:val="single" w:sz="6" w:space="0" w:color="auto"/>
            </w:tcBorders>
          </w:tcPr>
          <w:p w14:paraId="313C0F5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(2 398)</w:t>
            </w:r>
          </w:p>
        </w:tc>
        <w:tc>
          <w:tcPr>
            <w:tcW w:w="794" w:type="dxa"/>
            <w:tcBorders>
              <w:top w:val="single" w:sz="6" w:space="0" w:color="auto"/>
              <w:bottom w:val="single" w:sz="6" w:space="0" w:color="auto"/>
            </w:tcBorders>
          </w:tcPr>
          <w:p w14:paraId="6824A90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(6 256)</w:t>
            </w:r>
          </w:p>
        </w:tc>
        <w:tc>
          <w:tcPr>
            <w:tcW w:w="850" w:type="dxa"/>
            <w:tcBorders>
              <w:top w:val="single" w:sz="6" w:space="0" w:color="auto"/>
              <w:bottom w:val="single" w:sz="6" w:space="0" w:color="auto"/>
            </w:tcBorders>
          </w:tcPr>
          <w:p w14:paraId="6176905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(3 413)</w:t>
            </w:r>
          </w:p>
        </w:tc>
        <w:tc>
          <w:tcPr>
            <w:tcW w:w="851" w:type="dxa"/>
            <w:tcBorders>
              <w:top w:val="single" w:sz="6" w:space="0" w:color="auto"/>
              <w:bottom w:val="single" w:sz="6" w:space="0" w:color="auto"/>
            </w:tcBorders>
          </w:tcPr>
          <w:p w14:paraId="1C8C6F6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(2 947)</w:t>
            </w:r>
          </w:p>
        </w:tc>
      </w:tr>
      <w:tr w:rsidR="008D6F13" w14:paraId="03DBBD97" w14:textId="77777777" w:rsidTr="0031078F">
        <w:tc>
          <w:tcPr>
            <w:cnfStyle w:val="001000000000" w:firstRow="0" w:lastRow="0" w:firstColumn="1" w:lastColumn="0" w:oddVBand="0" w:evenVBand="0" w:oddHBand="0" w:evenHBand="0" w:firstRowFirstColumn="0" w:firstRowLastColumn="0" w:lastRowFirstColumn="0" w:lastRowLastColumn="0"/>
            <w:tcW w:w="3612" w:type="dxa"/>
            <w:tcBorders>
              <w:top w:val="single" w:sz="6" w:space="0" w:color="auto"/>
              <w:bottom w:val="single" w:sz="6" w:space="0" w:color="auto"/>
            </w:tcBorders>
          </w:tcPr>
          <w:p w14:paraId="79FD03E9" w14:textId="77777777" w:rsidR="008D6F13" w:rsidRDefault="008D6F13" w:rsidP="0031078F">
            <w:r>
              <w:rPr>
                <w:b/>
              </w:rPr>
              <w:t>Net result</w:t>
            </w:r>
          </w:p>
        </w:tc>
        <w:tc>
          <w:tcPr>
            <w:tcW w:w="754" w:type="dxa"/>
            <w:tcBorders>
              <w:top w:val="single" w:sz="6" w:space="0" w:color="auto"/>
              <w:bottom w:val="single" w:sz="6" w:space="0" w:color="auto"/>
            </w:tcBorders>
          </w:tcPr>
          <w:p w14:paraId="7A8BEF0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(6 482)</w:t>
            </w:r>
          </w:p>
        </w:tc>
        <w:tc>
          <w:tcPr>
            <w:tcW w:w="794" w:type="dxa"/>
            <w:tcBorders>
              <w:top w:val="single" w:sz="6" w:space="0" w:color="auto"/>
              <w:bottom w:val="single" w:sz="6" w:space="0" w:color="auto"/>
            </w:tcBorders>
          </w:tcPr>
          <w:p w14:paraId="655E33F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(2 936)</w:t>
            </w:r>
          </w:p>
        </w:tc>
        <w:tc>
          <w:tcPr>
            <w:tcW w:w="794" w:type="dxa"/>
            <w:tcBorders>
              <w:top w:val="single" w:sz="6" w:space="0" w:color="auto"/>
              <w:bottom w:val="single" w:sz="6" w:space="0" w:color="auto"/>
            </w:tcBorders>
          </w:tcPr>
          <w:p w14:paraId="69FC62C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(6 273)</w:t>
            </w:r>
          </w:p>
        </w:tc>
        <w:tc>
          <w:tcPr>
            <w:tcW w:w="850" w:type="dxa"/>
            <w:tcBorders>
              <w:top w:val="single" w:sz="6" w:space="0" w:color="auto"/>
              <w:bottom w:val="single" w:sz="6" w:space="0" w:color="auto"/>
            </w:tcBorders>
          </w:tcPr>
          <w:p w14:paraId="126609D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(3 380)</w:t>
            </w:r>
          </w:p>
        </w:tc>
        <w:tc>
          <w:tcPr>
            <w:tcW w:w="851" w:type="dxa"/>
            <w:tcBorders>
              <w:top w:val="single" w:sz="6" w:space="0" w:color="auto"/>
              <w:bottom w:val="single" w:sz="6" w:space="0" w:color="auto"/>
            </w:tcBorders>
          </w:tcPr>
          <w:p w14:paraId="6F93602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(2 851)</w:t>
            </w:r>
          </w:p>
        </w:tc>
      </w:tr>
    </w:tbl>
    <w:p w14:paraId="2004F70A" w14:textId="77777777" w:rsidR="008D6F13" w:rsidRDefault="008D6F13" w:rsidP="008D6F13"/>
    <w:p w14:paraId="79860269" w14:textId="35AFF0A7" w:rsidR="008D6F13" w:rsidRPr="00921F69" w:rsidRDefault="008D6F13" w:rsidP="008D6F13">
      <w:pPr>
        <w:pStyle w:val="TableHeading"/>
      </w:pPr>
      <w:r w:rsidRPr="00921F69">
        <w:lastRenderedPageBreak/>
        <w:t>Table 5.1</w:t>
      </w:r>
      <w:r w:rsidR="007F1FE4">
        <w:t>:</w:t>
      </w:r>
      <w:r w:rsidRPr="00921F69">
        <w:tab/>
        <w:t xml:space="preserve">Public non-financial </w:t>
      </w:r>
      <w:proofErr w:type="gramStart"/>
      <w:r w:rsidRPr="00921F69">
        <w:t>corporations</w:t>
      </w:r>
      <w:proofErr w:type="gramEnd"/>
      <w:r w:rsidRPr="00921F69">
        <w:t xml:space="preserve"> sector comprehensive operating </w:t>
      </w:r>
      <w:r w:rsidRPr="00921F69">
        <w:br/>
        <w:t>statement for the financial year ended 30 June</w:t>
      </w:r>
      <w:r>
        <w:t xml:space="preserve"> </w:t>
      </w:r>
      <w:r w:rsidRPr="00033D57">
        <w:rPr>
          <w:i/>
          <w:iCs/>
        </w:rPr>
        <w:t>(continued)</w:t>
      </w:r>
      <w:r w:rsidR="007A2CEC">
        <w:rPr>
          <w:i/>
          <w:iCs/>
        </w:rPr>
        <w:tab/>
      </w:r>
      <w:r w:rsidR="007A2CEC" w:rsidRPr="007A2CEC">
        <w:t>($ million)</w:t>
      </w:r>
    </w:p>
    <w:tbl>
      <w:tblPr>
        <w:tblStyle w:val="DTFTableNumeric"/>
        <w:tblW w:w="7655" w:type="dxa"/>
        <w:tblLayout w:type="fixed"/>
        <w:tblLook w:val="06A0" w:firstRow="1" w:lastRow="0" w:firstColumn="1" w:lastColumn="0" w:noHBand="1" w:noVBand="1"/>
      </w:tblPr>
      <w:tblGrid>
        <w:gridCol w:w="3654"/>
        <w:gridCol w:w="712"/>
        <w:gridCol w:w="794"/>
        <w:gridCol w:w="794"/>
        <w:gridCol w:w="850"/>
        <w:gridCol w:w="851"/>
      </w:tblGrid>
      <w:tr w:rsidR="008D6F13" w14:paraId="6E65AAC5"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54" w:type="dxa"/>
          </w:tcPr>
          <w:p w14:paraId="251776CC" w14:textId="77777777" w:rsidR="008D6F13" w:rsidRDefault="008D6F13" w:rsidP="0031078F"/>
        </w:tc>
        <w:tc>
          <w:tcPr>
            <w:tcW w:w="712" w:type="dxa"/>
          </w:tcPr>
          <w:p w14:paraId="1035454E"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66B088F7"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1D835E73"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850" w:type="dxa"/>
          </w:tcPr>
          <w:p w14:paraId="53CB18C6"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851" w:type="dxa"/>
          </w:tcPr>
          <w:p w14:paraId="31824A35"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5E321AAA" w14:textId="77777777" w:rsidTr="0031078F">
        <w:tc>
          <w:tcPr>
            <w:cnfStyle w:val="001000000000" w:firstRow="0" w:lastRow="0" w:firstColumn="1" w:lastColumn="0" w:oddVBand="0" w:evenVBand="0" w:oddHBand="0" w:evenHBand="0" w:firstRowFirstColumn="0" w:firstRowLastColumn="0" w:lastRowFirstColumn="0" w:lastRowLastColumn="0"/>
            <w:tcW w:w="3654" w:type="dxa"/>
            <w:tcBorders>
              <w:top w:val="single" w:sz="6" w:space="0" w:color="auto"/>
            </w:tcBorders>
          </w:tcPr>
          <w:p w14:paraId="4D552766" w14:textId="77777777" w:rsidR="008D6F13" w:rsidRDefault="008D6F13" w:rsidP="0031078F">
            <w:r>
              <w:rPr>
                <w:b/>
              </w:rPr>
              <w:t xml:space="preserve">Other economic flows – </w:t>
            </w:r>
            <w:r>
              <w:rPr>
                <w:b/>
              </w:rPr>
              <w:br/>
              <w:t>other comprehensive income</w:t>
            </w:r>
          </w:p>
        </w:tc>
        <w:tc>
          <w:tcPr>
            <w:tcW w:w="712" w:type="dxa"/>
            <w:tcBorders>
              <w:top w:val="single" w:sz="6" w:space="0" w:color="auto"/>
            </w:tcBorders>
          </w:tcPr>
          <w:p w14:paraId="56D55A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1F186A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9C79CB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39D50A5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tcBorders>
          </w:tcPr>
          <w:p w14:paraId="3CFA022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4BC87985" w14:textId="77777777" w:rsidTr="0031078F">
        <w:tc>
          <w:tcPr>
            <w:cnfStyle w:val="001000000000" w:firstRow="0" w:lastRow="0" w:firstColumn="1" w:lastColumn="0" w:oddVBand="0" w:evenVBand="0" w:oddHBand="0" w:evenHBand="0" w:firstRowFirstColumn="0" w:firstRowLastColumn="0" w:lastRowFirstColumn="0" w:lastRowLastColumn="0"/>
            <w:tcW w:w="3654" w:type="dxa"/>
          </w:tcPr>
          <w:p w14:paraId="4335CCF1" w14:textId="77777777" w:rsidR="008D6F13" w:rsidRDefault="008D6F13" w:rsidP="0031078F">
            <w:r>
              <w:rPr>
                <w:b/>
              </w:rPr>
              <w:t>Items that will not be reclassified to net result</w:t>
            </w:r>
          </w:p>
        </w:tc>
        <w:tc>
          <w:tcPr>
            <w:tcW w:w="712" w:type="dxa"/>
          </w:tcPr>
          <w:p w14:paraId="0204039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F0A304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4EB537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50" w:type="dxa"/>
          </w:tcPr>
          <w:p w14:paraId="02EDB8D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51" w:type="dxa"/>
          </w:tcPr>
          <w:p w14:paraId="74D934B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221B2AED" w14:textId="77777777" w:rsidTr="0031078F">
        <w:tc>
          <w:tcPr>
            <w:cnfStyle w:val="001000000000" w:firstRow="0" w:lastRow="0" w:firstColumn="1" w:lastColumn="0" w:oddVBand="0" w:evenVBand="0" w:oddHBand="0" w:evenHBand="0" w:firstRowFirstColumn="0" w:firstRowLastColumn="0" w:lastRowFirstColumn="0" w:lastRowLastColumn="0"/>
            <w:tcW w:w="3654" w:type="dxa"/>
          </w:tcPr>
          <w:p w14:paraId="64EACBD7" w14:textId="77777777" w:rsidR="008D6F13" w:rsidRDefault="008D6F13" w:rsidP="0031078F">
            <w:r>
              <w:t>Changes in non</w:t>
            </w:r>
            <w:r>
              <w:noBreakHyphen/>
              <w:t>financial assets revaluation surplus</w:t>
            </w:r>
          </w:p>
        </w:tc>
        <w:tc>
          <w:tcPr>
            <w:tcW w:w="712" w:type="dxa"/>
          </w:tcPr>
          <w:p w14:paraId="1E9ADFD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w:t>
            </w:r>
          </w:p>
        </w:tc>
        <w:tc>
          <w:tcPr>
            <w:tcW w:w="794" w:type="dxa"/>
          </w:tcPr>
          <w:p w14:paraId="368AABD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33</w:t>
            </w:r>
          </w:p>
        </w:tc>
        <w:tc>
          <w:tcPr>
            <w:tcW w:w="794" w:type="dxa"/>
          </w:tcPr>
          <w:p w14:paraId="00EF952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w:t>
            </w:r>
          </w:p>
        </w:tc>
        <w:tc>
          <w:tcPr>
            <w:tcW w:w="850" w:type="dxa"/>
          </w:tcPr>
          <w:p w14:paraId="0238B8A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w:t>
            </w:r>
          </w:p>
        </w:tc>
        <w:tc>
          <w:tcPr>
            <w:tcW w:w="851" w:type="dxa"/>
          </w:tcPr>
          <w:p w14:paraId="5511ACB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w:t>
            </w:r>
          </w:p>
        </w:tc>
      </w:tr>
      <w:tr w:rsidR="008D6F13" w14:paraId="789E0DA8" w14:textId="77777777" w:rsidTr="0031078F">
        <w:tc>
          <w:tcPr>
            <w:cnfStyle w:val="001000000000" w:firstRow="0" w:lastRow="0" w:firstColumn="1" w:lastColumn="0" w:oddVBand="0" w:evenVBand="0" w:oddHBand="0" w:evenHBand="0" w:firstRowFirstColumn="0" w:firstRowLastColumn="0" w:lastRowFirstColumn="0" w:lastRowLastColumn="0"/>
            <w:tcW w:w="3654" w:type="dxa"/>
          </w:tcPr>
          <w:p w14:paraId="074A93CD" w14:textId="77777777" w:rsidR="008D6F13" w:rsidRDefault="008D6F13" w:rsidP="0031078F">
            <w:r>
              <w:t>Other movements in equity</w:t>
            </w:r>
          </w:p>
        </w:tc>
        <w:tc>
          <w:tcPr>
            <w:tcW w:w="712" w:type="dxa"/>
          </w:tcPr>
          <w:p w14:paraId="5314E0C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w:t>
            </w:r>
          </w:p>
        </w:tc>
        <w:tc>
          <w:tcPr>
            <w:tcW w:w="794" w:type="dxa"/>
          </w:tcPr>
          <w:p w14:paraId="63014E0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(39)</w:t>
            </w:r>
          </w:p>
        </w:tc>
        <w:tc>
          <w:tcPr>
            <w:tcW w:w="794" w:type="dxa"/>
          </w:tcPr>
          <w:p w14:paraId="441B1A7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5ED227D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3F4FEF5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41401B10" w14:textId="77777777" w:rsidTr="0031078F">
        <w:tc>
          <w:tcPr>
            <w:cnfStyle w:val="001000000000" w:firstRow="0" w:lastRow="0" w:firstColumn="1" w:lastColumn="0" w:oddVBand="0" w:evenVBand="0" w:oddHBand="0" w:evenHBand="0" w:firstRowFirstColumn="0" w:firstRowLastColumn="0" w:lastRowFirstColumn="0" w:lastRowLastColumn="0"/>
            <w:tcW w:w="3654" w:type="dxa"/>
          </w:tcPr>
          <w:p w14:paraId="627EEE8D" w14:textId="77777777" w:rsidR="008D6F13" w:rsidRDefault="008D6F13" w:rsidP="0031078F">
            <w:r>
              <w:rPr>
                <w:b/>
              </w:rPr>
              <w:t>Items that may be reclassified subsequently to net result</w:t>
            </w:r>
          </w:p>
        </w:tc>
        <w:tc>
          <w:tcPr>
            <w:tcW w:w="712" w:type="dxa"/>
          </w:tcPr>
          <w:p w14:paraId="3A926F4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EC3479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49E350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50" w:type="dxa"/>
          </w:tcPr>
          <w:p w14:paraId="04666C0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51" w:type="dxa"/>
          </w:tcPr>
          <w:p w14:paraId="684BDBE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5EDEA77B" w14:textId="77777777" w:rsidTr="0031078F">
        <w:tc>
          <w:tcPr>
            <w:cnfStyle w:val="001000000000" w:firstRow="0" w:lastRow="0" w:firstColumn="1" w:lastColumn="0" w:oddVBand="0" w:evenVBand="0" w:oddHBand="0" w:evenHBand="0" w:firstRowFirstColumn="0" w:firstRowLastColumn="0" w:lastRowFirstColumn="0" w:lastRowLastColumn="0"/>
            <w:tcW w:w="3654" w:type="dxa"/>
            <w:tcBorders>
              <w:bottom w:val="single" w:sz="6" w:space="0" w:color="auto"/>
            </w:tcBorders>
          </w:tcPr>
          <w:p w14:paraId="535B0F1A" w14:textId="77777777" w:rsidR="008D6F13" w:rsidRDefault="008D6F13" w:rsidP="0031078F">
            <w:r>
              <w:t>Net gain/(loss) on financial assets at fair value</w:t>
            </w:r>
          </w:p>
        </w:tc>
        <w:tc>
          <w:tcPr>
            <w:tcW w:w="712" w:type="dxa"/>
            <w:tcBorders>
              <w:bottom w:val="single" w:sz="6" w:space="0" w:color="auto"/>
            </w:tcBorders>
          </w:tcPr>
          <w:p w14:paraId="675F2D9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4963D45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w:t>
            </w:r>
          </w:p>
        </w:tc>
        <w:tc>
          <w:tcPr>
            <w:tcW w:w="794" w:type="dxa"/>
            <w:tcBorders>
              <w:bottom w:val="single" w:sz="6" w:space="0" w:color="auto"/>
            </w:tcBorders>
          </w:tcPr>
          <w:p w14:paraId="15D5DE1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850" w:type="dxa"/>
            <w:tcBorders>
              <w:bottom w:val="single" w:sz="6" w:space="0" w:color="auto"/>
            </w:tcBorders>
          </w:tcPr>
          <w:p w14:paraId="48B5824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851" w:type="dxa"/>
            <w:tcBorders>
              <w:bottom w:val="single" w:sz="6" w:space="0" w:color="auto"/>
            </w:tcBorders>
          </w:tcPr>
          <w:p w14:paraId="7652BB0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1CC598DB" w14:textId="77777777" w:rsidTr="0031078F">
        <w:tc>
          <w:tcPr>
            <w:cnfStyle w:val="001000000000" w:firstRow="0" w:lastRow="0" w:firstColumn="1" w:lastColumn="0" w:oddVBand="0" w:evenVBand="0" w:oddHBand="0" w:evenHBand="0" w:firstRowFirstColumn="0" w:firstRowLastColumn="0" w:lastRowFirstColumn="0" w:lastRowLastColumn="0"/>
            <w:tcW w:w="3654" w:type="dxa"/>
            <w:tcBorders>
              <w:top w:val="single" w:sz="6" w:space="0" w:color="auto"/>
              <w:bottom w:val="single" w:sz="6" w:space="0" w:color="auto"/>
            </w:tcBorders>
          </w:tcPr>
          <w:p w14:paraId="1ECBF7B9" w14:textId="77777777" w:rsidR="008D6F13" w:rsidRDefault="008D6F13" w:rsidP="0031078F">
            <w:r>
              <w:rPr>
                <w:b/>
              </w:rPr>
              <w:t xml:space="preserve">Total other economic flows – </w:t>
            </w:r>
            <w:r>
              <w:rPr>
                <w:b/>
              </w:rPr>
              <w:br/>
              <w:t>other comprehensive income</w:t>
            </w:r>
          </w:p>
        </w:tc>
        <w:tc>
          <w:tcPr>
            <w:tcW w:w="712" w:type="dxa"/>
            <w:tcBorders>
              <w:top w:val="single" w:sz="6" w:space="0" w:color="auto"/>
              <w:bottom w:val="single" w:sz="6" w:space="0" w:color="auto"/>
            </w:tcBorders>
          </w:tcPr>
          <w:p w14:paraId="11EB261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(10)</w:t>
            </w:r>
          </w:p>
        </w:tc>
        <w:tc>
          <w:tcPr>
            <w:tcW w:w="794" w:type="dxa"/>
            <w:tcBorders>
              <w:top w:val="single" w:sz="6" w:space="0" w:color="auto"/>
              <w:bottom w:val="single" w:sz="6" w:space="0" w:color="auto"/>
            </w:tcBorders>
          </w:tcPr>
          <w:p w14:paraId="0521D8F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(10)</w:t>
            </w:r>
          </w:p>
        </w:tc>
        <w:tc>
          <w:tcPr>
            <w:tcW w:w="794" w:type="dxa"/>
            <w:tcBorders>
              <w:top w:val="single" w:sz="6" w:space="0" w:color="auto"/>
              <w:bottom w:val="single" w:sz="6" w:space="0" w:color="auto"/>
            </w:tcBorders>
          </w:tcPr>
          <w:p w14:paraId="7E8D389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w:t>
            </w:r>
          </w:p>
        </w:tc>
        <w:tc>
          <w:tcPr>
            <w:tcW w:w="850" w:type="dxa"/>
            <w:tcBorders>
              <w:top w:val="single" w:sz="6" w:space="0" w:color="auto"/>
              <w:bottom w:val="single" w:sz="6" w:space="0" w:color="auto"/>
            </w:tcBorders>
          </w:tcPr>
          <w:p w14:paraId="0AC025C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w:t>
            </w:r>
          </w:p>
        </w:tc>
        <w:tc>
          <w:tcPr>
            <w:tcW w:w="851" w:type="dxa"/>
            <w:tcBorders>
              <w:top w:val="single" w:sz="6" w:space="0" w:color="auto"/>
              <w:bottom w:val="single" w:sz="6" w:space="0" w:color="auto"/>
            </w:tcBorders>
          </w:tcPr>
          <w:p w14:paraId="087572E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w:t>
            </w:r>
          </w:p>
        </w:tc>
      </w:tr>
      <w:tr w:rsidR="008D6F13" w14:paraId="6F425223" w14:textId="77777777" w:rsidTr="0031078F">
        <w:tc>
          <w:tcPr>
            <w:cnfStyle w:val="001000000000" w:firstRow="0" w:lastRow="0" w:firstColumn="1" w:lastColumn="0" w:oddVBand="0" w:evenVBand="0" w:oddHBand="0" w:evenHBand="0" w:firstRowFirstColumn="0" w:firstRowLastColumn="0" w:lastRowFirstColumn="0" w:lastRowLastColumn="0"/>
            <w:tcW w:w="3654" w:type="dxa"/>
            <w:tcBorders>
              <w:top w:val="single" w:sz="6" w:space="0" w:color="auto"/>
              <w:bottom w:val="single" w:sz="12" w:space="0" w:color="auto"/>
            </w:tcBorders>
          </w:tcPr>
          <w:p w14:paraId="6385BEFB" w14:textId="77777777" w:rsidR="008D6F13" w:rsidRDefault="008D6F13" w:rsidP="0031078F">
            <w:r>
              <w:rPr>
                <w:b/>
              </w:rPr>
              <w:t>Comprehensive result – total change in net worth</w:t>
            </w:r>
          </w:p>
        </w:tc>
        <w:tc>
          <w:tcPr>
            <w:tcW w:w="712" w:type="dxa"/>
            <w:tcBorders>
              <w:top w:val="single" w:sz="6" w:space="0" w:color="auto"/>
              <w:bottom w:val="single" w:sz="12" w:space="0" w:color="auto"/>
            </w:tcBorders>
          </w:tcPr>
          <w:p w14:paraId="1CFC909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(6 492)</w:t>
            </w:r>
          </w:p>
        </w:tc>
        <w:tc>
          <w:tcPr>
            <w:tcW w:w="794" w:type="dxa"/>
            <w:tcBorders>
              <w:top w:val="single" w:sz="6" w:space="0" w:color="auto"/>
              <w:bottom w:val="single" w:sz="12" w:space="0" w:color="auto"/>
            </w:tcBorders>
          </w:tcPr>
          <w:p w14:paraId="20435F1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(2 947)</w:t>
            </w:r>
          </w:p>
        </w:tc>
        <w:tc>
          <w:tcPr>
            <w:tcW w:w="794" w:type="dxa"/>
            <w:tcBorders>
              <w:top w:val="single" w:sz="6" w:space="0" w:color="auto"/>
              <w:bottom w:val="single" w:sz="12" w:space="0" w:color="auto"/>
            </w:tcBorders>
          </w:tcPr>
          <w:p w14:paraId="53A41A0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(6 269)</w:t>
            </w:r>
          </w:p>
        </w:tc>
        <w:tc>
          <w:tcPr>
            <w:tcW w:w="850" w:type="dxa"/>
            <w:tcBorders>
              <w:top w:val="single" w:sz="6" w:space="0" w:color="auto"/>
              <w:bottom w:val="single" w:sz="12" w:space="0" w:color="auto"/>
            </w:tcBorders>
          </w:tcPr>
          <w:p w14:paraId="598821A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(3 375)</w:t>
            </w:r>
          </w:p>
        </w:tc>
        <w:tc>
          <w:tcPr>
            <w:tcW w:w="851" w:type="dxa"/>
            <w:tcBorders>
              <w:top w:val="single" w:sz="6" w:space="0" w:color="auto"/>
              <w:bottom w:val="single" w:sz="12" w:space="0" w:color="auto"/>
            </w:tcBorders>
          </w:tcPr>
          <w:p w14:paraId="567F5DE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(2 846)</w:t>
            </w:r>
          </w:p>
        </w:tc>
      </w:tr>
      <w:tr w:rsidR="008D6F13" w14:paraId="765C975D" w14:textId="77777777" w:rsidTr="0031078F">
        <w:trPr>
          <w:trHeight w:hRule="exact" w:val="113"/>
        </w:trPr>
        <w:tc>
          <w:tcPr>
            <w:cnfStyle w:val="001000000000" w:firstRow="0" w:lastRow="0" w:firstColumn="1" w:lastColumn="0" w:oddVBand="0" w:evenVBand="0" w:oddHBand="0" w:evenHBand="0" w:firstRowFirstColumn="0" w:firstRowLastColumn="0" w:lastRowFirstColumn="0" w:lastRowLastColumn="0"/>
            <w:tcW w:w="3654" w:type="dxa"/>
            <w:tcBorders>
              <w:top w:val="single" w:sz="6" w:space="0" w:color="auto"/>
            </w:tcBorders>
          </w:tcPr>
          <w:p w14:paraId="5E560625" w14:textId="77777777" w:rsidR="008D6F13" w:rsidRDefault="008D6F13" w:rsidP="0031078F"/>
        </w:tc>
        <w:tc>
          <w:tcPr>
            <w:tcW w:w="712" w:type="dxa"/>
            <w:tcBorders>
              <w:top w:val="single" w:sz="6" w:space="0" w:color="auto"/>
            </w:tcBorders>
          </w:tcPr>
          <w:p w14:paraId="253695F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A247E2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5093C7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6E61A34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tcBorders>
          </w:tcPr>
          <w:p w14:paraId="32C2CDC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21FC4600" w14:textId="77777777" w:rsidTr="0031078F">
        <w:tc>
          <w:tcPr>
            <w:cnfStyle w:val="001000000000" w:firstRow="0" w:lastRow="0" w:firstColumn="1" w:lastColumn="0" w:oddVBand="0" w:evenVBand="0" w:oddHBand="0" w:evenHBand="0" w:firstRowFirstColumn="0" w:firstRowLastColumn="0" w:lastRowFirstColumn="0" w:lastRowLastColumn="0"/>
            <w:tcW w:w="3654" w:type="dxa"/>
          </w:tcPr>
          <w:p w14:paraId="5927CFB5" w14:textId="77777777" w:rsidR="008D6F13" w:rsidRDefault="008D6F13" w:rsidP="0031078F">
            <w:r>
              <w:rPr>
                <w:b/>
              </w:rPr>
              <w:t>KEY FISCAL AGGREGATES</w:t>
            </w:r>
          </w:p>
        </w:tc>
        <w:tc>
          <w:tcPr>
            <w:tcW w:w="712" w:type="dxa"/>
          </w:tcPr>
          <w:p w14:paraId="6758359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E0C855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1656B1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50" w:type="dxa"/>
          </w:tcPr>
          <w:p w14:paraId="2ACA72E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851" w:type="dxa"/>
          </w:tcPr>
          <w:p w14:paraId="33A6D31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5100A337" w14:textId="77777777" w:rsidTr="0031078F">
        <w:tc>
          <w:tcPr>
            <w:cnfStyle w:val="001000000000" w:firstRow="0" w:lastRow="0" w:firstColumn="1" w:lastColumn="0" w:oddVBand="0" w:evenVBand="0" w:oddHBand="0" w:evenHBand="0" w:firstRowFirstColumn="0" w:firstRowLastColumn="0" w:lastRowFirstColumn="0" w:lastRowLastColumn="0"/>
            <w:tcW w:w="3654" w:type="dxa"/>
          </w:tcPr>
          <w:p w14:paraId="661631C5" w14:textId="77777777" w:rsidR="008D6F13" w:rsidRDefault="008D6F13" w:rsidP="0031078F">
            <w:r>
              <w:rPr>
                <w:b/>
              </w:rPr>
              <w:t>Net operating balance</w:t>
            </w:r>
          </w:p>
        </w:tc>
        <w:tc>
          <w:tcPr>
            <w:tcW w:w="712" w:type="dxa"/>
          </w:tcPr>
          <w:p w14:paraId="7C804AD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82</w:t>
            </w:r>
          </w:p>
        </w:tc>
        <w:tc>
          <w:tcPr>
            <w:tcW w:w="794" w:type="dxa"/>
          </w:tcPr>
          <w:p w14:paraId="60C4DED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(539)</w:t>
            </w:r>
          </w:p>
        </w:tc>
        <w:tc>
          <w:tcPr>
            <w:tcW w:w="794" w:type="dxa"/>
          </w:tcPr>
          <w:p w14:paraId="7BA5E74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(17)</w:t>
            </w:r>
          </w:p>
        </w:tc>
        <w:tc>
          <w:tcPr>
            <w:tcW w:w="850" w:type="dxa"/>
          </w:tcPr>
          <w:p w14:paraId="26A73ED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33</w:t>
            </w:r>
          </w:p>
        </w:tc>
        <w:tc>
          <w:tcPr>
            <w:tcW w:w="851" w:type="dxa"/>
          </w:tcPr>
          <w:p w14:paraId="79230EE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96</w:t>
            </w:r>
          </w:p>
        </w:tc>
      </w:tr>
      <w:tr w:rsidR="008D6F13" w14:paraId="048D7B09" w14:textId="77777777" w:rsidTr="0031078F">
        <w:tc>
          <w:tcPr>
            <w:cnfStyle w:val="001000000000" w:firstRow="0" w:lastRow="0" w:firstColumn="1" w:lastColumn="0" w:oddVBand="0" w:evenVBand="0" w:oddHBand="0" w:evenHBand="0" w:firstRowFirstColumn="0" w:firstRowLastColumn="0" w:lastRowFirstColumn="0" w:lastRowLastColumn="0"/>
            <w:tcW w:w="3654" w:type="dxa"/>
            <w:tcBorders>
              <w:bottom w:val="single" w:sz="6" w:space="0" w:color="auto"/>
            </w:tcBorders>
          </w:tcPr>
          <w:p w14:paraId="20825E68" w14:textId="77777777" w:rsidR="008D6F13" w:rsidRDefault="008D6F13" w:rsidP="0031078F">
            <w:r>
              <w:t>Less: Net acquisition of non</w:t>
            </w:r>
            <w:r>
              <w:noBreakHyphen/>
              <w:t>financial assets from transactions</w:t>
            </w:r>
          </w:p>
        </w:tc>
        <w:tc>
          <w:tcPr>
            <w:tcW w:w="712" w:type="dxa"/>
            <w:tcBorders>
              <w:bottom w:val="single" w:sz="6" w:space="0" w:color="auto"/>
            </w:tcBorders>
          </w:tcPr>
          <w:p w14:paraId="446C851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13 506</w:t>
            </w:r>
          </w:p>
        </w:tc>
        <w:tc>
          <w:tcPr>
            <w:tcW w:w="794" w:type="dxa"/>
            <w:tcBorders>
              <w:bottom w:val="single" w:sz="6" w:space="0" w:color="auto"/>
            </w:tcBorders>
          </w:tcPr>
          <w:p w14:paraId="1239830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7 037</w:t>
            </w:r>
          </w:p>
        </w:tc>
        <w:tc>
          <w:tcPr>
            <w:tcW w:w="794" w:type="dxa"/>
            <w:tcBorders>
              <w:bottom w:val="single" w:sz="6" w:space="0" w:color="auto"/>
            </w:tcBorders>
          </w:tcPr>
          <w:p w14:paraId="4363FFE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11 012</w:t>
            </w:r>
          </w:p>
        </w:tc>
        <w:tc>
          <w:tcPr>
            <w:tcW w:w="850" w:type="dxa"/>
            <w:tcBorders>
              <w:bottom w:val="single" w:sz="6" w:space="0" w:color="auto"/>
            </w:tcBorders>
          </w:tcPr>
          <w:p w14:paraId="6E5C22E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7 567</w:t>
            </w:r>
          </w:p>
        </w:tc>
        <w:tc>
          <w:tcPr>
            <w:tcW w:w="851" w:type="dxa"/>
            <w:tcBorders>
              <w:bottom w:val="single" w:sz="6" w:space="0" w:color="auto"/>
            </w:tcBorders>
          </w:tcPr>
          <w:p w14:paraId="5FB381F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6 969</w:t>
            </w:r>
          </w:p>
        </w:tc>
      </w:tr>
      <w:tr w:rsidR="008D6F13" w14:paraId="7D36BA96" w14:textId="77777777" w:rsidTr="0031078F">
        <w:tc>
          <w:tcPr>
            <w:cnfStyle w:val="001000000000" w:firstRow="0" w:lastRow="0" w:firstColumn="1" w:lastColumn="0" w:oddVBand="0" w:evenVBand="0" w:oddHBand="0" w:evenHBand="0" w:firstRowFirstColumn="0" w:firstRowLastColumn="0" w:lastRowFirstColumn="0" w:lastRowLastColumn="0"/>
            <w:tcW w:w="3654" w:type="dxa"/>
          </w:tcPr>
          <w:p w14:paraId="42B5B261" w14:textId="77777777" w:rsidR="008D6F13" w:rsidRDefault="008D6F13" w:rsidP="0031078F">
            <w:r>
              <w:rPr>
                <w:b/>
              </w:rPr>
              <w:t>Net lending/(borrowing)</w:t>
            </w:r>
          </w:p>
        </w:tc>
        <w:tc>
          <w:tcPr>
            <w:tcW w:w="712" w:type="dxa"/>
          </w:tcPr>
          <w:p w14:paraId="4F89103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(13 425)</w:t>
            </w:r>
          </w:p>
        </w:tc>
        <w:tc>
          <w:tcPr>
            <w:tcW w:w="794" w:type="dxa"/>
          </w:tcPr>
          <w:p w14:paraId="5840448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(7 575)</w:t>
            </w:r>
          </w:p>
        </w:tc>
        <w:tc>
          <w:tcPr>
            <w:tcW w:w="794" w:type="dxa"/>
          </w:tcPr>
          <w:p w14:paraId="3490F4F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(11 029)</w:t>
            </w:r>
          </w:p>
        </w:tc>
        <w:tc>
          <w:tcPr>
            <w:tcW w:w="850" w:type="dxa"/>
          </w:tcPr>
          <w:p w14:paraId="3813458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(7 534)</w:t>
            </w:r>
          </w:p>
        </w:tc>
        <w:tc>
          <w:tcPr>
            <w:tcW w:w="851" w:type="dxa"/>
          </w:tcPr>
          <w:p w14:paraId="565E5D86" w14:textId="4E34363C"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(6 873)</w:t>
            </w:r>
          </w:p>
        </w:tc>
      </w:tr>
    </w:tbl>
    <w:p w14:paraId="37A115B0" w14:textId="77777777" w:rsidR="008D6F13" w:rsidRDefault="008D6F13" w:rsidP="008D6F13">
      <w:pPr>
        <w:pStyle w:val="TableHeading"/>
        <w:ind w:left="0" w:firstLine="0"/>
        <w:rPr>
          <w:rFonts w:cstheme="majorHAnsi"/>
        </w:rPr>
      </w:pPr>
    </w:p>
    <w:p w14:paraId="39C9CAE4" w14:textId="77777777" w:rsidR="008D6F13" w:rsidRDefault="008D6F13" w:rsidP="008D6F13">
      <w:pPr>
        <w:keepLines w:val="0"/>
        <w:rPr>
          <w:rFonts w:asciiTheme="majorHAnsi" w:hAnsiTheme="majorHAnsi" w:cstheme="majorHAnsi"/>
          <w:b/>
          <w:sz w:val="20"/>
        </w:rPr>
      </w:pPr>
      <w:r>
        <w:rPr>
          <w:rFonts w:cstheme="majorHAnsi"/>
        </w:rPr>
        <w:br w:type="page"/>
      </w:r>
    </w:p>
    <w:p w14:paraId="0D797163" w14:textId="39B00E7C" w:rsidR="008D6F13" w:rsidRPr="00921F69" w:rsidRDefault="008D6F13" w:rsidP="008D6F13">
      <w:pPr>
        <w:pStyle w:val="TableHeading"/>
        <w:ind w:left="0" w:firstLine="0"/>
        <w:rPr>
          <w:rFonts w:cstheme="majorHAnsi"/>
        </w:rPr>
      </w:pPr>
      <w:r w:rsidRPr="00921F69">
        <w:rPr>
          <w:rFonts w:cstheme="majorHAnsi"/>
        </w:rPr>
        <w:lastRenderedPageBreak/>
        <w:t>Table 5.2</w:t>
      </w:r>
      <w:r w:rsidR="007F1FE4">
        <w:rPr>
          <w:rFonts w:cstheme="majorHAnsi"/>
        </w:rPr>
        <w:t>:</w:t>
      </w:r>
      <w:r w:rsidRPr="00921F69">
        <w:rPr>
          <w:rFonts w:cstheme="majorHAnsi"/>
        </w:rPr>
        <w:tab/>
        <w:t xml:space="preserve">Public non-financial corporations sector balance sheet as </w:t>
      </w:r>
      <w:proofErr w:type="gramStart"/>
      <w:r w:rsidRPr="00921F69">
        <w:rPr>
          <w:rFonts w:cstheme="majorHAnsi"/>
        </w:rPr>
        <w:t>at</w:t>
      </w:r>
      <w:proofErr w:type="gramEnd"/>
      <w:r w:rsidRPr="00921F69">
        <w:rPr>
          <w:rFonts w:cstheme="majorHAnsi"/>
        </w:rPr>
        <w:t xml:space="preserve"> 30 June</w:t>
      </w:r>
      <w:r w:rsidRPr="00921F69">
        <w:rPr>
          <w:rFonts w:cstheme="majorHAnsi"/>
        </w:rPr>
        <w:tab/>
        <w:t>($ million)</w:t>
      </w:r>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6E62CA37"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06FF8D4E" w14:textId="6747D162" w:rsidR="008D6F13" w:rsidRDefault="008D6F13" w:rsidP="0031078F"/>
        </w:tc>
        <w:tc>
          <w:tcPr>
            <w:tcW w:w="794" w:type="dxa"/>
          </w:tcPr>
          <w:p w14:paraId="14DC8E8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br/>
              <w:t>budget</w:t>
            </w:r>
            <w:r>
              <w:rPr>
                <w:vertAlign w:val="superscript"/>
              </w:rPr>
              <w:t xml:space="preserve"> (a)</w:t>
            </w:r>
          </w:p>
        </w:tc>
        <w:tc>
          <w:tcPr>
            <w:tcW w:w="794" w:type="dxa"/>
          </w:tcPr>
          <w:p w14:paraId="6C53A1EF"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br/>
              <w:t>revised</w:t>
            </w:r>
          </w:p>
        </w:tc>
        <w:tc>
          <w:tcPr>
            <w:tcW w:w="794" w:type="dxa"/>
          </w:tcPr>
          <w:p w14:paraId="5F783B1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br/>
              <w:t>estimate</w:t>
            </w:r>
          </w:p>
        </w:tc>
        <w:tc>
          <w:tcPr>
            <w:tcW w:w="794" w:type="dxa"/>
          </w:tcPr>
          <w:p w14:paraId="227EF516"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br/>
              <w:t>estimate</w:t>
            </w:r>
          </w:p>
        </w:tc>
        <w:tc>
          <w:tcPr>
            <w:tcW w:w="794" w:type="dxa"/>
          </w:tcPr>
          <w:p w14:paraId="7B8D14C5"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2025</w:t>
            </w:r>
            <w:r>
              <w:br/>
              <w:t>estimate</w:t>
            </w:r>
          </w:p>
        </w:tc>
      </w:tr>
      <w:tr w:rsidR="008D6F13" w14:paraId="59A7962A"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EF49B89" w14:textId="77777777" w:rsidR="008D6F13" w:rsidRDefault="008D6F13" w:rsidP="0031078F">
            <w:r>
              <w:rPr>
                <w:b/>
              </w:rPr>
              <w:t>Assets</w:t>
            </w:r>
          </w:p>
        </w:tc>
        <w:tc>
          <w:tcPr>
            <w:tcW w:w="794" w:type="dxa"/>
          </w:tcPr>
          <w:p w14:paraId="68FFC4D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72F3F6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AA111D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036256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84567B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55A98061"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D38BF93" w14:textId="77777777" w:rsidR="008D6F13" w:rsidRDefault="008D6F13" w:rsidP="0031078F">
            <w:r>
              <w:rPr>
                <w:b/>
              </w:rPr>
              <w:t>Financial assets</w:t>
            </w:r>
          </w:p>
        </w:tc>
        <w:tc>
          <w:tcPr>
            <w:tcW w:w="794" w:type="dxa"/>
          </w:tcPr>
          <w:p w14:paraId="551A169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4E23EF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696002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390355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E5A9F9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70F9B8B7"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2AEF43C" w14:textId="77777777" w:rsidR="008D6F13" w:rsidRDefault="008D6F13" w:rsidP="0031078F">
            <w:r>
              <w:t>Cash and deposits</w:t>
            </w:r>
          </w:p>
        </w:tc>
        <w:tc>
          <w:tcPr>
            <w:tcW w:w="794" w:type="dxa"/>
          </w:tcPr>
          <w:p w14:paraId="6CDC8A5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1 751</w:t>
            </w:r>
          </w:p>
        </w:tc>
        <w:tc>
          <w:tcPr>
            <w:tcW w:w="794" w:type="dxa"/>
          </w:tcPr>
          <w:p w14:paraId="63B3548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1 016</w:t>
            </w:r>
          </w:p>
        </w:tc>
        <w:tc>
          <w:tcPr>
            <w:tcW w:w="794" w:type="dxa"/>
          </w:tcPr>
          <w:p w14:paraId="71BF099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795</w:t>
            </w:r>
          </w:p>
        </w:tc>
        <w:tc>
          <w:tcPr>
            <w:tcW w:w="794" w:type="dxa"/>
          </w:tcPr>
          <w:p w14:paraId="48DF254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762</w:t>
            </w:r>
          </w:p>
        </w:tc>
        <w:tc>
          <w:tcPr>
            <w:tcW w:w="794" w:type="dxa"/>
          </w:tcPr>
          <w:p w14:paraId="33A58C0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764</w:t>
            </w:r>
          </w:p>
        </w:tc>
      </w:tr>
      <w:tr w:rsidR="008D6F13" w14:paraId="09E97D46"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7302BF5" w14:textId="77777777" w:rsidR="008D6F13" w:rsidRDefault="008D6F13" w:rsidP="0031078F">
            <w:r>
              <w:t>Advances paid</w:t>
            </w:r>
          </w:p>
        </w:tc>
        <w:tc>
          <w:tcPr>
            <w:tcW w:w="794" w:type="dxa"/>
          </w:tcPr>
          <w:p w14:paraId="4E1329F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271</w:t>
            </w:r>
          </w:p>
        </w:tc>
        <w:tc>
          <w:tcPr>
            <w:tcW w:w="794" w:type="dxa"/>
          </w:tcPr>
          <w:p w14:paraId="503F0D3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389</w:t>
            </w:r>
          </w:p>
        </w:tc>
        <w:tc>
          <w:tcPr>
            <w:tcW w:w="794" w:type="dxa"/>
          </w:tcPr>
          <w:p w14:paraId="1DEB520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176</w:t>
            </w:r>
          </w:p>
        </w:tc>
        <w:tc>
          <w:tcPr>
            <w:tcW w:w="794" w:type="dxa"/>
          </w:tcPr>
          <w:p w14:paraId="67B57B0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158</w:t>
            </w:r>
          </w:p>
        </w:tc>
        <w:tc>
          <w:tcPr>
            <w:tcW w:w="794" w:type="dxa"/>
          </w:tcPr>
          <w:p w14:paraId="383CA74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159</w:t>
            </w:r>
          </w:p>
        </w:tc>
      </w:tr>
      <w:tr w:rsidR="008D6F13" w14:paraId="1EA5ADB6"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D77A84A" w14:textId="77777777" w:rsidR="008D6F13" w:rsidRDefault="008D6F13" w:rsidP="0031078F">
            <w:r>
              <w:t>Receivables and contract assets</w:t>
            </w:r>
          </w:p>
        </w:tc>
        <w:tc>
          <w:tcPr>
            <w:tcW w:w="794" w:type="dxa"/>
          </w:tcPr>
          <w:p w14:paraId="5280121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1 534</w:t>
            </w:r>
          </w:p>
        </w:tc>
        <w:tc>
          <w:tcPr>
            <w:tcW w:w="794" w:type="dxa"/>
          </w:tcPr>
          <w:p w14:paraId="1644170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1 499</w:t>
            </w:r>
          </w:p>
        </w:tc>
        <w:tc>
          <w:tcPr>
            <w:tcW w:w="794" w:type="dxa"/>
          </w:tcPr>
          <w:p w14:paraId="4D34A41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1 464</w:t>
            </w:r>
          </w:p>
        </w:tc>
        <w:tc>
          <w:tcPr>
            <w:tcW w:w="794" w:type="dxa"/>
          </w:tcPr>
          <w:p w14:paraId="7786D3F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1 401</w:t>
            </w:r>
          </w:p>
        </w:tc>
        <w:tc>
          <w:tcPr>
            <w:tcW w:w="794" w:type="dxa"/>
          </w:tcPr>
          <w:p w14:paraId="0A7DFED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1 331</w:t>
            </w:r>
          </w:p>
        </w:tc>
      </w:tr>
      <w:tr w:rsidR="008D6F13" w14:paraId="30E0CADC"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505D66A" w14:textId="77777777" w:rsidR="008D6F13" w:rsidRDefault="008D6F13" w:rsidP="0031078F">
            <w:r>
              <w:t xml:space="preserve">Investments, </w:t>
            </w:r>
            <w:proofErr w:type="gramStart"/>
            <w:r>
              <w:t>loans</w:t>
            </w:r>
            <w:proofErr w:type="gramEnd"/>
            <w:r>
              <w:t xml:space="preserve"> and placements</w:t>
            </w:r>
          </w:p>
        </w:tc>
        <w:tc>
          <w:tcPr>
            <w:tcW w:w="794" w:type="dxa"/>
          </w:tcPr>
          <w:p w14:paraId="5BFF7C4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580</w:t>
            </w:r>
          </w:p>
        </w:tc>
        <w:tc>
          <w:tcPr>
            <w:tcW w:w="794" w:type="dxa"/>
          </w:tcPr>
          <w:p w14:paraId="735036A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580</w:t>
            </w:r>
          </w:p>
        </w:tc>
        <w:tc>
          <w:tcPr>
            <w:tcW w:w="794" w:type="dxa"/>
          </w:tcPr>
          <w:p w14:paraId="674D12E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555</w:t>
            </w:r>
          </w:p>
        </w:tc>
        <w:tc>
          <w:tcPr>
            <w:tcW w:w="794" w:type="dxa"/>
          </w:tcPr>
          <w:p w14:paraId="12DB4CB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590</w:t>
            </w:r>
          </w:p>
        </w:tc>
        <w:tc>
          <w:tcPr>
            <w:tcW w:w="794" w:type="dxa"/>
          </w:tcPr>
          <w:p w14:paraId="0219BFD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636</w:t>
            </w:r>
          </w:p>
        </w:tc>
      </w:tr>
      <w:tr w:rsidR="008D6F13" w14:paraId="682B37F5"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3AD31F29" w14:textId="77777777" w:rsidR="008D6F13" w:rsidRDefault="008D6F13" w:rsidP="0031078F">
            <w:r>
              <w:rPr>
                <w:b/>
              </w:rPr>
              <w:t>Total financial assets</w:t>
            </w:r>
          </w:p>
        </w:tc>
        <w:tc>
          <w:tcPr>
            <w:tcW w:w="794" w:type="dxa"/>
            <w:tcBorders>
              <w:top w:val="single" w:sz="6" w:space="0" w:color="auto"/>
              <w:bottom w:val="single" w:sz="6" w:space="0" w:color="auto"/>
            </w:tcBorders>
          </w:tcPr>
          <w:p w14:paraId="505F2C1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4 135</w:t>
            </w:r>
          </w:p>
        </w:tc>
        <w:tc>
          <w:tcPr>
            <w:tcW w:w="794" w:type="dxa"/>
            <w:tcBorders>
              <w:top w:val="single" w:sz="6" w:space="0" w:color="auto"/>
              <w:bottom w:val="single" w:sz="6" w:space="0" w:color="auto"/>
            </w:tcBorders>
          </w:tcPr>
          <w:p w14:paraId="6E2AE05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3 483</w:t>
            </w:r>
          </w:p>
        </w:tc>
        <w:tc>
          <w:tcPr>
            <w:tcW w:w="794" w:type="dxa"/>
            <w:tcBorders>
              <w:top w:val="single" w:sz="6" w:space="0" w:color="auto"/>
              <w:bottom w:val="single" w:sz="6" w:space="0" w:color="auto"/>
            </w:tcBorders>
          </w:tcPr>
          <w:p w14:paraId="7DED6B1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2 989</w:t>
            </w:r>
          </w:p>
        </w:tc>
        <w:tc>
          <w:tcPr>
            <w:tcW w:w="794" w:type="dxa"/>
            <w:tcBorders>
              <w:top w:val="single" w:sz="6" w:space="0" w:color="auto"/>
              <w:bottom w:val="single" w:sz="6" w:space="0" w:color="auto"/>
            </w:tcBorders>
          </w:tcPr>
          <w:p w14:paraId="1831D9A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2 911</w:t>
            </w:r>
          </w:p>
        </w:tc>
        <w:tc>
          <w:tcPr>
            <w:tcW w:w="794" w:type="dxa"/>
            <w:tcBorders>
              <w:top w:val="single" w:sz="6" w:space="0" w:color="auto"/>
              <w:bottom w:val="single" w:sz="6" w:space="0" w:color="auto"/>
            </w:tcBorders>
          </w:tcPr>
          <w:p w14:paraId="4B787B9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2 889</w:t>
            </w:r>
          </w:p>
        </w:tc>
      </w:tr>
      <w:tr w:rsidR="008D6F13" w14:paraId="39ADD06C"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5D0EB0DB" w14:textId="77777777" w:rsidR="008D6F13" w:rsidRDefault="008D6F13" w:rsidP="0031078F">
            <w:r>
              <w:rPr>
                <w:b/>
              </w:rPr>
              <w:t>Non</w:t>
            </w:r>
            <w:r>
              <w:rPr>
                <w:b/>
              </w:rPr>
              <w:noBreakHyphen/>
              <w:t>financial assets</w:t>
            </w:r>
          </w:p>
        </w:tc>
        <w:tc>
          <w:tcPr>
            <w:tcW w:w="794" w:type="dxa"/>
            <w:tcBorders>
              <w:top w:val="single" w:sz="6" w:space="0" w:color="auto"/>
            </w:tcBorders>
          </w:tcPr>
          <w:p w14:paraId="17A3AF4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D87277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5017AF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4D7FA7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CB0E77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3CFC0297"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C219E8B" w14:textId="77777777" w:rsidR="008D6F13" w:rsidRDefault="008D6F13" w:rsidP="0031078F">
            <w:r>
              <w:t>Inventories</w:t>
            </w:r>
          </w:p>
        </w:tc>
        <w:tc>
          <w:tcPr>
            <w:tcW w:w="794" w:type="dxa"/>
          </w:tcPr>
          <w:p w14:paraId="10CC162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1 237</w:t>
            </w:r>
          </w:p>
        </w:tc>
        <w:tc>
          <w:tcPr>
            <w:tcW w:w="794" w:type="dxa"/>
          </w:tcPr>
          <w:p w14:paraId="0079F5D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1 524</w:t>
            </w:r>
          </w:p>
        </w:tc>
        <w:tc>
          <w:tcPr>
            <w:tcW w:w="794" w:type="dxa"/>
          </w:tcPr>
          <w:p w14:paraId="61D7EFC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1 445</w:t>
            </w:r>
          </w:p>
        </w:tc>
        <w:tc>
          <w:tcPr>
            <w:tcW w:w="794" w:type="dxa"/>
          </w:tcPr>
          <w:p w14:paraId="3416562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1 429</w:t>
            </w:r>
          </w:p>
        </w:tc>
        <w:tc>
          <w:tcPr>
            <w:tcW w:w="794" w:type="dxa"/>
          </w:tcPr>
          <w:p w14:paraId="57F3BF3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1 241</w:t>
            </w:r>
          </w:p>
        </w:tc>
      </w:tr>
      <w:tr w:rsidR="008D6F13" w14:paraId="4B71C709"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AFC31A0" w14:textId="77777777" w:rsidR="008D6F13" w:rsidRDefault="008D6F13" w:rsidP="0031078F">
            <w:r>
              <w:t>Non</w:t>
            </w:r>
            <w:r>
              <w:noBreakHyphen/>
              <w:t>financial assets held for sale</w:t>
            </w:r>
          </w:p>
        </w:tc>
        <w:tc>
          <w:tcPr>
            <w:tcW w:w="794" w:type="dxa"/>
          </w:tcPr>
          <w:p w14:paraId="280887A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57</w:t>
            </w:r>
          </w:p>
        </w:tc>
        <w:tc>
          <w:tcPr>
            <w:tcW w:w="794" w:type="dxa"/>
          </w:tcPr>
          <w:p w14:paraId="6A48611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w:t>
            </w:r>
          </w:p>
        </w:tc>
        <w:tc>
          <w:tcPr>
            <w:tcW w:w="794" w:type="dxa"/>
          </w:tcPr>
          <w:p w14:paraId="75C27AC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w:t>
            </w:r>
          </w:p>
        </w:tc>
        <w:tc>
          <w:tcPr>
            <w:tcW w:w="794" w:type="dxa"/>
          </w:tcPr>
          <w:p w14:paraId="40EC73E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w:t>
            </w:r>
          </w:p>
        </w:tc>
        <w:tc>
          <w:tcPr>
            <w:tcW w:w="794" w:type="dxa"/>
          </w:tcPr>
          <w:p w14:paraId="4A26BEC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w:t>
            </w:r>
          </w:p>
        </w:tc>
      </w:tr>
      <w:tr w:rsidR="008D6F13" w14:paraId="7151BDBD"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6ED8FF0" w14:textId="77777777" w:rsidR="008D6F13" w:rsidRDefault="008D6F13" w:rsidP="0031078F">
            <w:r>
              <w:t xml:space="preserve">Land, buildings, infrastructure, </w:t>
            </w:r>
            <w:proofErr w:type="gramStart"/>
            <w:r>
              <w:t>plant</w:t>
            </w:r>
            <w:proofErr w:type="gramEnd"/>
            <w:r>
              <w:t xml:space="preserve"> and equipment</w:t>
            </w:r>
          </w:p>
        </w:tc>
        <w:tc>
          <w:tcPr>
            <w:tcW w:w="794" w:type="dxa"/>
          </w:tcPr>
          <w:p w14:paraId="42B7EB1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111 762</w:t>
            </w:r>
          </w:p>
        </w:tc>
        <w:tc>
          <w:tcPr>
            <w:tcW w:w="794" w:type="dxa"/>
          </w:tcPr>
          <w:p w14:paraId="24C1AED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109 087</w:t>
            </w:r>
          </w:p>
        </w:tc>
        <w:tc>
          <w:tcPr>
            <w:tcW w:w="794" w:type="dxa"/>
          </w:tcPr>
          <w:p w14:paraId="355D226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113 614</w:t>
            </w:r>
          </w:p>
        </w:tc>
        <w:tc>
          <w:tcPr>
            <w:tcW w:w="794" w:type="dxa"/>
          </w:tcPr>
          <w:p w14:paraId="50FDC16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117 472</w:t>
            </w:r>
          </w:p>
        </w:tc>
        <w:tc>
          <w:tcPr>
            <w:tcW w:w="794" w:type="dxa"/>
          </w:tcPr>
          <w:p w14:paraId="31F078A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121 383</w:t>
            </w:r>
          </w:p>
        </w:tc>
      </w:tr>
      <w:tr w:rsidR="008D6F13" w14:paraId="60C8793C"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67E8ED66" w14:textId="77777777" w:rsidR="008D6F13" w:rsidRDefault="008D6F13" w:rsidP="0031078F">
            <w:r>
              <w:t>Other non</w:t>
            </w:r>
            <w:r>
              <w:noBreakHyphen/>
              <w:t>financial assets</w:t>
            </w:r>
          </w:p>
        </w:tc>
        <w:tc>
          <w:tcPr>
            <w:tcW w:w="794" w:type="dxa"/>
            <w:tcBorders>
              <w:bottom w:val="single" w:sz="6" w:space="0" w:color="auto"/>
            </w:tcBorders>
          </w:tcPr>
          <w:p w14:paraId="6DE8581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1 810</w:t>
            </w:r>
          </w:p>
        </w:tc>
        <w:tc>
          <w:tcPr>
            <w:tcW w:w="794" w:type="dxa"/>
            <w:tcBorders>
              <w:bottom w:val="single" w:sz="6" w:space="0" w:color="auto"/>
            </w:tcBorders>
          </w:tcPr>
          <w:p w14:paraId="0587613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1 728</w:t>
            </w:r>
          </w:p>
        </w:tc>
        <w:tc>
          <w:tcPr>
            <w:tcW w:w="794" w:type="dxa"/>
            <w:tcBorders>
              <w:bottom w:val="single" w:sz="6" w:space="0" w:color="auto"/>
            </w:tcBorders>
          </w:tcPr>
          <w:p w14:paraId="35AA2BB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1 982</w:t>
            </w:r>
          </w:p>
        </w:tc>
        <w:tc>
          <w:tcPr>
            <w:tcW w:w="794" w:type="dxa"/>
            <w:tcBorders>
              <w:bottom w:val="single" w:sz="6" w:space="0" w:color="auto"/>
            </w:tcBorders>
          </w:tcPr>
          <w:p w14:paraId="5C5BDB0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2 224</w:t>
            </w:r>
          </w:p>
        </w:tc>
        <w:tc>
          <w:tcPr>
            <w:tcW w:w="794" w:type="dxa"/>
            <w:tcBorders>
              <w:bottom w:val="single" w:sz="6" w:space="0" w:color="auto"/>
            </w:tcBorders>
          </w:tcPr>
          <w:p w14:paraId="4AEF7E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2 470</w:t>
            </w:r>
          </w:p>
        </w:tc>
      </w:tr>
      <w:tr w:rsidR="008D6F13" w14:paraId="43D7E0C9"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05DFDA6D" w14:textId="77777777" w:rsidR="008D6F13" w:rsidRDefault="008D6F13" w:rsidP="0031078F">
            <w:r>
              <w:rPr>
                <w:b/>
              </w:rPr>
              <w:t>Total non</w:t>
            </w:r>
            <w:r>
              <w:rPr>
                <w:b/>
              </w:rPr>
              <w:noBreakHyphen/>
              <w:t>financial assets</w:t>
            </w:r>
          </w:p>
        </w:tc>
        <w:tc>
          <w:tcPr>
            <w:tcW w:w="794" w:type="dxa"/>
            <w:tcBorders>
              <w:top w:val="single" w:sz="6" w:space="0" w:color="auto"/>
              <w:bottom w:val="single" w:sz="6" w:space="0" w:color="auto"/>
            </w:tcBorders>
          </w:tcPr>
          <w:p w14:paraId="77CB431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114 867</w:t>
            </w:r>
          </w:p>
        </w:tc>
        <w:tc>
          <w:tcPr>
            <w:tcW w:w="794" w:type="dxa"/>
            <w:tcBorders>
              <w:top w:val="single" w:sz="6" w:space="0" w:color="auto"/>
              <w:bottom w:val="single" w:sz="6" w:space="0" w:color="auto"/>
            </w:tcBorders>
          </w:tcPr>
          <w:p w14:paraId="4BD9ABB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112 363</w:t>
            </w:r>
          </w:p>
        </w:tc>
        <w:tc>
          <w:tcPr>
            <w:tcW w:w="794" w:type="dxa"/>
            <w:tcBorders>
              <w:top w:val="single" w:sz="6" w:space="0" w:color="auto"/>
              <w:bottom w:val="single" w:sz="6" w:space="0" w:color="auto"/>
            </w:tcBorders>
          </w:tcPr>
          <w:p w14:paraId="789E382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117 064</w:t>
            </w:r>
          </w:p>
        </w:tc>
        <w:tc>
          <w:tcPr>
            <w:tcW w:w="794" w:type="dxa"/>
            <w:tcBorders>
              <w:top w:val="single" w:sz="6" w:space="0" w:color="auto"/>
              <w:bottom w:val="single" w:sz="6" w:space="0" w:color="auto"/>
            </w:tcBorders>
          </w:tcPr>
          <w:p w14:paraId="68DDA08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121 149</w:t>
            </w:r>
          </w:p>
        </w:tc>
        <w:tc>
          <w:tcPr>
            <w:tcW w:w="794" w:type="dxa"/>
            <w:tcBorders>
              <w:top w:val="single" w:sz="6" w:space="0" w:color="auto"/>
              <w:bottom w:val="single" w:sz="6" w:space="0" w:color="auto"/>
            </w:tcBorders>
          </w:tcPr>
          <w:p w14:paraId="19649C9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125 118</w:t>
            </w:r>
          </w:p>
        </w:tc>
      </w:tr>
      <w:tr w:rsidR="008D6F13" w14:paraId="697B0EC0"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4BD764FF" w14:textId="77777777" w:rsidR="008D6F13" w:rsidRDefault="008D6F13" w:rsidP="0031078F">
            <w:r>
              <w:rPr>
                <w:b/>
              </w:rPr>
              <w:t>Total assets</w:t>
            </w:r>
          </w:p>
        </w:tc>
        <w:tc>
          <w:tcPr>
            <w:tcW w:w="794" w:type="dxa"/>
            <w:tcBorders>
              <w:top w:val="single" w:sz="6" w:space="0" w:color="auto"/>
            </w:tcBorders>
          </w:tcPr>
          <w:p w14:paraId="214A6CA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119 002</w:t>
            </w:r>
          </w:p>
        </w:tc>
        <w:tc>
          <w:tcPr>
            <w:tcW w:w="794" w:type="dxa"/>
            <w:tcBorders>
              <w:top w:val="single" w:sz="6" w:space="0" w:color="auto"/>
            </w:tcBorders>
          </w:tcPr>
          <w:p w14:paraId="3F36BFE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115 846</w:t>
            </w:r>
          </w:p>
        </w:tc>
        <w:tc>
          <w:tcPr>
            <w:tcW w:w="794" w:type="dxa"/>
            <w:tcBorders>
              <w:top w:val="single" w:sz="6" w:space="0" w:color="auto"/>
            </w:tcBorders>
          </w:tcPr>
          <w:p w14:paraId="326C98B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120 053</w:t>
            </w:r>
          </w:p>
        </w:tc>
        <w:tc>
          <w:tcPr>
            <w:tcW w:w="794" w:type="dxa"/>
            <w:tcBorders>
              <w:top w:val="single" w:sz="6" w:space="0" w:color="auto"/>
            </w:tcBorders>
          </w:tcPr>
          <w:p w14:paraId="0B2CA81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124 061</w:t>
            </w:r>
          </w:p>
        </w:tc>
        <w:tc>
          <w:tcPr>
            <w:tcW w:w="794" w:type="dxa"/>
            <w:tcBorders>
              <w:top w:val="single" w:sz="6" w:space="0" w:color="auto"/>
            </w:tcBorders>
          </w:tcPr>
          <w:p w14:paraId="4B391F8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128 007</w:t>
            </w:r>
          </w:p>
        </w:tc>
      </w:tr>
      <w:tr w:rsidR="008D6F13" w14:paraId="0869DC00"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0F1C8FF" w14:textId="77777777" w:rsidR="008D6F13" w:rsidRDefault="008D6F13" w:rsidP="0031078F">
            <w:r>
              <w:rPr>
                <w:b/>
              </w:rPr>
              <w:t>Liabilities</w:t>
            </w:r>
          </w:p>
        </w:tc>
        <w:tc>
          <w:tcPr>
            <w:tcW w:w="794" w:type="dxa"/>
          </w:tcPr>
          <w:p w14:paraId="46B8B20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692BD1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66DE41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0D3348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193A69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1B32B9ED"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0299EE0" w14:textId="77777777" w:rsidR="008D6F13" w:rsidRDefault="008D6F13" w:rsidP="0031078F">
            <w:r>
              <w:t>Deposits held and advances received</w:t>
            </w:r>
          </w:p>
        </w:tc>
        <w:tc>
          <w:tcPr>
            <w:tcW w:w="794" w:type="dxa"/>
          </w:tcPr>
          <w:p w14:paraId="37C0DE0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993</w:t>
            </w:r>
          </w:p>
        </w:tc>
        <w:tc>
          <w:tcPr>
            <w:tcW w:w="794" w:type="dxa"/>
          </w:tcPr>
          <w:p w14:paraId="7D12868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1 137</w:t>
            </w:r>
          </w:p>
        </w:tc>
        <w:tc>
          <w:tcPr>
            <w:tcW w:w="794" w:type="dxa"/>
          </w:tcPr>
          <w:p w14:paraId="4AC0275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1 308</w:t>
            </w:r>
          </w:p>
        </w:tc>
        <w:tc>
          <w:tcPr>
            <w:tcW w:w="794" w:type="dxa"/>
          </w:tcPr>
          <w:p w14:paraId="48B2DC5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2 959</w:t>
            </w:r>
          </w:p>
        </w:tc>
        <w:tc>
          <w:tcPr>
            <w:tcW w:w="794" w:type="dxa"/>
          </w:tcPr>
          <w:p w14:paraId="10BC19B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3 051</w:t>
            </w:r>
          </w:p>
        </w:tc>
      </w:tr>
      <w:tr w:rsidR="008D6F13" w14:paraId="2E0E5CFE"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4138108" w14:textId="77777777" w:rsidR="008D6F13" w:rsidRDefault="008D6F13" w:rsidP="0031078F">
            <w:r>
              <w:t>Payables</w:t>
            </w:r>
          </w:p>
        </w:tc>
        <w:tc>
          <w:tcPr>
            <w:tcW w:w="794" w:type="dxa"/>
          </w:tcPr>
          <w:p w14:paraId="7B49D1C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9 789</w:t>
            </w:r>
          </w:p>
        </w:tc>
        <w:tc>
          <w:tcPr>
            <w:tcW w:w="794" w:type="dxa"/>
          </w:tcPr>
          <w:p w14:paraId="5A013F7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9 692</w:t>
            </w:r>
          </w:p>
        </w:tc>
        <w:tc>
          <w:tcPr>
            <w:tcW w:w="794" w:type="dxa"/>
          </w:tcPr>
          <w:p w14:paraId="7CEBB9F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9 607</w:t>
            </w:r>
          </w:p>
        </w:tc>
        <w:tc>
          <w:tcPr>
            <w:tcW w:w="794" w:type="dxa"/>
          </w:tcPr>
          <w:p w14:paraId="7A4A832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9 453</w:t>
            </w:r>
          </w:p>
        </w:tc>
        <w:tc>
          <w:tcPr>
            <w:tcW w:w="794" w:type="dxa"/>
          </w:tcPr>
          <w:p w14:paraId="17979A7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9 310</w:t>
            </w:r>
          </w:p>
        </w:tc>
      </w:tr>
      <w:tr w:rsidR="008D6F13" w14:paraId="284242FC"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8123CDC" w14:textId="77777777" w:rsidR="008D6F13" w:rsidRDefault="008D6F13" w:rsidP="0031078F">
            <w:r>
              <w:t>Contract liabilities</w:t>
            </w:r>
          </w:p>
        </w:tc>
        <w:tc>
          <w:tcPr>
            <w:tcW w:w="794" w:type="dxa"/>
          </w:tcPr>
          <w:p w14:paraId="6EB5B3C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202</w:t>
            </w:r>
          </w:p>
        </w:tc>
        <w:tc>
          <w:tcPr>
            <w:tcW w:w="794" w:type="dxa"/>
          </w:tcPr>
          <w:p w14:paraId="4BBF2D9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198</w:t>
            </w:r>
          </w:p>
        </w:tc>
        <w:tc>
          <w:tcPr>
            <w:tcW w:w="794" w:type="dxa"/>
          </w:tcPr>
          <w:p w14:paraId="0043DDC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200</w:t>
            </w:r>
          </w:p>
        </w:tc>
        <w:tc>
          <w:tcPr>
            <w:tcW w:w="794" w:type="dxa"/>
          </w:tcPr>
          <w:p w14:paraId="46A00DC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202</w:t>
            </w:r>
          </w:p>
        </w:tc>
        <w:tc>
          <w:tcPr>
            <w:tcW w:w="794" w:type="dxa"/>
          </w:tcPr>
          <w:p w14:paraId="053DA07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203</w:t>
            </w:r>
          </w:p>
        </w:tc>
      </w:tr>
      <w:tr w:rsidR="008D6F13" w14:paraId="558383B4"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1108F26" w14:textId="77777777" w:rsidR="008D6F13" w:rsidRDefault="008D6F13" w:rsidP="0031078F">
            <w:r>
              <w:t>Borrowings</w:t>
            </w:r>
          </w:p>
        </w:tc>
        <w:tc>
          <w:tcPr>
            <w:tcW w:w="794" w:type="dxa"/>
          </w:tcPr>
          <w:p w14:paraId="435050D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21 223</w:t>
            </w:r>
          </w:p>
        </w:tc>
        <w:tc>
          <w:tcPr>
            <w:tcW w:w="794" w:type="dxa"/>
          </w:tcPr>
          <w:p w14:paraId="7B3B00A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21 425</w:t>
            </w:r>
          </w:p>
        </w:tc>
        <w:tc>
          <w:tcPr>
            <w:tcW w:w="794" w:type="dxa"/>
          </w:tcPr>
          <w:p w14:paraId="2194123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24 165</w:t>
            </w:r>
          </w:p>
        </w:tc>
        <w:tc>
          <w:tcPr>
            <w:tcW w:w="794" w:type="dxa"/>
          </w:tcPr>
          <w:p w14:paraId="488C311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25 856</w:t>
            </w:r>
          </w:p>
        </w:tc>
        <w:tc>
          <w:tcPr>
            <w:tcW w:w="794" w:type="dxa"/>
          </w:tcPr>
          <w:p w14:paraId="4543CFB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27 196</w:t>
            </w:r>
          </w:p>
        </w:tc>
      </w:tr>
      <w:tr w:rsidR="008D6F13" w14:paraId="67863533"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1607864" w14:textId="77777777" w:rsidR="008D6F13" w:rsidRDefault="008D6F13" w:rsidP="0031078F">
            <w:r>
              <w:t>Employee benefits</w:t>
            </w:r>
          </w:p>
        </w:tc>
        <w:tc>
          <w:tcPr>
            <w:tcW w:w="794" w:type="dxa"/>
          </w:tcPr>
          <w:p w14:paraId="5CF772A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531</w:t>
            </w:r>
          </w:p>
        </w:tc>
        <w:tc>
          <w:tcPr>
            <w:tcW w:w="794" w:type="dxa"/>
          </w:tcPr>
          <w:p w14:paraId="1BF6B18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542</w:t>
            </w:r>
          </w:p>
        </w:tc>
        <w:tc>
          <w:tcPr>
            <w:tcW w:w="794" w:type="dxa"/>
          </w:tcPr>
          <w:p w14:paraId="62059D1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563</w:t>
            </w:r>
          </w:p>
        </w:tc>
        <w:tc>
          <w:tcPr>
            <w:tcW w:w="794" w:type="dxa"/>
          </w:tcPr>
          <w:p w14:paraId="0C67C69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582</w:t>
            </w:r>
          </w:p>
        </w:tc>
        <w:tc>
          <w:tcPr>
            <w:tcW w:w="794" w:type="dxa"/>
          </w:tcPr>
          <w:p w14:paraId="043B06F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600</w:t>
            </w:r>
          </w:p>
        </w:tc>
      </w:tr>
      <w:tr w:rsidR="008D6F13" w14:paraId="5166A162"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2B3C3B7" w14:textId="77777777" w:rsidR="008D6F13" w:rsidRDefault="008D6F13" w:rsidP="0031078F">
            <w:r>
              <w:t>Superannuation</w:t>
            </w:r>
          </w:p>
        </w:tc>
        <w:tc>
          <w:tcPr>
            <w:tcW w:w="794" w:type="dxa"/>
          </w:tcPr>
          <w:p w14:paraId="6568035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27</w:t>
            </w:r>
          </w:p>
        </w:tc>
        <w:tc>
          <w:tcPr>
            <w:tcW w:w="794" w:type="dxa"/>
          </w:tcPr>
          <w:p w14:paraId="6254315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38</w:t>
            </w:r>
          </w:p>
        </w:tc>
        <w:tc>
          <w:tcPr>
            <w:tcW w:w="794" w:type="dxa"/>
          </w:tcPr>
          <w:p w14:paraId="52F5943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38</w:t>
            </w:r>
          </w:p>
        </w:tc>
        <w:tc>
          <w:tcPr>
            <w:tcW w:w="794" w:type="dxa"/>
          </w:tcPr>
          <w:p w14:paraId="324327D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38</w:t>
            </w:r>
          </w:p>
        </w:tc>
        <w:tc>
          <w:tcPr>
            <w:tcW w:w="794" w:type="dxa"/>
          </w:tcPr>
          <w:p w14:paraId="555C4F9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37</w:t>
            </w:r>
          </w:p>
        </w:tc>
      </w:tr>
      <w:tr w:rsidR="008D6F13" w14:paraId="20F6CC48"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694A0FA8" w14:textId="77777777" w:rsidR="008D6F13" w:rsidRDefault="008D6F13" w:rsidP="0031078F">
            <w:r>
              <w:t>Other provisions</w:t>
            </w:r>
          </w:p>
        </w:tc>
        <w:tc>
          <w:tcPr>
            <w:tcW w:w="794" w:type="dxa"/>
            <w:tcBorders>
              <w:bottom w:val="single" w:sz="6" w:space="0" w:color="auto"/>
            </w:tcBorders>
          </w:tcPr>
          <w:p w14:paraId="59477ED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9 823</w:t>
            </w:r>
          </w:p>
        </w:tc>
        <w:tc>
          <w:tcPr>
            <w:tcW w:w="794" w:type="dxa"/>
            <w:tcBorders>
              <w:bottom w:val="single" w:sz="6" w:space="0" w:color="auto"/>
            </w:tcBorders>
          </w:tcPr>
          <w:p w14:paraId="26D8E92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9 540</w:t>
            </w:r>
          </w:p>
        </w:tc>
        <w:tc>
          <w:tcPr>
            <w:tcW w:w="794" w:type="dxa"/>
            <w:tcBorders>
              <w:bottom w:val="single" w:sz="6" w:space="0" w:color="auto"/>
            </w:tcBorders>
          </w:tcPr>
          <w:p w14:paraId="6A752CB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9 502</w:t>
            </w:r>
          </w:p>
        </w:tc>
        <w:tc>
          <w:tcPr>
            <w:tcW w:w="794" w:type="dxa"/>
            <w:tcBorders>
              <w:bottom w:val="single" w:sz="6" w:space="0" w:color="auto"/>
            </w:tcBorders>
          </w:tcPr>
          <w:p w14:paraId="2C42825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9 404</w:t>
            </w:r>
          </w:p>
        </w:tc>
        <w:tc>
          <w:tcPr>
            <w:tcW w:w="794" w:type="dxa"/>
            <w:tcBorders>
              <w:bottom w:val="single" w:sz="6" w:space="0" w:color="auto"/>
            </w:tcBorders>
          </w:tcPr>
          <w:p w14:paraId="0E8F0D1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9 284</w:t>
            </w:r>
          </w:p>
        </w:tc>
      </w:tr>
      <w:tr w:rsidR="008D6F13" w14:paraId="226AC932"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3707A938" w14:textId="77777777" w:rsidR="008D6F13" w:rsidRDefault="008D6F13" w:rsidP="0031078F">
            <w:r>
              <w:rPr>
                <w:b/>
              </w:rPr>
              <w:t>Total liabilities</w:t>
            </w:r>
          </w:p>
        </w:tc>
        <w:tc>
          <w:tcPr>
            <w:tcW w:w="794" w:type="dxa"/>
            <w:tcBorders>
              <w:top w:val="single" w:sz="6" w:space="0" w:color="auto"/>
              <w:bottom w:val="single" w:sz="6" w:space="0" w:color="auto"/>
            </w:tcBorders>
          </w:tcPr>
          <w:p w14:paraId="3BF392A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42 588</w:t>
            </w:r>
          </w:p>
        </w:tc>
        <w:tc>
          <w:tcPr>
            <w:tcW w:w="794" w:type="dxa"/>
            <w:tcBorders>
              <w:top w:val="single" w:sz="6" w:space="0" w:color="auto"/>
              <w:bottom w:val="single" w:sz="6" w:space="0" w:color="auto"/>
            </w:tcBorders>
          </w:tcPr>
          <w:p w14:paraId="0A4CD05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42 573</w:t>
            </w:r>
          </w:p>
        </w:tc>
        <w:tc>
          <w:tcPr>
            <w:tcW w:w="794" w:type="dxa"/>
            <w:tcBorders>
              <w:top w:val="single" w:sz="6" w:space="0" w:color="auto"/>
              <w:bottom w:val="single" w:sz="6" w:space="0" w:color="auto"/>
            </w:tcBorders>
          </w:tcPr>
          <w:p w14:paraId="3FE0F5F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45 383</w:t>
            </w:r>
          </w:p>
        </w:tc>
        <w:tc>
          <w:tcPr>
            <w:tcW w:w="794" w:type="dxa"/>
            <w:tcBorders>
              <w:top w:val="single" w:sz="6" w:space="0" w:color="auto"/>
              <w:bottom w:val="single" w:sz="6" w:space="0" w:color="auto"/>
            </w:tcBorders>
          </w:tcPr>
          <w:p w14:paraId="3447E6B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48 494</w:t>
            </w:r>
          </w:p>
        </w:tc>
        <w:tc>
          <w:tcPr>
            <w:tcW w:w="794" w:type="dxa"/>
            <w:tcBorders>
              <w:top w:val="single" w:sz="6" w:space="0" w:color="auto"/>
              <w:bottom w:val="single" w:sz="6" w:space="0" w:color="auto"/>
            </w:tcBorders>
          </w:tcPr>
          <w:p w14:paraId="456A848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49 681</w:t>
            </w:r>
          </w:p>
        </w:tc>
      </w:tr>
      <w:tr w:rsidR="008D6F13" w14:paraId="240A54AE"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75B545B3" w14:textId="77777777" w:rsidR="008D6F13" w:rsidRDefault="008D6F13" w:rsidP="0031078F">
            <w:r>
              <w:rPr>
                <w:b/>
              </w:rPr>
              <w:t>Net assets</w:t>
            </w:r>
          </w:p>
        </w:tc>
        <w:tc>
          <w:tcPr>
            <w:tcW w:w="794" w:type="dxa"/>
            <w:tcBorders>
              <w:top w:val="single" w:sz="6" w:space="0" w:color="auto"/>
              <w:bottom w:val="single" w:sz="12" w:space="0" w:color="auto"/>
            </w:tcBorders>
          </w:tcPr>
          <w:p w14:paraId="463FC94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76 414</w:t>
            </w:r>
          </w:p>
        </w:tc>
        <w:tc>
          <w:tcPr>
            <w:tcW w:w="794" w:type="dxa"/>
            <w:tcBorders>
              <w:top w:val="single" w:sz="6" w:space="0" w:color="auto"/>
              <w:bottom w:val="single" w:sz="12" w:space="0" w:color="auto"/>
            </w:tcBorders>
          </w:tcPr>
          <w:p w14:paraId="1818ABB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73 273</w:t>
            </w:r>
          </w:p>
        </w:tc>
        <w:tc>
          <w:tcPr>
            <w:tcW w:w="794" w:type="dxa"/>
            <w:tcBorders>
              <w:top w:val="single" w:sz="6" w:space="0" w:color="auto"/>
              <w:bottom w:val="single" w:sz="12" w:space="0" w:color="auto"/>
            </w:tcBorders>
          </w:tcPr>
          <w:p w14:paraId="0581456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74 670</w:t>
            </w:r>
          </w:p>
        </w:tc>
        <w:tc>
          <w:tcPr>
            <w:tcW w:w="794" w:type="dxa"/>
            <w:tcBorders>
              <w:top w:val="single" w:sz="6" w:space="0" w:color="auto"/>
              <w:bottom w:val="single" w:sz="12" w:space="0" w:color="auto"/>
            </w:tcBorders>
          </w:tcPr>
          <w:p w14:paraId="4B5169A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75 567</w:t>
            </w:r>
          </w:p>
        </w:tc>
        <w:tc>
          <w:tcPr>
            <w:tcW w:w="794" w:type="dxa"/>
            <w:tcBorders>
              <w:top w:val="single" w:sz="6" w:space="0" w:color="auto"/>
              <w:bottom w:val="single" w:sz="12" w:space="0" w:color="auto"/>
            </w:tcBorders>
          </w:tcPr>
          <w:p w14:paraId="0D4ED33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78 326</w:t>
            </w:r>
          </w:p>
        </w:tc>
      </w:tr>
      <w:tr w:rsidR="008D6F13" w14:paraId="461698D7"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3B5F4D4F" w14:textId="77777777" w:rsidR="008D6F13" w:rsidRDefault="008D6F13" w:rsidP="0031078F">
            <w:r>
              <w:t>Accumulated surplus/(deficit)</w:t>
            </w:r>
          </w:p>
        </w:tc>
        <w:tc>
          <w:tcPr>
            <w:tcW w:w="794" w:type="dxa"/>
            <w:tcBorders>
              <w:top w:val="single" w:sz="6" w:space="0" w:color="auto"/>
            </w:tcBorders>
          </w:tcPr>
          <w:p w14:paraId="5225AF1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(30 817)</w:t>
            </w:r>
          </w:p>
        </w:tc>
        <w:tc>
          <w:tcPr>
            <w:tcW w:w="794" w:type="dxa"/>
            <w:tcBorders>
              <w:top w:val="single" w:sz="6" w:space="0" w:color="auto"/>
            </w:tcBorders>
          </w:tcPr>
          <w:p w14:paraId="0ABA9B3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(27 297)</w:t>
            </w:r>
          </w:p>
        </w:tc>
        <w:tc>
          <w:tcPr>
            <w:tcW w:w="794" w:type="dxa"/>
            <w:tcBorders>
              <w:top w:val="single" w:sz="6" w:space="0" w:color="auto"/>
            </w:tcBorders>
          </w:tcPr>
          <w:p w14:paraId="33E2282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(33 664)</w:t>
            </w:r>
          </w:p>
        </w:tc>
        <w:tc>
          <w:tcPr>
            <w:tcW w:w="794" w:type="dxa"/>
            <w:tcBorders>
              <w:top w:val="single" w:sz="6" w:space="0" w:color="auto"/>
            </w:tcBorders>
          </w:tcPr>
          <w:p w14:paraId="062A8A4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(37 197)</w:t>
            </w:r>
          </w:p>
        </w:tc>
        <w:tc>
          <w:tcPr>
            <w:tcW w:w="794" w:type="dxa"/>
            <w:tcBorders>
              <w:top w:val="single" w:sz="6" w:space="0" w:color="auto"/>
            </w:tcBorders>
          </w:tcPr>
          <w:p w14:paraId="29087FA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(40 233)</w:t>
            </w:r>
          </w:p>
        </w:tc>
      </w:tr>
      <w:tr w:rsidR="008D6F13" w14:paraId="621E7F8D"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6BF24226" w14:textId="77777777" w:rsidR="008D6F13" w:rsidRDefault="008D6F13" w:rsidP="0031078F">
            <w:r>
              <w:t>Reserves</w:t>
            </w:r>
          </w:p>
        </w:tc>
        <w:tc>
          <w:tcPr>
            <w:tcW w:w="794" w:type="dxa"/>
            <w:tcBorders>
              <w:bottom w:val="single" w:sz="6" w:space="0" w:color="auto"/>
            </w:tcBorders>
          </w:tcPr>
          <w:p w14:paraId="47E0A80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107 231</w:t>
            </w:r>
          </w:p>
        </w:tc>
        <w:tc>
          <w:tcPr>
            <w:tcW w:w="794" w:type="dxa"/>
            <w:tcBorders>
              <w:bottom w:val="single" w:sz="6" w:space="0" w:color="auto"/>
            </w:tcBorders>
          </w:tcPr>
          <w:p w14:paraId="109B416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100 571</w:t>
            </w:r>
          </w:p>
        </w:tc>
        <w:tc>
          <w:tcPr>
            <w:tcW w:w="794" w:type="dxa"/>
            <w:tcBorders>
              <w:bottom w:val="single" w:sz="6" w:space="0" w:color="auto"/>
            </w:tcBorders>
          </w:tcPr>
          <w:p w14:paraId="2F28E7F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108 335</w:t>
            </w:r>
          </w:p>
        </w:tc>
        <w:tc>
          <w:tcPr>
            <w:tcW w:w="794" w:type="dxa"/>
            <w:tcBorders>
              <w:bottom w:val="single" w:sz="6" w:space="0" w:color="auto"/>
            </w:tcBorders>
          </w:tcPr>
          <w:p w14:paraId="4F5860A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112 764</w:t>
            </w:r>
          </w:p>
        </w:tc>
        <w:tc>
          <w:tcPr>
            <w:tcW w:w="794" w:type="dxa"/>
            <w:tcBorders>
              <w:bottom w:val="single" w:sz="6" w:space="0" w:color="auto"/>
            </w:tcBorders>
          </w:tcPr>
          <w:p w14:paraId="0C81942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118 559</w:t>
            </w:r>
          </w:p>
        </w:tc>
      </w:tr>
      <w:tr w:rsidR="008D6F13" w14:paraId="71C7610C"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47103211" w14:textId="77777777" w:rsidR="008D6F13" w:rsidRDefault="008D6F13" w:rsidP="0031078F">
            <w:r>
              <w:rPr>
                <w:b/>
              </w:rPr>
              <w:t>Net worth</w:t>
            </w:r>
          </w:p>
        </w:tc>
        <w:tc>
          <w:tcPr>
            <w:tcW w:w="794" w:type="dxa"/>
            <w:tcBorders>
              <w:top w:val="single" w:sz="6" w:space="0" w:color="auto"/>
              <w:bottom w:val="single" w:sz="12" w:space="0" w:color="auto"/>
            </w:tcBorders>
          </w:tcPr>
          <w:p w14:paraId="535D9AF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76 414</w:t>
            </w:r>
          </w:p>
        </w:tc>
        <w:tc>
          <w:tcPr>
            <w:tcW w:w="794" w:type="dxa"/>
            <w:tcBorders>
              <w:top w:val="single" w:sz="6" w:space="0" w:color="auto"/>
              <w:bottom w:val="single" w:sz="12" w:space="0" w:color="auto"/>
            </w:tcBorders>
          </w:tcPr>
          <w:p w14:paraId="490E683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73 273</w:t>
            </w:r>
          </w:p>
        </w:tc>
        <w:tc>
          <w:tcPr>
            <w:tcW w:w="794" w:type="dxa"/>
            <w:tcBorders>
              <w:top w:val="single" w:sz="6" w:space="0" w:color="auto"/>
              <w:bottom w:val="single" w:sz="12" w:space="0" w:color="auto"/>
            </w:tcBorders>
          </w:tcPr>
          <w:p w14:paraId="48C1F80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74 670</w:t>
            </w:r>
          </w:p>
        </w:tc>
        <w:tc>
          <w:tcPr>
            <w:tcW w:w="794" w:type="dxa"/>
            <w:tcBorders>
              <w:top w:val="single" w:sz="6" w:space="0" w:color="auto"/>
              <w:bottom w:val="single" w:sz="12" w:space="0" w:color="auto"/>
            </w:tcBorders>
          </w:tcPr>
          <w:p w14:paraId="5455E94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75 567</w:t>
            </w:r>
          </w:p>
        </w:tc>
        <w:tc>
          <w:tcPr>
            <w:tcW w:w="794" w:type="dxa"/>
            <w:tcBorders>
              <w:top w:val="single" w:sz="6" w:space="0" w:color="auto"/>
              <w:bottom w:val="single" w:sz="12" w:space="0" w:color="auto"/>
            </w:tcBorders>
          </w:tcPr>
          <w:p w14:paraId="7EE351D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78 326</w:t>
            </w:r>
          </w:p>
        </w:tc>
      </w:tr>
      <w:tr w:rsidR="008D6F13" w14:paraId="457203D8" w14:textId="77777777" w:rsidTr="0031078F">
        <w:trPr>
          <w:trHeight w:hRule="exact" w:val="113"/>
        </w:trPr>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08E2EF31" w14:textId="77777777" w:rsidR="008D6F13" w:rsidRDefault="008D6F13" w:rsidP="0031078F"/>
        </w:tc>
        <w:tc>
          <w:tcPr>
            <w:tcW w:w="794" w:type="dxa"/>
            <w:tcBorders>
              <w:top w:val="single" w:sz="6" w:space="0" w:color="auto"/>
            </w:tcBorders>
          </w:tcPr>
          <w:p w14:paraId="04FED89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FC7A54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91D0DE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AAC3B9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C76679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00ED9C58"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20A6171" w14:textId="77777777" w:rsidR="008D6F13" w:rsidRDefault="008D6F13" w:rsidP="0031078F">
            <w:r>
              <w:rPr>
                <w:b/>
              </w:rPr>
              <w:t>FISCAL AGGREGATES</w:t>
            </w:r>
          </w:p>
        </w:tc>
        <w:tc>
          <w:tcPr>
            <w:tcW w:w="794" w:type="dxa"/>
          </w:tcPr>
          <w:p w14:paraId="2348FC1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1FB3E7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E97513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E136E7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A82A47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4C625127"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693875A" w14:textId="77777777" w:rsidR="008D6F13" w:rsidRDefault="008D6F13" w:rsidP="0031078F">
            <w:r>
              <w:t>Net financial worth</w:t>
            </w:r>
          </w:p>
        </w:tc>
        <w:tc>
          <w:tcPr>
            <w:tcW w:w="794" w:type="dxa"/>
          </w:tcPr>
          <w:p w14:paraId="54BC680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(38 453)</w:t>
            </w:r>
          </w:p>
        </w:tc>
        <w:tc>
          <w:tcPr>
            <w:tcW w:w="794" w:type="dxa"/>
          </w:tcPr>
          <w:p w14:paraId="5AF0B6A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(39 090)</w:t>
            </w:r>
          </w:p>
        </w:tc>
        <w:tc>
          <w:tcPr>
            <w:tcW w:w="794" w:type="dxa"/>
          </w:tcPr>
          <w:p w14:paraId="5F9C0F2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(42 393)</w:t>
            </w:r>
          </w:p>
        </w:tc>
        <w:tc>
          <w:tcPr>
            <w:tcW w:w="794" w:type="dxa"/>
          </w:tcPr>
          <w:p w14:paraId="00FDB63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(45 582)</w:t>
            </w:r>
          </w:p>
        </w:tc>
        <w:tc>
          <w:tcPr>
            <w:tcW w:w="794" w:type="dxa"/>
          </w:tcPr>
          <w:p w14:paraId="20432EA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(46 792)</w:t>
            </w:r>
          </w:p>
        </w:tc>
      </w:tr>
      <w:tr w:rsidR="008D6F13" w14:paraId="7D9F5055"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2D0343F" w14:textId="77777777" w:rsidR="008D6F13" w:rsidRDefault="008D6F13" w:rsidP="0031078F">
            <w:r>
              <w:t>Net financial liabilities</w:t>
            </w:r>
          </w:p>
        </w:tc>
        <w:tc>
          <w:tcPr>
            <w:tcW w:w="794" w:type="dxa"/>
          </w:tcPr>
          <w:p w14:paraId="38714CC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38 453</w:t>
            </w:r>
          </w:p>
        </w:tc>
        <w:tc>
          <w:tcPr>
            <w:tcW w:w="794" w:type="dxa"/>
          </w:tcPr>
          <w:p w14:paraId="6D9B136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39 090</w:t>
            </w:r>
          </w:p>
        </w:tc>
        <w:tc>
          <w:tcPr>
            <w:tcW w:w="794" w:type="dxa"/>
          </w:tcPr>
          <w:p w14:paraId="71436D1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42 393</w:t>
            </w:r>
          </w:p>
        </w:tc>
        <w:tc>
          <w:tcPr>
            <w:tcW w:w="794" w:type="dxa"/>
          </w:tcPr>
          <w:p w14:paraId="42BC16B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45 582</w:t>
            </w:r>
          </w:p>
        </w:tc>
        <w:tc>
          <w:tcPr>
            <w:tcW w:w="794" w:type="dxa"/>
          </w:tcPr>
          <w:p w14:paraId="44BF655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46 792</w:t>
            </w:r>
          </w:p>
        </w:tc>
      </w:tr>
      <w:tr w:rsidR="008D6F13" w14:paraId="11DA3275"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3D9C0A4" w14:textId="77777777" w:rsidR="008D6F13" w:rsidRDefault="008D6F13" w:rsidP="0031078F">
            <w:r>
              <w:t>Net debt</w:t>
            </w:r>
          </w:p>
        </w:tc>
        <w:tc>
          <w:tcPr>
            <w:tcW w:w="794" w:type="dxa"/>
          </w:tcPr>
          <w:p w14:paraId="33C045D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19 615</w:t>
            </w:r>
          </w:p>
        </w:tc>
        <w:tc>
          <w:tcPr>
            <w:tcW w:w="794" w:type="dxa"/>
          </w:tcPr>
          <w:p w14:paraId="7244496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20 578</w:t>
            </w:r>
          </w:p>
        </w:tc>
        <w:tc>
          <w:tcPr>
            <w:tcW w:w="794" w:type="dxa"/>
          </w:tcPr>
          <w:p w14:paraId="40C00D3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23 947</w:t>
            </w:r>
          </w:p>
        </w:tc>
        <w:tc>
          <w:tcPr>
            <w:tcW w:w="794" w:type="dxa"/>
          </w:tcPr>
          <w:p w14:paraId="22C8D8D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27 304</w:t>
            </w:r>
          </w:p>
        </w:tc>
        <w:tc>
          <w:tcPr>
            <w:tcW w:w="794" w:type="dxa"/>
          </w:tcPr>
          <w:p w14:paraId="0E349238" w14:textId="59532F3B" w:rsidR="008D6F13" w:rsidRDefault="008D6F13" w:rsidP="0031078F">
            <w:pPr>
              <w:cnfStyle w:val="000000000000" w:firstRow="0" w:lastRow="0" w:firstColumn="0" w:lastColumn="0" w:oddVBand="0" w:evenVBand="0" w:oddHBand="0" w:evenHBand="0" w:firstRowFirstColumn="0" w:firstRowLastColumn="0" w:lastRowFirstColumn="0" w:lastRowLastColumn="0"/>
            </w:pPr>
            <w:r>
              <w:t>28 688</w:t>
            </w:r>
          </w:p>
        </w:tc>
      </w:tr>
    </w:tbl>
    <w:p w14:paraId="7ACE6A3F" w14:textId="77777777" w:rsidR="008D6F13" w:rsidRPr="00921F69" w:rsidRDefault="008D6F13" w:rsidP="008D6F13">
      <w:pPr>
        <w:pStyle w:val="Note"/>
        <w:ind w:left="0" w:firstLine="0"/>
        <w:rPr>
          <w:rFonts w:cstheme="majorHAnsi"/>
        </w:rPr>
      </w:pPr>
      <w:r w:rsidRPr="00921F69">
        <w:rPr>
          <w:rFonts w:cstheme="majorHAnsi"/>
        </w:rPr>
        <w:t>Note:</w:t>
      </w:r>
    </w:p>
    <w:p w14:paraId="5BCEF87C" w14:textId="77777777" w:rsidR="008D6F13" w:rsidRPr="00921F69" w:rsidRDefault="008D6F13" w:rsidP="008D6F13">
      <w:pPr>
        <w:pStyle w:val="Note"/>
        <w:rPr>
          <w:rFonts w:cstheme="majorHAnsi"/>
        </w:rPr>
      </w:pPr>
      <w:r w:rsidRPr="00921F69">
        <w:rPr>
          <w:rFonts w:cstheme="majorHAnsi"/>
        </w:rPr>
        <w:t>(a)</w:t>
      </w:r>
      <w:r w:rsidRPr="00921F69">
        <w:rPr>
          <w:rFonts w:cstheme="majorHAnsi"/>
        </w:rPr>
        <w:tab/>
        <w:t xml:space="preserve">Balances represent actual opening balances </w:t>
      </w:r>
      <w:proofErr w:type="gramStart"/>
      <w:r w:rsidRPr="00921F69">
        <w:rPr>
          <w:rFonts w:cstheme="majorHAnsi"/>
        </w:rPr>
        <w:t>at</w:t>
      </w:r>
      <w:proofErr w:type="gramEnd"/>
      <w:r w:rsidRPr="00921F69">
        <w:rPr>
          <w:rFonts w:cstheme="majorHAnsi"/>
        </w:rPr>
        <w:t xml:space="preserve"> 1 July 2</w:t>
      </w:r>
      <w:r>
        <w:rPr>
          <w:rFonts w:cstheme="majorHAnsi"/>
        </w:rPr>
        <w:t>021</w:t>
      </w:r>
      <w:r w:rsidRPr="00921F69">
        <w:rPr>
          <w:rFonts w:cstheme="majorHAnsi"/>
        </w:rPr>
        <w:t xml:space="preserve"> plus 20</w:t>
      </w:r>
      <w:r>
        <w:rPr>
          <w:rFonts w:cstheme="majorHAnsi"/>
        </w:rPr>
        <w:t>21</w:t>
      </w:r>
      <w:r w:rsidRPr="00921F69">
        <w:rPr>
          <w:rFonts w:cstheme="majorHAnsi"/>
        </w:rPr>
        <w:t>-2</w:t>
      </w:r>
      <w:r>
        <w:rPr>
          <w:rFonts w:cstheme="majorHAnsi"/>
        </w:rPr>
        <w:t>2</w:t>
      </w:r>
      <w:r w:rsidRPr="00921F69">
        <w:rPr>
          <w:rFonts w:cstheme="majorHAnsi"/>
        </w:rPr>
        <w:t xml:space="preserve"> budgeted movements.</w:t>
      </w:r>
    </w:p>
    <w:p w14:paraId="2E1F81CB" w14:textId="77777777" w:rsidR="008D6F13" w:rsidRDefault="008D6F13" w:rsidP="008D6F13">
      <w:pPr>
        <w:pStyle w:val="TableHeading"/>
        <w:rPr>
          <w:rFonts w:cstheme="majorHAnsi"/>
        </w:rPr>
      </w:pPr>
    </w:p>
    <w:p w14:paraId="09C30CEF" w14:textId="77777777" w:rsidR="008D6F13" w:rsidRDefault="008D6F13" w:rsidP="008D6F13">
      <w:pPr>
        <w:keepLines w:val="0"/>
        <w:rPr>
          <w:rFonts w:asciiTheme="majorHAnsi" w:hAnsiTheme="majorHAnsi" w:cstheme="majorHAnsi"/>
          <w:b/>
          <w:sz w:val="20"/>
        </w:rPr>
      </w:pPr>
      <w:r>
        <w:rPr>
          <w:rFonts w:cstheme="majorHAnsi"/>
        </w:rPr>
        <w:br w:type="page"/>
      </w:r>
    </w:p>
    <w:p w14:paraId="1AD3EB8B" w14:textId="32288064" w:rsidR="008D6F13" w:rsidRPr="00A06E1B" w:rsidRDefault="008D6F13" w:rsidP="008D6F13">
      <w:pPr>
        <w:pStyle w:val="TableHeading"/>
        <w:rPr>
          <w:rFonts w:cstheme="majorHAnsi"/>
        </w:rPr>
      </w:pPr>
      <w:r w:rsidRPr="00921F69">
        <w:rPr>
          <w:rFonts w:cstheme="majorHAnsi"/>
        </w:rPr>
        <w:lastRenderedPageBreak/>
        <w:t>Table 5.3</w:t>
      </w:r>
      <w:r w:rsidR="007F1FE4">
        <w:rPr>
          <w:rFonts w:cstheme="majorHAnsi"/>
        </w:rPr>
        <w:t>:</w:t>
      </w:r>
      <w:r w:rsidRPr="00921F69">
        <w:rPr>
          <w:rFonts w:cstheme="majorHAnsi"/>
        </w:rPr>
        <w:tab/>
        <w:t xml:space="preserve">Public non-financial corporations sector cash flow statement </w:t>
      </w:r>
      <w:r>
        <w:rPr>
          <w:rFonts w:cstheme="majorHAnsi"/>
        </w:rPr>
        <w:br/>
      </w:r>
      <w:r w:rsidRPr="00921F69">
        <w:rPr>
          <w:rFonts w:cstheme="majorHAnsi"/>
        </w:rPr>
        <w:t>for the financial year ended 30 June</w:t>
      </w:r>
      <w:r w:rsidRPr="00921F69">
        <w:rPr>
          <w:rFonts w:cstheme="majorHAnsi"/>
        </w:rPr>
        <w:tab/>
        <w:t>($ million)</w:t>
      </w:r>
    </w:p>
    <w:tbl>
      <w:tblPr>
        <w:tblStyle w:val="DTFTableNumeric"/>
        <w:tblW w:w="7710" w:type="dxa"/>
        <w:tblLayout w:type="fixed"/>
        <w:tblLook w:val="06A0" w:firstRow="1" w:lastRow="0" w:firstColumn="1" w:lastColumn="0" w:noHBand="1" w:noVBand="1"/>
      </w:tblPr>
      <w:tblGrid>
        <w:gridCol w:w="3794"/>
        <w:gridCol w:w="740"/>
        <w:gridCol w:w="794"/>
        <w:gridCol w:w="794"/>
        <w:gridCol w:w="794"/>
        <w:gridCol w:w="794"/>
      </w:tblGrid>
      <w:tr w:rsidR="008D6F13" w14:paraId="6638A930"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94" w:type="dxa"/>
          </w:tcPr>
          <w:p w14:paraId="4EFFE83F" w14:textId="1596EF6C" w:rsidR="008D6F13" w:rsidRDefault="008D6F13" w:rsidP="0031078F"/>
        </w:tc>
        <w:tc>
          <w:tcPr>
            <w:tcW w:w="740" w:type="dxa"/>
          </w:tcPr>
          <w:p w14:paraId="4A7D8DEE"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4DBAC385"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10EB99EA"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397C5C42"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72EC16EE"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4B3C9411" w14:textId="77777777" w:rsidTr="0031078F">
        <w:tc>
          <w:tcPr>
            <w:cnfStyle w:val="001000000000" w:firstRow="0" w:lastRow="0" w:firstColumn="1" w:lastColumn="0" w:oddVBand="0" w:evenVBand="0" w:oddHBand="0" w:evenHBand="0" w:firstRowFirstColumn="0" w:firstRowLastColumn="0" w:lastRowFirstColumn="0" w:lastRowLastColumn="0"/>
            <w:tcW w:w="3794" w:type="dxa"/>
          </w:tcPr>
          <w:p w14:paraId="26BF72AD" w14:textId="77777777" w:rsidR="008D6F13" w:rsidRDefault="008D6F13" w:rsidP="0031078F">
            <w:r>
              <w:rPr>
                <w:b/>
              </w:rPr>
              <w:t>Cash flows from operating activities</w:t>
            </w:r>
          </w:p>
        </w:tc>
        <w:tc>
          <w:tcPr>
            <w:tcW w:w="740" w:type="dxa"/>
          </w:tcPr>
          <w:p w14:paraId="199F215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8CE5C2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FB0EB7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146757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71567D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7A27DDD2" w14:textId="77777777" w:rsidTr="0031078F">
        <w:tc>
          <w:tcPr>
            <w:cnfStyle w:val="001000000000" w:firstRow="0" w:lastRow="0" w:firstColumn="1" w:lastColumn="0" w:oddVBand="0" w:evenVBand="0" w:oddHBand="0" w:evenHBand="0" w:firstRowFirstColumn="0" w:firstRowLastColumn="0" w:lastRowFirstColumn="0" w:lastRowLastColumn="0"/>
            <w:tcW w:w="3794" w:type="dxa"/>
          </w:tcPr>
          <w:p w14:paraId="6E093387" w14:textId="77777777" w:rsidR="008D6F13" w:rsidRDefault="008D6F13" w:rsidP="0031078F">
            <w:r>
              <w:rPr>
                <w:b/>
              </w:rPr>
              <w:t>Receipts</w:t>
            </w:r>
          </w:p>
        </w:tc>
        <w:tc>
          <w:tcPr>
            <w:tcW w:w="740" w:type="dxa"/>
          </w:tcPr>
          <w:p w14:paraId="720ABCB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0F6063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958D76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04B599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5B8B5E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7487297A" w14:textId="77777777" w:rsidTr="0031078F">
        <w:tc>
          <w:tcPr>
            <w:cnfStyle w:val="001000000000" w:firstRow="0" w:lastRow="0" w:firstColumn="1" w:lastColumn="0" w:oddVBand="0" w:evenVBand="0" w:oddHBand="0" w:evenHBand="0" w:firstRowFirstColumn="0" w:firstRowLastColumn="0" w:lastRowFirstColumn="0" w:lastRowLastColumn="0"/>
            <w:tcW w:w="3794" w:type="dxa"/>
          </w:tcPr>
          <w:p w14:paraId="6675CDA1" w14:textId="77777777" w:rsidR="008D6F13" w:rsidRDefault="008D6F13" w:rsidP="0031078F">
            <w:r>
              <w:t>Grants</w:t>
            </w:r>
          </w:p>
        </w:tc>
        <w:tc>
          <w:tcPr>
            <w:tcW w:w="740" w:type="dxa"/>
          </w:tcPr>
          <w:p w14:paraId="505E7B9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3 462</w:t>
            </w:r>
          </w:p>
        </w:tc>
        <w:tc>
          <w:tcPr>
            <w:tcW w:w="794" w:type="dxa"/>
          </w:tcPr>
          <w:p w14:paraId="53B760F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2 821</w:t>
            </w:r>
          </w:p>
        </w:tc>
        <w:tc>
          <w:tcPr>
            <w:tcW w:w="794" w:type="dxa"/>
          </w:tcPr>
          <w:p w14:paraId="3D0F9DC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2 017</w:t>
            </w:r>
          </w:p>
        </w:tc>
        <w:tc>
          <w:tcPr>
            <w:tcW w:w="794" w:type="dxa"/>
          </w:tcPr>
          <w:p w14:paraId="1B25928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1 832</w:t>
            </w:r>
          </w:p>
        </w:tc>
        <w:tc>
          <w:tcPr>
            <w:tcW w:w="794" w:type="dxa"/>
          </w:tcPr>
          <w:p w14:paraId="0B73CCD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1 591</w:t>
            </w:r>
          </w:p>
        </w:tc>
      </w:tr>
      <w:tr w:rsidR="008D6F13" w14:paraId="1A50A0F5" w14:textId="77777777" w:rsidTr="0031078F">
        <w:tc>
          <w:tcPr>
            <w:cnfStyle w:val="001000000000" w:firstRow="0" w:lastRow="0" w:firstColumn="1" w:lastColumn="0" w:oddVBand="0" w:evenVBand="0" w:oddHBand="0" w:evenHBand="0" w:firstRowFirstColumn="0" w:firstRowLastColumn="0" w:lastRowFirstColumn="0" w:lastRowLastColumn="0"/>
            <w:tcW w:w="3794" w:type="dxa"/>
          </w:tcPr>
          <w:p w14:paraId="004F1C71" w14:textId="77777777" w:rsidR="008D6F13" w:rsidRDefault="008D6F13" w:rsidP="0031078F">
            <w:r>
              <w:t>Sales of goods and services</w:t>
            </w:r>
            <w:r>
              <w:rPr>
                <w:vertAlign w:val="superscript"/>
              </w:rPr>
              <w:t xml:space="preserve"> (a)</w:t>
            </w:r>
          </w:p>
        </w:tc>
        <w:tc>
          <w:tcPr>
            <w:tcW w:w="740" w:type="dxa"/>
          </w:tcPr>
          <w:p w14:paraId="7602DCE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6 891</w:t>
            </w:r>
          </w:p>
        </w:tc>
        <w:tc>
          <w:tcPr>
            <w:tcW w:w="794" w:type="dxa"/>
          </w:tcPr>
          <w:p w14:paraId="66E1C9E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7 051</w:t>
            </w:r>
          </w:p>
        </w:tc>
        <w:tc>
          <w:tcPr>
            <w:tcW w:w="794" w:type="dxa"/>
          </w:tcPr>
          <w:p w14:paraId="7F0AD94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7 644</w:t>
            </w:r>
          </w:p>
        </w:tc>
        <w:tc>
          <w:tcPr>
            <w:tcW w:w="794" w:type="dxa"/>
          </w:tcPr>
          <w:p w14:paraId="5E3DCA5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7 778</w:t>
            </w:r>
          </w:p>
        </w:tc>
        <w:tc>
          <w:tcPr>
            <w:tcW w:w="794" w:type="dxa"/>
          </w:tcPr>
          <w:p w14:paraId="03882DC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7 915</w:t>
            </w:r>
          </w:p>
        </w:tc>
      </w:tr>
      <w:tr w:rsidR="008D6F13" w14:paraId="014FD8E1" w14:textId="77777777" w:rsidTr="0031078F">
        <w:tc>
          <w:tcPr>
            <w:cnfStyle w:val="001000000000" w:firstRow="0" w:lastRow="0" w:firstColumn="1" w:lastColumn="0" w:oddVBand="0" w:evenVBand="0" w:oddHBand="0" w:evenHBand="0" w:firstRowFirstColumn="0" w:firstRowLastColumn="0" w:lastRowFirstColumn="0" w:lastRowLastColumn="0"/>
            <w:tcW w:w="3794" w:type="dxa"/>
          </w:tcPr>
          <w:p w14:paraId="223B87EF" w14:textId="77777777" w:rsidR="008D6F13" w:rsidRDefault="008D6F13" w:rsidP="0031078F">
            <w:r>
              <w:t>Interest received</w:t>
            </w:r>
          </w:p>
        </w:tc>
        <w:tc>
          <w:tcPr>
            <w:tcW w:w="740" w:type="dxa"/>
          </w:tcPr>
          <w:p w14:paraId="60DAA6C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30</w:t>
            </w:r>
          </w:p>
        </w:tc>
        <w:tc>
          <w:tcPr>
            <w:tcW w:w="794" w:type="dxa"/>
          </w:tcPr>
          <w:p w14:paraId="3F3C062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47</w:t>
            </w:r>
          </w:p>
        </w:tc>
        <w:tc>
          <w:tcPr>
            <w:tcW w:w="794" w:type="dxa"/>
          </w:tcPr>
          <w:p w14:paraId="7CC5611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w:t>
            </w:r>
          </w:p>
        </w:tc>
        <w:tc>
          <w:tcPr>
            <w:tcW w:w="794" w:type="dxa"/>
          </w:tcPr>
          <w:p w14:paraId="3B2B3F9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05329A2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w:t>
            </w:r>
          </w:p>
        </w:tc>
      </w:tr>
      <w:tr w:rsidR="008D6F13" w14:paraId="035C9060" w14:textId="77777777" w:rsidTr="0031078F">
        <w:tc>
          <w:tcPr>
            <w:cnfStyle w:val="001000000000" w:firstRow="0" w:lastRow="0" w:firstColumn="1" w:lastColumn="0" w:oddVBand="0" w:evenVBand="0" w:oddHBand="0" w:evenHBand="0" w:firstRowFirstColumn="0" w:firstRowLastColumn="0" w:lastRowFirstColumn="0" w:lastRowLastColumn="0"/>
            <w:tcW w:w="3794" w:type="dxa"/>
          </w:tcPr>
          <w:p w14:paraId="6F3FF100" w14:textId="77777777" w:rsidR="008D6F13" w:rsidRDefault="008D6F13" w:rsidP="0031078F">
            <w:r>
              <w:t>Dividend receipts</w:t>
            </w:r>
          </w:p>
        </w:tc>
        <w:tc>
          <w:tcPr>
            <w:tcW w:w="740" w:type="dxa"/>
          </w:tcPr>
          <w:p w14:paraId="030D6ED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w:t>
            </w:r>
          </w:p>
        </w:tc>
        <w:tc>
          <w:tcPr>
            <w:tcW w:w="794" w:type="dxa"/>
          </w:tcPr>
          <w:p w14:paraId="3562B57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w:t>
            </w:r>
          </w:p>
        </w:tc>
        <w:tc>
          <w:tcPr>
            <w:tcW w:w="794" w:type="dxa"/>
          </w:tcPr>
          <w:p w14:paraId="26D8F51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w:t>
            </w:r>
          </w:p>
        </w:tc>
        <w:tc>
          <w:tcPr>
            <w:tcW w:w="794" w:type="dxa"/>
          </w:tcPr>
          <w:p w14:paraId="6C3E85A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w:t>
            </w:r>
          </w:p>
        </w:tc>
        <w:tc>
          <w:tcPr>
            <w:tcW w:w="794" w:type="dxa"/>
          </w:tcPr>
          <w:p w14:paraId="359A813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w:t>
            </w:r>
          </w:p>
        </w:tc>
      </w:tr>
      <w:tr w:rsidR="008D6F13" w14:paraId="3F265CFF" w14:textId="77777777" w:rsidTr="0031078F">
        <w:tc>
          <w:tcPr>
            <w:cnfStyle w:val="001000000000" w:firstRow="0" w:lastRow="0" w:firstColumn="1" w:lastColumn="0" w:oddVBand="0" w:evenVBand="0" w:oddHBand="0" w:evenHBand="0" w:firstRowFirstColumn="0" w:firstRowLastColumn="0" w:lastRowFirstColumn="0" w:lastRowLastColumn="0"/>
            <w:tcW w:w="3794" w:type="dxa"/>
            <w:tcBorders>
              <w:bottom w:val="single" w:sz="6" w:space="0" w:color="auto"/>
            </w:tcBorders>
          </w:tcPr>
          <w:p w14:paraId="111B617C" w14:textId="77777777" w:rsidR="008D6F13" w:rsidRDefault="008D6F13" w:rsidP="0031078F">
            <w:r>
              <w:t>Other receipts</w:t>
            </w:r>
          </w:p>
        </w:tc>
        <w:tc>
          <w:tcPr>
            <w:tcW w:w="740" w:type="dxa"/>
            <w:tcBorders>
              <w:bottom w:val="single" w:sz="6" w:space="0" w:color="auto"/>
            </w:tcBorders>
          </w:tcPr>
          <w:p w14:paraId="627784C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229</w:t>
            </w:r>
          </w:p>
        </w:tc>
        <w:tc>
          <w:tcPr>
            <w:tcW w:w="794" w:type="dxa"/>
            <w:tcBorders>
              <w:bottom w:val="single" w:sz="6" w:space="0" w:color="auto"/>
            </w:tcBorders>
          </w:tcPr>
          <w:p w14:paraId="1E2D78A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387</w:t>
            </w:r>
          </w:p>
        </w:tc>
        <w:tc>
          <w:tcPr>
            <w:tcW w:w="794" w:type="dxa"/>
            <w:tcBorders>
              <w:bottom w:val="single" w:sz="6" w:space="0" w:color="auto"/>
            </w:tcBorders>
          </w:tcPr>
          <w:p w14:paraId="517A2E2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386</w:t>
            </w:r>
          </w:p>
        </w:tc>
        <w:tc>
          <w:tcPr>
            <w:tcW w:w="794" w:type="dxa"/>
            <w:tcBorders>
              <w:bottom w:val="single" w:sz="6" w:space="0" w:color="auto"/>
            </w:tcBorders>
          </w:tcPr>
          <w:p w14:paraId="574A653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385</w:t>
            </w:r>
          </w:p>
        </w:tc>
        <w:tc>
          <w:tcPr>
            <w:tcW w:w="794" w:type="dxa"/>
            <w:tcBorders>
              <w:bottom w:val="single" w:sz="6" w:space="0" w:color="auto"/>
            </w:tcBorders>
          </w:tcPr>
          <w:p w14:paraId="5C18D16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410</w:t>
            </w:r>
          </w:p>
        </w:tc>
      </w:tr>
      <w:tr w:rsidR="008D6F13" w14:paraId="1C793811" w14:textId="77777777" w:rsidTr="0031078F">
        <w:tc>
          <w:tcPr>
            <w:cnfStyle w:val="001000000000" w:firstRow="0" w:lastRow="0" w:firstColumn="1" w:lastColumn="0" w:oddVBand="0" w:evenVBand="0" w:oddHBand="0" w:evenHBand="0" w:firstRowFirstColumn="0" w:firstRowLastColumn="0" w:lastRowFirstColumn="0" w:lastRowLastColumn="0"/>
            <w:tcW w:w="3794" w:type="dxa"/>
            <w:tcBorders>
              <w:top w:val="single" w:sz="6" w:space="0" w:color="auto"/>
            </w:tcBorders>
          </w:tcPr>
          <w:p w14:paraId="3DCA70CA" w14:textId="77777777" w:rsidR="008D6F13" w:rsidRDefault="008D6F13" w:rsidP="0031078F">
            <w:r>
              <w:rPr>
                <w:b/>
              </w:rPr>
              <w:t>Total receipts</w:t>
            </w:r>
          </w:p>
        </w:tc>
        <w:tc>
          <w:tcPr>
            <w:tcW w:w="740" w:type="dxa"/>
            <w:tcBorders>
              <w:top w:val="single" w:sz="6" w:space="0" w:color="auto"/>
            </w:tcBorders>
          </w:tcPr>
          <w:p w14:paraId="1A55BA2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10 636</w:t>
            </w:r>
          </w:p>
        </w:tc>
        <w:tc>
          <w:tcPr>
            <w:tcW w:w="794" w:type="dxa"/>
            <w:tcBorders>
              <w:top w:val="single" w:sz="6" w:space="0" w:color="auto"/>
            </w:tcBorders>
          </w:tcPr>
          <w:p w14:paraId="65D3D3B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10 328</w:t>
            </w:r>
          </w:p>
        </w:tc>
        <w:tc>
          <w:tcPr>
            <w:tcW w:w="794" w:type="dxa"/>
            <w:tcBorders>
              <w:top w:val="single" w:sz="6" w:space="0" w:color="auto"/>
            </w:tcBorders>
          </w:tcPr>
          <w:p w14:paraId="0A6E1A5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10 084</w:t>
            </w:r>
          </w:p>
        </w:tc>
        <w:tc>
          <w:tcPr>
            <w:tcW w:w="794" w:type="dxa"/>
            <w:tcBorders>
              <w:top w:val="single" w:sz="6" w:space="0" w:color="auto"/>
            </w:tcBorders>
          </w:tcPr>
          <w:p w14:paraId="3CF5C6B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10 029</w:t>
            </w:r>
          </w:p>
        </w:tc>
        <w:tc>
          <w:tcPr>
            <w:tcW w:w="794" w:type="dxa"/>
            <w:tcBorders>
              <w:top w:val="single" w:sz="6" w:space="0" w:color="auto"/>
            </w:tcBorders>
          </w:tcPr>
          <w:p w14:paraId="3BD6048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9 951</w:t>
            </w:r>
          </w:p>
        </w:tc>
      </w:tr>
      <w:tr w:rsidR="008D6F13" w14:paraId="10DB4388" w14:textId="77777777" w:rsidTr="0031078F">
        <w:tc>
          <w:tcPr>
            <w:cnfStyle w:val="001000000000" w:firstRow="0" w:lastRow="0" w:firstColumn="1" w:lastColumn="0" w:oddVBand="0" w:evenVBand="0" w:oddHBand="0" w:evenHBand="0" w:firstRowFirstColumn="0" w:firstRowLastColumn="0" w:lastRowFirstColumn="0" w:lastRowLastColumn="0"/>
            <w:tcW w:w="3794" w:type="dxa"/>
          </w:tcPr>
          <w:p w14:paraId="7168A968" w14:textId="77777777" w:rsidR="008D6F13" w:rsidRDefault="008D6F13" w:rsidP="0031078F">
            <w:r>
              <w:rPr>
                <w:b/>
              </w:rPr>
              <w:t>Payments</w:t>
            </w:r>
          </w:p>
        </w:tc>
        <w:tc>
          <w:tcPr>
            <w:tcW w:w="740" w:type="dxa"/>
          </w:tcPr>
          <w:p w14:paraId="5737F4B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8B2F22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400C9C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D4A1B6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F093FA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53BC5C26" w14:textId="77777777" w:rsidTr="0031078F">
        <w:tc>
          <w:tcPr>
            <w:cnfStyle w:val="001000000000" w:firstRow="0" w:lastRow="0" w:firstColumn="1" w:lastColumn="0" w:oddVBand="0" w:evenVBand="0" w:oddHBand="0" w:evenHBand="0" w:firstRowFirstColumn="0" w:firstRowLastColumn="0" w:lastRowFirstColumn="0" w:lastRowLastColumn="0"/>
            <w:tcW w:w="3794" w:type="dxa"/>
          </w:tcPr>
          <w:p w14:paraId="46BA80C9" w14:textId="77777777" w:rsidR="008D6F13" w:rsidRDefault="008D6F13" w:rsidP="0031078F">
            <w:r>
              <w:t>Payments for employees</w:t>
            </w:r>
          </w:p>
        </w:tc>
        <w:tc>
          <w:tcPr>
            <w:tcW w:w="740" w:type="dxa"/>
          </w:tcPr>
          <w:p w14:paraId="7BEB8AB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(1 504)</w:t>
            </w:r>
          </w:p>
        </w:tc>
        <w:tc>
          <w:tcPr>
            <w:tcW w:w="794" w:type="dxa"/>
          </w:tcPr>
          <w:p w14:paraId="163482D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(1 584)</w:t>
            </w:r>
          </w:p>
        </w:tc>
        <w:tc>
          <w:tcPr>
            <w:tcW w:w="794" w:type="dxa"/>
          </w:tcPr>
          <w:p w14:paraId="778B4F9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(1 605)</w:t>
            </w:r>
          </w:p>
        </w:tc>
        <w:tc>
          <w:tcPr>
            <w:tcW w:w="794" w:type="dxa"/>
          </w:tcPr>
          <w:p w14:paraId="3679082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(1 642)</w:t>
            </w:r>
          </w:p>
        </w:tc>
        <w:tc>
          <w:tcPr>
            <w:tcW w:w="794" w:type="dxa"/>
          </w:tcPr>
          <w:p w14:paraId="5C3AB84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(1 673)</w:t>
            </w:r>
          </w:p>
        </w:tc>
      </w:tr>
      <w:tr w:rsidR="008D6F13" w14:paraId="1C23F602" w14:textId="77777777" w:rsidTr="0031078F">
        <w:tc>
          <w:tcPr>
            <w:cnfStyle w:val="001000000000" w:firstRow="0" w:lastRow="0" w:firstColumn="1" w:lastColumn="0" w:oddVBand="0" w:evenVBand="0" w:oddHBand="0" w:evenHBand="0" w:firstRowFirstColumn="0" w:firstRowLastColumn="0" w:lastRowFirstColumn="0" w:lastRowLastColumn="0"/>
            <w:tcW w:w="3794" w:type="dxa"/>
          </w:tcPr>
          <w:p w14:paraId="7C280E45" w14:textId="77777777" w:rsidR="008D6F13" w:rsidRDefault="008D6F13" w:rsidP="0031078F">
            <w:r>
              <w:t>Superannuation</w:t>
            </w:r>
          </w:p>
        </w:tc>
        <w:tc>
          <w:tcPr>
            <w:tcW w:w="740" w:type="dxa"/>
          </w:tcPr>
          <w:p w14:paraId="27B85F8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(140)</w:t>
            </w:r>
          </w:p>
        </w:tc>
        <w:tc>
          <w:tcPr>
            <w:tcW w:w="794" w:type="dxa"/>
          </w:tcPr>
          <w:p w14:paraId="6736B96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(132)</w:t>
            </w:r>
          </w:p>
        </w:tc>
        <w:tc>
          <w:tcPr>
            <w:tcW w:w="794" w:type="dxa"/>
          </w:tcPr>
          <w:p w14:paraId="3973970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(149)</w:t>
            </w:r>
          </w:p>
        </w:tc>
        <w:tc>
          <w:tcPr>
            <w:tcW w:w="794" w:type="dxa"/>
          </w:tcPr>
          <w:p w14:paraId="2276F0D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(155)</w:t>
            </w:r>
          </w:p>
        </w:tc>
        <w:tc>
          <w:tcPr>
            <w:tcW w:w="794" w:type="dxa"/>
          </w:tcPr>
          <w:p w14:paraId="4802528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(161)</w:t>
            </w:r>
          </w:p>
        </w:tc>
      </w:tr>
      <w:tr w:rsidR="008D6F13" w14:paraId="50B818B3" w14:textId="77777777" w:rsidTr="0031078F">
        <w:tc>
          <w:tcPr>
            <w:cnfStyle w:val="001000000000" w:firstRow="0" w:lastRow="0" w:firstColumn="1" w:lastColumn="0" w:oddVBand="0" w:evenVBand="0" w:oddHBand="0" w:evenHBand="0" w:firstRowFirstColumn="0" w:firstRowLastColumn="0" w:lastRowFirstColumn="0" w:lastRowLastColumn="0"/>
            <w:tcW w:w="3794" w:type="dxa"/>
          </w:tcPr>
          <w:p w14:paraId="2AA167B8" w14:textId="77777777" w:rsidR="008D6F13" w:rsidRDefault="008D6F13" w:rsidP="0031078F">
            <w:r>
              <w:t>Interest paid</w:t>
            </w:r>
          </w:p>
        </w:tc>
        <w:tc>
          <w:tcPr>
            <w:tcW w:w="740" w:type="dxa"/>
          </w:tcPr>
          <w:p w14:paraId="0D14D22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(870)</w:t>
            </w:r>
          </w:p>
        </w:tc>
        <w:tc>
          <w:tcPr>
            <w:tcW w:w="794" w:type="dxa"/>
          </w:tcPr>
          <w:p w14:paraId="72CE6FD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(865)</w:t>
            </w:r>
          </w:p>
        </w:tc>
        <w:tc>
          <w:tcPr>
            <w:tcW w:w="794" w:type="dxa"/>
          </w:tcPr>
          <w:p w14:paraId="74A47C5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(872)</w:t>
            </w:r>
          </w:p>
        </w:tc>
        <w:tc>
          <w:tcPr>
            <w:tcW w:w="794" w:type="dxa"/>
          </w:tcPr>
          <w:p w14:paraId="6543FB1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(931)</w:t>
            </w:r>
          </w:p>
        </w:tc>
        <w:tc>
          <w:tcPr>
            <w:tcW w:w="794" w:type="dxa"/>
          </w:tcPr>
          <w:p w14:paraId="7C046C3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(1 001)</w:t>
            </w:r>
          </w:p>
        </w:tc>
      </w:tr>
      <w:tr w:rsidR="008D6F13" w14:paraId="04C6679E" w14:textId="77777777" w:rsidTr="0031078F">
        <w:tc>
          <w:tcPr>
            <w:cnfStyle w:val="001000000000" w:firstRow="0" w:lastRow="0" w:firstColumn="1" w:lastColumn="0" w:oddVBand="0" w:evenVBand="0" w:oddHBand="0" w:evenHBand="0" w:firstRowFirstColumn="0" w:firstRowLastColumn="0" w:lastRowFirstColumn="0" w:lastRowLastColumn="0"/>
            <w:tcW w:w="3794" w:type="dxa"/>
          </w:tcPr>
          <w:p w14:paraId="41987726" w14:textId="77777777" w:rsidR="008D6F13" w:rsidRDefault="008D6F13" w:rsidP="0031078F">
            <w:r>
              <w:t>Grants and subsidies</w:t>
            </w:r>
          </w:p>
        </w:tc>
        <w:tc>
          <w:tcPr>
            <w:tcW w:w="740" w:type="dxa"/>
          </w:tcPr>
          <w:p w14:paraId="111FCAC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(1 631)</w:t>
            </w:r>
          </w:p>
        </w:tc>
        <w:tc>
          <w:tcPr>
            <w:tcW w:w="794" w:type="dxa"/>
          </w:tcPr>
          <w:p w14:paraId="0BB2928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(1 151)</w:t>
            </w:r>
          </w:p>
        </w:tc>
        <w:tc>
          <w:tcPr>
            <w:tcW w:w="794" w:type="dxa"/>
          </w:tcPr>
          <w:p w14:paraId="5CAB156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(524)</w:t>
            </w:r>
          </w:p>
        </w:tc>
        <w:tc>
          <w:tcPr>
            <w:tcW w:w="794" w:type="dxa"/>
          </w:tcPr>
          <w:p w14:paraId="2A613FF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(457)</w:t>
            </w:r>
          </w:p>
        </w:tc>
        <w:tc>
          <w:tcPr>
            <w:tcW w:w="794" w:type="dxa"/>
          </w:tcPr>
          <w:p w14:paraId="6FE023B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(211)</w:t>
            </w:r>
          </w:p>
        </w:tc>
      </w:tr>
      <w:tr w:rsidR="008D6F13" w14:paraId="1B78B722" w14:textId="77777777" w:rsidTr="0031078F">
        <w:tc>
          <w:tcPr>
            <w:cnfStyle w:val="001000000000" w:firstRow="0" w:lastRow="0" w:firstColumn="1" w:lastColumn="0" w:oddVBand="0" w:evenVBand="0" w:oddHBand="0" w:evenHBand="0" w:firstRowFirstColumn="0" w:firstRowLastColumn="0" w:lastRowFirstColumn="0" w:lastRowLastColumn="0"/>
            <w:tcW w:w="3794" w:type="dxa"/>
          </w:tcPr>
          <w:p w14:paraId="4A81C6EE" w14:textId="77777777" w:rsidR="008D6F13" w:rsidRDefault="008D6F13" w:rsidP="0031078F">
            <w:r>
              <w:t>Goods and services</w:t>
            </w:r>
            <w:r>
              <w:rPr>
                <w:vertAlign w:val="superscript"/>
              </w:rPr>
              <w:t xml:space="preserve"> (a)</w:t>
            </w:r>
          </w:p>
        </w:tc>
        <w:tc>
          <w:tcPr>
            <w:tcW w:w="740" w:type="dxa"/>
          </w:tcPr>
          <w:p w14:paraId="6FB96A9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(4 734)</w:t>
            </w:r>
          </w:p>
        </w:tc>
        <w:tc>
          <w:tcPr>
            <w:tcW w:w="794" w:type="dxa"/>
          </w:tcPr>
          <w:p w14:paraId="373AB2F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(5 429)</w:t>
            </w:r>
          </w:p>
        </w:tc>
        <w:tc>
          <w:tcPr>
            <w:tcW w:w="794" w:type="dxa"/>
          </w:tcPr>
          <w:p w14:paraId="61F089A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(4 858)</w:t>
            </w:r>
          </w:p>
        </w:tc>
        <w:tc>
          <w:tcPr>
            <w:tcW w:w="794" w:type="dxa"/>
          </w:tcPr>
          <w:p w14:paraId="63DE3A1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(4 728)</w:t>
            </w:r>
          </w:p>
        </w:tc>
        <w:tc>
          <w:tcPr>
            <w:tcW w:w="794" w:type="dxa"/>
          </w:tcPr>
          <w:p w14:paraId="5F675D7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(4 667)</w:t>
            </w:r>
          </w:p>
        </w:tc>
      </w:tr>
      <w:tr w:rsidR="008D6F13" w14:paraId="77E426FD" w14:textId="77777777" w:rsidTr="0031078F">
        <w:tc>
          <w:tcPr>
            <w:cnfStyle w:val="001000000000" w:firstRow="0" w:lastRow="0" w:firstColumn="1" w:lastColumn="0" w:oddVBand="0" w:evenVBand="0" w:oddHBand="0" w:evenHBand="0" w:firstRowFirstColumn="0" w:firstRowLastColumn="0" w:lastRowFirstColumn="0" w:lastRowLastColumn="0"/>
            <w:tcW w:w="3794" w:type="dxa"/>
            <w:tcBorders>
              <w:bottom w:val="single" w:sz="6" w:space="0" w:color="auto"/>
            </w:tcBorders>
          </w:tcPr>
          <w:p w14:paraId="0116493B" w14:textId="77777777" w:rsidR="008D6F13" w:rsidRDefault="008D6F13" w:rsidP="0031078F">
            <w:r>
              <w:t>Other payments</w:t>
            </w:r>
          </w:p>
        </w:tc>
        <w:tc>
          <w:tcPr>
            <w:tcW w:w="740" w:type="dxa"/>
            <w:tcBorders>
              <w:bottom w:val="single" w:sz="6" w:space="0" w:color="auto"/>
            </w:tcBorders>
          </w:tcPr>
          <w:p w14:paraId="4F04008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(460)</w:t>
            </w:r>
          </w:p>
        </w:tc>
        <w:tc>
          <w:tcPr>
            <w:tcW w:w="794" w:type="dxa"/>
            <w:tcBorders>
              <w:bottom w:val="single" w:sz="6" w:space="0" w:color="auto"/>
            </w:tcBorders>
          </w:tcPr>
          <w:p w14:paraId="6795E9D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(463)</w:t>
            </w:r>
          </w:p>
        </w:tc>
        <w:tc>
          <w:tcPr>
            <w:tcW w:w="794" w:type="dxa"/>
            <w:tcBorders>
              <w:bottom w:val="single" w:sz="6" w:space="0" w:color="auto"/>
            </w:tcBorders>
          </w:tcPr>
          <w:p w14:paraId="7D384FB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(422)</w:t>
            </w:r>
          </w:p>
        </w:tc>
        <w:tc>
          <w:tcPr>
            <w:tcW w:w="794" w:type="dxa"/>
            <w:tcBorders>
              <w:bottom w:val="single" w:sz="6" w:space="0" w:color="auto"/>
            </w:tcBorders>
          </w:tcPr>
          <w:p w14:paraId="745625C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(441)</w:t>
            </w:r>
          </w:p>
        </w:tc>
        <w:tc>
          <w:tcPr>
            <w:tcW w:w="794" w:type="dxa"/>
            <w:tcBorders>
              <w:bottom w:val="single" w:sz="6" w:space="0" w:color="auto"/>
            </w:tcBorders>
          </w:tcPr>
          <w:p w14:paraId="27F4DD8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(469)</w:t>
            </w:r>
          </w:p>
        </w:tc>
      </w:tr>
      <w:tr w:rsidR="008D6F13" w14:paraId="0C4DC2C7" w14:textId="77777777" w:rsidTr="0031078F">
        <w:tc>
          <w:tcPr>
            <w:cnfStyle w:val="001000000000" w:firstRow="0" w:lastRow="0" w:firstColumn="1" w:lastColumn="0" w:oddVBand="0" w:evenVBand="0" w:oddHBand="0" w:evenHBand="0" w:firstRowFirstColumn="0" w:firstRowLastColumn="0" w:lastRowFirstColumn="0" w:lastRowLastColumn="0"/>
            <w:tcW w:w="3794" w:type="dxa"/>
            <w:tcBorders>
              <w:top w:val="single" w:sz="6" w:space="0" w:color="auto"/>
              <w:bottom w:val="single" w:sz="6" w:space="0" w:color="auto"/>
            </w:tcBorders>
          </w:tcPr>
          <w:p w14:paraId="06B89DAB" w14:textId="77777777" w:rsidR="008D6F13" w:rsidRDefault="008D6F13" w:rsidP="0031078F">
            <w:r>
              <w:rPr>
                <w:b/>
              </w:rPr>
              <w:t>Total payments</w:t>
            </w:r>
          </w:p>
        </w:tc>
        <w:tc>
          <w:tcPr>
            <w:tcW w:w="740" w:type="dxa"/>
            <w:tcBorders>
              <w:top w:val="single" w:sz="6" w:space="0" w:color="auto"/>
              <w:bottom w:val="single" w:sz="6" w:space="0" w:color="auto"/>
            </w:tcBorders>
          </w:tcPr>
          <w:p w14:paraId="7385500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(9 339)</w:t>
            </w:r>
          </w:p>
        </w:tc>
        <w:tc>
          <w:tcPr>
            <w:tcW w:w="794" w:type="dxa"/>
            <w:tcBorders>
              <w:top w:val="single" w:sz="6" w:space="0" w:color="auto"/>
              <w:bottom w:val="single" w:sz="6" w:space="0" w:color="auto"/>
            </w:tcBorders>
          </w:tcPr>
          <w:p w14:paraId="5C5B40F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(9 626)</w:t>
            </w:r>
          </w:p>
        </w:tc>
        <w:tc>
          <w:tcPr>
            <w:tcW w:w="794" w:type="dxa"/>
            <w:tcBorders>
              <w:top w:val="single" w:sz="6" w:space="0" w:color="auto"/>
              <w:bottom w:val="single" w:sz="6" w:space="0" w:color="auto"/>
            </w:tcBorders>
          </w:tcPr>
          <w:p w14:paraId="33D8B88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(8 429)</w:t>
            </w:r>
          </w:p>
        </w:tc>
        <w:tc>
          <w:tcPr>
            <w:tcW w:w="794" w:type="dxa"/>
            <w:tcBorders>
              <w:top w:val="single" w:sz="6" w:space="0" w:color="auto"/>
              <w:bottom w:val="single" w:sz="6" w:space="0" w:color="auto"/>
            </w:tcBorders>
          </w:tcPr>
          <w:p w14:paraId="1C2BB04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(8 354)</w:t>
            </w:r>
          </w:p>
        </w:tc>
        <w:tc>
          <w:tcPr>
            <w:tcW w:w="794" w:type="dxa"/>
            <w:tcBorders>
              <w:top w:val="single" w:sz="6" w:space="0" w:color="auto"/>
              <w:bottom w:val="single" w:sz="6" w:space="0" w:color="auto"/>
            </w:tcBorders>
          </w:tcPr>
          <w:p w14:paraId="5315F46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(8 182)</w:t>
            </w:r>
          </w:p>
        </w:tc>
      </w:tr>
      <w:tr w:rsidR="008D6F13" w14:paraId="5BD4026B" w14:textId="77777777" w:rsidTr="0031078F">
        <w:tc>
          <w:tcPr>
            <w:cnfStyle w:val="001000000000" w:firstRow="0" w:lastRow="0" w:firstColumn="1" w:lastColumn="0" w:oddVBand="0" w:evenVBand="0" w:oddHBand="0" w:evenHBand="0" w:firstRowFirstColumn="0" w:firstRowLastColumn="0" w:lastRowFirstColumn="0" w:lastRowLastColumn="0"/>
            <w:tcW w:w="3794" w:type="dxa"/>
            <w:tcBorders>
              <w:top w:val="single" w:sz="6" w:space="0" w:color="auto"/>
            </w:tcBorders>
          </w:tcPr>
          <w:p w14:paraId="1E35F7FB" w14:textId="77777777" w:rsidR="008D6F13" w:rsidRDefault="008D6F13" w:rsidP="0031078F">
            <w:r>
              <w:rPr>
                <w:b/>
              </w:rPr>
              <w:t>Net cash flows from operating activities</w:t>
            </w:r>
          </w:p>
        </w:tc>
        <w:tc>
          <w:tcPr>
            <w:tcW w:w="740" w:type="dxa"/>
            <w:tcBorders>
              <w:top w:val="single" w:sz="6" w:space="0" w:color="auto"/>
            </w:tcBorders>
          </w:tcPr>
          <w:p w14:paraId="177707B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1 297</w:t>
            </w:r>
          </w:p>
        </w:tc>
        <w:tc>
          <w:tcPr>
            <w:tcW w:w="794" w:type="dxa"/>
            <w:tcBorders>
              <w:top w:val="single" w:sz="6" w:space="0" w:color="auto"/>
            </w:tcBorders>
          </w:tcPr>
          <w:p w14:paraId="4C6ECAE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702</w:t>
            </w:r>
          </w:p>
        </w:tc>
        <w:tc>
          <w:tcPr>
            <w:tcW w:w="794" w:type="dxa"/>
            <w:tcBorders>
              <w:top w:val="single" w:sz="6" w:space="0" w:color="auto"/>
            </w:tcBorders>
          </w:tcPr>
          <w:p w14:paraId="516B8D5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1 655</w:t>
            </w:r>
          </w:p>
        </w:tc>
        <w:tc>
          <w:tcPr>
            <w:tcW w:w="794" w:type="dxa"/>
            <w:tcBorders>
              <w:top w:val="single" w:sz="6" w:space="0" w:color="auto"/>
            </w:tcBorders>
          </w:tcPr>
          <w:p w14:paraId="261AE32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1 675</w:t>
            </w:r>
          </w:p>
        </w:tc>
        <w:tc>
          <w:tcPr>
            <w:tcW w:w="794" w:type="dxa"/>
            <w:tcBorders>
              <w:top w:val="single" w:sz="6" w:space="0" w:color="auto"/>
            </w:tcBorders>
          </w:tcPr>
          <w:p w14:paraId="70893C1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1 768</w:t>
            </w:r>
          </w:p>
        </w:tc>
      </w:tr>
      <w:tr w:rsidR="008D6F13" w14:paraId="2E36E549" w14:textId="77777777" w:rsidTr="0031078F">
        <w:tc>
          <w:tcPr>
            <w:cnfStyle w:val="001000000000" w:firstRow="0" w:lastRow="0" w:firstColumn="1" w:lastColumn="0" w:oddVBand="0" w:evenVBand="0" w:oddHBand="0" w:evenHBand="0" w:firstRowFirstColumn="0" w:firstRowLastColumn="0" w:lastRowFirstColumn="0" w:lastRowLastColumn="0"/>
            <w:tcW w:w="3794" w:type="dxa"/>
          </w:tcPr>
          <w:p w14:paraId="6F6DB3A3" w14:textId="77777777" w:rsidR="008D6F13" w:rsidRDefault="008D6F13" w:rsidP="0031078F">
            <w:r>
              <w:rPr>
                <w:b/>
              </w:rPr>
              <w:t>Cash flows from investing activities</w:t>
            </w:r>
          </w:p>
        </w:tc>
        <w:tc>
          <w:tcPr>
            <w:tcW w:w="740" w:type="dxa"/>
          </w:tcPr>
          <w:p w14:paraId="5E915C3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98B885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8F9593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0DFE83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8DBAAD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1B2265BE" w14:textId="77777777" w:rsidTr="0031078F">
        <w:tc>
          <w:tcPr>
            <w:cnfStyle w:val="001000000000" w:firstRow="0" w:lastRow="0" w:firstColumn="1" w:lastColumn="0" w:oddVBand="0" w:evenVBand="0" w:oddHBand="0" w:evenHBand="0" w:firstRowFirstColumn="0" w:firstRowLastColumn="0" w:lastRowFirstColumn="0" w:lastRowLastColumn="0"/>
            <w:tcW w:w="3794" w:type="dxa"/>
          </w:tcPr>
          <w:p w14:paraId="0B06E4CF" w14:textId="77777777" w:rsidR="008D6F13" w:rsidRDefault="008D6F13" w:rsidP="0031078F">
            <w:r>
              <w:rPr>
                <w:b/>
              </w:rPr>
              <w:t>Cash flows from investments in non</w:t>
            </w:r>
            <w:r>
              <w:rPr>
                <w:b/>
              </w:rPr>
              <w:noBreakHyphen/>
              <w:t>financial assets</w:t>
            </w:r>
          </w:p>
        </w:tc>
        <w:tc>
          <w:tcPr>
            <w:tcW w:w="740" w:type="dxa"/>
          </w:tcPr>
          <w:p w14:paraId="2284910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2BC530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DC9B75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E8C4EB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7B58E5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15268ADB" w14:textId="77777777" w:rsidTr="0031078F">
        <w:tc>
          <w:tcPr>
            <w:cnfStyle w:val="001000000000" w:firstRow="0" w:lastRow="0" w:firstColumn="1" w:lastColumn="0" w:oddVBand="0" w:evenVBand="0" w:oddHBand="0" w:evenHBand="0" w:firstRowFirstColumn="0" w:firstRowLastColumn="0" w:lastRowFirstColumn="0" w:lastRowLastColumn="0"/>
            <w:tcW w:w="3794" w:type="dxa"/>
          </w:tcPr>
          <w:p w14:paraId="11A5DE1A" w14:textId="77777777" w:rsidR="008D6F13" w:rsidRDefault="008D6F13" w:rsidP="0031078F">
            <w:r>
              <w:t>Purchases of non</w:t>
            </w:r>
            <w:r>
              <w:noBreakHyphen/>
              <w:t>financial assets</w:t>
            </w:r>
          </w:p>
        </w:tc>
        <w:tc>
          <w:tcPr>
            <w:tcW w:w="740" w:type="dxa"/>
          </w:tcPr>
          <w:p w14:paraId="2346482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(3 831)</w:t>
            </w:r>
          </w:p>
        </w:tc>
        <w:tc>
          <w:tcPr>
            <w:tcW w:w="794" w:type="dxa"/>
          </w:tcPr>
          <w:p w14:paraId="5A4A457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(5 142)</w:t>
            </w:r>
          </w:p>
        </w:tc>
        <w:tc>
          <w:tcPr>
            <w:tcW w:w="794" w:type="dxa"/>
          </w:tcPr>
          <w:p w14:paraId="6E5910B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(4 313)</w:t>
            </w:r>
          </w:p>
        </w:tc>
        <w:tc>
          <w:tcPr>
            <w:tcW w:w="794" w:type="dxa"/>
          </w:tcPr>
          <w:p w14:paraId="69E35F2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(5 109)</w:t>
            </w:r>
          </w:p>
        </w:tc>
        <w:tc>
          <w:tcPr>
            <w:tcW w:w="794" w:type="dxa"/>
          </w:tcPr>
          <w:p w14:paraId="52C61BD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(4 983)</w:t>
            </w:r>
          </w:p>
        </w:tc>
      </w:tr>
      <w:tr w:rsidR="008D6F13" w14:paraId="5FB45CDC" w14:textId="77777777" w:rsidTr="0031078F">
        <w:tc>
          <w:tcPr>
            <w:cnfStyle w:val="001000000000" w:firstRow="0" w:lastRow="0" w:firstColumn="1" w:lastColumn="0" w:oddVBand="0" w:evenVBand="0" w:oddHBand="0" w:evenHBand="0" w:firstRowFirstColumn="0" w:firstRowLastColumn="0" w:lastRowFirstColumn="0" w:lastRowLastColumn="0"/>
            <w:tcW w:w="3794" w:type="dxa"/>
            <w:tcBorders>
              <w:bottom w:val="single" w:sz="6" w:space="0" w:color="auto"/>
            </w:tcBorders>
          </w:tcPr>
          <w:p w14:paraId="02A9AA2F" w14:textId="77777777" w:rsidR="008D6F13" w:rsidRDefault="008D6F13" w:rsidP="0031078F">
            <w:r>
              <w:t>Sales of non</w:t>
            </w:r>
            <w:r>
              <w:noBreakHyphen/>
              <w:t>financial assets</w:t>
            </w:r>
          </w:p>
        </w:tc>
        <w:tc>
          <w:tcPr>
            <w:tcW w:w="740" w:type="dxa"/>
            <w:tcBorders>
              <w:bottom w:val="single" w:sz="6" w:space="0" w:color="auto"/>
            </w:tcBorders>
          </w:tcPr>
          <w:p w14:paraId="41F2908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227</w:t>
            </w:r>
          </w:p>
        </w:tc>
        <w:tc>
          <w:tcPr>
            <w:tcW w:w="794" w:type="dxa"/>
            <w:tcBorders>
              <w:bottom w:val="single" w:sz="6" w:space="0" w:color="auto"/>
            </w:tcBorders>
          </w:tcPr>
          <w:p w14:paraId="119EB75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294</w:t>
            </w:r>
          </w:p>
        </w:tc>
        <w:tc>
          <w:tcPr>
            <w:tcW w:w="794" w:type="dxa"/>
            <w:tcBorders>
              <w:bottom w:val="single" w:sz="6" w:space="0" w:color="auto"/>
            </w:tcBorders>
          </w:tcPr>
          <w:p w14:paraId="10ECC64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192</w:t>
            </w:r>
          </w:p>
        </w:tc>
        <w:tc>
          <w:tcPr>
            <w:tcW w:w="794" w:type="dxa"/>
            <w:tcBorders>
              <w:bottom w:val="single" w:sz="6" w:space="0" w:color="auto"/>
            </w:tcBorders>
          </w:tcPr>
          <w:p w14:paraId="668019D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545</w:t>
            </w:r>
          </w:p>
        </w:tc>
        <w:tc>
          <w:tcPr>
            <w:tcW w:w="794" w:type="dxa"/>
            <w:tcBorders>
              <w:bottom w:val="single" w:sz="6" w:space="0" w:color="auto"/>
            </w:tcBorders>
          </w:tcPr>
          <w:p w14:paraId="5B6C2AD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137</w:t>
            </w:r>
          </w:p>
        </w:tc>
      </w:tr>
      <w:tr w:rsidR="008D6F13" w14:paraId="78EC201B" w14:textId="77777777" w:rsidTr="0031078F">
        <w:tc>
          <w:tcPr>
            <w:cnfStyle w:val="001000000000" w:firstRow="0" w:lastRow="0" w:firstColumn="1" w:lastColumn="0" w:oddVBand="0" w:evenVBand="0" w:oddHBand="0" w:evenHBand="0" w:firstRowFirstColumn="0" w:firstRowLastColumn="0" w:lastRowFirstColumn="0" w:lastRowLastColumn="0"/>
            <w:tcW w:w="3794" w:type="dxa"/>
            <w:tcBorders>
              <w:top w:val="single" w:sz="6" w:space="0" w:color="auto"/>
            </w:tcBorders>
          </w:tcPr>
          <w:p w14:paraId="255B4D33" w14:textId="77777777" w:rsidR="008D6F13" w:rsidRDefault="008D6F13" w:rsidP="0031078F">
            <w:r>
              <w:rPr>
                <w:b/>
              </w:rPr>
              <w:t xml:space="preserve">Net cash flows from investments in </w:t>
            </w:r>
            <w:r>
              <w:rPr>
                <w:b/>
              </w:rPr>
              <w:br/>
              <w:t>non</w:t>
            </w:r>
            <w:r>
              <w:rPr>
                <w:b/>
              </w:rPr>
              <w:noBreakHyphen/>
              <w:t>financial assets</w:t>
            </w:r>
          </w:p>
        </w:tc>
        <w:tc>
          <w:tcPr>
            <w:tcW w:w="740" w:type="dxa"/>
            <w:tcBorders>
              <w:top w:val="single" w:sz="6" w:space="0" w:color="auto"/>
            </w:tcBorders>
          </w:tcPr>
          <w:p w14:paraId="3AAD58D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(3 604)</w:t>
            </w:r>
          </w:p>
        </w:tc>
        <w:tc>
          <w:tcPr>
            <w:tcW w:w="794" w:type="dxa"/>
            <w:tcBorders>
              <w:top w:val="single" w:sz="6" w:space="0" w:color="auto"/>
            </w:tcBorders>
          </w:tcPr>
          <w:p w14:paraId="2737377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(4 847)</w:t>
            </w:r>
          </w:p>
        </w:tc>
        <w:tc>
          <w:tcPr>
            <w:tcW w:w="794" w:type="dxa"/>
            <w:tcBorders>
              <w:top w:val="single" w:sz="6" w:space="0" w:color="auto"/>
            </w:tcBorders>
          </w:tcPr>
          <w:p w14:paraId="0C57522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(4 121)</w:t>
            </w:r>
          </w:p>
        </w:tc>
        <w:tc>
          <w:tcPr>
            <w:tcW w:w="794" w:type="dxa"/>
            <w:tcBorders>
              <w:top w:val="single" w:sz="6" w:space="0" w:color="auto"/>
            </w:tcBorders>
          </w:tcPr>
          <w:p w14:paraId="0CF87DE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(4 564)</w:t>
            </w:r>
          </w:p>
        </w:tc>
        <w:tc>
          <w:tcPr>
            <w:tcW w:w="794" w:type="dxa"/>
            <w:tcBorders>
              <w:top w:val="single" w:sz="6" w:space="0" w:color="auto"/>
            </w:tcBorders>
          </w:tcPr>
          <w:p w14:paraId="34032D4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(4 846)</w:t>
            </w:r>
          </w:p>
        </w:tc>
      </w:tr>
      <w:tr w:rsidR="008D6F13" w14:paraId="6E3CD3D3" w14:textId="77777777" w:rsidTr="0031078F">
        <w:tc>
          <w:tcPr>
            <w:cnfStyle w:val="001000000000" w:firstRow="0" w:lastRow="0" w:firstColumn="1" w:lastColumn="0" w:oddVBand="0" w:evenVBand="0" w:oddHBand="0" w:evenHBand="0" w:firstRowFirstColumn="0" w:firstRowLastColumn="0" w:lastRowFirstColumn="0" w:lastRowLastColumn="0"/>
            <w:tcW w:w="3794" w:type="dxa"/>
            <w:tcBorders>
              <w:bottom w:val="single" w:sz="6" w:space="0" w:color="auto"/>
            </w:tcBorders>
          </w:tcPr>
          <w:p w14:paraId="15989190" w14:textId="77777777" w:rsidR="008D6F13" w:rsidRDefault="008D6F13" w:rsidP="0031078F">
            <w:r>
              <w:t>Net cash flows from investments in financial assets for policy purposes</w:t>
            </w:r>
          </w:p>
        </w:tc>
        <w:tc>
          <w:tcPr>
            <w:tcW w:w="740" w:type="dxa"/>
            <w:tcBorders>
              <w:bottom w:val="single" w:sz="6" w:space="0" w:color="auto"/>
            </w:tcBorders>
          </w:tcPr>
          <w:p w14:paraId="19150E9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1 009</w:t>
            </w:r>
          </w:p>
        </w:tc>
        <w:tc>
          <w:tcPr>
            <w:tcW w:w="794" w:type="dxa"/>
            <w:tcBorders>
              <w:bottom w:val="single" w:sz="6" w:space="0" w:color="auto"/>
            </w:tcBorders>
          </w:tcPr>
          <w:p w14:paraId="57DC8E9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872</w:t>
            </w:r>
          </w:p>
        </w:tc>
        <w:tc>
          <w:tcPr>
            <w:tcW w:w="794" w:type="dxa"/>
            <w:tcBorders>
              <w:bottom w:val="single" w:sz="6" w:space="0" w:color="auto"/>
            </w:tcBorders>
          </w:tcPr>
          <w:p w14:paraId="43562BD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199</w:t>
            </w:r>
          </w:p>
        </w:tc>
        <w:tc>
          <w:tcPr>
            <w:tcW w:w="794" w:type="dxa"/>
            <w:tcBorders>
              <w:bottom w:val="single" w:sz="6" w:space="0" w:color="auto"/>
            </w:tcBorders>
          </w:tcPr>
          <w:p w14:paraId="5BDD994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w:t>
            </w:r>
          </w:p>
        </w:tc>
        <w:tc>
          <w:tcPr>
            <w:tcW w:w="794" w:type="dxa"/>
            <w:tcBorders>
              <w:bottom w:val="single" w:sz="6" w:space="0" w:color="auto"/>
            </w:tcBorders>
          </w:tcPr>
          <w:p w14:paraId="5F4ED48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w:t>
            </w:r>
          </w:p>
        </w:tc>
      </w:tr>
      <w:tr w:rsidR="008D6F13" w14:paraId="69B88C11" w14:textId="77777777" w:rsidTr="0031078F">
        <w:tc>
          <w:tcPr>
            <w:cnfStyle w:val="001000000000" w:firstRow="0" w:lastRow="0" w:firstColumn="1" w:lastColumn="0" w:oddVBand="0" w:evenVBand="0" w:oddHBand="0" w:evenHBand="0" w:firstRowFirstColumn="0" w:firstRowLastColumn="0" w:lastRowFirstColumn="0" w:lastRowLastColumn="0"/>
            <w:tcW w:w="3794" w:type="dxa"/>
            <w:tcBorders>
              <w:top w:val="single" w:sz="6" w:space="0" w:color="auto"/>
            </w:tcBorders>
          </w:tcPr>
          <w:p w14:paraId="2E97451B" w14:textId="77777777" w:rsidR="008D6F13" w:rsidRDefault="008D6F13" w:rsidP="0031078F">
            <w:r>
              <w:rPr>
                <w:b/>
              </w:rPr>
              <w:t>Subtotal</w:t>
            </w:r>
          </w:p>
        </w:tc>
        <w:tc>
          <w:tcPr>
            <w:tcW w:w="740" w:type="dxa"/>
            <w:tcBorders>
              <w:top w:val="single" w:sz="6" w:space="0" w:color="auto"/>
            </w:tcBorders>
          </w:tcPr>
          <w:p w14:paraId="7C42F59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(2 595)</w:t>
            </w:r>
          </w:p>
        </w:tc>
        <w:tc>
          <w:tcPr>
            <w:tcW w:w="794" w:type="dxa"/>
            <w:tcBorders>
              <w:top w:val="single" w:sz="6" w:space="0" w:color="auto"/>
            </w:tcBorders>
          </w:tcPr>
          <w:p w14:paraId="2FD4D1C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(3 976)</w:t>
            </w:r>
          </w:p>
        </w:tc>
        <w:tc>
          <w:tcPr>
            <w:tcW w:w="794" w:type="dxa"/>
            <w:tcBorders>
              <w:top w:val="single" w:sz="6" w:space="0" w:color="auto"/>
            </w:tcBorders>
          </w:tcPr>
          <w:p w14:paraId="1280F8B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(3 922)</w:t>
            </w:r>
          </w:p>
        </w:tc>
        <w:tc>
          <w:tcPr>
            <w:tcW w:w="794" w:type="dxa"/>
            <w:tcBorders>
              <w:top w:val="single" w:sz="6" w:space="0" w:color="auto"/>
            </w:tcBorders>
          </w:tcPr>
          <w:p w14:paraId="78D35A0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(4 546)</w:t>
            </w:r>
          </w:p>
        </w:tc>
        <w:tc>
          <w:tcPr>
            <w:tcW w:w="794" w:type="dxa"/>
            <w:tcBorders>
              <w:top w:val="single" w:sz="6" w:space="0" w:color="auto"/>
            </w:tcBorders>
          </w:tcPr>
          <w:p w14:paraId="5F30AF0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(4 847)</w:t>
            </w:r>
          </w:p>
        </w:tc>
      </w:tr>
      <w:tr w:rsidR="008D6F13" w14:paraId="748550F2" w14:textId="77777777" w:rsidTr="0031078F">
        <w:tc>
          <w:tcPr>
            <w:cnfStyle w:val="001000000000" w:firstRow="0" w:lastRow="0" w:firstColumn="1" w:lastColumn="0" w:oddVBand="0" w:evenVBand="0" w:oddHBand="0" w:evenHBand="0" w:firstRowFirstColumn="0" w:firstRowLastColumn="0" w:lastRowFirstColumn="0" w:lastRowLastColumn="0"/>
            <w:tcW w:w="3794" w:type="dxa"/>
            <w:tcBorders>
              <w:bottom w:val="single" w:sz="6" w:space="0" w:color="auto"/>
            </w:tcBorders>
          </w:tcPr>
          <w:p w14:paraId="67E25C2A" w14:textId="77777777" w:rsidR="008D6F13" w:rsidRDefault="008D6F13" w:rsidP="0031078F">
            <w:r>
              <w:t>Net cash flows from investment in financial assets for liquidity management purposes</w:t>
            </w:r>
          </w:p>
        </w:tc>
        <w:tc>
          <w:tcPr>
            <w:tcW w:w="740" w:type="dxa"/>
            <w:tcBorders>
              <w:bottom w:val="single" w:sz="6" w:space="0" w:color="auto"/>
            </w:tcBorders>
          </w:tcPr>
          <w:p w14:paraId="71F697F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173</w:t>
            </w:r>
          </w:p>
        </w:tc>
        <w:tc>
          <w:tcPr>
            <w:tcW w:w="794" w:type="dxa"/>
            <w:tcBorders>
              <w:bottom w:val="single" w:sz="6" w:space="0" w:color="auto"/>
            </w:tcBorders>
          </w:tcPr>
          <w:p w14:paraId="1C31B1D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162</w:t>
            </w:r>
          </w:p>
        </w:tc>
        <w:tc>
          <w:tcPr>
            <w:tcW w:w="794" w:type="dxa"/>
            <w:tcBorders>
              <w:bottom w:val="single" w:sz="6" w:space="0" w:color="auto"/>
            </w:tcBorders>
          </w:tcPr>
          <w:p w14:paraId="3980FC9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39</w:t>
            </w:r>
          </w:p>
        </w:tc>
        <w:tc>
          <w:tcPr>
            <w:tcW w:w="794" w:type="dxa"/>
            <w:tcBorders>
              <w:bottom w:val="single" w:sz="6" w:space="0" w:color="auto"/>
            </w:tcBorders>
          </w:tcPr>
          <w:p w14:paraId="24672B7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(35)</w:t>
            </w:r>
          </w:p>
        </w:tc>
        <w:tc>
          <w:tcPr>
            <w:tcW w:w="794" w:type="dxa"/>
            <w:tcBorders>
              <w:bottom w:val="single" w:sz="6" w:space="0" w:color="auto"/>
            </w:tcBorders>
          </w:tcPr>
          <w:p w14:paraId="24FC0CD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(46)</w:t>
            </w:r>
          </w:p>
        </w:tc>
      </w:tr>
      <w:tr w:rsidR="008D6F13" w14:paraId="2083BA00" w14:textId="77777777" w:rsidTr="0031078F">
        <w:tc>
          <w:tcPr>
            <w:cnfStyle w:val="001000000000" w:firstRow="0" w:lastRow="0" w:firstColumn="1" w:lastColumn="0" w:oddVBand="0" w:evenVBand="0" w:oddHBand="0" w:evenHBand="0" w:firstRowFirstColumn="0" w:firstRowLastColumn="0" w:lastRowFirstColumn="0" w:lastRowLastColumn="0"/>
            <w:tcW w:w="3794" w:type="dxa"/>
            <w:tcBorders>
              <w:top w:val="single" w:sz="6" w:space="0" w:color="auto"/>
            </w:tcBorders>
          </w:tcPr>
          <w:p w14:paraId="397F40A3" w14:textId="77777777" w:rsidR="008D6F13" w:rsidRDefault="008D6F13" w:rsidP="0031078F">
            <w:r>
              <w:rPr>
                <w:b/>
              </w:rPr>
              <w:t>Net cash flows from investing activities</w:t>
            </w:r>
          </w:p>
        </w:tc>
        <w:tc>
          <w:tcPr>
            <w:tcW w:w="740" w:type="dxa"/>
            <w:tcBorders>
              <w:top w:val="single" w:sz="6" w:space="0" w:color="auto"/>
            </w:tcBorders>
          </w:tcPr>
          <w:p w14:paraId="61DF764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(2 422)</w:t>
            </w:r>
          </w:p>
        </w:tc>
        <w:tc>
          <w:tcPr>
            <w:tcW w:w="794" w:type="dxa"/>
            <w:tcBorders>
              <w:top w:val="single" w:sz="6" w:space="0" w:color="auto"/>
            </w:tcBorders>
          </w:tcPr>
          <w:p w14:paraId="54C912B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(3 814)</w:t>
            </w:r>
          </w:p>
        </w:tc>
        <w:tc>
          <w:tcPr>
            <w:tcW w:w="794" w:type="dxa"/>
            <w:tcBorders>
              <w:top w:val="single" w:sz="6" w:space="0" w:color="auto"/>
            </w:tcBorders>
          </w:tcPr>
          <w:p w14:paraId="40E0455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(3 884)</w:t>
            </w:r>
          </w:p>
        </w:tc>
        <w:tc>
          <w:tcPr>
            <w:tcW w:w="794" w:type="dxa"/>
            <w:tcBorders>
              <w:top w:val="single" w:sz="6" w:space="0" w:color="auto"/>
            </w:tcBorders>
          </w:tcPr>
          <w:p w14:paraId="76D1A17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(4 581)</w:t>
            </w:r>
          </w:p>
        </w:tc>
        <w:tc>
          <w:tcPr>
            <w:tcW w:w="794" w:type="dxa"/>
            <w:tcBorders>
              <w:top w:val="single" w:sz="6" w:space="0" w:color="auto"/>
            </w:tcBorders>
          </w:tcPr>
          <w:p w14:paraId="632BC07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(4 892)</w:t>
            </w:r>
          </w:p>
        </w:tc>
      </w:tr>
      <w:tr w:rsidR="008D6F13" w14:paraId="3ADB2A5B" w14:textId="77777777" w:rsidTr="0031078F">
        <w:tc>
          <w:tcPr>
            <w:cnfStyle w:val="001000000000" w:firstRow="0" w:lastRow="0" w:firstColumn="1" w:lastColumn="0" w:oddVBand="0" w:evenVBand="0" w:oddHBand="0" w:evenHBand="0" w:firstRowFirstColumn="0" w:firstRowLastColumn="0" w:lastRowFirstColumn="0" w:lastRowLastColumn="0"/>
            <w:tcW w:w="3794" w:type="dxa"/>
          </w:tcPr>
          <w:p w14:paraId="788355E2" w14:textId="77777777" w:rsidR="008D6F13" w:rsidRDefault="008D6F13" w:rsidP="0031078F">
            <w:r>
              <w:rPr>
                <w:b/>
              </w:rPr>
              <w:t>Cash flows from financing activities</w:t>
            </w:r>
          </w:p>
        </w:tc>
        <w:tc>
          <w:tcPr>
            <w:tcW w:w="740" w:type="dxa"/>
          </w:tcPr>
          <w:p w14:paraId="6182AEA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D73C1C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CDE634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A92C50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B9C6BA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5A61091B" w14:textId="77777777" w:rsidTr="0031078F">
        <w:tc>
          <w:tcPr>
            <w:cnfStyle w:val="001000000000" w:firstRow="0" w:lastRow="0" w:firstColumn="1" w:lastColumn="0" w:oddVBand="0" w:evenVBand="0" w:oddHBand="0" w:evenHBand="0" w:firstRowFirstColumn="0" w:firstRowLastColumn="0" w:lastRowFirstColumn="0" w:lastRowLastColumn="0"/>
            <w:tcW w:w="3794" w:type="dxa"/>
          </w:tcPr>
          <w:p w14:paraId="04F4B78F" w14:textId="77777777" w:rsidR="008D6F13" w:rsidRDefault="008D6F13" w:rsidP="0031078F">
            <w:r>
              <w:t>Advances received (net)</w:t>
            </w:r>
          </w:p>
        </w:tc>
        <w:tc>
          <w:tcPr>
            <w:tcW w:w="740" w:type="dxa"/>
          </w:tcPr>
          <w:p w14:paraId="3B329BE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(739)</w:t>
            </w:r>
          </w:p>
        </w:tc>
        <w:tc>
          <w:tcPr>
            <w:tcW w:w="794" w:type="dxa"/>
          </w:tcPr>
          <w:p w14:paraId="1F93B42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(636)</w:t>
            </w:r>
          </w:p>
        </w:tc>
        <w:tc>
          <w:tcPr>
            <w:tcW w:w="794" w:type="dxa"/>
          </w:tcPr>
          <w:p w14:paraId="0073F23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176</w:t>
            </w:r>
          </w:p>
        </w:tc>
        <w:tc>
          <w:tcPr>
            <w:tcW w:w="794" w:type="dxa"/>
          </w:tcPr>
          <w:p w14:paraId="7B20404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1 649</w:t>
            </w:r>
          </w:p>
        </w:tc>
        <w:tc>
          <w:tcPr>
            <w:tcW w:w="794" w:type="dxa"/>
          </w:tcPr>
          <w:p w14:paraId="1F4FFB1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94</w:t>
            </w:r>
          </w:p>
        </w:tc>
      </w:tr>
      <w:tr w:rsidR="008D6F13" w14:paraId="7AD812F0" w14:textId="77777777" w:rsidTr="0031078F">
        <w:tc>
          <w:tcPr>
            <w:cnfStyle w:val="001000000000" w:firstRow="0" w:lastRow="0" w:firstColumn="1" w:lastColumn="0" w:oddVBand="0" w:evenVBand="0" w:oddHBand="0" w:evenHBand="0" w:firstRowFirstColumn="0" w:firstRowLastColumn="0" w:lastRowFirstColumn="0" w:lastRowLastColumn="0"/>
            <w:tcW w:w="3794" w:type="dxa"/>
          </w:tcPr>
          <w:p w14:paraId="57A749E4" w14:textId="77777777" w:rsidR="008D6F13" w:rsidRDefault="008D6F13" w:rsidP="0031078F">
            <w:r>
              <w:t>Net borrowings</w:t>
            </w:r>
          </w:p>
        </w:tc>
        <w:tc>
          <w:tcPr>
            <w:tcW w:w="740" w:type="dxa"/>
          </w:tcPr>
          <w:p w14:paraId="47CA9E0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1 535</w:t>
            </w:r>
          </w:p>
        </w:tc>
        <w:tc>
          <w:tcPr>
            <w:tcW w:w="794" w:type="dxa"/>
          </w:tcPr>
          <w:p w14:paraId="431E139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1 901</w:t>
            </w:r>
          </w:p>
        </w:tc>
        <w:tc>
          <w:tcPr>
            <w:tcW w:w="794" w:type="dxa"/>
          </w:tcPr>
          <w:p w14:paraId="73E3656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1 250</w:t>
            </w:r>
          </w:p>
        </w:tc>
        <w:tc>
          <w:tcPr>
            <w:tcW w:w="794" w:type="dxa"/>
          </w:tcPr>
          <w:p w14:paraId="75B5BB1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1 255</w:t>
            </w:r>
          </w:p>
        </w:tc>
        <w:tc>
          <w:tcPr>
            <w:tcW w:w="794" w:type="dxa"/>
          </w:tcPr>
          <w:p w14:paraId="57D754A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959</w:t>
            </w:r>
          </w:p>
        </w:tc>
      </w:tr>
      <w:tr w:rsidR="008D6F13" w14:paraId="0E3EFEC3" w14:textId="77777777" w:rsidTr="0031078F">
        <w:tc>
          <w:tcPr>
            <w:cnfStyle w:val="001000000000" w:firstRow="0" w:lastRow="0" w:firstColumn="1" w:lastColumn="0" w:oddVBand="0" w:evenVBand="0" w:oddHBand="0" w:evenHBand="0" w:firstRowFirstColumn="0" w:firstRowLastColumn="0" w:lastRowFirstColumn="0" w:lastRowLastColumn="0"/>
            <w:tcW w:w="3794" w:type="dxa"/>
          </w:tcPr>
          <w:p w14:paraId="4E5B73D4" w14:textId="77777777" w:rsidR="008D6F13" w:rsidRDefault="008D6F13" w:rsidP="0031078F">
            <w:r>
              <w:t>Deposits received (net)</w:t>
            </w:r>
          </w:p>
        </w:tc>
        <w:tc>
          <w:tcPr>
            <w:tcW w:w="740" w:type="dxa"/>
          </w:tcPr>
          <w:p w14:paraId="2577628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w:t>
            </w:r>
          </w:p>
        </w:tc>
        <w:tc>
          <w:tcPr>
            <w:tcW w:w="794" w:type="dxa"/>
          </w:tcPr>
          <w:p w14:paraId="700CD9E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42</w:t>
            </w:r>
          </w:p>
        </w:tc>
        <w:tc>
          <w:tcPr>
            <w:tcW w:w="794" w:type="dxa"/>
          </w:tcPr>
          <w:p w14:paraId="381101A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w:t>
            </w:r>
          </w:p>
        </w:tc>
        <w:tc>
          <w:tcPr>
            <w:tcW w:w="794" w:type="dxa"/>
          </w:tcPr>
          <w:p w14:paraId="7F78880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4E076F2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w:t>
            </w:r>
          </w:p>
        </w:tc>
      </w:tr>
      <w:tr w:rsidR="008D6F13" w14:paraId="5F6C05B5" w14:textId="77777777" w:rsidTr="0031078F">
        <w:tc>
          <w:tcPr>
            <w:cnfStyle w:val="001000000000" w:firstRow="0" w:lastRow="0" w:firstColumn="1" w:lastColumn="0" w:oddVBand="0" w:evenVBand="0" w:oddHBand="0" w:evenHBand="0" w:firstRowFirstColumn="0" w:firstRowLastColumn="0" w:lastRowFirstColumn="0" w:lastRowLastColumn="0"/>
            <w:tcW w:w="3794" w:type="dxa"/>
            <w:tcBorders>
              <w:bottom w:val="single" w:sz="6" w:space="0" w:color="auto"/>
            </w:tcBorders>
          </w:tcPr>
          <w:p w14:paraId="21C0340B" w14:textId="77777777" w:rsidR="008D6F13" w:rsidRDefault="008D6F13" w:rsidP="0031078F">
            <w:r>
              <w:t>Other financing (net)</w:t>
            </w:r>
          </w:p>
        </w:tc>
        <w:tc>
          <w:tcPr>
            <w:tcW w:w="740" w:type="dxa"/>
            <w:tcBorders>
              <w:bottom w:val="single" w:sz="6" w:space="0" w:color="auto"/>
            </w:tcBorders>
          </w:tcPr>
          <w:p w14:paraId="65993C1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57</w:t>
            </w:r>
          </w:p>
        </w:tc>
        <w:tc>
          <w:tcPr>
            <w:tcW w:w="794" w:type="dxa"/>
            <w:tcBorders>
              <w:bottom w:val="single" w:sz="6" w:space="0" w:color="auto"/>
            </w:tcBorders>
          </w:tcPr>
          <w:p w14:paraId="42A45EF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827</w:t>
            </w:r>
          </w:p>
        </w:tc>
        <w:tc>
          <w:tcPr>
            <w:tcW w:w="794" w:type="dxa"/>
            <w:tcBorders>
              <w:bottom w:val="single" w:sz="6" w:space="0" w:color="auto"/>
            </w:tcBorders>
          </w:tcPr>
          <w:p w14:paraId="36DBB3D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480</w:t>
            </w:r>
          </w:p>
        </w:tc>
        <w:tc>
          <w:tcPr>
            <w:tcW w:w="794" w:type="dxa"/>
            <w:tcBorders>
              <w:bottom w:val="single" w:sz="6" w:space="0" w:color="auto"/>
            </w:tcBorders>
          </w:tcPr>
          <w:p w14:paraId="258F535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(161)</w:t>
            </w:r>
          </w:p>
        </w:tc>
        <w:tc>
          <w:tcPr>
            <w:tcW w:w="794" w:type="dxa"/>
            <w:tcBorders>
              <w:bottom w:val="single" w:sz="6" w:space="0" w:color="auto"/>
            </w:tcBorders>
          </w:tcPr>
          <w:p w14:paraId="067C08D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2 023</w:t>
            </w:r>
          </w:p>
        </w:tc>
      </w:tr>
      <w:tr w:rsidR="008D6F13" w14:paraId="438D490E" w14:textId="77777777" w:rsidTr="0031078F">
        <w:tc>
          <w:tcPr>
            <w:cnfStyle w:val="001000000000" w:firstRow="0" w:lastRow="0" w:firstColumn="1" w:lastColumn="0" w:oddVBand="0" w:evenVBand="0" w:oddHBand="0" w:evenHBand="0" w:firstRowFirstColumn="0" w:firstRowLastColumn="0" w:lastRowFirstColumn="0" w:lastRowLastColumn="0"/>
            <w:tcW w:w="3794" w:type="dxa"/>
            <w:tcBorders>
              <w:top w:val="single" w:sz="6" w:space="0" w:color="auto"/>
              <w:bottom w:val="single" w:sz="6" w:space="0" w:color="auto"/>
            </w:tcBorders>
          </w:tcPr>
          <w:p w14:paraId="4E23D648" w14:textId="77777777" w:rsidR="008D6F13" w:rsidRDefault="008D6F13" w:rsidP="0031078F">
            <w:r>
              <w:rPr>
                <w:b/>
              </w:rPr>
              <w:t>Net cash flows from financing activities</w:t>
            </w:r>
          </w:p>
        </w:tc>
        <w:tc>
          <w:tcPr>
            <w:tcW w:w="740" w:type="dxa"/>
            <w:tcBorders>
              <w:top w:val="single" w:sz="6" w:space="0" w:color="auto"/>
              <w:bottom w:val="single" w:sz="6" w:space="0" w:color="auto"/>
            </w:tcBorders>
          </w:tcPr>
          <w:p w14:paraId="4FE066B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854</w:t>
            </w:r>
          </w:p>
        </w:tc>
        <w:tc>
          <w:tcPr>
            <w:tcW w:w="794" w:type="dxa"/>
            <w:tcBorders>
              <w:top w:val="single" w:sz="6" w:space="0" w:color="auto"/>
              <w:bottom w:val="single" w:sz="6" w:space="0" w:color="auto"/>
            </w:tcBorders>
          </w:tcPr>
          <w:p w14:paraId="6ED15D2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2 134</w:t>
            </w:r>
          </w:p>
        </w:tc>
        <w:tc>
          <w:tcPr>
            <w:tcW w:w="794" w:type="dxa"/>
            <w:tcBorders>
              <w:top w:val="single" w:sz="6" w:space="0" w:color="auto"/>
              <w:bottom w:val="single" w:sz="6" w:space="0" w:color="auto"/>
            </w:tcBorders>
          </w:tcPr>
          <w:p w14:paraId="70EFD03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1 901</w:t>
            </w:r>
          </w:p>
        </w:tc>
        <w:tc>
          <w:tcPr>
            <w:tcW w:w="794" w:type="dxa"/>
            <w:tcBorders>
              <w:top w:val="single" w:sz="6" w:space="0" w:color="auto"/>
              <w:bottom w:val="single" w:sz="6" w:space="0" w:color="auto"/>
            </w:tcBorders>
          </w:tcPr>
          <w:p w14:paraId="3B131A5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2 744</w:t>
            </w:r>
          </w:p>
        </w:tc>
        <w:tc>
          <w:tcPr>
            <w:tcW w:w="794" w:type="dxa"/>
            <w:tcBorders>
              <w:top w:val="single" w:sz="6" w:space="0" w:color="auto"/>
              <w:bottom w:val="single" w:sz="6" w:space="0" w:color="auto"/>
            </w:tcBorders>
          </w:tcPr>
          <w:p w14:paraId="66E6E93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3 074</w:t>
            </w:r>
          </w:p>
        </w:tc>
      </w:tr>
      <w:tr w:rsidR="008D6F13" w14:paraId="1CCD9FFF" w14:textId="77777777" w:rsidTr="0031078F">
        <w:tc>
          <w:tcPr>
            <w:cnfStyle w:val="001000000000" w:firstRow="0" w:lastRow="0" w:firstColumn="1" w:lastColumn="0" w:oddVBand="0" w:evenVBand="0" w:oddHBand="0" w:evenHBand="0" w:firstRowFirstColumn="0" w:firstRowLastColumn="0" w:lastRowFirstColumn="0" w:lastRowLastColumn="0"/>
            <w:tcW w:w="3794" w:type="dxa"/>
            <w:tcBorders>
              <w:top w:val="single" w:sz="6" w:space="0" w:color="auto"/>
            </w:tcBorders>
          </w:tcPr>
          <w:p w14:paraId="1E387DC6" w14:textId="77777777" w:rsidR="008D6F13" w:rsidRDefault="008D6F13" w:rsidP="0031078F">
            <w:r>
              <w:rPr>
                <w:b/>
              </w:rPr>
              <w:t>Net increase/(decrease) in cash and cash equivalents</w:t>
            </w:r>
          </w:p>
        </w:tc>
        <w:tc>
          <w:tcPr>
            <w:tcW w:w="740" w:type="dxa"/>
            <w:tcBorders>
              <w:top w:val="single" w:sz="6" w:space="0" w:color="auto"/>
            </w:tcBorders>
          </w:tcPr>
          <w:p w14:paraId="783DC6A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(272)</w:t>
            </w:r>
          </w:p>
        </w:tc>
        <w:tc>
          <w:tcPr>
            <w:tcW w:w="794" w:type="dxa"/>
            <w:tcBorders>
              <w:top w:val="single" w:sz="6" w:space="0" w:color="auto"/>
            </w:tcBorders>
          </w:tcPr>
          <w:p w14:paraId="74FBF26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(978)</w:t>
            </w:r>
          </w:p>
        </w:tc>
        <w:tc>
          <w:tcPr>
            <w:tcW w:w="794" w:type="dxa"/>
            <w:tcBorders>
              <w:top w:val="single" w:sz="6" w:space="0" w:color="auto"/>
            </w:tcBorders>
          </w:tcPr>
          <w:p w14:paraId="00902B2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(327)</w:t>
            </w:r>
          </w:p>
        </w:tc>
        <w:tc>
          <w:tcPr>
            <w:tcW w:w="794" w:type="dxa"/>
            <w:tcBorders>
              <w:top w:val="single" w:sz="6" w:space="0" w:color="auto"/>
            </w:tcBorders>
          </w:tcPr>
          <w:p w14:paraId="35D310E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(162)</w:t>
            </w:r>
          </w:p>
        </w:tc>
        <w:tc>
          <w:tcPr>
            <w:tcW w:w="794" w:type="dxa"/>
            <w:tcBorders>
              <w:top w:val="single" w:sz="6" w:space="0" w:color="auto"/>
            </w:tcBorders>
          </w:tcPr>
          <w:p w14:paraId="7D3CB3E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(50)</w:t>
            </w:r>
          </w:p>
        </w:tc>
      </w:tr>
      <w:tr w:rsidR="008D6F13" w14:paraId="241CBD3F" w14:textId="77777777" w:rsidTr="0031078F">
        <w:tc>
          <w:tcPr>
            <w:cnfStyle w:val="001000000000" w:firstRow="0" w:lastRow="0" w:firstColumn="1" w:lastColumn="0" w:oddVBand="0" w:evenVBand="0" w:oddHBand="0" w:evenHBand="0" w:firstRowFirstColumn="0" w:firstRowLastColumn="0" w:lastRowFirstColumn="0" w:lastRowLastColumn="0"/>
            <w:tcW w:w="3794" w:type="dxa"/>
            <w:tcBorders>
              <w:bottom w:val="single" w:sz="6" w:space="0" w:color="auto"/>
            </w:tcBorders>
          </w:tcPr>
          <w:p w14:paraId="177FCAC9" w14:textId="77777777" w:rsidR="008D6F13" w:rsidRDefault="008D6F13" w:rsidP="0031078F">
            <w:r>
              <w:t xml:space="preserve">Cash and cash equivalents at beginning of </w:t>
            </w:r>
            <w:r>
              <w:br/>
              <w:t>reporting period</w:t>
            </w:r>
            <w:r>
              <w:rPr>
                <w:vertAlign w:val="superscript"/>
              </w:rPr>
              <w:t xml:space="preserve"> (b)(c)</w:t>
            </w:r>
          </w:p>
        </w:tc>
        <w:tc>
          <w:tcPr>
            <w:tcW w:w="740" w:type="dxa"/>
            <w:tcBorders>
              <w:bottom w:val="single" w:sz="6" w:space="0" w:color="auto"/>
            </w:tcBorders>
          </w:tcPr>
          <w:p w14:paraId="1C934FF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1 857</w:t>
            </w:r>
          </w:p>
        </w:tc>
        <w:tc>
          <w:tcPr>
            <w:tcW w:w="794" w:type="dxa"/>
            <w:tcBorders>
              <w:bottom w:val="single" w:sz="6" w:space="0" w:color="auto"/>
            </w:tcBorders>
          </w:tcPr>
          <w:p w14:paraId="5A70AE5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1 857</w:t>
            </w:r>
          </w:p>
        </w:tc>
        <w:tc>
          <w:tcPr>
            <w:tcW w:w="794" w:type="dxa"/>
            <w:tcBorders>
              <w:bottom w:val="single" w:sz="6" w:space="0" w:color="auto"/>
            </w:tcBorders>
          </w:tcPr>
          <w:p w14:paraId="2FDD557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880</w:t>
            </w:r>
          </w:p>
        </w:tc>
        <w:tc>
          <w:tcPr>
            <w:tcW w:w="794" w:type="dxa"/>
            <w:tcBorders>
              <w:bottom w:val="single" w:sz="6" w:space="0" w:color="auto"/>
            </w:tcBorders>
          </w:tcPr>
          <w:p w14:paraId="5924747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552</w:t>
            </w:r>
          </w:p>
        </w:tc>
        <w:tc>
          <w:tcPr>
            <w:tcW w:w="794" w:type="dxa"/>
            <w:tcBorders>
              <w:bottom w:val="single" w:sz="6" w:space="0" w:color="auto"/>
            </w:tcBorders>
          </w:tcPr>
          <w:p w14:paraId="669603C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390</w:t>
            </w:r>
          </w:p>
        </w:tc>
      </w:tr>
      <w:tr w:rsidR="008D6F13" w14:paraId="257445E2" w14:textId="77777777" w:rsidTr="0031078F">
        <w:tc>
          <w:tcPr>
            <w:cnfStyle w:val="001000000000" w:firstRow="0" w:lastRow="0" w:firstColumn="1" w:lastColumn="0" w:oddVBand="0" w:evenVBand="0" w:oddHBand="0" w:evenHBand="0" w:firstRowFirstColumn="0" w:firstRowLastColumn="0" w:lastRowFirstColumn="0" w:lastRowLastColumn="0"/>
            <w:tcW w:w="3794" w:type="dxa"/>
            <w:tcBorders>
              <w:top w:val="single" w:sz="6" w:space="0" w:color="auto"/>
              <w:bottom w:val="single" w:sz="6" w:space="0" w:color="auto"/>
            </w:tcBorders>
          </w:tcPr>
          <w:p w14:paraId="7D94D155" w14:textId="77777777" w:rsidR="008D6F13" w:rsidRDefault="008D6F13" w:rsidP="0031078F">
            <w:r>
              <w:rPr>
                <w:b/>
              </w:rPr>
              <w:t xml:space="preserve">Cash and cash equivalents at end of </w:t>
            </w:r>
            <w:r>
              <w:rPr>
                <w:b/>
              </w:rPr>
              <w:br/>
              <w:t>reporting period</w:t>
            </w:r>
            <w:r>
              <w:rPr>
                <w:b/>
                <w:vertAlign w:val="superscript"/>
              </w:rPr>
              <w:t xml:space="preserve"> (b)(c)</w:t>
            </w:r>
          </w:p>
        </w:tc>
        <w:tc>
          <w:tcPr>
            <w:tcW w:w="740" w:type="dxa"/>
            <w:tcBorders>
              <w:top w:val="single" w:sz="6" w:space="0" w:color="auto"/>
              <w:bottom w:val="single" w:sz="6" w:space="0" w:color="auto"/>
            </w:tcBorders>
          </w:tcPr>
          <w:p w14:paraId="512F939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1 586</w:t>
            </w:r>
          </w:p>
        </w:tc>
        <w:tc>
          <w:tcPr>
            <w:tcW w:w="794" w:type="dxa"/>
            <w:tcBorders>
              <w:top w:val="single" w:sz="6" w:space="0" w:color="auto"/>
              <w:bottom w:val="single" w:sz="6" w:space="0" w:color="auto"/>
            </w:tcBorders>
          </w:tcPr>
          <w:p w14:paraId="293E602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880</w:t>
            </w:r>
          </w:p>
        </w:tc>
        <w:tc>
          <w:tcPr>
            <w:tcW w:w="794" w:type="dxa"/>
            <w:tcBorders>
              <w:top w:val="single" w:sz="6" w:space="0" w:color="auto"/>
              <w:bottom w:val="single" w:sz="6" w:space="0" w:color="auto"/>
            </w:tcBorders>
          </w:tcPr>
          <w:p w14:paraId="58FC610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552</w:t>
            </w:r>
          </w:p>
        </w:tc>
        <w:tc>
          <w:tcPr>
            <w:tcW w:w="794" w:type="dxa"/>
            <w:tcBorders>
              <w:top w:val="single" w:sz="6" w:space="0" w:color="auto"/>
              <w:bottom w:val="single" w:sz="6" w:space="0" w:color="auto"/>
            </w:tcBorders>
          </w:tcPr>
          <w:p w14:paraId="6523631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390</w:t>
            </w:r>
          </w:p>
        </w:tc>
        <w:tc>
          <w:tcPr>
            <w:tcW w:w="794" w:type="dxa"/>
            <w:tcBorders>
              <w:top w:val="single" w:sz="6" w:space="0" w:color="auto"/>
              <w:bottom w:val="single" w:sz="6" w:space="0" w:color="auto"/>
            </w:tcBorders>
          </w:tcPr>
          <w:p w14:paraId="199C8A5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340</w:t>
            </w:r>
          </w:p>
        </w:tc>
      </w:tr>
    </w:tbl>
    <w:p w14:paraId="78A9C8DD" w14:textId="56D251E5" w:rsidR="008D6F13" w:rsidRDefault="008D6F13" w:rsidP="008D6F13">
      <w:pPr>
        <w:pStyle w:val="TableHeading"/>
      </w:pPr>
      <w:r w:rsidRPr="00921F69">
        <w:rPr>
          <w:rFonts w:cstheme="majorHAnsi"/>
        </w:rPr>
        <w:lastRenderedPageBreak/>
        <w:t>Table 5.3</w:t>
      </w:r>
      <w:r w:rsidR="007F1FE4">
        <w:rPr>
          <w:rFonts w:cstheme="majorHAnsi"/>
        </w:rPr>
        <w:t>:</w:t>
      </w:r>
      <w:r w:rsidRPr="00921F69">
        <w:rPr>
          <w:rFonts w:cstheme="majorHAnsi"/>
        </w:rPr>
        <w:tab/>
        <w:t xml:space="preserve">Public non-financial corporations sector cash flow statement </w:t>
      </w:r>
      <w:r>
        <w:rPr>
          <w:rFonts w:cstheme="majorHAnsi"/>
        </w:rPr>
        <w:br/>
      </w:r>
      <w:r w:rsidRPr="00921F69">
        <w:rPr>
          <w:rFonts w:cstheme="majorHAnsi"/>
        </w:rPr>
        <w:t>for the financial year ended 30 June</w:t>
      </w:r>
      <w:r>
        <w:rPr>
          <w:rFonts w:cstheme="majorHAnsi"/>
        </w:rPr>
        <w:t xml:space="preserve"> </w:t>
      </w:r>
      <w:r w:rsidRPr="00D159C2">
        <w:rPr>
          <w:rFonts w:cstheme="majorHAnsi"/>
          <w:i/>
          <w:iCs/>
        </w:rPr>
        <w:t>(continued)</w:t>
      </w:r>
    </w:p>
    <w:tbl>
      <w:tblPr>
        <w:tblStyle w:val="DTFTableNumeric"/>
        <w:tblW w:w="7710" w:type="dxa"/>
        <w:tblLayout w:type="fixed"/>
        <w:tblLook w:val="06A0" w:firstRow="1" w:lastRow="0" w:firstColumn="1" w:lastColumn="0" w:noHBand="1" w:noVBand="1"/>
      </w:tblPr>
      <w:tblGrid>
        <w:gridCol w:w="3794"/>
        <w:gridCol w:w="740"/>
        <w:gridCol w:w="794"/>
        <w:gridCol w:w="794"/>
        <w:gridCol w:w="794"/>
        <w:gridCol w:w="794"/>
      </w:tblGrid>
      <w:tr w:rsidR="008D6F13" w14:paraId="33B69E29"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94" w:type="dxa"/>
          </w:tcPr>
          <w:p w14:paraId="248BB75B" w14:textId="77777777" w:rsidR="008D6F13" w:rsidRDefault="008D6F13" w:rsidP="0031078F"/>
        </w:tc>
        <w:tc>
          <w:tcPr>
            <w:tcW w:w="740" w:type="dxa"/>
          </w:tcPr>
          <w:p w14:paraId="1F05D548"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3DD3FFFA"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090FE4FA"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41D0056A"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646C8EFE"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3DC40FA2" w14:textId="77777777" w:rsidTr="0031078F">
        <w:tc>
          <w:tcPr>
            <w:cnfStyle w:val="001000000000" w:firstRow="0" w:lastRow="0" w:firstColumn="1" w:lastColumn="0" w:oddVBand="0" w:evenVBand="0" w:oddHBand="0" w:evenHBand="0" w:firstRowFirstColumn="0" w:firstRowLastColumn="0" w:lastRowFirstColumn="0" w:lastRowLastColumn="0"/>
            <w:tcW w:w="3794" w:type="dxa"/>
          </w:tcPr>
          <w:p w14:paraId="7FDE5658" w14:textId="77777777" w:rsidR="008D6F13" w:rsidRDefault="008D6F13" w:rsidP="0031078F">
            <w:r>
              <w:rPr>
                <w:b/>
              </w:rPr>
              <w:t>FISCAL AGGREGATES</w:t>
            </w:r>
          </w:p>
        </w:tc>
        <w:tc>
          <w:tcPr>
            <w:tcW w:w="740" w:type="dxa"/>
          </w:tcPr>
          <w:p w14:paraId="0FA36AC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B4505A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1F5AC1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8D77D1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DE7B97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3431C39B" w14:textId="77777777" w:rsidTr="0031078F">
        <w:tc>
          <w:tcPr>
            <w:cnfStyle w:val="001000000000" w:firstRow="0" w:lastRow="0" w:firstColumn="1" w:lastColumn="0" w:oddVBand="0" w:evenVBand="0" w:oddHBand="0" w:evenHBand="0" w:firstRowFirstColumn="0" w:firstRowLastColumn="0" w:lastRowFirstColumn="0" w:lastRowLastColumn="0"/>
            <w:tcW w:w="3794" w:type="dxa"/>
          </w:tcPr>
          <w:p w14:paraId="2598933E" w14:textId="77777777" w:rsidR="008D6F13" w:rsidRDefault="008D6F13" w:rsidP="0031078F">
            <w:r>
              <w:t>Net cash flows from operating activities</w:t>
            </w:r>
          </w:p>
        </w:tc>
        <w:tc>
          <w:tcPr>
            <w:tcW w:w="740" w:type="dxa"/>
          </w:tcPr>
          <w:p w14:paraId="69557FB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1 297</w:t>
            </w:r>
          </w:p>
        </w:tc>
        <w:tc>
          <w:tcPr>
            <w:tcW w:w="794" w:type="dxa"/>
          </w:tcPr>
          <w:p w14:paraId="1012B48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702</w:t>
            </w:r>
          </w:p>
        </w:tc>
        <w:tc>
          <w:tcPr>
            <w:tcW w:w="794" w:type="dxa"/>
          </w:tcPr>
          <w:p w14:paraId="38A384D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1 655</w:t>
            </w:r>
          </w:p>
        </w:tc>
        <w:tc>
          <w:tcPr>
            <w:tcW w:w="794" w:type="dxa"/>
          </w:tcPr>
          <w:p w14:paraId="742C0CF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1 675</w:t>
            </w:r>
          </w:p>
        </w:tc>
        <w:tc>
          <w:tcPr>
            <w:tcW w:w="794" w:type="dxa"/>
          </w:tcPr>
          <w:p w14:paraId="58FB1A6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1 768</w:t>
            </w:r>
          </w:p>
        </w:tc>
      </w:tr>
      <w:tr w:rsidR="008D6F13" w14:paraId="5560D7E5" w14:textId="77777777" w:rsidTr="0031078F">
        <w:tc>
          <w:tcPr>
            <w:cnfStyle w:val="001000000000" w:firstRow="0" w:lastRow="0" w:firstColumn="1" w:lastColumn="0" w:oddVBand="0" w:evenVBand="0" w:oddHBand="0" w:evenHBand="0" w:firstRowFirstColumn="0" w:firstRowLastColumn="0" w:lastRowFirstColumn="0" w:lastRowLastColumn="0"/>
            <w:tcW w:w="3794" w:type="dxa"/>
          </w:tcPr>
          <w:p w14:paraId="7429DC62" w14:textId="77777777" w:rsidR="008D6F13" w:rsidRDefault="008D6F13" w:rsidP="0031078F">
            <w:r>
              <w:t>Dividends paid</w:t>
            </w:r>
          </w:p>
        </w:tc>
        <w:tc>
          <w:tcPr>
            <w:tcW w:w="740" w:type="dxa"/>
          </w:tcPr>
          <w:p w14:paraId="04F89BF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(72)</w:t>
            </w:r>
          </w:p>
        </w:tc>
        <w:tc>
          <w:tcPr>
            <w:tcW w:w="794" w:type="dxa"/>
          </w:tcPr>
          <w:p w14:paraId="5083BF5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(105)</w:t>
            </w:r>
          </w:p>
        </w:tc>
        <w:tc>
          <w:tcPr>
            <w:tcW w:w="794" w:type="dxa"/>
          </w:tcPr>
          <w:p w14:paraId="694FAB4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(73)</w:t>
            </w:r>
          </w:p>
        </w:tc>
        <w:tc>
          <w:tcPr>
            <w:tcW w:w="794" w:type="dxa"/>
          </w:tcPr>
          <w:p w14:paraId="306A40E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(132)</w:t>
            </w:r>
          </w:p>
        </w:tc>
        <w:tc>
          <w:tcPr>
            <w:tcW w:w="794" w:type="dxa"/>
          </w:tcPr>
          <w:p w14:paraId="774962D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(165)</w:t>
            </w:r>
          </w:p>
        </w:tc>
      </w:tr>
      <w:tr w:rsidR="008D6F13" w14:paraId="711A6A3B" w14:textId="77777777" w:rsidTr="0031078F">
        <w:tc>
          <w:tcPr>
            <w:cnfStyle w:val="001000000000" w:firstRow="0" w:lastRow="0" w:firstColumn="1" w:lastColumn="0" w:oddVBand="0" w:evenVBand="0" w:oddHBand="0" w:evenHBand="0" w:firstRowFirstColumn="0" w:firstRowLastColumn="0" w:lastRowFirstColumn="0" w:lastRowLastColumn="0"/>
            <w:tcW w:w="3794" w:type="dxa"/>
            <w:tcBorders>
              <w:bottom w:val="single" w:sz="6" w:space="0" w:color="auto"/>
            </w:tcBorders>
          </w:tcPr>
          <w:p w14:paraId="7F4762A6" w14:textId="77777777" w:rsidR="008D6F13" w:rsidRDefault="008D6F13" w:rsidP="0031078F">
            <w:r>
              <w:t>Net cash flows from investments in non</w:t>
            </w:r>
            <w:r>
              <w:noBreakHyphen/>
              <w:t>financial assets</w:t>
            </w:r>
          </w:p>
        </w:tc>
        <w:tc>
          <w:tcPr>
            <w:tcW w:w="740" w:type="dxa"/>
            <w:tcBorders>
              <w:bottom w:val="single" w:sz="6" w:space="0" w:color="auto"/>
            </w:tcBorders>
          </w:tcPr>
          <w:p w14:paraId="70A0812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(3 604)</w:t>
            </w:r>
          </w:p>
        </w:tc>
        <w:tc>
          <w:tcPr>
            <w:tcW w:w="794" w:type="dxa"/>
            <w:tcBorders>
              <w:bottom w:val="single" w:sz="6" w:space="0" w:color="auto"/>
            </w:tcBorders>
          </w:tcPr>
          <w:p w14:paraId="5888736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(4 847)</w:t>
            </w:r>
          </w:p>
        </w:tc>
        <w:tc>
          <w:tcPr>
            <w:tcW w:w="794" w:type="dxa"/>
            <w:tcBorders>
              <w:bottom w:val="single" w:sz="6" w:space="0" w:color="auto"/>
            </w:tcBorders>
          </w:tcPr>
          <w:p w14:paraId="05BF874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(4 121)</w:t>
            </w:r>
          </w:p>
        </w:tc>
        <w:tc>
          <w:tcPr>
            <w:tcW w:w="794" w:type="dxa"/>
            <w:tcBorders>
              <w:bottom w:val="single" w:sz="6" w:space="0" w:color="auto"/>
            </w:tcBorders>
          </w:tcPr>
          <w:p w14:paraId="1FB5F20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(4 564)</w:t>
            </w:r>
          </w:p>
        </w:tc>
        <w:tc>
          <w:tcPr>
            <w:tcW w:w="794" w:type="dxa"/>
            <w:tcBorders>
              <w:bottom w:val="single" w:sz="6" w:space="0" w:color="auto"/>
            </w:tcBorders>
          </w:tcPr>
          <w:p w14:paraId="2213EA9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(4 846)</w:t>
            </w:r>
          </w:p>
        </w:tc>
      </w:tr>
      <w:tr w:rsidR="008D6F13" w14:paraId="290DB97B" w14:textId="77777777" w:rsidTr="0031078F">
        <w:tc>
          <w:tcPr>
            <w:cnfStyle w:val="001000000000" w:firstRow="0" w:lastRow="0" w:firstColumn="1" w:lastColumn="0" w:oddVBand="0" w:evenVBand="0" w:oddHBand="0" w:evenHBand="0" w:firstRowFirstColumn="0" w:firstRowLastColumn="0" w:lastRowFirstColumn="0" w:lastRowLastColumn="0"/>
            <w:tcW w:w="3794" w:type="dxa"/>
          </w:tcPr>
          <w:p w14:paraId="1D6A440F" w14:textId="77777777" w:rsidR="008D6F13" w:rsidRDefault="008D6F13" w:rsidP="0031078F">
            <w:r>
              <w:rPr>
                <w:b/>
              </w:rPr>
              <w:t>Cash surplus/(deficit)</w:t>
            </w:r>
          </w:p>
        </w:tc>
        <w:tc>
          <w:tcPr>
            <w:tcW w:w="740" w:type="dxa"/>
          </w:tcPr>
          <w:p w14:paraId="10C1B93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(2 379)</w:t>
            </w:r>
          </w:p>
        </w:tc>
        <w:tc>
          <w:tcPr>
            <w:tcW w:w="794" w:type="dxa"/>
          </w:tcPr>
          <w:p w14:paraId="72EB043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(4 250)</w:t>
            </w:r>
          </w:p>
        </w:tc>
        <w:tc>
          <w:tcPr>
            <w:tcW w:w="794" w:type="dxa"/>
          </w:tcPr>
          <w:p w14:paraId="3D0D834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(2 540)</w:t>
            </w:r>
          </w:p>
        </w:tc>
        <w:tc>
          <w:tcPr>
            <w:tcW w:w="794" w:type="dxa"/>
          </w:tcPr>
          <w:p w14:paraId="4A7217C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(3 020)</w:t>
            </w:r>
          </w:p>
        </w:tc>
        <w:tc>
          <w:tcPr>
            <w:tcW w:w="794" w:type="dxa"/>
          </w:tcPr>
          <w:p w14:paraId="16071718" w14:textId="3AC79474"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(3 242)</w:t>
            </w:r>
          </w:p>
        </w:tc>
      </w:tr>
    </w:tbl>
    <w:p w14:paraId="0E915B49" w14:textId="77777777" w:rsidR="008D6F13" w:rsidRPr="00921F69" w:rsidRDefault="008D6F13" w:rsidP="008D6F13">
      <w:pPr>
        <w:pStyle w:val="Note"/>
        <w:ind w:left="0" w:firstLine="0"/>
        <w:rPr>
          <w:rFonts w:cstheme="majorHAnsi"/>
        </w:rPr>
      </w:pPr>
      <w:r w:rsidRPr="00921F69">
        <w:rPr>
          <w:rFonts w:cstheme="majorHAnsi"/>
        </w:rPr>
        <w:t>Notes:</w:t>
      </w:r>
    </w:p>
    <w:p w14:paraId="7967AA73" w14:textId="77777777" w:rsidR="008D6F13" w:rsidRPr="00921F69" w:rsidRDefault="008D6F13" w:rsidP="008D6F13">
      <w:pPr>
        <w:pStyle w:val="Note"/>
        <w:rPr>
          <w:rFonts w:cstheme="majorHAnsi"/>
        </w:rPr>
      </w:pPr>
      <w:r w:rsidRPr="00921F69">
        <w:rPr>
          <w:rFonts w:cstheme="majorHAnsi"/>
        </w:rPr>
        <w:t>(a)</w:t>
      </w:r>
      <w:r w:rsidRPr="00921F69">
        <w:rPr>
          <w:rFonts w:cstheme="majorHAnsi"/>
        </w:rPr>
        <w:tab/>
        <w:t>Inclusive of goods and services tax.</w:t>
      </w:r>
    </w:p>
    <w:p w14:paraId="1903010E" w14:textId="77777777" w:rsidR="008D6F13" w:rsidRPr="00921F69" w:rsidRDefault="008D6F13" w:rsidP="008D6F13">
      <w:pPr>
        <w:pStyle w:val="Note"/>
        <w:rPr>
          <w:rFonts w:cstheme="majorHAnsi"/>
        </w:rPr>
      </w:pPr>
      <w:r w:rsidRPr="00921F69">
        <w:rPr>
          <w:rFonts w:cstheme="majorHAnsi"/>
        </w:rPr>
        <w:t>(b)</w:t>
      </w:r>
      <w:r w:rsidRPr="00921F69">
        <w:rPr>
          <w:rFonts w:cstheme="majorHAnsi"/>
        </w:rPr>
        <w:tab/>
      </w:r>
      <w:r w:rsidRPr="006E5ED7">
        <w:rPr>
          <w:rFonts w:cstheme="majorHAnsi"/>
          <w:i w:val="0"/>
          <w:iCs/>
        </w:rPr>
        <w:t>2021-22 Budget</w:t>
      </w:r>
      <w:r w:rsidRPr="00921F69">
        <w:rPr>
          <w:rFonts w:cstheme="majorHAnsi"/>
        </w:rPr>
        <w:t xml:space="preserve"> figures have been restated to represent actual opening balances </w:t>
      </w:r>
      <w:proofErr w:type="gramStart"/>
      <w:r w:rsidRPr="00921F69">
        <w:rPr>
          <w:rFonts w:cstheme="majorHAnsi"/>
        </w:rPr>
        <w:t>at</w:t>
      </w:r>
      <w:proofErr w:type="gramEnd"/>
      <w:r w:rsidRPr="00921F69">
        <w:rPr>
          <w:rFonts w:cstheme="majorHAnsi"/>
        </w:rPr>
        <w:t xml:space="preserve"> 1 July 20</w:t>
      </w:r>
      <w:r>
        <w:rPr>
          <w:rFonts w:cstheme="majorHAnsi"/>
        </w:rPr>
        <w:t>21</w:t>
      </w:r>
      <w:r w:rsidRPr="00921F69">
        <w:rPr>
          <w:rFonts w:cstheme="majorHAnsi"/>
        </w:rPr>
        <w:t>.</w:t>
      </w:r>
    </w:p>
    <w:p w14:paraId="234C328E" w14:textId="77777777" w:rsidR="008D6F13" w:rsidRPr="009E38F8" w:rsidRDefault="008D6F13" w:rsidP="008D6F13">
      <w:pPr>
        <w:pStyle w:val="Note"/>
        <w:rPr>
          <w:iCs/>
        </w:rPr>
      </w:pPr>
      <w:r w:rsidRPr="009E38F8">
        <w:rPr>
          <w:iCs/>
        </w:rPr>
        <w:t>(</w:t>
      </w:r>
      <w:r>
        <w:rPr>
          <w:iCs/>
        </w:rPr>
        <w:t>c</w:t>
      </w:r>
      <w:r w:rsidRPr="009E38F8">
        <w:rPr>
          <w:iCs/>
        </w:rPr>
        <w:t>)</w:t>
      </w:r>
      <w:r w:rsidRPr="009E38F8">
        <w:rPr>
          <w:iCs/>
        </w:rPr>
        <w:tab/>
      </w:r>
      <w:r>
        <w:t>Cash and cash equivalents at the end of the reporting period does not equal cash and deposits on the balance sheet. This is due to overdrafts being included in the cash flow statement balances.</w:t>
      </w:r>
    </w:p>
    <w:p w14:paraId="3D3C3B77" w14:textId="77777777" w:rsidR="008D6F13" w:rsidRDefault="008D6F13" w:rsidP="008D6F13">
      <w:pPr>
        <w:keepLines w:val="0"/>
        <w:rPr>
          <w:rFonts w:asciiTheme="majorHAnsi" w:hAnsiTheme="majorHAnsi" w:cstheme="majorHAnsi"/>
          <w:b/>
          <w:sz w:val="20"/>
        </w:rPr>
      </w:pPr>
      <w:r>
        <w:rPr>
          <w:rFonts w:cstheme="majorHAnsi"/>
        </w:rPr>
        <w:br w:type="page"/>
      </w:r>
    </w:p>
    <w:p w14:paraId="4AC221D1" w14:textId="5D9CA8AA" w:rsidR="008D6F13" w:rsidRPr="002F6C0D" w:rsidRDefault="008D6F13" w:rsidP="008D6F13">
      <w:pPr>
        <w:pStyle w:val="TableHeading"/>
        <w:ind w:left="1020" w:hanging="1020"/>
        <w:rPr>
          <w:rFonts w:cstheme="majorHAnsi"/>
        </w:rPr>
      </w:pPr>
      <w:r w:rsidRPr="00921F69">
        <w:rPr>
          <w:rFonts w:cstheme="majorHAnsi"/>
        </w:rPr>
        <w:lastRenderedPageBreak/>
        <w:t>Table 5.4</w:t>
      </w:r>
      <w:r w:rsidR="007F1FE4">
        <w:rPr>
          <w:rFonts w:cstheme="majorHAnsi"/>
        </w:rPr>
        <w:t>:</w:t>
      </w:r>
      <w:r w:rsidRPr="00921F69">
        <w:rPr>
          <w:rFonts w:cstheme="majorHAnsi"/>
        </w:rPr>
        <w:tab/>
        <w:t xml:space="preserve">Public non-financial corporations sector statement of changes in equity </w:t>
      </w:r>
      <w:r w:rsidRPr="00921F69">
        <w:rPr>
          <w:rFonts w:cstheme="majorHAnsi"/>
        </w:rPr>
        <w:br/>
        <w:t>for the financial year ended 30 June</w:t>
      </w:r>
      <w:r w:rsidRPr="00921F69">
        <w:rPr>
          <w:rFonts w:cstheme="majorHAnsi"/>
        </w:rPr>
        <w:tab/>
        <w:t>($ million)</w:t>
      </w:r>
    </w:p>
    <w:tbl>
      <w:tblPr>
        <w:tblStyle w:val="DTFTableNumeric"/>
        <w:tblW w:w="7710" w:type="dxa"/>
        <w:tblLayout w:type="fixed"/>
        <w:tblLook w:val="06A0" w:firstRow="1" w:lastRow="0" w:firstColumn="1" w:lastColumn="0" w:noHBand="1" w:noVBand="1"/>
      </w:tblPr>
      <w:tblGrid>
        <w:gridCol w:w="2856"/>
        <w:gridCol w:w="263"/>
        <w:gridCol w:w="815"/>
        <w:gridCol w:w="1008"/>
        <w:gridCol w:w="1315"/>
        <w:gridCol w:w="742"/>
        <w:gridCol w:w="711"/>
      </w:tblGrid>
      <w:tr w:rsidR="008D6F13" w14:paraId="1FE5BFA3" w14:textId="77777777" w:rsidTr="007A2C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56" w:type="dxa"/>
          </w:tcPr>
          <w:p w14:paraId="149823BF" w14:textId="4D9F5B24" w:rsidR="008D6F13" w:rsidRDefault="008D6F13" w:rsidP="0031078F">
            <w:pPr>
              <w:spacing w:after="0"/>
            </w:pPr>
          </w:p>
        </w:tc>
        <w:tc>
          <w:tcPr>
            <w:tcW w:w="1078" w:type="dxa"/>
            <w:gridSpan w:val="2"/>
          </w:tcPr>
          <w:p w14:paraId="2BA0218B" w14:textId="77777777" w:rsidR="008D6F13" w:rsidRDefault="008D6F13" w:rsidP="0031078F">
            <w:pPr>
              <w:spacing w:after="0"/>
              <w:cnfStyle w:val="100000000000" w:firstRow="1" w:lastRow="0" w:firstColumn="0" w:lastColumn="0" w:oddVBand="0" w:evenVBand="0" w:oddHBand="0" w:evenHBand="0" w:firstRowFirstColumn="0" w:firstRowLastColumn="0" w:lastRowFirstColumn="0" w:lastRowLastColumn="0"/>
              <w:rPr>
                <w:i w:val="0"/>
                <w:sz w:val="16"/>
              </w:rPr>
            </w:pPr>
            <w:r>
              <w:rPr>
                <w:sz w:val="16"/>
              </w:rPr>
              <w:t>Accumulated surplus/</w:t>
            </w:r>
          </w:p>
          <w:p w14:paraId="39338C17" w14:textId="77777777" w:rsidR="008D6F13" w:rsidRDefault="008D6F13" w:rsidP="0031078F">
            <w:pPr>
              <w:spacing w:after="0"/>
              <w:cnfStyle w:val="100000000000" w:firstRow="1" w:lastRow="0" w:firstColumn="0" w:lastColumn="0" w:oddVBand="0" w:evenVBand="0" w:oddHBand="0" w:evenHBand="0" w:firstRowFirstColumn="0" w:firstRowLastColumn="0" w:lastRowFirstColumn="0" w:lastRowLastColumn="0"/>
            </w:pPr>
            <w:r>
              <w:rPr>
                <w:sz w:val="16"/>
              </w:rPr>
              <w:t>(deficit)</w:t>
            </w:r>
          </w:p>
        </w:tc>
        <w:tc>
          <w:tcPr>
            <w:tcW w:w="1008" w:type="dxa"/>
          </w:tcPr>
          <w:p w14:paraId="099229D9" w14:textId="77777777" w:rsidR="008D6F13" w:rsidRDefault="008D6F13" w:rsidP="0031078F">
            <w:pPr>
              <w:spacing w:after="0"/>
              <w:cnfStyle w:val="100000000000" w:firstRow="1" w:lastRow="0" w:firstColumn="0" w:lastColumn="0" w:oddVBand="0" w:evenVBand="0" w:oddHBand="0" w:evenHBand="0" w:firstRowFirstColumn="0" w:firstRowLastColumn="0" w:lastRowFirstColumn="0" w:lastRowLastColumn="0"/>
            </w:pPr>
            <w:r>
              <w:rPr>
                <w:sz w:val="16"/>
              </w:rPr>
              <w:t>Contributions by owners</w:t>
            </w:r>
          </w:p>
        </w:tc>
        <w:tc>
          <w:tcPr>
            <w:tcW w:w="1315" w:type="dxa"/>
          </w:tcPr>
          <w:p w14:paraId="475C14FE" w14:textId="77777777" w:rsidR="008D6F13" w:rsidRDefault="008D6F13" w:rsidP="0031078F">
            <w:pPr>
              <w:spacing w:after="0"/>
              <w:cnfStyle w:val="100000000000" w:firstRow="1" w:lastRow="0" w:firstColumn="0" w:lastColumn="0" w:oddVBand="0" w:evenVBand="0" w:oddHBand="0" w:evenHBand="0" w:firstRowFirstColumn="0" w:firstRowLastColumn="0" w:lastRowFirstColumn="0" w:lastRowLastColumn="0"/>
            </w:pPr>
            <w:r>
              <w:rPr>
                <w:sz w:val="16"/>
              </w:rPr>
              <w:t>Non</w:t>
            </w:r>
            <w:r>
              <w:rPr>
                <w:sz w:val="16"/>
              </w:rPr>
              <w:noBreakHyphen/>
              <w:t>financial assets revaluation surplus</w:t>
            </w:r>
          </w:p>
        </w:tc>
        <w:tc>
          <w:tcPr>
            <w:tcW w:w="742" w:type="dxa"/>
          </w:tcPr>
          <w:p w14:paraId="329E1FBA" w14:textId="77777777" w:rsidR="008D6F13" w:rsidRDefault="008D6F13" w:rsidP="0031078F">
            <w:pPr>
              <w:spacing w:after="0"/>
              <w:cnfStyle w:val="100000000000" w:firstRow="1" w:lastRow="0" w:firstColumn="0" w:lastColumn="0" w:oddVBand="0" w:evenVBand="0" w:oddHBand="0" w:evenHBand="0" w:firstRowFirstColumn="0" w:firstRowLastColumn="0" w:lastRowFirstColumn="0" w:lastRowLastColumn="0"/>
            </w:pPr>
            <w:r>
              <w:rPr>
                <w:sz w:val="16"/>
              </w:rPr>
              <w:t>Other reserves</w:t>
            </w:r>
          </w:p>
        </w:tc>
        <w:tc>
          <w:tcPr>
            <w:tcW w:w="711" w:type="dxa"/>
          </w:tcPr>
          <w:p w14:paraId="7733F909" w14:textId="77777777" w:rsidR="008D6F13" w:rsidRDefault="008D6F13" w:rsidP="0031078F">
            <w:pPr>
              <w:spacing w:after="0"/>
              <w:cnfStyle w:val="100000000000" w:firstRow="1" w:lastRow="0" w:firstColumn="0" w:lastColumn="0" w:oddVBand="0" w:evenVBand="0" w:oddHBand="0" w:evenHBand="0" w:firstRowFirstColumn="0" w:firstRowLastColumn="0" w:lastRowFirstColumn="0" w:lastRowLastColumn="0"/>
            </w:pPr>
            <w:r>
              <w:rPr>
                <w:sz w:val="16"/>
              </w:rPr>
              <w:t>Total</w:t>
            </w:r>
          </w:p>
        </w:tc>
      </w:tr>
      <w:tr w:rsidR="008D6F13" w14:paraId="6CF675B6"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Pr>
          <w:p w14:paraId="4BF5A34F" w14:textId="77777777" w:rsidR="008D6F13" w:rsidRDefault="008D6F13" w:rsidP="0031078F">
            <w:pPr>
              <w:spacing w:after="0"/>
            </w:pPr>
            <w:r>
              <w:rPr>
                <w:b/>
                <w:sz w:val="16"/>
              </w:rPr>
              <w:t>2021</w:t>
            </w:r>
            <w:r>
              <w:rPr>
                <w:b/>
                <w:sz w:val="16"/>
              </w:rPr>
              <w:noBreakHyphen/>
              <w:t>22 budget</w:t>
            </w:r>
            <w:r>
              <w:rPr>
                <w:b/>
                <w:sz w:val="16"/>
                <w:vertAlign w:val="superscript"/>
              </w:rPr>
              <w:t xml:space="preserve"> (a)</w:t>
            </w:r>
          </w:p>
        </w:tc>
        <w:tc>
          <w:tcPr>
            <w:tcW w:w="815" w:type="dxa"/>
          </w:tcPr>
          <w:p w14:paraId="2986F86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1008" w:type="dxa"/>
          </w:tcPr>
          <w:p w14:paraId="39F42DB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1315" w:type="dxa"/>
          </w:tcPr>
          <w:p w14:paraId="678A4B9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42" w:type="dxa"/>
          </w:tcPr>
          <w:p w14:paraId="3F840EE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11" w:type="dxa"/>
          </w:tcPr>
          <w:p w14:paraId="483D266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r>
      <w:tr w:rsidR="008D6F13" w14:paraId="14710D51"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Pr>
          <w:p w14:paraId="460EA77A" w14:textId="77777777" w:rsidR="008D6F13" w:rsidRDefault="008D6F13" w:rsidP="0031078F">
            <w:pPr>
              <w:spacing w:after="0"/>
            </w:pPr>
            <w:r>
              <w:rPr>
                <w:sz w:val="16"/>
              </w:rPr>
              <w:t xml:space="preserve">Balance </w:t>
            </w:r>
            <w:proofErr w:type="gramStart"/>
            <w:r>
              <w:rPr>
                <w:sz w:val="16"/>
              </w:rPr>
              <w:t>at</w:t>
            </w:r>
            <w:proofErr w:type="gramEnd"/>
            <w:r>
              <w:rPr>
                <w:sz w:val="16"/>
              </w:rPr>
              <w:t xml:space="preserve"> 1 July 2021</w:t>
            </w:r>
          </w:p>
        </w:tc>
        <w:tc>
          <w:tcPr>
            <w:tcW w:w="815" w:type="dxa"/>
          </w:tcPr>
          <w:p w14:paraId="3B3BBD9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(24 192)</w:t>
            </w:r>
          </w:p>
        </w:tc>
        <w:tc>
          <w:tcPr>
            <w:tcW w:w="1008" w:type="dxa"/>
          </w:tcPr>
          <w:p w14:paraId="7DE48A7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71 602</w:t>
            </w:r>
          </w:p>
        </w:tc>
        <w:tc>
          <w:tcPr>
            <w:tcW w:w="1315" w:type="dxa"/>
          </w:tcPr>
          <w:p w14:paraId="43A0DDC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24 939</w:t>
            </w:r>
          </w:p>
        </w:tc>
        <w:tc>
          <w:tcPr>
            <w:tcW w:w="742" w:type="dxa"/>
          </w:tcPr>
          <w:p w14:paraId="0D6A1B4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604</w:t>
            </w:r>
          </w:p>
        </w:tc>
        <w:tc>
          <w:tcPr>
            <w:tcW w:w="711" w:type="dxa"/>
          </w:tcPr>
          <w:p w14:paraId="3AA62F4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72 953</w:t>
            </w:r>
          </w:p>
        </w:tc>
      </w:tr>
      <w:tr w:rsidR="008D6F13" w14:paraId="5AF872C7"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Pr>
          <w:p w14:paraId="50189153" w14:textId="77777777" w:rsidR="008D6F13" w:rsidRDefault="008D6F13" w:rsidP="0031078F">
            <w:pPr>
              <w:spacing w:after="0"/>
            </w:pPr>
            <w:r>
              <w:rPr>
                <w:sz w:val="16"/>
              </w:rPr>
              <w:t>Net result for the year</w:t>
            </w:r>
          </w:p>
        </w:tc>
        <w:tc>
          <w:tcPr>
            <w:tcW w:w="815" w:type="dxa"/>
          </w:tcPr>
          <w:p w14:paraId="598C002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(6 482)</w:t>
            </w:r>
          </w:p>
        </w:tc>
        <w:tc>
          <w:tcPr>
            <w:tcW w:w="1008" w:type="dxa"/>
          </w:tcPr>
          <w:p w14:paraId="6AEDF02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1315" w:type="dxa"/>
          </w:tcPr>
          <w:p w14:paraId="452376F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42" w:type="dxa"/>
          </w:tcPr>
          <w:p w14:paraId="7C97B75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11" w:type="dxa"/>
          </w:tcPr>
          <w:p w14:paraId="6362A8F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(6 482)</w:t>
            </w:r>
          </w:p>
        </w:tc>
      </w:tr>
      <w:tr w:rsidR="008D6F13" w14:paraId="18643A31"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Pr>
          <w:p w14:paraId="085829D8" w14:textId="77777777" w:rsidR="008D6F13" w:rsidRDefault="008D6F13" w:rsidP="0031078F">
            <w:pPr>
              <w:spacing w:after="0"/>
            </w:pPr>
            <w:r>
              <w:rPr>
                <w:sz w:val="16"/>
              </w:rPr>
              <w:t>Other comprehensive income for the year</w:t>
            </w:r>
          </w:p>
        </w:tc>
        <w:tc>
          <w:tcPr>
            <w:tcW w:w="815" w:type="dxa"/>
          </w:tcPr>
          <w:p w14:paraId="3949E60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(71)</w:t>
            </w:r>
          </w:p>
        </w:tc>
        <w:tc>
          <w:tcPr>
            <w:tcW w:w="1008" w:type="dxa"/>
          </w:tcPr>
          <w:p w14:paraId="6309D0D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315" w:type="dxa"/>
          </w:tcPr>
          <w:p w14:paraId="0A9C9F9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9</w:t>
            </w:r>
          </w:p>
        </w:tc>
        <w:tc>
          <w:tcPr>
            <w:tcW w:w="742" w:type="dxa"/>
          </w:tcPr>
          <w:p w14:paraId="35A3508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51</w:t>
            </w:r>
          </w:p>
        </w:tc>
        <w:tc>
          <w:tcPr>
            <w:tcW w:w="711" w:type="dxa"/>
          </w:tcPr>
          <w:p w14:paraId="555426E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(10)</w:t>
            </w:r>
          </w:p>
        </w:tc>
      </w:tr>
      <w:tr w:rsidR="008D6F13" w14:paraId="021C9FEC"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Pr>
          <w:p w14:paraId="581922F8" w14:textId="77777777" w:rsidR="008D6F13" w:rsidRDefault="008D6F13" w:rsidP="0031078F">
            <w:pPr>
              <w:spacing w:after="0"/>
            </w:pPr>
            <w:r>
              <w:rPr>
                <w:sz w:val="16"/>
              </w:rPr>
              <w:t>Dividends paid</w:t>
            </w:r>
          </w:p>
        </w:tc>
        <w:tc>
          <w:tcPr>
            <w:tcW w:w="815" w:type="dxa"/>
          </w:tcPr>
          <w:p w14:paraId="575F74A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(72)</w:t>
            </w:r>
          </w:p>
        </w:tc>
        <w:tc>
          <w:tcPr>
            <w:tcW w:w="1008" w:type="dxa"/>
          </w:tcPr>
          <w:p w14:paraId="040A645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1315" w:type="dxa"/>
          </w:tcPr>
          <w:p w14:paraId="1DB7156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42" w:type="dxa"/>
          </w:tcPr>
          <w:p w14:paraId="13BCB6B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11" w:type="dxa"/>
          </w:tcPr>
          <w:p w14:paraId="49BA10A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(72)</w:t>
            </w:r>
          </w:p>
        </w:tc>
      </w:tr>
      <w:tr w:rsidR="008D6F13" w14:paraId="04F6A641"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Borders>
              <w:bottom w:val="single" w:sz="6" w:space="0" w:color="auto"/>
            </w:tcBorders>
          </w:tcPr>
          <w:p w14:paraId="1F2FD363" w14:textId="77777777" w:rsidR="008D6F13" w:rsidRDefault="008D6F13" w:rsidP="0031078F">
            <w:pPr>
              <w:spacing w:after="0"/>
            </w:pPr>
            <w:r>
              <w:rPr>
                <w:sz w:val="16"/>
              </w:rPr>
              <w:t>Transactions with owners in their capacity as owners</w:t>
            </w:r>
          </w:p>
        </w:tc>
        <w:tc>
          <w:tcPr>
            <w:tcW w:w="815" w:type="dxa"/>
            <w:tcBorders>
              <w:bottom w:val="single" w:sz="6" w:space="0" w:color="auto"/>
            </w:tcBorders>
          </w:tcPr>
          <w:p w14:paraId="08CD4EB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1008" w:type="dxa"/>
            <w:tcBorders>
              <w:bottom w:val="single" w:sz="6" w:space="0" w:color="auto"/>
            </w:tcBorders>
          </w:tcPr>
          <w:p w14:paraId="4751937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10 025</w:t>
            </w:r>
          </w:p>
        </w:tc>
        <w:tc>
          <w:tcPr>
            <w:tcW w:w="1315" w:type="dxa"/>
            <w:tcBorders>
              <w:bottom w:val="single" w:sz="6" w:space="0" w:color="auto"/>
            </w:tcBorders>
          </w:tcPr>
          <w:p w14:paraId="1F9396B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42" w:type="dxa"/>
            <w:tcBorders>
              <w:bottom w:val="single" w:sz="6" w:space="0" w:color="auto"/>
            </w:tcBorders>
          </w:tcPr>
          <w:p w14:paraId="7C0A042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11" w:type="dxa"/>
            <w:tcBorders>
              <w:bottom w:val="single" w:sz="6" w:space="0" w:color="auto"/>
            </w:tcBorders>
          </w:tcPr>
          <w:p w14:paraId="274E614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10 025</w:t>
            </w:r>
          </w:p>
        </w:tc>
      </w:tr>
      <w:tr w:rsidR="008D6F13" w14:paraId="681DBF9C"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Borders>
              <w:top w:val="single" w:sz="6" w:space="0" w:color="auto"/>
              <w:bottom w:val="single" w:sz="6" w:space="0" w:color="auto"/>
            </w:tcBorders>
          </w:tcPr>
          <w:p w14:paraId="0554CDB4" w14:textId="77777777" w:rsidR="008D6F13" w:rsidRDefault="008D6F13" w:rsidP="0031078F">
            <w:pPr>
              <w:spacing w:after="0"/>
            </w:pPr>
            <w:r>
              <w:rPr>
                <w:b/>
                <w:sz w:val="16"/>
              </w:rPr>
              <w:t xml:space="preserve">Total equity as </w:t>
            </w:r>
            <w:proofErr w:type="gramStart"/>
            <w:r>
              <w:rPr>
                <w:b/>
                <w:sz w:val="16"/>
              </w:rPr>
              <w:t>at</w:t>
            </w:r>
            <w:proofErr w:type="gramEnd"/>
            <w:r>
              <w:rPr>
                <w:b/>
                <w:sz w:val="16"/>
              </w:rPr>
              <w:t xml:space="preserve"> 30 June 2022</w:t>
            </w:r>
          </w:p>
        </w:tc>
        <w:tc>
          <w:tcPr>
            <w:tcW w:w="815" w:type="dxa"/>
            <w:tcBorders>
              <w:top w:val="single" w:sz="6" w:space="0" w:color="auto"/>
              <w:bottom w:val="single" w:sz="6" w:space="0" w:color="auto"/>
            </w:tcBorders>
          </w:tcPr>
          <w:p w14:paraId="21642DD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sz w:val="16"/>
              </w:rPr>
              <w:t>(30 817)</w:t>
            </w:r>
          </w:p>
        </w:tc>
        <w:tc>
          <w:tcPr>
            <w:tcW w:w="1008" w:type="dxa"/>
            <w:tcBorders>
              <w:top w:val="single" w:sz="6" w:space="0" w:color="auto"/>
              <w:bottom w:val="single" w:sz="6" w:space="0" w:color="auto"/>
            </w:tcBorders>
          </w:tcPr>
          <w:p w14:paraId="1B3E399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sz w:val="16"/>
              </w:rPr>
              <w:t>81 627</w:t>
            </w:r>
          </w:p>
        </w:tc>
        <w:tc>
          <w:tcPr>
            <w:tcW w:w="1315" w:type="dxa"/>
            <w:tcBorders>
              <w:top w:val="single" w:sz="6" w:space="0" w:color="auto"/>
              <w:bottom w:val="single" w:sz="6" w:space="0" w:color="auto"/>
            </w:tcBorders>
          </w:tcPr>
          <w:p w14:paraId="3D35069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sz w:val="16"/>
              </w:rPr>
              <w:t>24 948</w:t>
            </w:r>
          </w:p>
        </w:tc>
        <w:tc>
          <w:tcPr>
            <w:tcW w:w="742" w:type="dxa"/>
            <w:tcBorders>
              <w:top w:val="single" w:sz="6" w:space="0" w:color="auto"/>
              <w:bottom w:val="single" w:sz="6" w:space="0" w:color="auto"/>
            </w:tcBorders>
          </w:tcPr>
          <w:p w14:paraId="364A9E6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sz w:val="16"/>
              </w:rPr>
              <w:t>656</w:t>
            </w:r>
          </w:p>
        </w:tc>
        <w:tc>
          <w:tcPr>
            <w:tcW w:w="711" w:type="dxa"/>
            <w:tcBorders>
              <w:top w:val="single" w:sz="6" w:space="0" w:color="auto"/>
              <w:bottom w:val="single" w:sz="6" w:space="0" w:color="auto"/>
            </w:tcBorders>
          </w:tcPr>
          <w:p w14:paraId="67ACB80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sz w:val="16"/>
              </w:rPr>
              <w:t>76 414</w:t>
            </w:r>
          </w:p>
        </w:tc>
      </w:tr>
      <w:tr w:rsidR="008D6F13" w14:paraId="3B41F676"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Borders>
              <w:top w:val="single" w:sz="6" w:space="0" w:color="auto"/>
            </w:tcBorders>
          </w:tcPr>
          <w:p w14:paraId="584CAB4C" w14:textId="77777777" w:rsidR="008D6F13" w:rsidRDefault="008D6F13" w:rsidP="0031078F">
            <w:pPr>
              <w:spacing w:after="0"/>
            </w:pPr>
            <w:r>
              <w:rPr>
                <w:b/>
                <w:sz w:val="16"/>
              </w:rPr>
              <w:t>2021</w:t>
            </w:r>
            <w:r>
              <w:rPr>
                <w:b/>
                <w:sz w:val="16"/>
              </w:rPr>
              <w:noBreakHyphen/>
              <w:t>22 revised</w:t>
            </w:r>
          </w:p>
        </w:tc>
        <w:tc>
          <w:tcPr>
            <w:tcW w:w="815" w:type="dxa"/>
            <w:tcBorders>
              <w:top w:val="single" w:sz="6" w:space="0" w:color="auto"/>
            </w:tcBorders>
          </w:tcPr>
          <w:p w14:paraId="1054647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1008" w:type="dxa"/>
            <w:tcBorders>
              <w:top w:val="single" w:sz="6" w:space="0" w:color="auto"/>
            </w:tcBorders>
          </w:tcPr>
          <w:p w14:paraId="109F0B9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1315" w:type="dxa"/>
            <w:tcBorders>
              <w:top w:val="single" w:sz="6" w:space="0" w:color="auto"/>
            </w:tcBorders>
          </w:tcPr>
          <w:p w14:paraId="408D4C7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42" w:type="dxa"/>
            <w:tcBorders>
              <w:top w:val="single" w:sz="6" w:space="0" w:color="auto"/>
            </w:tcBorders>
          </w:tcPr>
          <w:p w14:paraId="07BB678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11" w:type="dxa"/>
            <w:tcBorders>
              <w:top w:val="single" w:sz="6" w:space="0" w:color="auto"/>
            </w:tcBorders>
          </w:tcPr>
          <w:p w14:paraId="3B80121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r>
      <w:tr w:rsidR="008D6F13" w14:paraId="734F087D"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Pr>
          <w:p w14:paraId="6C98D000" w14:textId="77777777" w:rsidR="008D6F13" w:rsidRDefault="008D6F13" w:rsidP="0031078F">
            <w:pPr>
              <w:spacing w:after="0"/>
            </w:pPr>
            <w:r>
              <w:rPr>
                <w:sz w:val="16"/>
              </w:rPr>
              <w:t xml:space="preserve">Balance </w:t>
            </w:r>
            <w:proofErr w:type="gramStart"/>
            <w:r>
              <w:rPr>
                <w:sz w:val="16"/>
              </w:rPr>
              <w:t>at</w:t>
            </w:r>
            <w:proofErr w:type="gramEnd"/>
            <w:r>
              <w:rPr>
                <w:sz w:val="16"/>
              </w:rPr>
              <w:t xml:space="preserve"> 1 July 2021</w:t>
            </w:r>
          </w:p>
        </w:tc>
        <w:tc>
          <w:tcPr>
            <w:tcW w:w="815" w:type="dxa"/>
          </w:tcPr>
          <w:p w14:paraId="3D70869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(24 192)</w:t>
            </w:r>
          </w:p>
        </w:tc>
        <w:tc>
          <w:tcPr>
            <w:tcW w:w="1008" w:type="dxa"/>
          </w:tcPr>
          <w:p w14:paraId="20E8FD3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71 602</w:t>
            </w:r>
          </w:p>
        </w:tc>
        <w:tc>
          <w:tcPr>
            <w:tcW w:w="1315" w:type="dxa"/>
          </w:tcPr>
          <w:p w14:paraId="2546179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24 939</w:t>
            </w:r>
          </w:p>
        </w:tc>
        <w:tc>
          <w:tcPr>
            <w:tcW w:w="742" w:type="dxa"/>
          </w:tcPr>
          <w:p w14:paraId="0D02FC8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604</w:t>
            </w:r>
          </w:p>
        </w:tc>
        <w:tc>
          <w:tcPr>
            <w:tcW w:w="711" w:type="dxa"/>
          </w:tcPr>
          <w:p w14:paraId="469F961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72 953</w:t>
            </w:r>
          </w:p>
        </w:tc>
      </w:tr>
      <w:tr w:rsidR="008D6F13" w14:paraId="471504F8"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Pr>
          <w:p w14:paraId="3A058C76" w14:textId="77777777" w:rsidR="008D6F13" w:rsidRDefault="008D6F13" w:rsidP="0031078F">
            <w:pPr>
              <w:spacing w:after="0"/>
            </w:pPr>
            <w:r>
              <w:rPr>
                <w:sz w:val="16"/>
              </w:rPr>
              <w:t>Net result for the year</w:t>
            </w:r>
          </w:p>
        </w:tc>
        <w:tc>
          <w:tcPr>
            <w:tcW w:w="815" w:type="dxa"/>
          </w:tcPr>
          <w:p w14:paraId="01EA57D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(2 936)</w:t>
            </w:r>
          </w:p>
        </w:tc>
        <w:tc>
          <w:tcPr>
            <w:tcW w:w="1008" w:type="dxa"/>
          </w:tcPr>
          <w:p w14:paraId="1637DBA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1315" w:type="dxa"/>
          </w:tcPr>
          <w:p w14:paraId="77F31AC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42" w:type="dxa"/>
          </w:tcPr>
          <w:p w14:paraId="4457CF4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11" w:type="dxa"/>
          </w:tcPr>
          <w:p w14:paraId="77B71E5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(2 936)</w:t>
            </w:r>
          </w:p>
        </w:tc>
      </w:tr>
      <w:tr w:rsidR="008D6F13" w14:paraId="6DBCD541"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Pr>
          <w:p w14:paraId="0C6C6BA6" w14:textId="77777777" w:rsidR="008D6F13" w:rsidRDefault="008D6F13" w:rsidP="0031078F">
            <w:pPr>
              <w:spacing w:after="0"/>
            </w:pPr>
            <w:r>
              <w:rPr>
                <w:sz w:val="16"/>
              </w:rPr>
              <w:t>Other comprehensive income for the year</w:t>
            </w:r>
          </w:p>
        </w:tc>
        <w:tc>
          <w:tcPr>
            <w:tcW w:w="815" w:type="dxa"/>
          </w:tcPr>
          <w:p w14:paraId="366A72B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(64)</w:t>
            </w:r>
          </w:p>
        </w:tc>
        <w:tc>
          <w:tcPr>
            <w:tcW w:w="1008" w:type="dxa"/>
          </w:tcPr>
          <w:p w14:paraId="2CBF547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315" w:type="dxa"/>
          </w:tcPr>
          <w:p w14:paraId="4317EA0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33</w:t>
            </w:r>
          </w:p>
        </w:tc>
        <w:tc>
          <w:tcPr>
            <w:tcW w:w="742" w:type="dxa"/>
          </w:tcPr>
          <w:p w14:paraId="0779694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21</w:t>
            </w:r>
          </w:p>
        </w:tc>
        <w:tc>
          <w:tcPr>
            <w:tcW w:w="711" w:type="dxa"/>
          </w:tcPr>
          <w:p w14:paraId="57C9A49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(10)</w:t>
            </w:r>
          </w:p>
        </w:tc>
      </w:tr>
      <w:tr w:rsidR="008D6F13" w14:paraId="25ACE70E"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Pr>
          <w:p w14:paraId="004DFDA0" w14:textId="77777777" w:rsidR="008D6F13" w:rsidRDefault="008D6F13" w:rsidP="0031078F">
            <w:pPr>
              <w:spacing w:after="0"/>
            </w:pPr>
            <w:r>
              <w:rPr>
                <w:sz w:val="16"/>
              </w:rPr>
              <w:t>Dividends paid</w:t>
            </w:r>
          </w:p>
        </w:tc>
        <w:tc>
          <w:tcPr>
            <w:tcW w:w="815" w:type="dxa"/>
          </w:tcPr>
          <w:p w14:paraId="4B07A2E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(105)</w:t>
            </w:r>
          </w:p>
        </w:tc>
        <w:tc>
          <w:tcPr>
            <w:tcW w:w="1008" w:type="dxa"/>
          </w:tcPr>
          <w:p w14:paraId="7F00CE6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1315" w:type="dxa"/>
          </w:tcPr>
          <w:p w14:paraId="5CFB623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42" w:type="dxa"/>
          </w:tcPr>
          <w:p w14:paraId="32F4C51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11" w:type="dxa"/>
          </w:tcPr>
          <w:p w14:paraId="733A7BD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(105)</w:t>
            </w:r>
          </w:p>
        </w:tc>
      </w:tr>
      <w:tr w:rsidR="008D6F13" w14:paraId="2D01D1C4"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Borders>
              <w:bottom w:val="single" w:sz="6" w:space="0" w:color="auto"/>
            </w:tcBorders>
          </w:tcPr>
          <w:p w14:paraId="7528CDBD" w14:textId="77777777" w:rsidR="008D6F13" w:rsidRDefault="008D6F13" w:rsidP="0031078F">
            <w:pPr>
              <w:spacing w:after="0"/>
            </w:pPr>
            <w:r>
              <w:rPr>
                <w:sz w:val="16"/>
              </w:rPr>
              <w:t>Transactions with owners in their capacity as owners</w:t>
            </w:r>
          </w:p>
        </w:tc>
        <w:tc>
          <w:tcPr>
            <w:tcW w:w="815" w:type="dxa"/>
            <w:tcBorders>
              <w:bottom w:val="single" w:sz="6" w:space="0" w:color="auto"/>
            </w:tcBorders>
          </w:tcPr>
          <w:p w14:paraId="3969BAB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1008" w:type="dxa"/>
            <w:tcBorders>
              <w:bottom w:val="single" w:sz="6" w:space="0" w:color="auto"/>
            </w:tcBorders>
          </w:tcPr>
          <w:p w14:paraId="282C6CB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3 372</w:t>
            </w:r>
          </w:p>
        </w:tc>
        <w:tc>
          <w:tcPr>
            <w:tcW w:w="1315" w:type="dxa"/>
            <w:tcBorders>
              <w:bottom w:val="single" w:sz="6" w:space="0" w:color="auto"/>
            </w:tcBorders>
          </w:tcPr>
          <w:p w14:paraId="4B53CD2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42" w:type="dxa"/>
            <w:tcBorders>
              <w:bottom w:val="single" w:sz="6" w:space="0" w:color="auto"/>
            </w:tcBorders>
          </w:tcPr>
          <w:p w14:paraId="68F2F44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11" w:type="dxa"/>
            <w:tcBorders>
              <w:bottom w:val="single" w:sz="6" w:space="0" w:color="auto"/>
            </w:tcBorders>
          </w:tcPr>
          <w:p w14:paraId="4B91A20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3 372</w:t>
            </w:r>
          </w:p>
        </w:tc>
      </w:tr>
      <w:tr w:rsidR="008D6F13" w14:paraId="7EA8009B"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Borders>
              <w:top w:val="single" w:sz="6" w:space="0" w:color="auto"/>
              <w:bottom w:val="single" w:sz="6" w:space="0" w:color="auto"/>
            </w:tcBorders>
          </w:tcPr>
          <w:p w14:paraId="39D92345" w14:textId="77777777" w:rsidR="008D6F13" w:rsidRDefault="008D6F13" w:rsidP="0031078F">
            <w:pPr>
              <w:spacing w:after="0"/>
            </w:pPr>
            <w:r>
              <w:rPr>
                <w:b/>
                <w:sz w:val="16"/>
              </w:rPr>
              <w:t xml:space="preserve">Total equity as </w:t>
            </w:r>
            <w:proofErr w:type="gramStart"/>
            <w:r>
              <w:rPr>
                <w:b/>
                <w:sz w:val="16"/>
              </w:rPr>
              <w:t>at</w:t>
            </w:r>
            <w:proofErr w:type="gramEnd"/>
            <w:r>
              <w:rPr>
                <w:b/>
                <w:sz w:val="16"/>
              </w:rPr>
              <w:t xml:space="preserve"> 30 June 2022</w:t>
            </w:r>
          </w:p>
        </w:tc>
        <w:tc>
          <w:tcPr>
            <w:tcW w:w="815" w:type="dxa"/>
            <w:tcBorders>
              <w:top w:val="single" w:sz="6" w:space="0" w:color="auto"/>
              <w:bottom w:val="single" w:sz="6" w:space="0" w:color="auto"/>
            </w:tcBorders>
          </w:tcPr>
          <w:p w14:paraId="5A2AEA7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sz w:val="16"/>
              </w:rPr>
              <w:t>(27 297)</w:t>
            </w:r>
          </w:p>
        </w:tc>
        <w:tc>
          <w:tcPr>
            <w:tcW w:w="1008" w:type="dxa"/>
            <w:tcBorders>
              <w:top w:val="single" w:sz="6" w:space="0" w:color="auto"/>
              <w:bottom w:val="single" w:sz="6" w:space="0" w:color="auto"/>
            </w:tcBorders>
          </w:tcPr>
          <w:p w14:paraId="3B713C8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sz w:val="16"/>
              </w:rPr>
              <w:t>74 974</w:t>
            </w:r>
          </w:p>
        </w:tc>
        <w:tc>
          <w:tcPr>
            <w:tcW w:w="1315" w:type="dxa"/>
            <w:tcBorders>
              <w:top w:val="single" w:sz="6" w:space="0" w:color="auto"/>
              <w:bottom w:val="single" w:sz="6" w:space="0" w:color="auto"/>
            </w:tcBorders>
          </w:tcPr>
          <w:p w14:paraId="022CFA5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sz w:val="16"/>
              </w:rPr>
              <w:t>24 972</w:t>
            </w:r>
          </w:p>
        </w:tc>
        <w:tc>
          <w:tcPr>
            <w:tcW w:w="742" w:type="dxa"/>
            <w:tcBorders>
              <w:top w:val="single" w:sz="6" w:space="0" w:color="auto"/>
              <w:bottom w:val="single" w:sz="6" w:space="0" w:color="auto"/>
            </w:tcBorders>
          </w:tcPr>
          <w:p w14:paraId="128BAA0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sz w:val="16"/>
              </w:rPr>
              <w:t>625</w:t>
            </w:r>
          </w:p>
        </w:tc>
        <w:tc>
          <w:tcPr>
            <w:tcW w:w="711" w:type="dxa"/>
            <w:tcBorders>
              <w:top w:val="single" w:sz="6" w:space="0" w:color="auto"/>
              <w:bottom w:val="single" w:sz="6" w:space="0" w:color="auto"/>
            </w:tcBorders>
          </w:tcPr>
          <w:p w14:paraId="130695A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sz w:val="16"/>
              </w:rPr>
              <w:t>73 273</w:t>
            </w:r>
          </w:p>
        </w:tc>
      </w:tr>
      <w:tr w:rsidR="008D6F13" w14:paraId="353FD5CE"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Borders>
              <w:top w:val="single" w:sz="6" w:space="0" w:color="auto"/>
            </w:tcBorders>
          </w:tcPr>
          <w:p w14:paraId="0E2C2B74" w14:textId="77777777" w:rsidR="008D6F13" w:rsidRDefault="008D6F13" w:rsidP="0031078F">
            <w:pPr>
              <w:spacing w:after="0"/>
            </w:pPr>
            <w:r>
              <w:rPr>
                <w:b/>
                <w:sz w:val="16"/>
              </w:rPr>
              <w:t>2022</w:t>
            </w:r>
            <w:r>
              <w:rPr>
                <w:b/>
                <w:sz w:val="16"/>
              </w:rPr>
              <w:noBreakHyphen/>
              <w:t>23 estimate</w:t>
            </w:r>
          </w:p>
        </w:tc>
        <w:tc>
          <w:tcPr>
            <w:tcW w:w="815" w:type="dxa"/>
            <w:tcBorders>
              <w:top w:val="single" w:sz="6" w:space="0" w:color="auto"/>
            </w:tcBorders>
          </w:tcPr>
          <w:p w14:paraId="4F8BBF6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1008" w:type="dxa"/>
            <w:tcBorders>
              <w:top w:val="single" w:sz="6" w:space="0" w:color="auto"/>
            </w:tcBorders>
          </w:tcPr>
          <w:p w14:paraId="3F3AD07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1315" w:type="dxa"/>
            <w:tcBorders>
              <w:top w:val="single" w:sz="6" w:space="0" w:color="auto"/>
            </w:tcBorders>
          </w:tcPr>
          <w:p w14:paraId="4E5B932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42" w:type="dxa"/>
            <w:tcBorders>
              <w:top w:val="single" w:sz="6" w:space="0" w:color="auto"/>
            </w:tcBorders>
          </w:tcPr>
          <w:p w14:paraId="2A2A4FE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11" w:type="dxa"/>
            <w:tcBorders>
              <w:top w:val="single" w:sz="6" w:space="0" w:color="auto"/>
            </w:tcBorders>
          </w:tcPr>
          <w:p w14:paraId="34477AD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r>
      <w:tr w:rsidR="008D6F13" w14:paraId="77747EE9"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Pr>
          <w:p w14:paraId="6CFA21EA" w14:textId="77777777" w:rsidR="008D6F13" w:rsidRDefault="008D6F13" w:rsidP="0031078F">
            <w:pPr>
              <w:spacing w:after="0"/>
            </w:pPr>
            <w:r>
              <w:rPr>
                <w:sz w:val="16"/>
              </w:rPr>
              <w:t xml:space="preserve">Balance </w:t>
            </w:r>
            <w:proofErr w:type="gramStart"/>
            <w:r>
              <w:rPr>
                <w:sz w:val="16"/>
              </w:rPr>
              <w:t>at</w:t>
            </w:r>
            <w:proofErr w:type="gramEnd"/>
            <w:r>
              <w:rPr>
                <w:sz w:val="16"/>
              </w:rPr>
              <w:t xml:space="preserve"> 1 July 2022</w:t>
            </w:r>
          </w:p>
        </w:tc>
        <w:tc>
          <w:tcPr>
            <w:tcW w:w="815" w:type="dxa"/>
          </w:tcPr>
          <w:p w14:paraId="52F4054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(27 297)</w:t>
            </w:r>
          </w:p>
        </w:tc>
        <w:tc>
          <w:tcPr>
            <w:tcW w:w="1008" w:type="dxa"/>
          </w:tcPr>
          <w:p w14:paraId="767BEEA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74 974</w:t>
            </w:r>
          </w:p>
        </w:tc>
        <w:tc>
          <w:tcPr>
            <w:tcW w:w="1315" w:type="dxa"/>
          </w:tcPr>
          <w:p w14:paraId="0B805A4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24 972</w:t>
            </w:r>
          </w:p>
        </w:tc>
        <w:tc>
          <w:tcPr>
            <w:tcW w:w="742" w:type="dxa"/>
          </w:tcPr>
          <w:p w14:paraId="56146AA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625</w:t>
            </w:r>
          </w:p>
        </w:tc>
        <w:tc>
          <w:tcPr>
            <w:tcW w:w="711" w:type="dxa"/>
          </w:tcPr>
          <w:p w14:paraId="684D459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73 273</w:t>
            </w:r>
          </w:p>
        </w:tc>
      </w:tr>
      <w:tr w:rsidR="008D6F13" w14:paraId="6A492D79"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Pr>
          <w:p w14:paraId="4B35998B" w14:textId="77777777" w:rsidR="008D6F13" w:rsidRDefault="008D6F13" w:rsidP="0031078F">
            <w:pPr>
              <w:spacing w:after="0"/>
            </w:pPr>
            <w:r>
              <w:rPr>
                <w:sz w:val="16"/>
              </w:rPr>
              <w:t>Net result for the year</w:t>
            </w:r>
          </w:p>
        </w:tc>
        <w:tc>
          <w:tcPr>
            <w:tcW w:w="815" w:type="dxa"/>
          </w:tcPr>
          <w:p w14:paraId="62504EB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(6 273)</w:t>
            </w:r>
          </w:p>
        </w:tc>
        <w:tc>
          <w:tcPr>
            <w:tcW w:w="1008" w:type="dxa"/>
          </w:tcPr>
          <w:p w14:paraId="3DE8F84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1315" w:type="dxa"/>
          </w:tcPr>
          <w:p w14:paraId="2D88C8C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42" w:type="dxa"/>
          </w:tcPr>
          <w:p w14:paraId="738B5B1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11" w:type="dxa"/>
          </w:tcPr>
          <w:p w14:paraId="4432C1F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(6 273)</w:t>
            </w:r>
          </w:p>
        </w:tc>
      </w:tr>
      <w:tr w:rsidR="008D6F13" w14:paraId="6DF98E69"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Pr>
          <w:p w14:paraId="146272FF" w14:textId="77777777" w:rsidR="008D6F13" w:rsidRDefault="008D6F13" w:rsidP="0031078F">
            <w:pPr>
              <w:spacing w:after="0"/>
            </w:pPr>
            <w:r>
              <w:rPr>
                <w:sz w:val="16"/>
              </w:rPr>
              <w:t>Other comprehensive income for the year</w:t>
            </w:r>
          </w:p>
        </w:tc>
        <w:tc>
          <w:tcPr>
            <w:tcW w:w="815" w:type="dxa"/>
          </w:tcPr>
          <w:p w14:paraId="1FE253A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(21)</w:t>
            </w:r>
          </w:p>
        </w:tc>
        <w:tc>
          <w:tcPr>
            <w:tcW w:w="1008" w:type="dxa"/>
          </w:tcPr>
          <w:p w14:paraId="48B06EF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315" w:type="dxa"/>
          </w:tcPr>
          <w:p w14:paraId="339E854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4</w:t>
            </w:r>
          </w:p>
        </w:tc>
        <w:tc>
          <w:tcPr>
            <w:tcW w:w="742" w:type="dxa"/>
          </w:tcPr>
          <w:p w14:paraId="636CA6F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21</w:t>
            </w:r>
          </w:p>
        </w:tc>
        <w:tc>
          <w:tcPr>
            <w:tcW w:w="711" w:type="dxa"/>
          </w:tcPr>
          <w:p w14:paraId="5A4D992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4</w:t>
            </w:r>
          </w:p>
        </w:tc>
      </w:tr>
      <w:tr w:rsidR="008D6F13" w14:paraId="550D9D31"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Pr>
          <w:p w14:paraId="19D94E27" w14:textId="77777777" w:rsidR="008D6F13" w:rsidRDefault="008D6F13" w:rsidP="0031078F">
            <w:pPr>
              <w:spacing w:after="0"/>
            </w:pPr>
            <w:r>
              <w:rPr>
                <w:sz w:val="16"/>
              </w:rPr>
              <w:t>Dividends paid</w:t>
            </w:r>
          </w:p>
        </w:tc>
        <w:tc>
          <w:tcPr>
            <w:tcW w:w="815" w:type="dxa"/>
          </w:tcPr>
          <w:p w14:paraId="4097F95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(73)</w:t>
            </w:r>
          </w:p>
        </w:tc>
        <w:tc>
          <w:tcPr>
            <w:tcW w:w="1008" w:type="dxa"/>
          </w:tcPr>
          <w:p w14:paraId="21449FC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1315" w:type="dxa"/>
          </w:tcPr>
          <w:p w14:paraId="60B13DD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42" w:type="dxa"/>
          </w:tcPr>
          <w:p w14:paraId="0A9F8BE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11" w:type="dxa"/>
          </w:tcPr>
          <w:p w14:paraId="25C6C20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(73)</w:t>
            </w:r>
          </w:p>
        </w:tc>
      </w:tr>
      <w:tr w:rsidR="008D6F13" w14:paraId="5BA602F6"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Borders>
              <w:bottom w:val="single" w:sz="6" w:space="0" w:color="auto"/>
            </w:tcBorders>
          </w:tcPr>
          <w:p w14:paraId="0654522C" w14:textId="77777777" w:rsidR="008D6F13" w:rsidRDefault="008D6F13" w:rsidP="0031078F">
            <w:pPr>
              <w:spacing w:after="0"/>
            </w:pPr>
            <w:r>
              <w:rPr>
                <w:sz w:val="16"/>
              </w:rPr>
              <w:t>Transactions with owners in their capacity as owners</w:t>
            </w:r>
          </w:p>
        </w:tc>
        <w:tc>
          <w:tcPr>
            <w:tcW w:w="815" w:type="dxa"/>
            <w:tcBorders>
              <w:bottom w:val="single" w:sz="6" w:space="0" w:color="auto"/>
            </w:tcBorders>
          </w:tcPr>
          <w:p w14:paraId="6BE10EA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1008" w:type="dxa"/>
            <w:tcBorders>
              <w:bottom w:val="single" w:sz="6" w:space="0" w:color="auto"/>
            </w:tcBorders>
          </w:tcPr>
          <w:p w14:paraId="33FB8D4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7 739</w:t>
            </w:r>
          </w:p>
        </w:tc>
        <w:tc>
          <w:tcPr>
            <w:tcW w:w="1315" w:type="dxa"/>
            <w:tcBorders>
              <w:bottom w:val="single" w:sz="6" w:space="0" w:color="auto"/>
            </w:tcBorders>
          </w:tcPr>
          <w:p w14:paraId="5468E08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42" w:type="dxa"/>
            <w:tcBorders>
              <w:bottom w:val="single" w:sz="6" w:space="0" w:color="auto"/>
            </w:tcBorders>
          </w:tcPr>
          <w:p w14:paraId="567B345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11" w:type="dxa"/>
            <w:tcBorders>
              <w:bottom w:val="single" w:sz="6" w:space="0" w:color="auto"/>
            </w:tcBorders>
          </w:tcPr>
          <w:p w14:paraId="4F93295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7 739</w:t>
            </w:r>
          </w:p>
        </w:tc>
      </w:tr>
      <w:tr w:rsidR="008D6F13" w14:paraId="013759B5"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Borders>
              <w:top w:val="single" w:sz="6" w:space="0" w:color="auto"/>
              <w:bottom w:val="single" w:sz="6" w:space="0" w:color="auto"/>
            </w:tcBorders>
          </w:tcPr>
          <w:p w14:paraId="0ACC8A16" w14:textId="77777777" w:rsidR="008D6F13" w:rsidRDefault="008D6F13" w:rsidP="0031078F">
            <w:pPr>
              <w:spacing w:after="0"/>
            </w:pPr>
            <w:r>
              <w:rPr>
                <w:b/>
                <w:sz w:val="16"/>
              </w:rPr>
              <w:t xml:space="preserve">Total equity as </w:t>
            </w:r>
            <w:proofErr w:type="gramStart"/>
            <w:r>
              <w:rPr>
                <w:b/>
                <w:sz w:val="16"/>
              </w:rPr>
              <w:t>at</w:t>
            </w:r>
            <w:proofErr w:type="gramEnd"/>
            <w:r>
              <w:rPr>
                <w:b/>
                <w:sz w:val="16"/>
              </w:rPr>
              <w:t xml:space="preserve"> 30 June 2023</w:t>
            </w:r>
          </w:p>
        </w:tc>
        <w:tc>
          <w:tcPr>
            <w:tcW w:w="815" w:type="dxa"/>
            <w:tcBorders>
              <w:top w:val="single" w:sz="6" w:space="0" w:color="auto"/>
              <w:bottom w:val="single" w:sz="6" w:space="0" w:color="auto"/>
            </w:tcBorders>
          </w:tcPr>
          <w:p w14:paraId="63DA24F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sz w:val="16"/>
              </w:rPr>
              <w:t>(33 664)</w:t>
            </w:r>
          </w:p>
        </w:tc>
        <w:tc>
          <w:tcPr>
            <w:tcW w:w="1008" w:type="dxa"/>
            <w:tcBorders>
              <w:top w:val="single" w:sz="6" w:space="0" w:color="auto"/>
              <w:bottom w:val="single" w:sz="6" w:space="0" w:color="auto"/>
            </w:tcBorders>
          </w:tcPr>
          <w:p w14:paraId="42C9E43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sz w:val="16"/>
              </w:rPr>
              <w:t>82 713</w:t>
            </w:r>
          </w:p>
        </w:tc>
        <w:tc>
          <w:tcPr>
            <w:tcW w:w="1315" w:type="dxa"/>
            <w:tcBorders>
              <w:top w:val="single" w:sz="6" w:space="0" w:color="auto"/>
              <w:bottom w:val="single" w:sz="6" w:space="0" w:color="auto"/>
            </w:tcBorders>
          </w:tcPr>
          <w:p w14:paraId="5643DCF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sz w:val="16"/>
              </w:rPr>
              <w:t>24 976</w:t>
            </w:r>
          </w:p>
        </w:tc>
        <w:tc>
          <w:tcPr>
            <w:tcW w:w="742" w:type="dxa"/>
            <w:tcBorders>
              <w:top w:val="single" w:sz="6" w:space="0" w:color="auto"/>
              <w:bottom w:val="single" w:sz="6" w:space="0" w:color="auto"/>
            </w:tcBorders>
          </w:tcPr>
          <w:p w14:paraId="04805C7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sz w:val="16"/>
              </w:rPr>
              <w:t>646</w:t>
            </w:r>
          </w:p>
        </w:tc>
        <w:tc>
          <w:tcPr>
            <w:tcW w:w="711" w:type="dxa"/>
            <w:tcBorders>
              <w:top w:val="single" w:sz="6" w:space="0" w:color="auto"/>
              <w:bottom w:val="single" w:sz="6" w:space="0" w:color="auto"/>
            </w:tcBorders>
          </w:tcPr>
          <w:p w14:paraId="4B68740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sz w:val="16"/>
              </w:rPr>
              <w:t>74 670</w:t>
            </w:r>
          </w:p>
        </w:tc>
      </w:tr>
      <w:tr w:rsidR="008D6F13" w14:paraId="357B3439"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Borders>
              <w:top w:val="single" w:sz="6" w:space="0" w:color="auto"/>
            </w:tcBorders>
          </w:tcPr>
          <w:p w14:paraId="43791439" w14:textId="77777777" w:rsidR="008D6F13" w:rsidRDefault="008D6F13" w:rsidP="0031078F">
            <w:pPr>
              <w:spacing w:after="0"/>
            </w:pPr>
            <w:r>
              <w:rPr>
                <w:b/>
                <w:sz w:val="16"/>
              </w:rPr>
              <w:t>2023</w:t>
            </w:r>
            <w:r>
              <w:rPr>
                <w:b/>
                <w:sz w:val="16"/>
              </w:rPr>
              <w:noBreakHyphen/>
              <w:t>24 estimate</w:t>
            </w:r>
          </w:p>
        </w:tc>
        <w:tc>
          <w:tcPr>
            <w:tcW w:w="815" w:type="dxa"/>
            <w:tcBorders>
              <w:top w:val="single" w:sz="6" w:space="0" w:color="auto"/>
            </w:tcBorders>
          </w:tcPr>
          <w:p w14:paraId="1709B3A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1008" w:type="dxa"/>
            <w:tcBorders>
              <w:top w:val="single" w:sz="6" w:space="0" w:color="auto"/>
            </w:tcBorders>
          </w:tcPr>
          <w:p w14:paraId="6A3D4CD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1315" w:type="dxa"/>
            <w:tcBorders>
              <w:top w:val="single" w:sz="6" w:space="0" w:color="auto"/>
            </w:tcBorders>
          </w:tcPr>
          <w:p w14:paraId="4CBA42D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42" w:type="dxa"/>
            <w:tcBorders>
              <w:top w:val="single" w:sz="6" w:space="0" w:color="auto"/>
            </w:tcBorders>
          </w:tcPr>
          <w:p w14:paraId="20A28D9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11" w:type="dxa"/>
            <w:tcBorders>
              <w:top w:val="single" w:sz="6" w:space="0" w:color="auto"/>
            </w:tcBorders>
          </w:tcPr>
          <w:p w14:paraId="171FAEA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r>
      <w:tr w:rsidR="008D6F13" w14:paraId="1E24304D"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Pr>
          <w:p w14:paraId="528F5176" w14:textId="77777777" w:rsidR="008D6F13" w:rsidRDefault="008D6F13" w:rsidP="0031078F">
            <w:pPr>
              <w:spacing w:after="0"/>
            </w:pPr>
            <w:r>
              <w:rPr>
                <w:sz w:val="16"/>
              </w:rPr>
              <w:t xml:space="preserve">Balance </w:t>
            </w:r>
            <w:proofErr w:type="gramStart"/>
            <w:r>
              <w:rPr>
                <w:sz w:val="16"/>
              </w:rPr>
              <w:t>at</w:t>
            </w:r>
            <w:proofErr w:type="gramEnd"/>
            <w:r>
              <w:rPr>
                <w:sz w:val="16"/>
              </w:rPr>
              <w:t xml:space="preserve"> 1 July 2023</w:t>
            </w:r>
          </w:p>
        </w:tc>
        <w:tc>
          <w:tcPr>
            <w:tcW w:w="815" w:type="dxa"/>
          </w:tcPr>
          <w:p w14:paraId="5F35052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(33 664)</w:t>
            </w:r>
          </w:p>
        </w:tc>
        <w:tc>
          <w:tcPr>
            <w:tcW w:w="1008" w:type="dxa"/>
          </w:tcPr>
          <w:p w14:paraId="101317C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82 713</w:t>
            </w:r>
          </w:p>
        </w:tc>
        <w:tc>
          <w:tcPr>
            <w:tcW w:w="1315" w:type="dxa"/>
          </w:tcPr>
          <w:p w14:paraId="47844E7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24 976</w:t>
            </w:r>
          </w:p>
        </w:tc>
        <w:tc>
          <w:tcPr>
            <w:tcW w:w="742" w:type="dxa"/>
          </w:tcPr>
          <w:p w14:paraId="39C2F9E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646</w:t>
            </w:r>
          </w:p>
        </w:tc>
        <w:tc>
          <w:tcPr>
            <w:tcW w:w="711" w:type="dxa"/>
          </w:tcPr>
          <w:p w14:paraId="07FA087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74 670</w:t>
            </w:r>
          </w:p>
        </w:tc>
      </w:tr>
      <w:tr w:rsidR="008D6F13" w14:paraId="3F80FE26"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Pr>
          <w:p w14:paraId="6D5DB6BD" w14:textId="77777777" w:rsidR="008D6F13" w:rsidRDefault="008D6F13" w:rsidP="0031078F">
            <w:pPr>
              <w:spacing w:after="0"/>
            </w:pPr>
            <w:r>
              <w:rPr>
                <w:sz w:val="16"/>
              </w:rPr>
              <w:t>Net result for the year</w:t>
            </w:r>
          </w:p>
        </w:tc>
        <w:tc>
          <w:tcPr>
            <w:tcW w:w="815" w:type="dxa"/>
          </w:tcPr>
          <w:p w14:paraId="3F38566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(3 380)</w:t>
            </w:r>
          </w:p>
        </w:tc>
        <w:tc>
          <w:tcPr>
            <w:tcW w:w="1008" w:type="dxa"/>
          </w:tcPr>
          <w:p w14:paraId="6F57EDC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1315" w:type="dxa"/>
          </w:tcPr>
          <w:p w14:paraId="1B490FB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42" w:type="dxa"/>
          </w:tcPr>
          <w:p w14:paraId="5CED544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11" w:type="dxa"/>
          </w:tcPr>
          <w:p w14:paraId="17C6C50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(3 380)</w:t>
            </w:r>
          </w:p>
        </w:tc>
      </w:tr>
      <w:tr w:rsidR="008D6F13" w14:paraId="7D5348DC"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Pr>
          <w:p w14:paraId="52A2CD86" w14:textId="77777777" w:rsidR="008D6F13" w:rsidRDefault="008D6F13" w:rsidP="0031078F">
            <w:pPr>
              <w:spacing w:after="0"/>
            </w:pPr>
            <w:r>
              <w:rPr>
                <w:sz w:val="16"/>
              </w:rPr>
              <w:t>Other comprehensive income for the year</w:t>
            </w:r>
          </w:p>
        </w:tc>
        <w:tc>
          <w:tcPr>
            <w:tcW w:w="815" w:type="dxa"/>
          </w:tcPr>
          <w:p w14:paraId="4AB35FB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(21)</w:t>
            </w:r>
          </w:p>
        </w:tc>
        <w:tc>
          <w:tcPr>
            <w:tcW w:w="1008" w:type="dxa"/>
          </w:tcPr>
          <w:p w14:paraId="5E6C387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315" w:type="dxa"/>
          </w:tcPr>
          <w:p w14:paraId="78BE00A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5</w:t>
            </w:r>
          </w:p>
        </w:tc>
        <w:tc>
          <w:tcPr>
            <w:tcW w:w="742" w:type="dxa"/>
          </w:tcPr>
          <w:p w14:paraId="2C2C941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21</w:t>
            </w:r>
          </w:p>
        </w:tc>
        <w:tc>
          <w:tcPr>
            <w:tcW w:w="711" w:type="dxa"/>
          </w:tcPr>
          <w:p w14:paraId="453AD6E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5</w:t>
            </w:r>
          </w:p>
        </w:tc>
      </w:tr>
      <w:tr w:rsidR="008D6F13" w14:paraId="55FECDFC"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Pr>
          <w:p w14:paraId="7F1F242B" w14:textId="77777777" w:rsidR="008D6F13" w:rsidRDefault="008D6F13" w:rsidP="0031078F">
            <w:pPr>
              <w:spacing w:after="0"/>
            </w:pPr>
            <w:r>
              <w:rPr>
                <w:sz w:val="16"/>
              </w:rPr>
              <w:t>Dividends paid</w:t>
            </w:r>
          </w:p>
        </w:tc>
        <w:tc>
          <w:tcPr>
            <w:tcW w:w="815" w:type="dxa"/>
          </w:tcPr>
          <w:p w14:paraId="68BB766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(132)</w:t>
            </w:r>
          </w:p>
        </w:tc>
        <w:tc>
          <w:tcPr>
            <w:tcW w:w="1008" w:type="dxa"/>
          </w:tcPr>
          <w:p w14:paraId="7AB99C0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1315" w:type="dxa"/>
          </w:tcPr>
          <w:p w14:paraId="3DA410F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42" w:type="dxa"/>
          </w:tcPr>
          <w:p w14:paraId="5A2A90D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11" w:type="dxa"/>
          </w:tcPr>
          <w:p w14:paraId="2E03772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(132)</w:t>
            </w:r>
          </w:p>
        </w:tc>
      </w:tr>
      <w:tr w:rsidR="008D6F13" w14:paraId="02A39669"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Borders>
              <w:bottom w:val="single" w:sz="6" w:space="0" w:color="auto"/>
            </w:tcBorders>
          </w:tcPr>
          <w:p w14:paraId="2B312CF1" w14:textId="77777777" w:rsidR="008D6F13" w:rsidRDefault="008D6F13" w:rsidP="0031078F">
            <w:pPr>
              <w:spacing w:after="0"/>
            </w:pPr>
            <w:r>
              <w:rPr>
                <w:sz w:val="16"/>
              </w:rPr>
              <w:t>Transactions with owners in their capacity as owners</w:t>
            </w:r>
          </w:p>
        </w:tc>
        <w:tc>
          <w:tcPr>
            <w:tcW w:w="815" w:type="dxa"/>
            <w:tcBorders>
              <w:bottom w:val="single" w:sz="6" w:space="0" w:color="auto"/>
            </w:tcBorders>
          </w:tcPr>
          <w:p w14:paraId="1895DEB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1008" w:type="dxa"/>
            <w:tcBorders>
              <w:bottom w:val="single" w:sz="6" w:space="0" w:color="auto"/>
            </w:tcBorders>
          </w:tcPr>
          <w:p w14:paraId="488DB8B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4 403</w:t>
            </w:r>
          </w:p>
        </w:tc>
        <w:tc>
          <w:tcPr>
            <w:tcW w:w="1315" w:type="dxa"/>
            <w:tcBorders>
              <w:bottom w:val="single" w:sz="6" w:space="0" w:color="auto"/>
            </w:tcBorders>
          </w:tcPr>
          <w:p w14:paraId="7FF3509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42" w:type="dxa"/>
            <w:tcBorders>
              <w:bottom w:val="single" w:sz="6" w:space="0" w:color="auto"/>
            </w:tcBorders>
          </w:tcPr>
          <w:p w14:paraId="3466A49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11" w:type="dxa"/>
            <w:tcBorders>
              <w:bottom w:val="single" w:sz="6" w:space="0" w:color="auto"/>
            </w:tcBorders>
          </w:tcPr>
          <w:p w14:paraId="60C50D7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4 403</w:t>
            </w:r>
          </w:p>
        </w:tc>
      </w:tr>
      <w:tr w:rsidR="008D6F13" w14:paraId="2BEDBC4B"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Borders>
              <w:top w:val="single" w:sz="6" w:space="0" w:color="auto"/>
              <w:bottom w:val="single" w:sz="6" w:space="0" w:color="auto"/>
            </w:tcBorders>
          </w:tcPr>
          <w:p w14:paraId="58CDE261" w14:textId="77777777" w:rsidR="008D6F13" w:rsidRDefault="008D6F13" w:rsidP="0031078F">
            <w:pPr>
              <w:spacing w:after="0"/>
            </w:pPr>
            <w:r>
              <w:rPr>
                <w:b/>
                <w:sz w:val="16"/>
              </w:rPr>
              <w:t xml:space="preserve">Total equity as </w:t>
            </w:r>
            <w:proofErr w:type="gramStart"/>
            <w:r>
              <w:rPr>
                <w:b/>
                <w:sz w:val="16"/>
              </w:rPr>
              <w:t>at</w:t>
            </w:r>
            <w:proofErr w:type="gramEnd"/>
            <w:r>
              <w:rPr>
                <w:b/>
                <w:sz w:val="16"/>
              </w:rPr>
              <w:t xml:space="preserve"> 30 June 2024</w:t>
            </w:r>
          </w:p>
        </w:tc>
        <w:tc>
          <w:tcPr>
            <w:tcW w:w="815" w:type="dxa"/>
            <w:tcBorders>
              <w:top w:val="single" w:sz="6" w:space="0" w:color="auto"/>
              <w:bottom w:val="single" w:sz="6" w:space="0" w:color="auto"/>
            </w:tcBorders>
          </w:tcPr>
          <w:p w14:paraId="6D7291D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sz w:val="16"/>
              </w:rPr>
              <w:t>(37 197)</w:t>
            </w:r>
          </w:p>
        </w:tc>
        <w:tc>
          <w:tcPr>
            <w:tcW w:w="1008" w:type="dxa"/>
            <w:tcBorders>
              <w:top w:val="single" w:sz="6" w:space="0" w:color="auto"/>
              <w:bottom w:val="single" w:sz="6" w:space="0" w:color="auto"/>
            </w:tcBorders>
          </w:tcPr>
          <w:p w14:paraId="5F518D1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sz w:val="16"/>
              </w:rPr>
              <w:t>87 116</w:t>
            </w:r>
          </w:p>
        </w:tc>
        <w:tc>
          <w:tcPr>
            <w:tcW w:w="1315" w:type="dxa"/>
            <w:tcBorders>
              <w:top w:val="single" w:sz="6" w:space="0" w:color="auto"/>
              <w:bottom w:val="single" w:sz="6" w:space="0" w:color="auto"/>
            </w:tcBorders>
          </w:tcPr>
          <w:p w14:paraId="569F91B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sz w:val="16"/>
              </w:rPr>
              <w:t>24 980</w:t>
            </w:r>
          </w:p>
        </w:tc>
        <w:tc>
          <w:tcPr>
            <w:tcW w:w="742" w:type="dxa"/>
            <w:tcBorders>
              <w:top w:val="single" w:sz="6" w:space="0" w:color="auto"/>
              <w:bottom w:val="single" w:sz="6" w:space="0" w:color="auto"/>
            </w:tcBorders>
          </w:tcPr>
          <w:p w14:paraId="42A6D15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sz w:val="16"/>
              </w:rPr>
              <w:t>667</w:t>
            </w:r>
          </w:p>
        </w:tc>
        <w:tc>
          <w:tcPr>
            <w:tcW w:w="711" w:type="dxa"/>
            <w:tcBorders>
              <w:top w:val="single" w:sz="6" w:space="0" w:color="auto"/>
              <w:bottom w:val="single" w:sz="6" w:space="0" w:color="auto"/>
            </w:tcBorders>
          </w:tcPr>
          <w:p w14:paraId="14B9834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sz w:val="16"/>
              </w:rPr>
              <w:t>75 567</w:t>
            </w:r>
          </w:p>
        </w:tc>
      </w:tr>
      <w:tr w:rsidR="008D6F13" w14:paraId="7EA4785A"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Borders>
              <w:top w:val="single" w:sz="6" w:space="0" w:color="auto"/>
            </w:tcBorders>
          </w:tcPr>
          <w:p w14:paraId="5A5D54FF" w14:textId="77777777" w:rsidR="008D6F13" w:rsidRDefault="008D6F13" w:rsidP="0031078F">
            <w:pPr>
              <w:spacing w:after="0"/>
            </w:pPr>
            <w:r>
              <w:rPr>
                <w:b/>
                <w:sz w:val="16"/>
              </w:rPr>
              <w:t>2024</w:t>
            </w:r>
            <w:r>
              <w:rPr>
                <w:b/>
                <w:sz w:val="16"/>
              </w:rPr>
              <w:noBreakHyphen/>
              <w:t>25 estimate</w:t>
            </w:r>
          </w:p>
        </w:tc>
        <w:tc>
          <w:tcPr>
            <w:tcW w:w="815" w:type="dxa"/>
            <w:tcBorders>
              <w:top w:val="single" w:sz="6" w:space="0" w:color="auto"/>
            </w:tcBorders>
          </w:tcPr>
          <w:p w14:paraId="4992ACF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1008" w:type="dxa"/>
            <w:tcBorders>
              <w:top w:val="single" w:sz="6" w:space="0" w:color="auto"/>
            </w:tcBorders>
          </w:tcPr>
          <w:p w14:paraId="1B02D3B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1315" w:type="dxa"/>
            <w:tcBorders>
              <w:top w:val="single" w:sz="6" w:space="0" w:color="auto"/>
            </w:tcBorders>
          </w:tcPr>
          <w:p w14:paraId="568074E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42" w:type="dxa"/>
            <w:tcBorders>
              <w:top w:val="single" w:sz="6" w:space="0" w:color="auto"/>
            </w:tcBorders>
          </w:tcPr>
          <w:p w14:paraId="1911E44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11" w:type="dxa"/>
            <w:tcBorders>
              <w:top w:val="single" w:sz="6" w:space="0" w:color="auto"/>
            </w:tcBorders>
          </w:tcPr>
          <w:p w14:paraId="5E6FB5F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r>
      <w:tr w:rsidR="008D6F13" w14:paraId="2C25BE9A"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Pr>
          <w:p w14:paraId="06AA1AAC" w14:textId="77777777" w:rsidR="008D6F13" w:rsidRDefault="008D6F13" w:rsidP="0031078F">
            <w:pPr>
              <w:spacing w:after="0"/>
            </w:pPr>
            <w:r>
              <w:rPr>
                <w:sz w:val="16"/>
              </w:rPr>
              <w:t xml:space="preserve">Balance </w:t>
            </w:r>
            <w:proofErr w:type="gramStart"/>
            <w:r>
              <w:rPr>
                <w:sz w:val="16"/>
              </w:rPr>
              <w:t>at</w:t>
            </w:r>
            <w:proofErr w:type="gramEnd"/>
            <w:r>
              <w:rPr>
                <w:sz w:val="16"/>
              </w:rPr>
              <w:t xml:space="preserve"> 1 July 2024</w:t>
            </w:r>
          </w:p>
        </w:tc>
        <w:tc>
          <w:tcPr>
            <w:tcW w:w="815" w:type="dxa"/>
          </w:tcPr>
          <w:p w14:paraId="46CDE34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(37 197)</w:t>
            </w:r>
          </w:p>
        </w:tc>
        <w:tc>
          <w:tcPr>
            <w:tcW w:w="1008" w:type="dxa"/>
          </w:tcPr>
          <w:p w14:paraId="63949D0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87 116</w:t>
            </w:r>
          </w:p>
        </w:tc>
        <w:tc>
          <w:tcPr>
            <w:tcW w:w="1315" w:type="dxa"/>
          </w:tcPr>
          <w:p w14:paraId="575973B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24 980</w:t>
            </w:r>
          </w:p>
        </w:tc>
        <w:tc>
          <w:tcPr>
            <w:tcW w:w="742" w:type="dxa"/>
          </w:tcPr>
          <w:p w14:paraId="1DB8AFE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667</w:t>
            </w:r>
          </w:p>
        </w:tc>
        <w:tc>
          <w:tcPr>
            <w:tcW w:w="711" w:type="dxa"/>
          </w:tcPr>
          <w:p w14:paraId="514055B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75 567</w:t>
            </w:r>
          </w:p>
        </w:tc>
      </w:tr>
      <w:tr w:rsidR="008D6F13" w14:paraId="144C54AA"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Pr>
          <w:p w14:paraId="3F0DE15A" w14:textId="77777777" w:rsidR="008D6F13" w:rsidRDefault="008D6F13" w:rsidP="0031078F">
            <w:pPr>
              <w:spacing w:after="0"/>
            </w:pPr>
            <w:r>
              <w:rPr>
                <w:sz w:val="16"/>
              </w:rPr>
              <w:t>Net result for the year</w:t>
            </w:r>
          </w:p>
        </w:tc>
        <w:tc>
          <w:tcPr>
            <w:tcW w:w="815" w:type="dxa"/>
          </w:tcPr>
          <w:p w14:paraId="128B178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(2 851)</w:t>
            </w:r>
          </w:p>
        </w:tc>
        <w:tc>
          <w:tcPr>
            <w:tcW w:w="1008" w:type="dxa"/>
          </w:tcPr>
          <w:p w14:paraId="7D11999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1315" w:type="dxa"/>
          </w:tcPr>
          <w:p w14:paraId="273DF4A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42" w:type="dxa"/>
          </w:tcPr>
          <w:p w14:paraId="0EDF402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11" w:type="dxa"/>
          </w:tcPr>
          <w:p w14:paraId="25ADB6D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(2 851)</w:t>
            </w:r>
          </w:p>
        </w:tc>
      </w:tr>
      <w:tr w:rsidR="008D6F13" w14:paraId="5C433078"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Pr>
          <w:p w14:paraId="4F58A937" w14:textId="77777777" w:rsidR="008D6F13" w:rsidRDefault="008D6F13" w:rsidP="0031078F">
            <w:pPr>
              <w:spacing w:after="0"/>
            </w:pPr>
            <w:r>
              <w:rPr>
                <w:sz w:val="16"/>
              </w:rPr>
              <w:t>Other comprehensive income for the year</w:t>
            </w:r>
          </w:p>
        </w:tc>
        <w:tc>
          <w:tcPr>
            <w:tcW w:w="815" w:type="dxa"/>
          </w:tcPr>
          <w:p w14:paraId="17608A4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(21)</w:t>
            </w:r>
          </w:p>
        </w:tc>
        <w:tc>
          <w:tcPr>
            <w:tcW w:w="1008" w:type="dxa"/>
          </w:tcPr>
          <w:p w14:paraId="6DA6BEA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315" w:type="dxa"/>
          </w:tcPr>
          <w:p w14:paraId="30EE0C1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5</w:t>
            </w:r>
          </w:p>
        </w:tc>
        <w:tc>
          <w:tcPr>
            <w:tcW w:w="742" w:type="dxa"/>
          </w:tcPr>
          <w:p w14:paraId="3752204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21</w:t>
            </w:r>
          </w:p>
        </w:tc>
        <w:tc>
          <w:tcPr>
            <w:tcW w:w="711" w:type="dxa"/>
          </w:tcPr>
          <w:p w14:paraId="64AD026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5</w:t>
            </w:r>
          </w:p>
        </w:tc>
      </w:tr>
      <w:tr w:rsidR="008D6F13" w14:paraId="2F833EB2"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Pr>
          <w:p w14:paraId="18A744C3" w14:textId="77777777" w:rsidR="008D6F13" w:rsidRDefault="008D6F13" w:rsidP="0031078F">
            <w:pPr>
              <w:spacing w:after="0"/>
            </w:pPr>
            <w:r>
              <w:rPr>
                <w:sz w:val="16"/>
              </w:rPr>
              <w:t>Dividends paid</w:t>
            </w:r>
          </w:p>
        </w:tc>
        <w:tc>
          <w:tcPr>
            <w:tcW w:w="815" w:type="dxa"/>
          </w:tcPr>
          <w:p w14:paraId="6405A62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(165)</w:t>
            </w:r>
          </w:p>
        </w:tc>
        <w:tc>
          <w:tcPr>
            <w:tcW w:w="1008" w:type="dxa"/>
          </w:tcPr>
          <w:p w14:paraId="47C44B0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1315" w:type="dxa"/>
          </w:tcPr>
          <w:p w14:paraId="507E7CF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42" w:type="dxa"/>
          </w:tcPr>
          <w:p w14:paraId="1F8C150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11" w:type="dxa"/>
          </w:tcPr>
          <w:p w14:paraId="5C0E669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(165)</w:t>
            </w:r>
          </w:p>
        </w:tc>
      </w:tr>
      <w:tr w:rsidR="008D6F13" w14:paraId="1692F019"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Borders>
              <w:bottom w:val="single" w:sz="6" w:space="0" w:color="auto"/>
            </w:tcBorders>
          </w:tcPr>
          <w:p w14:paraId="59090C34" w14:textId="77777777" w:rsidR="008D6F13" w:rsidRDefault="008D6F13" w:rsidP="0031078F">
            <w:pPr>
              <w:spacing w:after="0"/>
            </w:pPr>
            <w:r>
              <w:rPr>
                <w:sz w:val="16"/>
              </w:rPr>
              <w:t>Transactions with owners in their capacity as owners</w:t>
            </w:r>
          </w:p>
        </w:tc>
        <w:tc>
          <w:tcPr>
            <w:tcW w:w="815" w:type="dxa"/>
            <w:tcBorders>
              <w:bottom w:val="single" w:sz="6" w:space="0" w:color="auto"/>
            </w:tcBorders>
          </w:tcPr>
          <w:p w14:paraId="4B26030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1008" w:type="dxa"/>
            <w:tcBorders>
              <w:bottom w:val="single" w:sz="6" w:space="0" w:color="auto"/>
            </w:tcBorders>
          </w:tcPr>
          <w:p w14:paraId="0C4FF39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5 769</w:t>
            </w:r>
          </w:p>
        </w:tc>
        <w:tc>
          <w:tcPr>
            <w:tcW w:w="1315" w:type="dxa"/>
            <w:tcBorders>
              <w:bottom w:val="single" w:sz="6" w:space="0" w:color="auto"/>
            </w:tcBorders>
          </w:tcPr>
          <w:p w14:paraId="7241014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42" w:type="dxa"/>
            <w:tcBorders>
              <w:bottom w:val="single" w:sz="6" w:space="0" w:color="auto"/>
            </w:tcBorders>
          </w:tcPr>
          <w:p w14:paraId="42DC0D8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11" w:type="dxa"/>
            <w:tcBorders>
              <w:bottom w:val="single" w:sz="6" w:space="0" w:color="auto"/>
            </w:tcBorders>
          </w:tcPr>
          <w:p w14:paraId="0F0038E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sz w:val="16"/>
              </w:rPr>
              <w:t>5 769</w:t>
            </w:r>
          </w:p>
        </w:tc>
      </w:tr>
      <w:tr w:rsidR="008D6F13" w14:paraId="0A65C6DC" w14:textId="77777777" w:rsidTr="007A2CEC">
        <w:tc>
          <w:tcPr>
            <w:cnfStyle w:val="001000000000" w:firstRow="0" w:lastRow="0" w:firstColumn="1" w:lastColumn="0" w:oddVBand="0" w:evenVBand="0" w:oddHBand="0" w:evenHBand="0" w:firstRowFirstColumn="0" w:firstRowLastColumn="0" w:lastRowFirstColumn="0" w:lastRowLastColumn="0"/>
            <w:tcW w:w="3119" w:type="dxa"/>
            <w:gridSpan w:val="2"/>
          </w:tcPr>
          <w:p w14:paraId="1E11B930" w14:textId="77777777" w:rsidR="008D6F13" w:rsidRDefault="008D6F13" w:rsidP="0031078F">
            <w:pPr>
              <w:spacing w:after="0"/>
            </w:pPr>
            <w:r>
              <w:rPr>
                <w:b/>
                <w:sz w:val="16"/>
              </w:rPr>
              <w:t xml:space="preserve">Total equity as </w:t>
            </w:r>
            <w:proofErr w:type="gramStart"/>
            <w:r>
              <w:rPr>
                <w:b/>
                <w:sz w:val="16"/>
              </w:rPr>
              <w:t>at</w:t>
            </w:r>
            <w:proofErr w:type="gramEnd"/>
            <w:r>
              <w:rPr>
                <w:b/>
                <w:sz w:val="16"/>
              </w:rPr>
              <w:t xml:space="preserve"> 30 June 2025</w:t>
            </w:r>
          </w:p>
        </w:tc>
        <w:tc>
          <w:tcPr>
            <w:tcW w:w="815" w:type="dxa"/>
          </w:tcPr>
          <w:p w14:paraId="28FA329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sz w:val="16"/>
              </w:rPr>
              <w:t>(40 233)</w:t>
            </w:r>
          </w:p>
        </w:tc>
        <w:tc>
          <w:tcPr>
            <w:tcW w:w="1008" w:type="dxa"/>
          </w:tcPr>
          <w:p w14:paraId="2172AD2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sz w:val="16"/>
              </w:rPr>
              <w:t>92 885</w:t>
            </w:r>
          </w:p>
        </w:tc>
        <w:tc>
          <w:tcPr>
            <w:tcW w:w="1315" w:type="dxa"/>
          </w:tcPr>
          <w:p w14:paraId="4768BDA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sz w:val="16"/>
              </w:rPr>
              <w:t>24 985</w:t>
            </w:r>
          </w:p>
        </w:tc>
        <w:tc>
          <w:tcPr>
            <w:tcW w:w="742" w:type="dxa"/>
          </w:tcPr>
          <w:p w14:paraId="183F9FE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sz w:val="16"/>
              </w:rPr>
              <w:t>688</w:t>
            </w:r>
          </w:p>
        </w:tc>
        <w:tc>
          <w:tcPr>
            <w:tcW w:w="711" w:type="dxa"/>
          </w:tcPr>
          <w:p w14:paraId="5BE56523" w14:textId="211C16B1"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sz w:val="16"/>
              </w:rPr>
              <w:t>78 326</w:t>
            </w:r>
          </w:p>
        </w:tc>
      </w:tr>
    </w:tbl>
    <w:p w14:paraId="7D8AA2E9" w14:textId="77777777" w:rsidR="008D6F13" w:rsidRPr="00921F69" w:rsidRDefault="008D6F13" w:rsidP="008D6F13">
      <w:pPr>
        <w:pStyle w:val="Note"/>
        <w:ind w:left="0" w:firstLine="0"/>
        <w:rPr>
          <w:rFonts w:cstheme="majorHAnsi"/>
        </w:rPr>
      </w:pPr>
      <w:r w:rsidRPr="00921F69">
        <w:rPr>
          <w:rFonts w:cstheme="majorHAnsi"/>
        </w:rPr>
        <w:t>Note:</w:t>
      </w:r>
    </w:p>
    <w:p w14:paraId="4A98BF4D" w14:textId="77777777" w:rsidR="008D6F13" w:rsidRDefault="008D6F13" w:rsidP="008D6F13">
      <w:pPr>
        <w:pStyle w:val="Note"/>
        <w:rPr>
          <w:rFonts w:cstheme="majorHAnsi"/>
        </w:rPr>
      </w:pPr>
      <w:r w:rsidRPr="00921F69">
        <w:rPr>
          <w:rFonts w:cstheme="majorHAnsi"/>
        </w:rPr>
        <w:t>(a)</w:t>
      </w:r>
      <w:r w:rsidRPr="00921F69">
        <w:rPr>
          <w:rFonts w:cstheme="majorHAnsi"/>
        </w:rPr>
        <w:tab/>
        <w:t xml:space="preserve">Balances represent actual opening balances </w:t>
      </w:r>
      <w:proofErr w:type="gramStart"/>
      <w:r w:rsidRPr="00921F69">
        <w:rPr>
          <w:rFonts w:cstheme="majorHAnsi"/>
        </w:rPr>
        <w:t>at</w:t>
      </w:r>
      <w:proofErr w:type="gramEnd"/>
      <w:r w:rsidRPr="00921F69">
        <w:rPr>
          <w:rFonts w:cstheme="majorHAnsi"/>
        </w:rPr>
        <w:t xml:space="preserve"> 1 July 20</w:t>
      </w:r>
      <w:r>
        <w:rPr>
          <w:rFonts w:cstheme="majorHAnsi"/>
        </w:rPr>
        <w:t>21</w:t>
      </w:r>
      <w:r w:rsidRPr="00921F69">
        <w:rPr>
          <w:rFonts w:cstheme="majorHAnsi"/>
        </w:rPr>
        <w:t xml:space="preserve"> plus 20</w:t>
      </w:r>
      <w:r>
        <w:rPr>
          <w:rFonts w:cstheme="majorHAnsi"/>
        </w:rPr>
        <w:t>21</w:t>
      </w:r>
      <w:r w:rsidRPr="00921F69">
        <w:rPr>
          <w:rFonts w:cstheme="majorHAnsi"/>
        </w:rPr>
        <w:t>-2</w:t>
      </w:r>
      <w:r>
        <w:rPr>
          <w:rFonts w:cstheme="majorHAnsi"/>
        </w:rPr>
        <w:t>2</w:t>
      </w:r>
      <w:r w:rsidRPr="00921F69">
        <w:rPr>
          <w:rFonts w:cstheme="majorHAnsi"/>
        </w:rPr>
        <w:t xml:space="preserve"> budgeted movements.</w:t>
      </w:r>
    </w:p>
    <w:p w14:paraId="60EFD426" w14:textId="5DFF5FDE" w:rsidR="008D6F13" w:rsidRPr="00921F69" w:rsidRDefault="008D6F13" w:rsidP="008D6F13">
      <w:pPr>
        <w:pStyle w:val="TableHeading"/>
        <w:rPr>
          <w:rFonts w:cstheme="majorHAnsi"/>
        </w:rPr>
      </w:pPr>
      <w:r w:rsidRPr="00921F69">
        <w:rPr>
          <w:rFonts w:cstheme="majorHAnsi"/>
        </w:rPr>
        <w:lastRenderedPageBreak/>
        <w:t>Table 5.5</w:t>
      </w:r>
      <w:r w:rsidR="007F1FE4">
        <w:rPr>
          <w:rFonts w:cstheme="majorHAnsi"/>
        </w:rPr>
        <w:t>:</w:t>
      </w:r>
      <w:r w:rsidRPr="00921F69">
        <w:rPr>
          <w:rFonts w:cstheme="majorHAnsi"/>
        </w:rPr>
        <w:tab/>
        <w:t xml:space="preserve">Net acquisition of non-financial assets – </w:t>
      </w:r>
      <w:r w:rsidRPr="00921F69">
        <w:rPr>
          <w:rFonts w:cstheme="majorHAnsi"/>
        </w:rPr>
        <w:br/>
        <w:t xml:space="preserve">public non-financial </w:t>
      </w:r>
      <w:proofErr w:type="gramStart"/>
      <w:r w:rsidRPr="00921F69">
        <w:rPr>
          <w:rFonts w:cstheme="majorHAnsi"/>
        </w:rPr>
        <w:t>corporations</w:t>
      </w:r>
      <w:proofErr w:type="gramEnd"/>
      <w:r w:rsidRPr="00921F69">
        <w:rPr>
          <w:rFonts w:cstheme="majorHAnsi"/>
        </w:rPr>
        <w:t xml:space="preserve"> sector</w:t>
      </w:r>
      <w:r w:rsidRPr="00921F69">
        <w:rPr>
          <w:rFonts w:cstheme="majorHAnsi"/>
        </w:rPr>
        <w:tab/>
        <w:t>($ million)</w:t>
      </w:r>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180993EF"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6BAA9436" w14:textId="4BB1DF33" w:rsidR="008D6F13" w:rsidRDefault="008D6F13" w:rsidP="0031078F"/>
        </w:tc>
        <w:tc>
          <w:tcPr>
            <w:tcW w:w="794" w:type="dxa"/>
          </w:tcPr>
          <w:p w14:paraId="0A04D6BA"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76AE61D4"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1AEBEE1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6818B2F4"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16961E00"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5D8E6E1A"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27CF890" w14:textId="77777777" w:rsidR="008D6F13" w:rsidRDefault="008D6F13" w:rsidP="0031078F">
            <w:r>
              <w:t>Purchases of non</w:t>
            </w:r>
            <w:r>
              <w:noBreakHyphen/>
              <w:t>financial assets</w:t>
            </w:r>
            <w:r>
              <w:br/>
              <w:t>(including change in inventories)</w:t>
            </w:r>
          </w:p>
        </w:tc>
        <w:tc>
          <w:tcPr>
            <w:tcW w:w="794" w:type="dxa"/>
          </w:tcPr>
          <w:p w14:paraId="4F5883C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3 833</w:t>
            </w:r>
          </w:p>
        </w:tc>
        <w:tc>
          <w:tcPr>
            <w:tcW w:w="794" w:type="dxa"/>
          </w:tcPr>
          <w:p w14:paraId="11C35BF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5 140</w:t>
            </w:r>
          </w:p>
        </w:tc>
        <w:tc>
          <w:tcPr>
            <w:tcW w:w="794" w:type="dxa"/>
          </w:tcPr>
          <w:p w14:paraId="0EAC6FF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4 314</w:t>
            </w:r>
          </w:p>
        </w:tc>
        <w:tc>
          <w:tcPr>
            <w:tcW w:w="794" w:type="dxa"/>
          </w:tcPr>
          <w:p w14:paraId="08514BE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5 110</w:t>
            </w:r>
          </w:p>
        </w:tc>
        <w:tc>
          <w:tcPr>
            <w:tcW w:w="794" w:type="dxa"/>
          </w:tcPr>
          <w:p w14:paraId="31D899B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4 984</w:t>
            </w:r>
          </w:p>
        </w:tc>
      </w:tr>
      <w:tr w:rsidR="008D6F13" w14:paraId="7D35BD7D"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C22CD1D" w14:textId="77777777" w:rsidR="008D6F13" w:rsidRDefault="008D6F13" w:rsidP="0031078F">
            <w:r>
              <w:t>Less: Sales of non</w:t>
            </w:r>
            <w:r>
              <w:noBreakHyphen/>
              <w:t>financial assets</w:t>
            </w:r>
          </w:p>
        </w:tc>
        <w:tc>
          <w:tcPr>
            <w:tcW w:w="794" w:type="dxa"/>
          </w:tcPr>
          <w:p w14:paraId="1E239A1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(227)</w:t>
            </w:r>
          </w:p>
        </w:tc>
        <w:tc>
          <w:tcPr>
            <w:tcW w:w="794" w:type="dxa"/>
          </w:tcPr>
          <w:p w14:paraId="56DA516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(294)</w:t>
            </w:r>
          </w:p>
        </w:tc>
        <w:tc>
          <w:tcPr>
            <w:tcW w:w="794" w:type="dxa"/>
          </w:tcPr>
          <w:p w14:paraId="10726E8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(192)</w:t>
            </w:r>
          </w:p>
        </w:tc>
        <w:tc>
          <w:tcPr>
            <w:tcW w:w="794" w:type="dxa"/>
          </w:tcPr>
          <w:p w14:paraId="110635A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(545)</w:t>
            </w:r>
          </w:p>
        </w:tc>
        <w:tc>
          <w:tcPr>
            <w:tcW w:w="794" w:type="dxa"/>
          </w:tcPr>
          <w:p w14:paraId="364481D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(137)</w:t>
            </w:r>
          </w:p>
        </w:tc>
      </w:tr>
      <w:tr w:rsidR="008D6F13" w14:paraId="0B7C29D3"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1B360F2" w14:textId="77777777" w:rsidR="008D6F13" w:rsidRDefault="008D6F13" w:rsidP="0031078F">
            <w:r>
              <w:t>Less: Depreciation and amortisation</w:t>
            </w:r>
          </w:p>
        </w:tc>
        <w:tc>
          <w:tcPr>
            <w:tcW w:w="794" w:type="dxa"/>
          </w:tcPr>
          <w:p w14:paraId="299AD33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(1 789)</w:t>
            </w:r>
          </w:p>
        </w:tc>
        <w:tc>
          <w:tcPr>
            <w:tcW w:w="794" w:type="dxa"/>
          </w:tcPr>
          <w:p w14:paraId="33A4F03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(1 876)</w:t>
            </w:r>
          </w:p>
        </w:tc>
        <w:tc>
          <w:tcPr>
            <w:tcW w:w="794" w:type="dxa"/>
          </w:tcPr>
          <w:p w14:paraId="59A1548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(1 940)</w:t>
            </w:r>
          </w:p>
        </w:tc>
        <w:tc>
          <w:tcPr>
            <w:tcW w:w="794" w:type="dxa"/>
          </w:tcPr>
          <w:p w14:paraId="1D34053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(2 009)</w:t>
            </w:r>
          </w:p>
        </w:tc>
        <w:tc>
          <w:tcPr>
            <w:tcW w:w="794" w:type="dxa"/>
          </w:tcPr>
          <w:p w14:paraId="6FB846A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(2 072)</w:t>
            </w:r>
          </w:p>
        </w:tc>
      </w:tr>
      <w:tr w:rsidR="008D6F13" w14:paraId="19AB5E4E"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355D4883" w14:textId="77777777" w:rsidR="008D6F13" w:rsidRDefault="008D6F13" w:rsidP="0031078F">
            <w:r>
              <w:t>Plus: Other movements in non</w:t>
            </w:r>
            <w:r>
              <w:noBreakHyphen/>
              <w:t>financial assets</w:t>
            </w:r>
            <w:r>
              <w:rPr>
                <w:vertAlign w:val="superscript"/>
              </w:rPr>
              <w:t xml:space="preserve"> (a)(b)</w:t>
            </w:r>
          </w:p>
        </w:tc>
        <w:tc>
          <w:tcPr>
            <w:tcW w:w="794" w:type="dxa"/>
            <w:tcBorders>
              <w:bottom w:val="single" w:sz="6" w:space="0" w:color="auto"/>
            </w:tcBorders>
          </w:tcPr>
          <w:p w14:paraId="56B3A0A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11 690</w:t>
            </w:r>
          </w:p>
        </w:tc>
        <w:tc>
          <w:tcPr>
            <w:tcW w:w="794" w:type="dxa"/>
            <w:tcBorders>
              <w:bottom w:val="single" w:sz="6" w:space="0" w:color="auto"/>
            </w:tcBorders>
          </w:tcPr>
          <w:p w14:paraId="4427296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4 067</w:t>
            </w:r>
          </w:p>
        </w:tc>
        <w:tc>
          <w:tcPr>
            <w:tcW w:w="794" w:type="dxa"/>
            <w:tcBorders>
              <w:bottom w:val="single" w:sz="6" w:space="0" w:color="auto"/>
            </w:tcBorders>
          </w:tcPr>
          <w:p w14:paraId="2D6CC64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8 830</w:t>
            </w:r>
          </w:p>
        </w:tc>
        <w:tc>
          <w:tcPr>
            <w:tcW w:w="794" w:type="dxa"/>
            <w:tcBorders>
              <w:bottom w:val="single" w:sz="6" w:space="0" w:color="auto"/>
            </w:tcBorders>
          </w:tcPr>
          <w:p w14:paraId="40FFC53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5 011</w:t>
            </w:r>
          </w:p>
        </w:tc>
        <w:tc>
          <w:tcPr>
            <w:tcW w:w="794" w:type="dxa"/>
            <w:tcBorders>
              <w:bottom w:val="single" w:sz="6" w:space="0" w:color="auto"/>
            </w:tcBorders>
          </w:tcPr>
          <w:p w14:paraId="2F3EDCD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4 194</w:t>
            </w:r>
          </w:p>
        </w:tc>
      </w:tr>
      <w:tr w:rsidR="008D6F13" w14:paraId="05135B72"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5E4D9845" w14:textId="77777777" w:rsidR="008D6F13" w:rsidRDefault="008D6F13" w:rsidP="0031078F">
            <w:r>
              <w:rPr>
                <w:b/>
              </w:rPr>
              <w:t>Total net acquisition of non</w:t>
            </w:r>
            <w:r>
              <w:rPr>
                <w:b/>
              </w:rPr>
              <w:noBreakHyphen/>
              <w:t>financial assets from transactions</w:t>
            </w:r>
          </w:p>
        </w:tc>
        <w:tc>
          <w:tcPr>
            <w:tcW w:w="794" w:type="dxa"/>
            <w:tcBorders>
              <w:top w:val="single" w:sz="6" w:space="0" w:color="auto"/>
              <w:bottom w:val="single" w:sz="12" w:space="0" w:color="auto"/>
            </w:tcBorders>
          </w:tcPr>
          <w:p w14:paraId="61D7894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13 506</w:t>
            </w:r>
          </w:p>
        </w:tc>
        <w:tc>
          <w:tcPr>
            <w:tcW w:w="794" w:type="dxa"/>
            <w:tcBorders>
              <w:top w:val="single" w:sz="6" w:space="0" w:color="auto"/>
              <w:bottom w:val="single" w:sz="12" w:space="0" w:color="auto"/>
            </w:tcBorders>
          </w:tcPr>
          <w:p w14:paraId="24BA261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7 037</w:t>
            </w:r>
          </w:p>
        </w:tc>
        <w:tc>
          <w:tcPr>
            <w:tcW w:w="794" w:type="dxa"/>
            <w:tcBorders>
              <w:top w:val="single" w:sz="6" w:space="0" w:color="auto"/>
              <w:bottom w:val="single" w:sz="12" w:space="0" w:color="auto"/>
            </w:tcBorders>
          </w:tcPr>
          <w:p w14:paraId="1453E3C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11 012</w:t>
            </w:r>
          </w:p>
        </w:tc>
        <w:tc>
          <w:tcPr>
            <w:tcW w:w="794" w:type="dxa"/>
            <w:tcBorders>
              <w:top w:val="single" w:sz="6" w:space="0" w:color="auto"/>
              <w:bottom w:val="single" w:sz="12" w:space="0" w:color="auto"/>
            </w:tcBorders>
          </w:tcPr>
          <w:p w14:paraId="7156DFB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7 567</w:t>
            </w:r>
          </w:p>
        </w:tc>
        <w:tc>
          <w:tcPr>
            <w:tcW w:w="794" w:type="dxa"/>
            <w:tcBorders>
              <w:top w:val="single" w:sz="6" w:space="0" w:color="auto"/>
              <w:bottom w:val="single" w:sz="12" w:space="0" w:color="auto"/>
            </w:tcBorders>
          </w:tcPr>
          <w:p w14:paraId="2CD1BB83" w14:textId="1F95AA45"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6 969</w:t>
            </w:r>
          </w:p>
        </w:tc>
      </w:tr>
    </w:tbl>
    <w:p w14:paraId="52A7E97F" w14:textId="77777777" w:rsidR="008D6F13" w:rsidRDefault="008D6F13" w:rsidP="008D6F13">
      <w:pPr>
        <w:pStyle w:val="Note"/>
        <w:ind w:left="0" w:firstLine="0"/>
      </w:pPr>
      <w:r>
        <w:t>Notes:</w:t>
      </w:r>
    </w:p>
    <w:p w14:paraId="0EB5991D" w14:textId="77777777" w:rsidR="008D6F13" w:rsidRDefault="008D6F13" w:rsidP="008D6F13">
      <w:pPr>
        <w:pStyle w:val="Note"/>
      </w:pPr>
      <w:r>
        <w:t>(a)</w:t>
      </w:r>
      <w:r>
        <w:tab/>
        <w:t>The other movements in non-financial assets primarily include fixed asset transfers from the general government sector to the public non</w:t>
      </w:r>
      <w:r>
        <w:noBreakHyphen/>
        <w:t xml:space="preserve">financial </w:t>
      </w:r>
      <w:proofErr w:type="gramStart"/>
      <w:r>
        <w:t>corporations</w:t>
      </w:r>
      <w:proofErr w:type="gramEnd"/>
      <w:r>
        <w:t xml:space="preserve"> sector </w:t>
      </w:r>
      <w:r w:rsidRPr="00021BFF">
        <w:t xml:space="preserve">and recognising service concession arrangements </w:t>
      </w:r>
      <w:r>
        <w:t xml:space="preserve">arising </w:t>
      </w:r>
      <w:r w:rsidRPr="00021BFF">
        <w:t>from public private partnerships.</w:t>
      </w:r>
    </w:p>
    <w:p w14:paraId="67BF9731" w14:textId="77777777" w:rsidR="008D6F13" w:rsidRDefault="008D6F13" w:rsidP="008D6F13">
      <w:pPr>
        <w:pStyle w:val="Note"/>
      </w:pPr>
      <w:r>
        <w:t>(b)</w:t>
      </w:r>
      <w:r>
        <w:tab/>
      </w:r>
      <w:r w:rsidRPr="00021BFF">
        <w:t xml:space="preserve">The </w:t>
      </w:r>
      <w:r>
        <w:t>public private partnership</w:t>
      </w:r>
      <w:r w:rsidRPr="00021BFF">
        <w:t xml:space="preserve"> across the budget and forward estimates relates to</w:t>
      </w:r>
      <w:r>
        <w:t xml:space="preserve"> </w:t>
      </w:r>
      <w:r w:rsidRPr="00EB4BF4">
        <w:t>the North East Link.</w:t>
      </w:r>
    </w:p>
    <w:p w14:paraId="3C1832B4" w14:textId="77777777" w:rsidR="008D6F13" w:rsidRPr="00921F69" w:rsidRDefault="008D6F13" w:rsidP="008D6F13">
      <w:pPr>
        <w:keepLines w:val="0"/>
        <w:rPr>
          <w:rFonts w:asciiTheme="majorHAnsi" w:hAnsiTheme="majorHAnsi" w:cstheme="majorHAnsi"/>
        </w:rPr>
      </w:pPr>
      <w:r>
        <w:rPr>
          <w:rFonts w:asciiTheme="majorHAnsi" w:hAnsiTheme="majorHAnsi" w:cstheme="majorHAnsi"/>
        </w:rPr>
        <w:br w:type="page"/>
      </w:r>
    </w:p>
    <w:p w14:paraId="075DFF8E" w14:textId="290DA6E2" w:rsidR="008D6F13" w:rsidRPr="00921F69" w:rsidRDefault="008D6F13" w:rsidP="008D6F13">
      <w:pPr>
        <w:pStyle w:val="TableHeading"/>
        <w:rPr>
          <w:rFonts w:cstheme="majorHAnsi"/>
        </w:rPr>
      </w:pPr>
      <w:r w:rsidRPr="00921F69">
        <w:rPr>
          <w:rFonts w:cstheme="majorHAnsi"/>
        </w:rPr>
        <w:lastRenderedPageBreak/>
        <w:t>Table 5.6</w:t>
      </w:r>
      <w:r w:rsidR="007F1FE4">
        <w:rPr>
          <w:rFonts w:cstheme="majorHAnsi"/>
        </w:rPr>
        <w:t>:</w:t>
      </w:r>
      <w:r w:rsidRPr="00921F69">
        <w:rPr>
          <w:rFonts w:cstheme="majorHAnsi"/>
        </w:rPr>
        <w:tab/>
        <w:t xml:space="preserve">Non-financial public sector comprehensive operating statement </w:t>
      </w:r>
      <w:r w:rsidRPr="00921F69">
        <w:rPr>
          <w:rFonts w:cstheme="majorHAnsi"/>
        </w:rPr>
        <w:br/>
        <w:t>for the financial year ended 30 June</w:t>
      </w:r>
      <w:r w:rsidRPr="00921F69">
        <w:rPr>
          <w:rFonts w:cstheme="majorHAnsi"/>
        </w:rPr>
        <w:tab/>
        <w:t>($ million)</w:t>
      </w:r>
    </w:p>
    <w:tbl>
      <w:tblPr>
        <w:tblStyle w:val="DTFTableNumeric"/>
        <w:tblW w:w="7710" w:type="dxa"/>
        <w:tblLayout w:type="fixed"/>
        <w:tblLook w:val="06A0" w:firstRow="1" w:lastRow="0" w:firstColumn="1" w:lastColumn="0" w:noHBand="1" w:noVBand="1"/>
      </w:tblPr>
      <w:tblGrid>
        <w:gridCol w:w="3822"/>
        <w:gridCol w:w="126"/>
        <w:gridCol w:w="586"/>
        <w:gridCol w:w="794"/>
        <w:gridCol w:w="794"/>
        <w:gridCol w:w="794"/>
        <w:gridCol w:w="794"/>
      </w:tblGrid>
      <w:tr w:rsidR="008D6F13" w14:paraId="207D6911"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2" w:type="dxa"/>
          </w:tcPr>
          <w:p w14:paraId="3C21AE19" w14:textId="4719CB10" w:rsidR="008D6F13" w:rsidRDefault="008D6F13" w:rsidP="0031078F">
            <w:pPr>
              <w:spacing w:after="0"/>
            </w:pPr>
          </w:p>
        </w:tc>
        <w:tc>
          <w:tcPr>
            <w:tcW w:w="712" w:type="dxa"/>
            <w:gridSpan w:val="2"/>
          </w:tcPr>
          <w:p w14:paraId="7320C1CE" w14:textId="77777777" w:rsidR="008D6F13" w:rsidRDefault="008D6F13" w:rsidP="0031078F">
            <w:pPr>
              <w:spacing w:after="0"/>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4AB7FC0A" w14:textId="77777777" w:rsidR="008D6F13" w:rsidRDefault="008D6F13" w:rsidP="0031078F">
            <w:pPr>
              <w:spacing w:after="0"/>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0F4CDD62" w14:textId="77777777" w:rsidR="008D6F13" w:rsidRDefault="008D6F13" w:rsidP="0031078F">
            <w:pPr>
              <w:spacing w:after="0"/>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12D5B299" w14:textId="77777777" w:rsidR="008D6F13" w:rsidRDefault="008D6F13" w:rsidP="0031078F">
            <w:pPr>
              <w:spacing w:after="0"/>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2B3161B0" w14:textId="77777777" w:rsidR="008D6F13" w:rsidRDefault="008D6F13" w:rsidP="0031078F">
            <w:pPr>
              <w:spacing w:after="0"/>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562DB7CD" w14:textId="77777777" w:rsidTr="0031078F">
        <w:tc>
          <w:tcPr>
            <w:cnfStyle w:val="001000000000" w:firstRow="0" w:lastRow="0" w:firstColumn="1" w:lastColumn="0" w:oddVBand="0" w:evenVBand="0" w:oddHBand="0" w:evenHBand="0" w:firstRowFirstColumn="0" w:firstRowLastColumn="0" w:lastRowFirstColumn="0" w:lastRowLastColumn="0"/>
            <w:tcW w:w="3822" w:type="dxa"/>
          </w:tcPr>
          <w:p w14:paraId="063479A3" w14:textId="77777777" w:rsidR="008D6F13" w:rsidRDefault="008D6F13" w:rsidP="0031078F">
            <w:pPr>
              <w:spacing w:after="0"/>
            </w:pPr>
            <w:r>
              <w:rPr>
                <w:b/>
              </w:rPr>
              <w:t>Revenue and income from transactions</w:t>
            </w:r>
          </w:p>
        </w:tc>
        <w:tc>
          <w:tcPr>
            <w:tcW w:w="712" w:type="dxa"/>
            <w:gridSpan w:val="2"/>
          </w:tcPr>
          <w:p w14:paraId="262B082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5BE3B06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8F263A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5E53B5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622F56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r>
      <w:tr w:rsidR="008D6F13" w14:paraId="44173066" w14:textId="77777777" w:rsidTr="0031078F">
        <w:tc>
          <w:tcPr>
            <w:cnfStyle w:val="001000000000" w:firstRow="0" w:lastRow="0" w:firstColumn="1" w:lastColumn="0" w:oddVBand="0" w:evenVBand="0" w:oddHBand="0" w:evenHBand="0" w:firstRowFirstColumn="0" w:firstRowLastColumn="0" w:lastRowFirstColumn="0" w:lastRowLastColumn="0"/>
            <w:tcW w:w="3822" w:type="dxa"/>
          </w:tcPr>
          <w:p w14:paraId="32F11A93" w14:textId="77777777" w:rsidR="008D6F13" w:rsidRDefault="008D6F13" w:rsidP="0031078F">
            <w:pPr>
              <w:spacing w:after="0"/>
            </w:pPr>
            <w:r>
              <w:t>Taxation</w:t>
            </w:r>
          </w:p>
        </w:tc>
        <w:tc>
          <w:tcPr>
            <w:tcW w:w="712" w:type="dxa"/>
            <w:gridSpan w:val="2"/>
          </w:tcPr>
          <w:p w14:paraId="669550D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26 127</w:t>
            </w:r>
          </w:p>
        </w:tc>
        <w:tc>
          <w:tcPr>
            <w:tcW w:w="794" w:type="dxa"/>
          </w:tcPr>
          <w:p w14:paraId="094B475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26 546</w:t>
            </w:r>
          </w:p>
        </w:tc>
        <w:tc>
          <w:tcPr>
            <w:tcW w:w="794" w:type="dxa"/>
          </w:tcPr>
          <w:p w14:paraId="27FC720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28 998</w:t>
            </w:r>
          </w:p>
        </w:tc>
        <w:tc>
          <w:tcPr>
            <w:tcW w:w="794" w:type="dxa"/>
          </w:tcPr>
          <w:p w14:paraId="1AB0455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30 538</w:t>
            </w:r>
          </w:p>
        </w:tc>
        <w:tc>
          <w:tcPr>
            <w:tcW w:w="794" w:type="dxa"/>
          </w:tcPr>
          <w:p w14:paraId="77604A8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31 960</w:t>
            </w:r>
          </w:p>
        </w:tc>
      </w:tr>
      <w:tr w:rsidR="008D6F13" w14:paraId="390C52F4" w14:textId="77777777" w:rsidTr="0031078F">
        <w:tc>
          <w:tcPr>
            <w:cnfStyle w:val="001000000000" w:firstRow="0" w:lastRow="0" w:firstColumn="1" w:lastColumn="0" w:oddVBand="0" w:evenVBand="0" w:oddHBand="0" w:evenHBand="0" w:firstRowFirstColumn="0" w:firstRowLastColumn="0" w:lastRowFirstColumn="0" w:lastRowLastColumn="0"/>
            <w:tcW w:w="3822" w:type="dxa"/>
          </w:tcPr>
          <w:p w14:paraId="48A88482" w14:textId="77777777" w:rsidR="008D6F13" w:rsidRDefault="008D6F13" w:rsidP="0031078F">
            <w:pPr>
              <w:spacing w:after="0"/>
            </w:pPr>
            <w:r>
              <w:t>Interest income</w:t>
            </w:r>
          </w:p>
        </w:tc>
        <w:tc>
          <w:tcPr>
            <w:tcW w:w="712" w:type="dxa"/>
            <w:gridSpan w:val="2"/>
          </w:tcPr>
          <w:p w14:paraId="03F045B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197</w:t>
            </w:r>
          </w:p>
        </w:tc>
        <w:tc>
          <w:tcPr>
            <w:tcW w:w="794" w:type="dxa"/>
          </w:tcPr>
          <w:p w14:paraId="33AE88A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189</w:t>
            </w:r>
          </w:p>
        </w:tc>
        <w:tc>
          <w:tcPr>
            <w:tcW w:w="794" w:type="dxa"/>
          </w:tcPr>
          <w:p w14:paraId="49BDDB2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192</w:t>
            </w:r>
          </w:p>
        </w:tc>
        <w:tc>
          <w:tcPr>
            <w:tcW w:w="794" w:type="dxa"/>
          </w:tcPr>
          <w:p w14:paraId="138CD7D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193</w:t>
            </w:r>
          </w:p>
        </w:tc>
        <w:tc>
          <w:tcPr>
            <w:tcW w:w="794" w:type="dxa"/>
          </w:tcPr>
          <w:p w14:paraId="1D3FF0F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196</w:t>
            </w:r>
          </w:p>
        </w:tc>
      </w:tr>
      <w:tr w:rsidR="008D6F13" w14:paraId="6DD0D72C" w14:textId="77777777" w:rsidTr="0031078F">
        <w:tc>
          <w:tcPr>
            <w:cnfStyle w:val="001000000000" w:firstRow="0" w:lastRow="0" w:firstColumn="1" w:lastColumn="0" w:oddVBand="0" w:evenVBand="0" w:oddHBand="0" w:evenHBand="0" w:firstRowFirstColumn="0" w:firstRowLastColumn="0" w:lastRowFirstColumn="0" w:lastRowLastColumn="0"/>
            <w:tcW w:w="3822" w:type="dxa"/>
          </w:tcPr>
          <w:p w14:paraId="28D733F5" w14:textId="77777777" w:rsidR="008D6F13" w:rsidRDefault="008D6F13" w:rsidP="0031078F">
            <w:pPr>
              <w:spacing w:after="0"/>
            </w:pPr>
            <w:r>
              <w:t xml:space="preserve">Dividends, income tax equivalent and </w:t>
            </w:r>
            <w:r>
              <w:br/>
              <w:t>rate equivalent income</w:t>
            </w:r>
          </w:p>
        </w:tc>
        <w:tc>
          <w:tcPr>
            <w:tcW w:w="712" w:type="dxa"/>
            <w:gridSpan w:val="2"/>
          </w:tcPr>
          <w:p w14:paraId="62F1054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283</w:t>
            </w:r>
          </w:p>
        </w:tc>
        <w:tc>
          <w:tcPr>
            <w:tcW w:w="794" w:type="dxa"/>
          </w:tcPr>
          <w:p w14:paraId="5363AB3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286</w:t>
            </w:r>
          </w:p>
        </w:tc>
        <w:tc>
          <w:tcPr>
            <w:tcW w:w="794" w:type="dxa"/>
          </w:tcPr>
          <w:p w14:paraId="31AC289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224</w:t>
            </w:r>
          </w:p>
        </w:tc>
        <w:tc>
          <w:tcPr>
            <w:tcW w:w="794" w:type="dxa"/>
          </w:tcPr>
          <w:p w14:paraId="349DC08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241</w:t>
            </w:r>
          </w:p>
        </w:tc>
        <w:tc>
          <w:tcPr>
            <w:tcW w:w="794" w:type="dxa"/>
          </w:tcPr>
          <w:p w14:paraId="22F00A8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261</w:t>
            </w:r>
          </w:p>
        </w:tc>
      </w:tr>
      <w:tr w:rsidR="008D6F13" w14:paraId="15EA2815" w14:textId="77777777" w:rsidTr="0031078F">
        <w:tc>
          <w:tcPr>
            <w:cnfStyle w:val="001000000000" w:firstRow="0" w:lastRow="0" w:firstColumn="1" w:lastColumn="0" w:oddVBand="0" w:evenVBand="0" w:oddHBand="0" w:evenHBand="0" w:firstRowFirstColumn="0" w:firstRowLastColumn="0" w:lastRowFirstColumn="0" w:lastRowLastColumn="0"/>
            <w:tcW w:w="3822" w:type="dxa"/>
          </w:tcPr>
          <w:p w14:paraId="7FDBB608" w14:textId="77777777" w:rsidR="008D6F13" w:rsidRDefault="008D6F13" w:rsidP="0031078F">
            <w:pPr>
              <w:spacing w:after="0"/>
            </w:pPr>
            <w:r>
              <w:t>Sales of goods and services</w:t>
            </w:r>
          </w:p>
        </w:tc>
        <w:tc>
          <w:tcPr>
            <w:tcW w:w="712" w:type="dxa"/>
            <w:gridSpan w:val="2"/>
          </w:tcPr>
          <w:p w14:paraId="2AE3454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12 531</w:t>
            </w:r>
          </w:p>
        </w:tc>
        <w:tc>
          <w:tcPr>
            <w:tcW w:w="794" w:type="dxa"/>
          </w:tcPr>
          <w:p w14:paraId="6BE5455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12 127</w:t>
            </w:r>
          </w:p>
        </w:tc>
        <w:tc>
          <w:tcPr>
            <w:tcW w:w="794" w:type="dxa"/>
          </w:tcPr>
          <w:p w14:paraId="55A26D0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13 291</w:t>
            </w:r>
          </w:p>
        </w:tc>
        <w:tc>
          <w:tcPr>
            <w:tcW w:w="794" w:type="dxa"/>
          </w:tcPr>
          <w:p w14:paraId="533C9B0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13 575</w:t>
            </w:r>
          </w:p>
        </w:tc>
        <w:tc>
          <w:tcPr>
            <w:tcW w:w="794" w:type="dxa"/>
          </w:tcPr>
          <w:p w14:paraId="57132E7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13 798</w:t>
            </w:r>
          </w:p>
        </w:tc>
      </w:tr>
      <w:tr w:rsidR="008D6F13" w14:paraId="3A832E7A" w14:textId="77777777" w:rsidTr="0031078F">
        <w:tc>
          <w:tcPr>
            <w:cnfStyle w:val="001000000000" w:firstRow="0" w:lastRow="0" w:firstColumn="1" w:lastColumn="0" w:oddVBand="0" w:evenVBand="0" w:oddHBand="0" w:evenHBand="0" w:firstRowFirstColumn="0" w:firstRowLastColumn="0" w:lastRowFirstColumn="0" w:lastRowLastColumn="0"/>
            <w:tcW w:w="3822" w:type="dxa"/>
          </w:tcPr>
          <w:p w14:paraId="53105E7B" w14:textId="77777777" w:rsidR="008D6F13" w:rsidRDefault="008D6F13" w:rsidP="0031078F">
            <w:pPr>
              <w:spacing w:after="0"/>
            </w:pPr>
            <w:r>
              <w:t>Grants</w:t>
            </w:r>
          </w:p>
        </w:tc>
        <w:tc>
          <w:tcPr>
            <w:tcW w:w="712" w:type="dxa"/>
            <w:gridSpan w:val="2"/>
          </w:tcPr>
          <w:p w14:paraId="36057F0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36 767</w:t>
            </w:r>
          </w:p>
        </w:tc>
        <w:tc>
          <w:tcPr>
            <w:tcW w:w="794" w:type="dxa"/>
          </w:tcPr>
          <w:p w14:paraId="0BE63FE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40 445</w:t>
            </w:r>
          </w:p>
        </w:tc>
        <w:tc>
          <w:tcPr>
            <w:tcW w:w="794" w:type="dxa"/>
          </w:tcPr>
          <w:p w14:paraId="1B2E420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39 210</w:t>
            </w:r>
          </w:p>
        </w:tc>
        <w:tc>
          <w:tcPr>
            <w:tcW w:w="794" w:type="dxa"/>
          </w:tcPr>
          <w:p w14:paraId="58A800D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39 974</w:t>
            </w:r>
          </w:p>
        </w:tc>
        <w:tc>
          <w:tcPr>
            <w:tcW w:w="794" w:type="dxa"/>
          </w:tcPr>
          <w:p w14:paraId="4034894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41 349</w:t>
            </w:r>
          </w:p>
        </w:tc>
      </w:tr>
      <w:tr w:rsidR="008D6F13" w14:paraId="0BCBEE62" w14:textId="77777777" w:rsidTr="0031078F">
        <w:tc>
          <w:tcPr>
            <w:cnfStyle w:val="001000000000" w:firstRow="0" w:lastRow="0" w:firstColumn="1" w:lastColumn="0" w:oddVBand="0" w:evenVBand="0" w:oddHBand="0" w:evenHBand="0" w:firstRowFirstColumn="0" w:firstRowLastColumn="0" w:lastRowFirstColumn="0" w:lastRowLastColumn="0"/>
            <w:tcW w:w="3822" w:type="dxa"/>
            <w:tcBorders>
              <w:bottom w:val="single" w:sz="6" w:space="0" w:color="auto"/>
            </w:tcBorders>
          </w:tcPr>
          <w:p w14:paraId="559AD550" w14:textId="77777777" w:rsidR="008D6F13" w:rsidRDefault="008D6F13" w:rsidP="0031078F">
            <w:pPr>
              <w:spacing w:after="0"/>
            </w:pPr>
            <w:r>
              <w:t>Other revenue an income</w:t>
            </w:r>
          </w:p>
        </w:tc>
        <w:tc>
          <w:tcPr>
            <w:tcW w:w="712" w:type="dxa"/>
            <w:gridSpan w:val="2"/>
            <w:tcBorders>
              <w:bottom w:val="single" w:sz="6" w:space="0" w:color="auto"/>
            </w:tcBorders>
          </w:tcPr>
          <w:p w14:paraId="2FF6337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4 194</w:t>
            </w:r>
          </w:p>
        </w:tc>
        <w:tc>
          <w:tcPr>
            <w:tcW w:w="794" w:type="dxa"/>
            <w:tcBorders>
              <w:bottom w:val="single" w:sz="6" w:space="0" w:color="auto"/>
            </w:tcBorders>
          </w:tcPr>
          <w:p w14:paraId="1321D23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3 966</w:t>
            </w:r>
          </w:p>
        </w:tc>
        <w:tc>
          <w:tcPr>
            <w:tcW w:w="794" w:type="dxa"/>
            <w:tcBorders>
              <w:bottom w:val="single" w:sz="6" w:space="0" w:color="auto"/>
            </w:tcBorders>
          </w:tcPr>
          <w:p w14:paraId="138A94B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4 098</w:t>
            </w:r>
          </w:p>
        </w:tc>
        <w:tc>
          <w:tcPr>
            <w:tcW w:w="794" w:type="dxa"/>
            <w:tcBorders>
              <w:bottom w:val="single" w:sz="6" w:space="0" w:color="auto"/>
            </w:tcBorders>
          </w:tcPr>
          <w:p w14:paraId="46774F2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3 804</w:t>
            </w:r>
          </w:p>
        </w:tc>
        <w:tc>
          <w:tcPr>
            <w:tcW w:w="794" w:type="dxa"/>
            <w:tcBorders>
              <w:bottom w:val="single" w:sz="6" w:space="0" w:color="auto"/>
            </w:tcBorders>
          </w:tcPr>
          <w:p w14:paraId="6A24408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4 021</w:t>
            </w:r>
          </w:p>
        </w:tc>
      </w:tr>
      <w:tr w:rsidR="008D6F13" w14:paraId="6720D323" w14:textId="77777777" w:rsidTr="0031078F">
        <w:tc>
          <w:tcPr>
            <w:cnfStyle w:val="001000000000" w:firstRow="0" w:lastRow="0" w:firstColumn="1" w:lastColumn="0" w:oddVBand="0" w:evenVBand="0" w:oddHBand="0" w:evenHBand="0" w:firstRowFirstColumn="0" w:firstRowLastColumn="0" w:lastRowFirstColumn="0" w:lastRowLastColumn="0"/>
            <w:tcW w:w="3822" w:type="dxa"/>
            <w:tcBorders>
              <w:top w:val="single" w:sz="6" w:space="0" w:color="auto"/>
            </w:tcBorders>
          </w:tcPr>
          <w:p w14:paraId="2984E4B1" w14:textId="77777777" w:rsidR="008D6F13" w:rsidRDefault="008D6F13" w:rsidP="0031078F">
            <w:pPr>
              <w:spacing w:after="0"/>
            </w:pPr>
            <w:r>
              <w:rPr>
                <w:b/>
              </w:rPr>
              <w:t>Total revenue and income from transactions</w:t>
            </w:r>
          </w:p>
        </w:tc>
        <w:tc>
          <w:tcPr>
            <w:tcW w:w="712" w:type="dxa"/>
            <w:gridSpan w:val="2"/>
            <w:tcBorders>
              <w:top w:val="single" w:sz="6" w:space="0" w:color="auto"/>
            </w:tcBorders>
          </w:tcPr>
          <w:p w14:paraId="6A4631E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80 100</w:t>
            </w:r>
          </w:p>
        </w:tc>
        <w:tc>
          <w:tcPr>
            <w:tcW w:w="794" w:type="dxa"/>
            <w:tcBorders>
              <w:top w:val="single" w:sz="6" w:space="0" w:color="auto"/>
            </w:tcBorders>
          </w:tcPr>
          <w:p w14:paraId="21F4DEA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83 558</w:t>
            </w:r>
          </w:p>
        </w:tc>
        <w:tc>
          <w:tcPr>
            <w:tcW w:w="794" w:type="dxa"/>
            <w:tcBorders>
              <w:top w:val="single" w:sz="6" w:space="0" w:color="auto"/>
            </w:tcBorders>
          </w:tcPr>
          <w:p w14:paraId="4A0DA86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86 013</w:t>
            </w:r>
          </w:p>
        </w:tc>
        <w:tc>
          <w:tcPr>
            <w:tcW w:w="794" w:type="dxa"/>
            <w:tcBorders>
              <w:top w:val="single" w:sz="6" w:space="0" w:color="auto"/>
            </w:tcBorders>
          </w:tcPr>
          <w:p w14:paraId="0902FA3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88 326</w:t>
            </w:r>
          </w:p>
        </w:tc>
        <w:tc>
          <w:tcPr>
            <w:tcW w:w="794" w:type="dxa"/>
            <w:tcBorders>
              <w:top w:val="single" w:sz="6" w:space="0" w:color="auto"/>
            </w:tcBorders>
          </w:tcPr>
          <w:p w14:paraId="52461F0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91 585</w:t>
            </w:r>
          </w:p>
        </w:tc>
      </w:tr>
      <w:tr w:rsidR="008D6F13" w14:paraId="003504B2" w14:textId="77777777" w:rsidTr="0031078F">
        <w:tc>
          <w:tcPr>
            <w:cnfStyle w:val="001000000000" w:firstRow="0" w:lastRow="0" w:firstColumn="1" w:lastColumn="0" w:oddVBand="0" w:evenVBand="0" w:oddHBand="0" w:evenHBand="0" w:firstRowFirstColumn="0" w:firstRowLastColumn="0" w:lastRowFirstColumn="0" w:lastRowLastColumn="0"/>
            <w:tcW w:w="3822" w:type="dxa"/>
          </w:tcPr>
          <w:p w14:paraId="7150DB20" w14:textId="77777777" w:rsidR="008D6F13" w:rsidRDefault="008D6F13" w:rsidP="0031078F">
            <w:pPr>
              <w:spacing w:after="0"/>
            </w:pPr>
            <w:r>
              <w:rPr>
                <w:b/>
              </w:rPr>
              <w:t>Expenses from transactions</w:t>
            </w:r>
          </w:p>
        </w:tc>
        <w:tc>
          <w:tcPr>
            <w:tcW w:w="712" w:type="dxa"/>
            <w:gridSpan w:val="2"/>
          </w:tcPr>
          <w:p w14:paraId="45F34CA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1D1014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6A2AF3B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CD53F3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6BE6617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r>
      <w:tr w:rsidR="008D6F13" w14:paraId="636A7C82" w14:textId="77777777" w:rsidTr="0031078F">
        <w:tc>
          <w:tcPr>
            <w:cnfStyle w:val="001000000000" w:firstRow="0" w:lastRow="0" w:firstColumn="1" w:lastColumn="0" w:oddVBand="0" w:evenVBand="0" w:oddHBand="0" w:evenHBand="0" w:firstRowFirstColumn="0" w:firstRowLastColumn="0" w:lastRowFirstColumn="0" w:lastRowLastColumn="0"/>
            <w:tcW w:w="3822" w:type="dxa"/>
          </w:tcPr>
          <w:p w14:paraId="0D01CFA6" w14:textId="77777777" w:rsidR="008D6F13" w:rsidRDefault="008D6F13" w:rsidP="0031078F">
            <w:pPr>
              <w:spacing w:after="0"/>
            </w:pPr>
            <w:r>
              <w:t>Employee expenses</w:t>
            </w:r>
          </w:p>
        </w:tc>
        <w:tc>
          <w:tcPr>
            <w:tcW w:w="712" w:type="dxa"/>
            <w:gridSpan w:val="2"/>
          </w:tcPr>
          <w:p w14:paraId="1987C28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33 155</w:t>
            </w:r>
          </w:p>
        </w:tc>
        <w:tc>
          <w:tcPr>
            <w:tcW w:w="794" w:type="dxa"/>
          </w:tcPr>
          <w:p w14:paraId="083DEE1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34 298</w:t>
            </w:r>
          </w:p>
        </w:tc>
        <w:tc>
          <w:tcPr>
            <w:tcW w:w="794" w:type="dxa"/>
          </w:tcPr>
          <w:p w14:paraId="4AE33F5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34 586</w:t>
            </w:r>
          </w:p>
        </w:tc>
        <w:tc>
          <w:tcPr>
            <w:tcW w:w="794" w:type="dxa"/>
          </w:tcPr>
          <w:p w14:paraId="0B017BB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35 368</w:t>
            </w:r>
          </w:p>
        </w:tc>
        <w:tc>
          <w:tcPr>
            <w:tcW w:w="794" w:type="dxa"/>
          </w:tcPr>
          <w:p w14:paraId="52F3860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36 148</w:t>
            </w:r>
          </w:p>
        </w:tc>
      </w:tr>
      <w:tr w:rsidR="008D6F13" w14:paraId="5BAEDBA0" w14:textId="77777777" w:rsidTr="0031078F">
        <w:tc>
          <w:tcPr>
            <w:cnfStyle w:val="001000000000" w:firstRow="0" w:lastRow="0" w:firstColumn="1" w:lastColumn="0" w:oddVBand="0" w:evenVBand="0" w:oddHBand="0" w:evenHBand="0" w:firstRowFirstColumn="0" w:firstRowLastColumn="0" w:lastRowFirstColumn="0" w:lastRowLastColumn="0"/>
            <w:tcW w:w="3822" w:type="dxa"/>
          </w:tcPr>
          <w:p w14:paraId="073774A0" w14:textId="77777777" w:rsidR="008D6F13" w:rsidRDefault="008D6F13" w:rsidP="0031078F">
            <w:pPr>
              <w:spacing w:after="0"/>
            </w:pPr>
            <w:r>
              <w:t>Net superannuation interest expense</w:t>
            </w:r>
          </w:p>
        </w:tc>
        <w:tc>
          <w:tcPr>
            <w:tcW w:w="712" w:type="dxa"/>
            <w:gridSpan w:val="2"/>
          </w:tcPr>
          <w:p w14:paraId="7581D91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569</w:t>
            </w:r>
          </w:p>
        </w:tc>
        <w:tc>
          <w:tcPr>
            <w:tcW w:w="794" w:type="dxa"/>
          </w:tcPr>
          <w:p w14:paraId="117245B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485</w:t>
            </w:r>
          </w:p>
        </w:tc>
        <w:tc>
          <w:tcPr>
            <w:tcW w:w="794" w:type="dxa"/>
          </w:tcPr>
          <w:p w14:paraId="67E82E0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454</w:t>
            </w:r>
          </w:p>
        </w:tc>
        <w:tc>
          <w:tcPr>
            <w:tcW w:w="794" w:type="dxa"/>
          </w:tcPr>
          <w:p w14:paraId="5139B7A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435</w:t>
            </w:r>
          </w:p>
        </w:tc>
        <w:tc>
          <w:tcPr>
            <w:tcW w:w="794" w:type="dxa"/>
          </w:tcPr>
          <w:p w14:paraId="2E46581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418</w:t>
            </w:r>
          </w:p>
        </w:tc>
      </w:tr>
      <w:tr w:rsidR="008D6F13" w14:paraId="54075919" w14:textId="77777777" w:rsidTr="0031078F">
        <w:tc>
          <w:tcPr>
            <w:cnfStyle w:val="001000000000" w:firstRow="0" w:lastRow="0" w:firstColumn="1" w:lastColumn="0" w:oddVBand="0" w:evenVBand="0" w:oddHBand="0" w:evenHBand="0" w:firstRowFirstColumn="0" w:firstRowLastColumn="0" w:lastRowFirstColumn="0" w:lastRowLastColumn="0"/>
            <w:tcW w:w="3822" w:type="dxa"/>
          </w:tcPr>
          <w:p w14:paraId="5E2C5E78" w14:textId="77777777" w:rsidR="008D6F13" w:rsidRDefault="008D6F13" w:rsidP="0031078F">
            <w:pPr>
              <w:spacing w:after="0"/>
            </w:pPr>
            <w:r>
              <w:t>Other superannuation</w:t>
            </w:r>
          </w:p>
        </w:tc>
        <w:tc>
          <w:tcPr>
            <w:tcW w:w="712" w:type="dxa"/>
            <w:gridSpan w:val="2"/>
          </w:tcPr>
          <w:p w14:paraId="6730F72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3 818</w:t>
            </w:r>
          </w:p>
        </w:tc>
        <w:tc>
          <w:tcPr>
            <w:tcW w:w="794" w:type="dxa"/>
          </w:tcPr>
          <w:p w14:paraId="5C86CA5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3 768</w:t>
            </w:r>
          </w:p>
        </w:tc>
        <w:tc>
          <w:tcPr>
            <w:tcW w:w="794" w:type="dxa"/>
          </w:tcPr>
          <w:p w14:paraId="3A0E564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3 809</w:t>
            </w:r>
          </w:p>
        </w:tc>
        <w:tc>
          <w:tcPr>
            <w:tcW w:w="794" w:type="dxa"/>
          </w:tcPr>
          <w:p w14:paraId="5310013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3 983</w:t>
            </w:r>
          </w:p>
        </w:tc>
        <w:tc>
          <w:tcPr>
            <w:tcW w:w="794" w:type="dxa"/>
          </w:tcPr>
          <w:p w14:paraId="280B494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4 133</w:t>
            </w:r>
          </w:p>
        </w:tc>
      </w:tr>
      <w:tr w:rsidR="008D6F13" w14:paraId="07FCE3F6" w14:textId="77777777" w:rsidTr="0031078F">
        <w:tc>
          <w:tcPr>
            <w:cnfStyle w:val="001000000000" w:firstRow="0" w:lastRow="0" w:firstColumn="1" w:lastColumn="0" w:oddVBand="0" w:evenVBand="0" w:oddHBand="0" w:evenHBand="0" w:firstRowFirstColumn="0" w:firstRowLastColumn="0" w:lastRowFirstColumn="0" w:lastRowLastColumn="0"/>
            <w:tcW w:w="3822" w:type="dxa"/>
          </w:tcPr>
          <w:p w14:paraId="38F1FD48" w14:textId="77777777" w:rsidR="008D6F13" w:rsidRDefault="008D6F13" w:rsidP="0031078F">
            <w:pPr>
              <w:spacing w:after="0"/>
            </w:pPr>
            <w:r>
              <w:t>Depreciation</w:t>
            </w:r>
          </w:p>
        </w:tc>
        <w:tc>
          <w:tcPr>
            <w:tcW w:w="712" w:type="dxa"/>
            <w:gridSpan w:val="2"/>
          </w:tcPr>
          <w:p w14:paraId="368E8DE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7 174</w:t>
            </w:r>
          </w:p>
        </w:tc>
        <w:tc>
          <w:tcPr>
            <w:tcW w:w="794" w:type="dxa"/>
          </w:tcPr>
          <w:p w14:paraId="15E662C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7 112</w:t>
            </w:r>
          </w:p>
        </w:tc>
        <w:tc>
          <w:tcPr>
            <w:tcW w:w="794" w:type="dxa"/>
          </w:tcPr>
          <w:p w14:paraId="42677AC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7 719</w:t>
            </w:r>
          </w:p>
        </w:tc>
        <w:tc>
          <w:tcPr>
            <w:tcW w:w="794" w:type="dxa"/>
          </w:tcPr>
          <w:p w14:paraId="16DDF70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9 403</w:t>
            </w:r>
          </w:p>
        </w:tc>
        <w:tc>
          <w:tcPr>
            <w:tcW w:w="794" w:type="dxa"/>
          </w:tcPr>
          <w:p w14:paraId="5C5A1C4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10 542</w:t>
            </w:r>
          </w:p>
        </w:tc>
      </w:tr>
      <w:tr w:rsidR="008D6F13" w14:paraId="6FCCBA1C" w14:textId="77777777" w:rsidTr="0031078F">
        <w:tc>
          <w:tcPr>
            <w:cnfStyle w:val="001000000000" w:firstRow="0" w:lastRow="0" w:firstColumn="1" w:lastColumn="0" w:oddVBand="0" w:evenVBand="0" w:oddHBand="0" w:evenHBand="0" w:firstRowFirstColumn="0" w:firstRowLastColumn="0" w:lastRowFirstColumn="0" w:lastRowLastColumn="0"/>
            <w:tcW w:w="3822" w:type="dxa"/>
          </w:tcPr>
          <w:p w14:paraId="0BC1FF01" w14:textId="77777777" w:rsidR="008D6F13" w:rsidRDefault="008D6F13" w:rsidP="0031078F">
            <w:pPr>
              <w:spacing w:after="0"/>
            </w:pPr>
            <w:r>
              <w:t>Interest expense</w:t>
            </w:r>
          </w:p>
        </w:tc>
        <w:tc>
          <w:tcPr>
            <w:tcW w:w="712" w:type="dxa"/>
            <w:gridSpan w:val="2"/>
          </w:tcPr>
          <w:p w14:paraId="2C608A6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3 456</w:t>
            </w:r>
          </w:p>
        </w:tc>
        <w:tc>
          <w:tcPr>
            <w:tcW w:w="794" w:type="dxa"/>
          </w:tcPr>
          <w:p w14:paraId="0EAA5E5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3 576</w:t>
            </w:r>
          </w:p>
        </w:tc>
        <w:tc>
          <w:tcPr>
            <w:tcW w:w="794" w:type="dxa"/>
          </w:tcPr>
          <w:p w14:paraId="38F32AE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4 194</w:t>
            </w:r>
          </w:p>
        </w:tc>
        <w:tc>
          <w:tcPr>
            <w:tcW w:w="794" w:type="dxa"/>
          </w:tcPr>
          <w:p w14:paraId="63C1588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4 840</w:t>
            </w:r>
          </w:p>
        </w:tc>
        <w:tc>
          <w:tcPr>
            <w:tcW w:w="794" w:type="dxa"/>
          </w:tcPr>
          <w:p w14:paraId="0B6D010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5 627</w:t>
            </w:r>
          </w:p>
        </w:tc>
      </w:tr>
      <w:tr w:rsidR="008D6F13" w14:paraId="2930FD22" w14:textId="77777777" w:rsidTr="0031078F">
        <w:tc>
          <w:tcPr>
            <w:cnfStyle w:val="001000000000" w:firstRow="0" w:lastRow="0" w:firstColumn="1" w:lastColumn="0" w:oddVBand="0" w:evenVBand="0" w:oddHBand="0" w:evenHBand="0" w:firstRowFirstColumn="0" w:firstRowLastColumn="0" w:lastRowFirstColumn="0" w:lastRowLastColumn="0"/>
            <w:tcW w:w="3822" w:type="dxa"/>
          </w:tcPr>
          <w:p w14:paraId="1C0CC533" w14:textId="77777777" w:rsidR="008D6F13" w:rsidRDefault="008D6F13" w:rsidP="0031078F">
            <w:pPr>
              <w:spacing w:after="0"/>
            </w:pPr>
            <w:r>
              <w:t>Grant expense</w:t>
            </w:r>
          </w:p>
        </w:tc>
        <w:tc>
          <w:tcPr>
            <w:tcW w:w="712" w:type="dxa"/>
            <w:gridSpan w:val="2"/>
          </w:tcPr>
          <w:p w14:paraId="30F6074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15 441</w:t>
            </w:r>
          </w:p>
        </w:tc>
        <w:tc>
          <w:tcPr>
            <w:tcW w:w="794" w:type="dxa"/>
          </w:tcPr>
          <w:p w14:paraId="6981E8C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22 757</w:t>
            </w:r>
          </w:p>
        </w:tc>
        <w:tc>
          <w:tcPr>
            <w:tcW w:w="794" w:type="dxa"/>
          </w:tcPr>
          <w:p w14:paraId="37CC577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14 230</w:t>
            </w:r>
          </w:p>
        </w:tc>
        <w:tc>
          <w:tcPr>
            <w:tcW w:w="794" w:type="dxa"/>
          </w:tcPr>
          <w:p w14:paraId="3545228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13 806</w:t>
            </w:r>
          </w:p>
        </w:tc>
        <w:tc>
          <w:tcPr>
            <w:tcW w:w="794" w:type="dxa"/>
          </w:tcPr>
          <w:p w14:paraId="384AD09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13 519</w:t>
            </w:r>
          </w:p>
        </w:tc>
      </w:tr>
      <w:tr w:rsidR="008D6F13" w14:paraId="262DB8ED" w14:textId="77777777" w:rsidTr="0031078F">
        <w:tc>
          <w:tcPr>
            <w:cnfStyle w:val="001000000000" w:firstRow="0" w:lastRow="0" w:firstColumn="1" w:lastColumn="0" w:oddVBand="0" w:evenVBand="0" w:oddHBand="0" w:evenHBand="0" w:firstRowFirstColumn="0" w:firstRowLastColumn="0" w:lastRowFirstColumn="0" w:lastRowLastColumn="0"/>
            <w:tcW w:w="3822" w:type="dxa"/>
          </w:tcPr>
          <w:p w14:paraId="576BD7BE" w14:textId="77777777" w:rsidR="008D6F13" w:rsidRDefault="008D6F13" w:rsidP="0031078F">
            <w:pPr>
              <w:spacing w:after="0"/>
            </w:pPr>
            <w:r>
              <w:t>Other operating expenses</w:t>
            </w:r>
          </w:p>
        </w:tc>
        <w:tc>
          <w:tcPr>
            <w:tcW w:w="712" w:type="dxa"/>
            <w:gridSpan w:val="2"/>
          </w:tcPr>
          <w:p w14:paraId="5F407E6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29 115</w:t>
            </w:r>
          </w:p>
        </w:tc>
        <w:tc>
          <w:tcPr>
            <w:tcW w:w="794" w:type="dxa"/>
          </w:tcPr>
          <w:p w14:paraId="483ECC6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32 611</w:t>
            </w:r>
          </w:p>
        </w:tc>
        <w:tc>
          <w:tcPr>
            <w:tcW w:w="794" w:type="dxa"/>
          </w:tcPr>
          <w:p w14:paraId="2C33623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27 694</w:t>
            </w:r>
          </w:p>
        </w:tc>
        <w:tc>
          <w:tcPr>
            <w:tcW w:w="794" w:type="dxa"/>
          </w:tcPr>
          <w:p w14:paraId="4A4C45B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26 906</w:t>
            </w:r>
          </w:p>
        </w:tc>
        <w:tc>
          <w:tcPr>
            <w:tcW w:w="794" w:type="dxa"/>
          </w:tcPr>
          <w:p w14:paraId="6B1BD7A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26 939</w:t>
            </w:r>
          </w:p>
        </w:tc>
      </w:tr>
      <w:tr w:rsidR="008D6F13" w14:paraId="261E4AD5" w14:textId="77777777" w:rsidTr="0031078F">
        <w:tc>
          <w:tcPr>
            <w:cnfStyle w:val="001000000000" w:firstRow="0" w:lastRow="0" w:firstColumn="1" w:lastColumn="0" w:oddVBand="0" w:evenVBand="0" w:oddHBand="0" w:evenHBand="0" w:firstRowFirstColumn="0" w:firstRowLastColumn="0" w:lastRowFirstColumn="0" w:lastRowLastColumn="0"/>
            <w:tcW w:w="3822" w:type="dxa"/>
            <w:tcBorders>
              <w:top w:val="single" w:sz="6" w:space="0" w:color="auto"/>
              <w:bottom w:val="single" w:sz="6" w:space="0" w:color="auto"/>
            </w:tcBorders>
          </w:tcPr>
          <w:p w14:paraId="431C350A" w14:textId="77777777" w:rsidR="008D6F13" w:rsidRDefault="008D6F13" w:rsidP="0031078F">
            <w:pPr>
              <w:spacing w:after="0"/>
            </w:pPr>
            <w:r>
              <w:rPr>
                <w:b/>
              </w:rPr>
              <w:t>Total expenses from transactions</w:t>
            </w:r>
          </w:p>
        </w:tc>
        <w:tc>
          <w:tcPr>
            <w:tcW w:w="712" w:type="dxa"/>
            <w:gridSpan w:val="2"/>
            <w:tcBorders>
              <w:top w:val="single" w:sz="6" w:space="0" w:color="auto"/>
              <w:bottom w:val="single" w:sz="6" w:space="0" w:color="auto"/>
            </w:tcBorders>
          </w:tcPr>
          <w:p w14:paraId="2C2B8B6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92 728</w:t>
            </w:r>
          </w:p>
        </w:tc>
        <w:tc>
          <w:tcPr>
            <w:tcW w:w="794" w:type="dxa"/>
            <w:tcBorders>
              <w:top w:val="single" w:sz="6" w:space="0" w:color="auto"/>
              <w:bottom w:val="single" w:sz="6" w:space="0" w:color="auto"/>
            </w:tcBorders>
          </w:tcPr>
          <w:p w14:paraId="1D901FA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104 606</w:t>
            </w:r>
          </w:p>
        </w:tc>
        <w:tc>
          <w:tcPr>
            <w:tcW w:w="794" w:type="dxa"/>
            <w:tcBorders>
              <w:top w:val="single" w:sz="6" w:space="0" w:color="auto"/>
              <w:bottom w:val="single" w:sz="6" w:space="0" w:color="auto"/>
            </w:tcBorders>
          </w:tcPr>
          <w:p w14:paraId="3D1A06D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92 685</w:t>
            </w:r>
          </w:p>
        </w:tc>
        <w:tc>
          <w:tcPr>
            <w:tcW w:w="794" w:type="dxa"/>
            <w:tcBorders>
              <w:top w:val="single" w:sz="6" w:space="0" w:color="auto"/>
              <w:bottom w:val="single" w:sz="6" w:space="0" w:color="auto"/>
            </w:tcBorders>
          </w:tcPr>
          <w:p w14:paraId="2A85CF3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94 741</w:t>
            </w:r>
          </w:p>
        </w:tc>
        <w:tc>
          <w:tcPr>
            <w:tcW w:w="794" w:type="dxa"/>
            <w:tcBorders>
              <w:top w:val="single" w:sz="6" w:space="0" w:color="auto"/>
              <w:bottom w:val="single" w:sz="6" w:space="0" w:color="auto"/>
            </w:tcBorders>
          </w:tcPr>
          <w:p w14:paraId="6A6B015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97 327</w:t>
            </w:r>
          </w:p>
        </w:tc>
      </w:tr>
      <w:tr w:rsidR="008D6F13" w14:paraId="7E4C4231" w14:textId="77777777" w:rsidTr="0031078F">
        <w:tc>
          <w:tcPr>
            <w:cnfStyle w:val="001000000000" w:firstRow="0" w:lastRow="0" w:firstColumn="1" w:lastColumn="0" w:oddVBand="0" w:evenVBand="0" w:oddHBand="0" w:evenHBand="0" w:firstRowFirstColumn="0" w:firstRowLastColumn="0" w:lastRowFirstColumn="0" w:lastRowLastColumn="0"/>
            <w:tcW w:w="3822" w:type="dxa"/>
            <w:tcBorders>
              <w:top w:val="single" w:sz="6" w:space="0" w:color="auto"/>
              <w:bottom w:val="single" w:sz="12" w:space="0" w:color="auto"/>
            </w:tcBorders>
          </w:tcPr>
          <w:p w14:paraId="73298F03" w14:textId="77777777" w:rsidR="008D6F13" w:rsidRDefault="008D6F13" w:rsidP="0031078F">
            <w:pPr>
              <w:spacing w:after="0"/>
            </w:pPr>
            <w:r>
              <w:rPr>
                <w:b/>
              </w:rPr>
              <w:t>Net result from transactions – net operating balance</w:t>
            </w:r>
          </w:p>
        </w:tc>
        <w:tc>
          <w:tcPr>
            <w:tcW w:w="712" w:type="dxa"/>
            <w:gridSpan w:val="2"/>
            <w:tcBorders>
              <w:top w:val="single" w:sz="6" w:space="0" w:color="auto"/>
              <w:bottom w:val="single" w:sz="12" w:space="0" w:color="auto"/>
            </w:tcBorders>
          </w:tcPr>
          <w:p w14:paraId="1C606AC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(12 628)</w:t>
            </w:r>
          </w:p>
        </w:tc>
        <w:tc>
          <w:tcPr>
            <w:tcW w:w="794" w:type="dxa"/>
            <w:tcBorders>
              <w:top w:val="single" w:sz="6" w:space="0" w:color="auto"/>
              <w:bottom w:val="single" w:sz="12" w:space="0" w:color="auto"/>
            </w:tcBorders>
          </w:tcPr>
          <w:p w14:paraId="39ED953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(21 048)</w:t>
            </w:r>
          </w:p>
        </w:tc>
        <w:tc>
          <w:tcPr>
            <w:tcW w:w="794" w:type="dxa"/>
            <w:tcBorders>
              <w:top w:val="single" w:sz="6" w:space="0" w:color="auto"/>
              <w:bottom w:val="single" w:sz="12" w:space="0" w:color="auto"/>
            </w:tcBorders>
          </w:tcPr>
          <w:p w14:paraId="6A82EE1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(6 672)</w:t>
            </w:r>
          </w:p>
        </w:tc>
        <w:tc>
          <w:tcPr>
            <w:tcW w:w="794" w:type="dxa"/>
            <w:tcBorders>
              <w:top w:val="single" w:sz="6" w:space="0" w:color="auto"/>
              <w:bottom w:val="single" w:sz="12" w:space="0" w:color="auto"/>
            </w:tcBorders>
          </w:tcPr>
          <w:p w14:paraId="3BF4091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(6 415)</w:t>
            </w:r>
          </w:p>
        </w:tc>
        <w:tc>
          <w:tcPr>
            <w:tcW w:w="794" w:type="dxa"/>
            <w:tcBorders>
              <w:top w:val="single" w:sz="6" w:space="0" w:color="auto"/>
              <w:bottom w:val="single" w:sz="12" w:space="0" w:color="auto"/>
            </w:tcBorders>
          </w:tcPr>
          <w:p w14:paraId="1C0EC94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(5 742)</w:t>
            </w:r>
          </w:p>
        </w:tc>
      </w:tr>
      <w:tr w:rsidR="008D6F13" w14:paraId="7DAA7EA3" w14:textId="77777777" w:rsidTr="0031078F">
        <w:tc>
          <w:tcPr>
            <w:cnfStyle w:val="001000000000" w:firstRow="0" w:lastRow="0" w:firstColumn="1" w:lastColumn="0" w:oddVBand="0" w:evenVBand="0" w:oddHBand="0" w:evenHBand="0" w:firstRowFirstColumn="0" w:firstRowLastColumn="0" w:lastRowFirstColumn="0" w:lastRowLastColumn="0"/>
            <w:tcW w:w="3822" w:type="dxa"/>
            <w:tcBorders>
              <w:top w:val="single" w:sz="6" w:space="0" w:color="auto"/>
            </w:tcBorders>
          </w:tcPr>
          <w:p w14:paraId="4E9441BE" w14:textId="77777777" w:rsidR="008D6F13" w:rsidRDefault="008D6F13" w:rsidP="0031078F">
            <w:pPr>
              <w:spacing w:after="0"/>
            </w:pPr>
            <w:r>
              <w:rPr>
                <w:b/>
              </w:rPr>
              <w:t>Other economic flows included in net result</w:t>
            </w:r>
          </w:p>
        </w:tc>
        <w:tc>
          <w:tcPr>
            <w:tcW w:w="712" w:type="dxa"/>
            <w:gridSpan w:val="2"/>
            <w:tcBorders>
              <w:top w:val="single" w:sz="6" w:space="0" w:color="auto"/>
            </w:tcBorders>
          </w:tcPr>
          <w:p w14:paraId="28AAFE4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2E8AA2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2D3756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54BB9D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52593F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r>
      <w:tr w:rsidR="008D6F13" w14:paraId="63EB9DB1" w14:textId="77777777" w:rsidTr="0031078F">
        <w:tc>
          <w:tcPr>
            <w:cnfStyle w:val="001000000000" w:firstRow="0" w:lastRow="0" w:firstColumn="1" w:lastColumn="0" w:oddVBand="0" w:evenVBand="0" w:oddHBand="0" w:evenHBand="0" w:firstRowFirstColumn="0" w:firstRowLastColumn="0" w:lastRowFirstColumn="0" w:lastRowLastColumn="0"/>
            <w:tcW w:w="3822" w:type="dxa"/>
          </w:tcPr>
          <w:p w14:paraId="10C9227D" w14:textId="77777777" w:rsidR="008D6F13" w:rsidRDefault="008D6F13" w:rsidP="0031078F">
            <w:pPr>
              <w:spacing w:after="0"/>
            </w:pPr>
            <w:r>
              <w:t>Net gain/(loss) on disposal of non</w:t>
            </w:r>
            <w:r>
              <w:noBreakHyphen/>
              <w:t>financial assets</w:t>
            </w:r>
          </w:p>
        </w:tc>
        <w:tc>
          <w:tcPr>
            <w:tcW w:w="712" w:type="dxa"/>
            <w:gridSpan w:val="2"/>
          </w:tcPr>
          <w:p w14:paraId="0F3CBED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80</w:t>
            </w:r>
          </w:p>
        </w:tc>
        <w:tc>
          <w:tcPr>
            <w:tcW w:w="794" w:type="dxa"/>
          </w:tcPr>
          <w:p w14:paraId="28724F7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98</w:t>
            </w:r>
          </w:p>
        </w:tc>
        <w:tc>
          <w:tcPr>
            <w:tcW w:w="794" w:type="dxa"/>
          </w:tcPr>
          <w:p w14:paraId="445F70C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98</w:t>
            </w:r>
          </w:p>
        </w:tc>
        <w:tc>
          <w:tcPr>
            <w:tcW w:w="794" w:type="dxa"/>
          </w:tcPr>
          <w:p w14:paraId="1C7584D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470</w:t>
            </w:r>
          </w:p>
        </w:tc>
        <w:tc>
          <w:tcPr>
            <w:tcW w:w="794" w:type="dxa"/>
          </w:tcPr>
          <w:p w14:paraId="6376E99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62</w:t>
            </w:r>
          </w:p>
        </w:tc>
      </w:tr>
      <w:tr w:rsidR="008D6F13" w14:paraId="0DD9BF6D" w14:textId="77777777" w:rsidTr="0031078F">
        <w:tc>
          <w:tcPr>
            <w:cnfStyle w:val="001000000000" w:firstRow="0" w:lastRow="0" w:firstColumn="1" w:lastColumn="0" w:oddVBand="0" w:evenVBand="0" w:oddHBand="0" w:evenHBand="0" w:firstRowFirstColumn="0" w:firstRowLastColumn="0" w:lastRowFirstColumn="0" w:lastRowLastColumn="0"/>
            <w:tcW w:w="3822" w:type="dxa"/>
          </w:tcPr>
          <w:p w14:paraId="610D81B7" w14:textId="77777777" w:rsidR="008D6F13" w:rsidRDefault="008D6F13" w:rsidP="0031078F">
            <w:pPr>
              <w:spacing w:after="0"/>
            </w:pPr>
            <w:r>
              <w:t>Net gain/(loss) on financial assets or liabilities at fair value</w:t>
            </w:r>
          </w:p>
        </w:tc>
        <w:tc>
          <w:tcPr>
            <w:tcW w:w="712" w:type="dxa"/>
            <w:gridSpan w:val="2"/>
          </w:tcPr>
          <w:p w14:paraId="5E36315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20</w:t>
            </w:r>
          </w:p>
        </w:tc>
        <w:tc>
          <w:tcPr>
            <w:tcW w:w="794" w:type="dxa"/>
          </w:tcPr>
          <w:p w14:paraId="600F5A4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20</w:t>
            </w:r>
          </w:p>
        </w:tc>
        <w:tc>
          <w:tcPr>
            <w:tcW w:w="794" w:type="dxa"/>
          </w:tcPr>
          <w:p w14:paraId="48072BC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20</w:t>
            </w:r>
          </w:p>
        </w:tc>
        <w:tc>
          <w:tcPr>
            <w:tcW w:w="794" w:type="dxa"/>
          </w:tcPr>
          <w:p w14:paraId="5628921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22</w:t>
            </w:r>
          </w:p>
        </w:tc>
        <w:tc>
          <w:tcPr>
            <w:tcW w:w="794" w:type="dxa"/>
          </w:tcPr>
          <w:p w14:paraId="6D7A74A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19</w:t>
            </w:r>
          </w:p>
        </w:tc>
      </w:tr>
      <w:tr w:rsidR="008D6F13" w14:paraId="7BD69F1F" w14:textId="77777777" w:rsidTr="0031078F">
        <w:tc>
          <w:tcPr>
            <w:cnfStyle w:val="001000000000" w:firstRow="0" w:lastRow="0" w:firstColumn="1" w:lastColumn="0" w:oddVBand="0" w:evenVBand="0" w:oddHBand="0" w:evenHBand="0" w:firstRowFirstColumn="0" w:firstRowLastColumn="0" w:lastRowFirstColumn="0" w:lastRowLastColumn="0"/>
            <w:tcW w:w="3822" w:type="dxa"/>
            <w:tcBorders>
              <w:bottom w:val="single" w:sz="6" w:space="0" w:color="auto"/>
            </w:tcBorders>
          </w:tcPr>
          <w:p w14:paraId="75917835" w14:textId="77777777" w:rsidR="008D6F13" w:rsidRDefault="008D6F13" w:rsidP="0031078F">
            <w:pPr>
              <w:spacing w:after="0"/>
            </w:pPr>
            <w:r>
              <w:t>Other gains/(losses) from other economic flows</w:t>
            </w:r>
          </w:p>
        </w:tc>
        <w:tc>
          <w:tcPr>
            <w:tcW w:w="712" w:type="dxa"/>
            <w:gridSpan w:val="2"/>
            <w:tcBorders>
              <w:bottom w:val="single" w:sz="6" w:space="0" w:color="auto"/>
            </w:tcBorders>
          </w:tcPr>
          <w:p w14:paraId="68BD919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(600)</w:t>
            </w:r>
          </w:p>
        </w:tc>
        <w:tc>
          <w:tcPr>
            <w:tcW w:w="794" w:type="dxa"/>
            <w:tcBorders>
              <w:bottom w:val="single" w:sz="6" w:space="0" w:color="auto"/>
            </w:tcBorders>
          </w:tcPr>
          <w:p w14:paraId="4B88711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(1 047)</w:t>
            </w:r>
          </w:p>
        </w:tc>
        <w:tc>
          <w:tcPr>
            <w:tcW w:w="794" w:type="dxa"/>
            <w:tcBorders>
              <w:bottom w:val="single" w:sz="6" w:space="0" w:color="auto"/>
            </w:tcBorders>
          </w:tcPr>
          <w:p w14:paraId="4C66F0D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(578)</w:t>
            </w:r>
          </w:p>
        </w:tc>
        <w:tc>
          <w:tcPr>
            <w:tcW w:w="794" w:type="dxa"/>
            <w:tcBorders>
              <w:bottom w:val="single" w:sz="6" w:space="0" w:color="auto"/>
            </w:tcBorders>
          </w:tcPr>
          <w:p w14:paraId="243178F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(550)</w:t>
            </w:r>
          </w:p>
        </w:tc>
        <w:tc>
          <w:tcPr>
            <w:tcW w:w="794" w:type="dxa"/>
            <w:tcBorders>
              <w:bottom w:val="single" w:sz="6" w:space="0" w:color="auto"/>
            </w:tcBorders>
          </w:tcPr>
          <w:p w14:paraId="18FB4D7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(504)</w:t>
            </w:r>
          </w:p>
        </w:tc>
      </w:tr>
      <w:tr w:rsidR="008D6F13" w14:paraId="496761F8" w14:textId="77777777" w:rsidTr="0031078F">
        <w:tc>
          <w:tcPr>
            <w:cnfStyle w:val="001000000000" w:firstRow="0" w:lastRow="0" w:firstColumn="1" w:lastColumn="0" w:oddVBand="0" w:evenVBand="0" w:oddHBand="0" w:evenHBand="0" w:firstRowFirstColumn="0" w:firstRowLastColumn="0" w:lastRowFirstColumn="0" w:lastRowLastColumn="0"/>
            <w:tcW w:w="3822" w:type="dxa"/>
            <w:tcBorders>
              <w:top w:val="single" w:sz="6" w:space="0" w:color="auto"/>
              <w:bottom w:val="single" w:sz="6" w:space="0" w:color="auto"/>
            </w:tcBorders>
          </w:tcPr>
          <w:p w14:paraId="73A35581" w14:textId="77777777" w:rsidR="008D6F13" w:rsidRDefault="008D6F13" w:rsidP="0031078F">
            <w:pPr>
              <w:spacing w:after="0"/>
            </w:pPr>
            <w:r>
              <w:rPr>
                <w:b/>
              </w:rPr>
              <w:t>Total other economic flows included in net result</w:t>
            </w:r>
          </w:p>
        </w:tc>
        <w:tc>
          <w:tcPr>
            <w:tcW w:w="712" w:type="dxa"/>
            <w:gridSpan w:val="2"/>
            <w:tcBorders>
              <w:top w:val="single" w:sz="6" w:space="0" w:color="auto"/>
              <w:bottom w:val="single" w:sz="6" w:space="0" w:color="auto"/>
            </w:tcBorders>
          </w:tcPr>
          <w:p w14:paraId="5C142FC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(501)</w:t>
            </w:r>
          </w:p>
        </w:tc>
        <w:tc>
          <w:tcPr>
            <w:tcW w:w="794" w:type="dxa"/>
            <w:tcBorders>
              <w:top w:val="single" w:sz="6" w:space="0" w:color="auto"/>
              <w:bottom w:val="single" w:sz="6" w:space="0" w:color="auto"/>
            </w:tcBorders>
          </w:tcPr>
          <w:p w14:paraId="0D7986C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(929)</w:t>
            </w:r>
          </w:p>
        </w:tc>
        <w:tc>
          <w:tcPr>
            <w:tcW w:w="794" w:type="dxa"/>
            <w:tcBorders>
              <w:top w:val="single" w:sz="6" w:space="0" w:color="auto"/>
              <w:bottom w:val="single" w:sz="6" w:space="0" w:color="auto"/>
            </w:tcBorders>
          </w:tcPr>
          <w:p w14:paraId="0A34AE4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(459)</w:t>
            </w:r>
          </w:p>
        </w:tc>
        <w:tc>
          <w:tcPr>
            <w:tcW w:w="794" w:type="dxa"/>
            <w:tcBorders>
              <w:top w:val="single" w:sz="6" w:space="0" w:color="auto"/>
              <w:bottom w:val="single" w:sz="6" w:space="0" w:color="auto"/>
            </w:tcBorders>
          </w:tcPr>
          <w:p w14:paraId="220EAAC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(58)</w:t>
            </w:r>
          </w:p>
        </w:tc>
        <w:tc>
          <w:tcPr>
            <w:tcW w:w="794" w:type="dxa"/>
            <w:tcBorders>
              <w:top w:val="single" w:sz="6" w:space="0" w:color="auto"/>
              <w:bottom w:val="single" w:sz="6" w:space="0" w:color="auto"/>
            </w:tcBorders>
          </w:tcPr>
          <w:p w14:paraId="27BAEEC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(423)</w:t>
            </w:r>
          </w:p>
        </w:tc>
      </w:tr>
      <w:tr w:rsidR="008D6F13" w14:paraId="0619FAAF" w14:textId="77777777" w:rsidTr="0031078F">
        <w:tc>
          <w:tcPr>
            <w:cnfStyle w:val="001000000000" w:firstRow="0" w:lastRow="0" w:firstColumn="1" w:lastColumn="0" w:oddVBand="0" w:evenVBand="0" w:oddHBand="0" w:evenHBand="0" w:firstRowFirstColumn="0" w:firstRowLastColumn="0" w:lastRowFirstColumn="0" w:lastRowLastColumn="0"/>
            <w:tcW w:w="3822" w:type="dxa"/>
            <w:tcBorders>
              <w:top w:val="single" w:sz="6" w:space="0" w:color="auto"/>
              <w:bottom w:val="single" w:sz="12" w:space="0" w:color="auto"/>
            </w:tcBorders>
          </w:tcPr>
          <w:p w14:paraId="1E2655D7" w14:textId="77777777" w:rsidR="008D6F13" w:rsidRDefault="008D6F13" w:rsidP="0031078F">
            <w:pPr>
              <w:spacing w:after="0"/>
            </w:pPr>
            <w:r>
              <w:rPr>
                <w:b/>
              </w:rPr>
              <w:t>Net result</w:t>
            </w:r>
          </w:p>
        </w:tc>
        <w:tc>
          <w:tcPr>
            <w:tcW w:w="712" w:type="dxa"/>
            <w:gridSpan w:val="2"/>
            <w:tcBorders>
              <w:top w:val="single" w:sz="6" w:space="0" w:color="auto"/>
              <w:bottom w:val="single" w:sz="12" w:space="0" w:color="auto"/>
            </w:tcBorders>
          </w:tcPr>
          <w:p w14:paraId="3FB7DE6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(13 129)</w:t>
            </w:r>
          </w:p>
        </w:tc>
        <w:tc>
          <w:tcPr>
            <w:tcW w:w="794" w:type="dxa"/>
            <w:tcBorders>
              <w:top w:val="single" w:sz="6" w:space="0" w:color="auto"/>
              <w:bottom w:val="single" w:sz="12" w:space="0" w:color="auto"/>
            </w:tcBorders>
          </w:tcPr>
          <w:p w14:paraId="0BDC630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(21 976)</w:t>
            </w:r>
          </w:p>
        </w:tc>
        <w:tc>
          <w:tcPr>
            <w:tcW w:w="794" w:type="dxa"/>
            <w:tcBorders>
              <w:top w:val="single" w:sz="6" w:space="0" w:color="auto"/>
              <w:bottom w:val="single" w:sz="12" w:space="0" w:color="auto"/>
            </w:tcBorders>
          </w:tcPr>
          <w:p w14:paraId="20CFA0D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(7 132)</w:t>
            </w:r>
          </w:p>
        </w:tc>
        <w:tc>
          <w:tcPr>
            <w:tcW w:w="794" w:type="dxa"/>
            <w:tcBorders>
              <w:top w:val="single" w:sz="6" w:space="0" w:color="auto"/>
              <w:bottom w:val="single" w:sz="12" w:space="0" w:color="auto"/>
            </w:tcBorders>
          </w:tcPr>
          <w:p w14:paraId="585A32C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(6 474)</w:t>
            </w:r>
          </w:p>
        </w:tc>
        <w:tc>
          <w:tcPr>
            <w:tcW w:w="794" w:type="dxa"/>
            <w:tcBorders>
              <w:top w:val="single" w:sz="6" w:space="0" w:color="auto"/>
              <w:bottom w:val="single" w:sz="12" w:space="0" w:color="auto"/>
            </w:tcBorders>
          </w:tcPr>
          <w:p w14:paraId="175A812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(6 165)</w:t>
            </w:r>
          </w:p>
        </w:tc>
      </w:tr>
      <w:tr w:rsidR="008D6F13" w14:paraId="67283111" w14:textId="77777777" w:rsidTr="0031078F">
        <w:tc>
          <w:tcPr>
            <w:cnfStyle w:val="001000000000" w:firstRow="0" w:lastRow="0" w:firstColumn="1" w:lastColumn="0" w:oddVBand="0" w:evenVBand="0" w:oddHBand="0" w:evenHBand="0" w:firstRowFirstColumn="0" w:firstRowLastColumn="0" w:lastRowFirstColumn="0" w:lastRowLastColumn="0"/>
            <w:tcW w:w="3948" w:type="dxa"/>
            <w:gridSpan w:val="2"/>
            <w:tcBorders>
              <w:top w:val="single" w:sz="6" w:space="0" w:color="auto"/>
            </w:tcBorders>
          </w:tcPr>
          <w:p w14:paraId="2DB2B78F" w14:textId="77777777" w:rsidR="008D6F13" w:rsidRDefault="008D6F13" w:rsidP="0031078F">
            <w:pPr>
              <w:spacing w:after="0"/>
            </w:pPr>
            <w:r>
              <w:rPr>
                <w:b/>
              </w:rPr>
              <w:t>Other economic flows – other comprehensive income</w:t>
            </w:r>
          </w:p>
        </w:tc>
        <w:tc>
          <w:tcPr>
            <w:tcW w:w="586" w:type="dxa"/>
            <w:tcBorders>
              <w:top w:val="single" w:sz="6" w:space="0" w:color="auto"/>
            </w:tcBorders>
          </w:tcPr>
          <w:p w14:paraId="3C38B45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66ACA0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9D4CA9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36C626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0083D6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r>
      <w:tr w:rsidR="008D6F13" w14:paraId="7149586B" w14:textId="77777777" w:rsidTr="0031078F">
        <w:tc>
          <w:tcPr>
            <w:cnfStyle w:val="001000000000" w:firstRow="0" w:lastRow="0" w:firstColumn="1" w:lastColumn="0" w:oddVBand="0" w:evenVBand="0" w:oddHBand="0" w:evenHBand="0" w:firstRowFirstColumn="0" w:firstRowLastColumn="0" w:lastRowFirstColumn="0" w:lastRowLastColumn="0"/>
            <w:tcW w:w="3822" w:type="dxa"/>
          </w:tcPr>
          <w:p w14:paraId="0BEF502A" w14:textId="77777777" w:rsidR="008D6F13" w:rsidRDefault="008D6F13" w:rsidP="0031078F">
            <w:pPr>
              <w:spacing w:after="0"/>
            </w:pPr>
            <w:r>
              <w:rPr>
                <w:b/>
              </w:rPr>
              <w:t>Items that will not be reclassified to net result</w:t>
            </w:r>
          </w:p>
        </w:tc>
        <w:tc>
          <w:tcPr>
            <w:tcW w:w="712" w:type="dxa"/>
            <w:gridSpan w:val="2"/>
          </w:tcPr>
          <w:p w14:paraId="76E31FD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248767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30F639B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7110933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3EDB51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r>
      <w:tr w:rsidR="008D6F13" w14:paraId="3D47651E" w14:textId="77777777" w:rsidTr="0031078F">
        <w:tc>
          <w:tcPr>
            <w:cnfStyle w:val="001000000000" w:firstRow="0" w:lastRow="0" w:firstColumn="1" w:lastColumn="0" w:oddVBand="0" w:evenVBand="0" w:oddHBand="0" w:evenHBand="0" w:firstRowFirstColumn="0" w:firstRowLastColumn="0" w:lastRowFirstColumn="0" w:lastRowLastColumn="0"/>
            <w:tcW w:w="3822" w:type="dxa"/>
          </w:tcPr>
          <w:p w14:paraId="25D206FF" w14:textId="77777777" w:rsidR="008D6F13" w:rsidRDefault="008D6F13" w:rsidP="0031078F">
            <w:pPr>
              <w:spacing w:after="0"/>
            </w:pPr>
            <w:r>
              <w:t>Changes in non</w:t>
            </w:r>
            <w:r>
              <w:noBreakHyphen/>
              <w:t>financial assets revaluation surplus</w:t>
            </w:r>
          </w:p>
        </w:tc>
        <w:tc>
          <w:tcPr>
            <w:tcW w:w="712" w:type="dxa"/>
            <w:gridSpan w:val="2"/>
          </w:tcPr>
          <w:p w14:paraId="05631D8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573</w:t>
            </w:r>
          </w:p>
        </w:tc>
        <w:tc>
          <w:tcPr>
            <w:tcW w:w="794" w:type="dxa"/>
          </w:tcPr>
          <w:p w14:paraId="466FD8E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539</w:t>
            </w:r>
          </w:p>
        </w:tc>
        <w:tc>
          <w:tcPr>
            <w:tcW w:w="794" w:type="dxa"/>
          </w:tcPr>
          <w:p w14:paraId="4BE0ACC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7 039</w:t>
            </w:r>
          </w:p>
        </w:tc>
        <w:tc>
          <w:tcPr>
            <w:tcW w:w="794" w:type="dxa"/>
          </w:tcPr>
          <w:p w14:paraId="0550EAC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6 120</w:t>
            </w:r>
          </w:p>
        </w:tc>
        <w:tc>
          <w:tcPr>
            <w:tcW w:w="794" w:type="dxa"/>
          </w:tcPr>
          <w:p w14:paraId="0C4B3BF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10 102</w:t>
            </w:r>
          </w:p>
        </w:tc>
      </w:tr>
      <w:tr w:rsidR="008D6F13" w14:paraId="2359F3EB" w14:textId="77777777" w:rsidTr="0031078F">
        <w:tc>
          <w:tcPr>
            <w:cnfStyle w:val="001000000000" w:firstRow="0" w:lastRow="0" w:firstColumn="1" w:lastColumn="0" w:oddVBand="0" w:evenVBand="0" w:oddHBand="0" w:evenHBand="0" w:firstRowFirstColumn="0" w:firstRowLastColumn="0" w:lastRowFirstColumn="0" w:lastRowLastColumn="0"/>
            <w:tcW w:w="3822" w:type="dxa"/>
          </w:tcPr>
          <w:p w14:paraId="76FEFE32" w14:textId="77777777" w:rsidR="008D6F13" w:rsidRDefault="008D6F13" w:rsidP="0031078F">
            <w:pPr>
              <w:spacing w:after="0"/>
            </w:pPr>
            <w:r>
              <w:t>Remeasurement of superannuation defined benefit plans</w:t>
            </w:r>
          </w:p>
        </w:tc>
        <w:tc>
          <w:tcPr>
            <w:tcW w:w="712" w:type="dxa"/>
            <w:gridSpan w:val="2"/>
          </w:tcPr>
          <w:p w14:paraId="2F6ABD4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1 241</w:t>
            </w:r>
          </w:p>
        </w:tc>
        <w:tc>
          <w:tcPr>
            <w:tcW w:w="794" w:type="dxa"/>
          </w:tcPr>
          <w:p w14:paraId="2CEB081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1 690</w:t>
            </w:r>
          </w:p>
        </w:tc>
        <w:tc>
          <w:tcPr>
            <w:tcW w:w="794" w:type="dxa"/>
          </w:tcPr>
          <w:p w14:paraId="4FA2D51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1 371</w:t>
            </w:r>
          </w:p>
        </w:tc>
        <w:tc>
          <w:tcPr>
            <w:tcW w:w="794" w:type="dxa"/>
          </w:tcPr>
          <w:p w14:paraId="34D4BE2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1 394</w:t>
            </w:r>
          </w:p>
        </w:tc>
        <w:tc>
          <w:tcPr>
            <w:tcW w:w="794" w:type="dxa"/>
          </w:tcPr>
          <w:p w14:paraId="6090856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1 420</w:t>
            </w:r>
          </w:p>
        </w:tc>
      </w:tr>
      <w:tr w:rsidR="008D6F13" w14:paraId="6B500B6B" w14:textId="77777777" w:rsidTr="0031078F">
        <w:tc>
          <w:tcPr>
            <w:cnfStyle w:val="001000000000" w:firstRow="0" w:lastRow="0" w:firstColumn="1" w:lastColumn="0" w:oddVBand="0" w:evenVBand="0" w:oddHBand="0" w:evenHBand="0" w:firstRowFirstColumn="0" w:firstRowLastColumn="0" w:lastRowFirstColumn="0" w:lastRowLastColumn="0"/>
            <w:tcW w:w="3822" w:type="dxa"/>
          </w:tcPr>
          <w:p w14:paraId="4CEF46C0" w14:textId="77777777" w:rsidR="008D6F13" w:rsidRDefault="008D6F13" w:rsidP="0031078F">
            <w:pPr>
              <w:spacing w:after="0"/>
            </w:pPr>
            <w:r>
              <w:t>Other movements in equity</w:t>
            </w:r>
          </w:p>
        </w:tc>
        <w:tc>
          <w:tcPr>
            <w:tcW w:w="712" w:type="dxa"/>
            <w:gridSpan w:val="2"/>
          </w:tcPr>
          <w:p w14:paraId="127A1F6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w:t>
            </w:r>
          </w:p>
        </w:tc>
        <w:tc>
          <w:tcPr>
            <w:tcW w:w="794" w:type="dxa"/>
          </w:tcPr>
          <w:p w14:paraId="72144CB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(35)</w:t>
            </w:r>
          </w:p>
        </w:tc>
        <w:tc>
          <w:tcPr>
            <w:tcW w:w="794" w:type="dxa"/>
          </w:tcPr>
          <w:p w14:paraId="0FD1256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21</w:t>
            </w:r>
          </w:p>
        </w:tc>
        <w:tc>
          <w:tcPr>
            <w:tcW w:w="794" w:type="dxa"/>
          </w:tcPr>
          <w:p w14:paraId="659507E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27</w:t>
            </w:r>
          </w:p>
        </w:tc>
        <w:tc>
          <w:tcPr>
            <w:tcW w:w="794" w:type="dxa"/>
          </w:tcPr>
          <w:p w14:paraId="215C41A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33</w:t>
            </w:r>
          </w:p>
        </w:tc>
      </w:tr>
      <w:tr w:rsidR="008D6F13" w14:paraId="7B579EB9" w14:textId="77777777" w:rsidTr="0031078F">
        <w:tc>
          <w:tcPr>
            <w:cnfStyle w:val="001000000000" w:firstRow="0" w:lastRow="0" w:firstColumn="1" w:lastColumn="0" w:oddVBand="0" w:evenVBand="0" w:oddHBand="0" w:evenHBand="0" w:firstRowFirstColumn="0" w:firstRowLastColumn="0" w:lastRowFirstColumn="0" w:lastRowLastColumn="0"/>
            <w:tcW w:w="3822" w:type="dxa"/>
          </w:tcPr>
          <w:p w14:paraId="78D300F4" w14:textId="77777777" w:rsidR="008D6F13" w:rsidRDefault="008D6F13" w:rsidP="0031078F">
            <w:pPr>
              <w:spacing w:after="0"/>
            </w:pPr>
            <w:r>
              <w:rPr>
                <w:b/>
              </w:rPr>
              <w:t>Items that may be reclassified subsequently to net result</w:t>
            </w:r>
          </w:p>
        </w:tc>
        <w:tc>
          <w:tcPr>
            <w:tcW w:w="712" w:type="dxa"/>
            <w:gridSpan w:val="2"/>
          </w:tcPr>
          <w:p w14:paraId="51D87ED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79879F4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62F5589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7954093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7F19E6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r>
      <w:tr w:rsidR="008D6F13" w14:paraId="1D8E6F72" w14:textId="77777777" w:rsidTr="0031078F">
        <w:tc>
          <w:tcPr>
            <w:cnfStyle w:val="001000000000" w:firstRow="0" w:lastRow="0" w:firstColumn="1" w:lastColumn="0" w:oddVBand="0" w:evenVBand="0" w:oddHBand="0" w:evenHBand="0" w:firstRowFirstColumn="0" w:firstRowLastColumn="0" w:lastRowFirstColumn="0" w:lastRowLastColumn="0"/>
            <w:tcW w:w="3822" w:type="dxa"/>
          </w:tcPr>
          <w:p w14:paraId="6B712B52" w14:textId="77777777" w:rsidR="008D6F13" w:rsidRDefault="008D6F13" w:rsidP="0031078F">
            <w:pPr>
              <w:spacing w:after="0"/>
            </w:pPr>
            <w:r>
              <w:t>Net gain/(loss) on financial assets at fair value</w:t>
            </w:r>
          </w:p>
        </w:tc>
        <w:tc>
          <w:tcPr>
            <w:tcW w:w="712" w:type="dxa"/>
            <w:gridSpan w:val="2"/>
          </w:tcPr>
          <w:p w14:paraId="6F97DC6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w:t>
            </w:r>
          </w:p>
        </w:tc>
        <w:tc>
          <w:tcPr>
            <w:tcW w:w="794" w:type="dxa"/>
          </w:tcPr>
          <w:p w14:paraId="2FEF3FC0"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w:t>
            </w:r>
          </w:p>
        </w:tc>
        <w:tc>
          <w:tcPr>
            <w:tcW w:w="794" w:type="dxa"/>
          </w:tcPr>
          <w:p w14:paraId="086D649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w:t>
            </w:r>
          </w:p>
        </w:tc>
        <w:tc>
          <w:tcPr>
            <w:tcW w:w="794" w:type="dxa"/>
          </w:tcPr>
          <w:p w14:paraId="67B9E04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w:t>
            </w:r>
          </w:p>
        </w:tc>
        <w:tc>
          <w:tcPr>
            <w:tcW w:w="794" w:type="dxa"/>
          </w:tcPr>
          <w:p w14:paraId="60DD1C2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w:t>
            </w:r>
          </w:p>
        </w:tc>
      </w:tr>
      <w:tr w:rsidR="008D6F13" w14:paraId="0C31CC0E" w14:textId="77777777" w:rsidTr="0031078F">
        <w:tc>
          <w:tcPr>
            <w:cnfStyle w:val="001000000000" w:firstRow="0" w:lastRow="0" w:firstColumn="1" w:lastColumn="0" w:oddVBand="0" w:evenVBand="0" w:oddHBand="0" w:evenHBand="0" w:firstRowFirstColumn="0" w:firstRowLastColumn="0" w:lastRowFirstColumn="0" w:lastRowLastColumn="0"/>
            <w:tcW w:w="3822" w:type="dxa"/>
            <w:tcBorders>
              <w:bottom w:val="single" w:sz="6" w:space="0" w:color="auto"/>
            </w:tcBorders>
          </w:tcPr>
          <w:p w14:paraId="7C562960" w14:textId="77777777" w:rsidR="008D6F13" w:rsidRDefault="008D6F13" w:rsidP="0031078F">
            <w:pPr>
              <w:spacing w:after="0"/>
            </w:pPr>
            <w:r>
              <w:t>Net gain/(loss) on equity investments in other sector entities at proportional share of the carrying amount of net assets</w:t>
            </w:r>
          </w:p>
        </w:tc>
        <w:tc>
          <w:tcPr>
            <w:tcW w:w="712" w:type="dxa"/>
            <w:gridSpan w:val="2"/>
            <w:tcBorders>
              <w:bottom w:val="single" w:sz="6" w:space="0" w:color="auto"/>
            </w:tcBorders>
          </w:tcPr>
          <w:p w14:paraId="107E343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216</w:t>
            </w:r>
          </w:p>
        </w:tc>
        <w:tc>
          <w:tcPr>
            <w:tcW w:w="794" w:type="dxa"/>
            <w:tcBorders>
              <w:bottom w:val="single" w:sz="6" w:space="0" w:color="auto"/>
            </w:tcBorders>
          </w:tcPr>
          <w:p w14:paraId="54A63B5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97</w:t>
            </w:r>
          </w:p>
        </w:tc>
        <w:tc>
          <w:tcPr>
            <w:tcW w:w="794" w:type="dxa"/>
            <w:tcBorders>
              <w:bottom w:val="single" w:sz="6" w:space="0" w:color="auto"/>
            </w:tcBorders>
          </w:tcPr>
          <w:p w14:paraId="08400B4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15</w:t>
            </w:r>
          </w:p>
        </w:tc>
        <w:tc>
          <w:tcPr>
            <w:tcW w:w="794" w:type="dxa"/>
            <w:tcBorders>
              <w:bottom w:val="single" w:sz="6" w:space="0" w:color="auto"/>
            </w:tcBorders>
          </w:tcPr>
          <w:p w14:paraId="1BFE120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15</w:t>
            </w:r>
          </w:p>
        </w:tc>
        <w:tc>
          <w:tcPr>
            <w:tcW w:w="794" w:type="dxa"/>
            <w:tcBorders>
              <w:bottom w:val="single" w:sz="6" w:space="0" w:color="auto"/>
            </w:tcBorders>
          </w:tcPr>
          <w:p w14:paraId="7D06E2A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12</w:t>
            </w:r>
          </w:p>
        </w:tc>
      </w:tr>
      <w:tr w:rsidR="008D6F13" w14:paraId="17B77AA4" w14:textId="77777777" w:rsidTr="0031078F">
        <w:tc>
          <w:tcPr>
            <w:cnfStyle w:val="001000000000" w:firstRow="0" w:lastRow="0" w:firstColumn="1" w:lastColumn="0" w:oddVBand="0" w:evenVBand="0" w:oddHBand="0" w:evenHBand="0" w:firstRowFirstColumn="0" w:firstRowLastColumn="0" w:lastRowFirstColumn="0" w:lastRowLastColumn="0"/>
            <w:tcW w:w="3822" w:type="dxa"/>
            <w:tcBorders>
              <w:top w:val="single" w:sz="6" w:space="0" w:color="auto"/>
              <w:bottom w:val="single" w:sz="6" w:space="0" w:color="auto"/>
            </w:tcBorders>
          </w:tcPr>
          <w:p w14:paraId="6D6DEF27" w14:textId="77777777" w:rsidR="008D6F13" w:rsidRDefault="008D6F13" w:rsidP="0031078F">
            <w:pPr>
              <w:spacing w:after="0"/>
            </w:pPr>
            <w:r>
              <w:rPr>
                <w:b/>
              </w:rPr>
              <w:t xml:space="preserve">Total other economic flows – </w:t>
            </w:r>
            <w:r>
              <w:rPr>
                <w:b/>
              </w:rPr>
              <w:br/>
              <w:t>other comprehensive income</w:t>
            </w:r>
          </w:p>
        </w:tc>
        <w:tc>
          <w:tcPr>
            <w:tcW w:w="712" w:type="dxa"/>
            <w:gridSpan w:val="2"/>
            <w:tcBorders>
              <w:top w:val="single" w:sz="6" w:space="0" w:color="auto"/>
              <w:bottom w:val="single" w:sz="6" w:space="0" w:color="auto"/>
            </w:tcBorders>
          </w:tcPr>
          <w:p w14:paraId="2D7CA29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2 034</w:t>
            </w:r>
          </w:p>
        </w:tc>
        <w:tc>
          <w:tcPr>
            <w:tcW w:w="794" w:type="dxa"/>
            <w:tcBorders>
              <w:top w:val="single" w:sz="6" w:space="0" w:color="auto"/>
              <w:bottom w:val="single" w:sz="6" w:space="0" w:color="auto"/>
            </w:tcBorders>
          </w:tcPr>
          <w:p w14:paraId="2176DC7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2 289</w:t>
            </w:r>
          </w:p>
        </w:tc>
        <w:tc>
          <w:tcPr>
            <w:tcW w:w="794" w:type="dxa"/>
            <w:tcBorders>
              <w:top w:val="single" w:sz="6" w:space="0" w:color="auto"/>
              <w:bottom w:val="single" w:sz="6" w:space="0" w:color="auto"/>
            </w:tcBorders>
          </w:tcPr>
          <w:p w14:paraId="67F497F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8 448</w:t>
            </w:r>
          </w:p>
        </w:tc>
        <w:tc>
          <w:tcPr>
            <w:tcW w:w="794" w:type="dxa"/>
            <w:tcBorders>
              <w:top w:val="single" w:sz="6" w:space="0" w:color="auto"/>
              <w:bottom w:val="single" w:sz="6" w:space="0" w:color="auto"/>
            </w:tcBorders>
          </w:tcPr>
          <w:p w14:paraId="2D77F88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7 560</w:t>
            </w:r>
          </w:p>
        </w:tc>
        <w:tc>
          <w:tcPr>
            <w:tcW w:w="794" w:type="dxa"/>
            <w:tcBorders>
              <w:top w:val="single" w:sz="6" w:space="0" w:color="auto"/>
              <w:bottom w:val="single" w:sz="6" w:space="0" w:color="auto"/>
            </w:tcBorders>
          </w:tcPr>
          <w:p w14:paraId="6E85A27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11 570</w:t>
            </w:r>
          </w:p>
        </w:tc>
      </w:tr>
      <w:tr w:rsidR="008D6F13" w14:paraId="60F628DC" w14:textId="77777777" w:rsidTr="0031078F">
        <w:tc>
          <w:tcPr>
            <w:cnfStyle w:val="001000000000" w:firstRow="0" w:lastRow="0" w:firstColumn="1" w:lastColumn="0" w:oddVBand="0" w:evenVBand="0" w:oddHBand="0" w:evenHBand="0" w:firstRowFirstColumn="0" w:firstRowLastColumn="0" w:lastRowFirstColumn="0" w:lastRowLastColumn="0"/>
            <w:tcW w:w="3822" w:type="dxa"/>
            <w:tcBorders>
              <w:top w:val="single" w:sz="6" w:space="0" w:color="auto"/>
              <w:bottom w:val="single" w:sz="12" w:space="0" w:color="auto"/>
            </w:tcBorders>
          </w:tcPr>
          <w:p w14:paraId="74E8A856" w14:textId="77777777" w:rsidR="008D6F13" w:rsidRDefault="008D6F13" w:rsidP="0031078F">
            <w:pPr>
              <w:spacing w:after="0"/>
            </w:pPr>
            <w:r>
              <w:rPr>
                <w:b/>
              </w:rPr>
              <w:t>Comprehensive result – total change in net worth</w:t>
            </w:r>
          </w:p>
        </w:tc>
        <w:tc>
          <w:tcPr>
            <w:tcW w:w="712" w:type="dxa"/>
            <w:gridSpan w:val="2"/>
            <w:tcBorders>
              <w:top w:val="single" w:sz="6" w:space="0" w:color="auto"/>
              <w:bottom w:val="single" w:sz="12" w:space="0" w:color="auto"/>
            </w:tcBorders>
          </w:tcPr>
          <w:p w14:paraId="1C8EE56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(11 095)</w:t>
            </w:r>
          </w:p>
        </w:tc>
        <w:tc>
          <w:tcPr>
            <w:tcW w:w="794" w:type="dxa"/>
            <w:tcBorders>
              <w:top w:val="single" w:sz="6" w:space="0" w:color="auto"/>
              <w:bottom w:val="single" w:sz="12" w:space="0" w:color="auto"/>
            </w:tcBorders>
          </w:tcPr>
          <w:p w14:paraId="310270B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(19 687)</w:t>
            </w:r>
          </w:p>
        </w:tc>
        <w:tc>
          <w:tcPr>
            <w:tcW w:w="794" w:type="dxa"/>
            <w:tcBorders>
              <w:top w:val="single" w:sz="6" w:space="0" w:color="auto"/>
              <w:bottom w:val="single" w:sz="12" w:space="0" w:color="auto"/>
            </w:tcBorders>
          </w:tcPr>
          <w:p w14:paraId="45AAD1F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1 316</w:t>
            </w:r>
          </w:p>
        </w:tc>
        <w:tc>
          <w:tcPr>
            <w:tcW w:w="794" w:type="dxa"/>
            <w:tcBorders>
              <w:top w:val="single" w:sz="6" w:space="0" w:color="auto"/>
              <w:bottom w:val="single" w:sz="12" w:space="0" w:color="auto"/>
            </w:tcBorders>
          </w:tcPr>
          <w:p w14:paraId="4546582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1 086</w:t>
            </w:r>
          </w:p>
        </w:tc>
        <w:tc>
          <w:tcPr>
            <w:tcW w:w="794" w:type="dxa"/>
            <w:tcBorders>
              <w:top w:val="single" w:sz="6" w:space="0" w:color="auto"/>
              <w:bottom w:val="single" w:sz="12" w:space="0" w:color="auto"/>
            </w:tcBorders>
          </w:tcPr>
          <w:p w14:paraId="36B1E04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5 406</w:t>
            </w:r>
          </w:p>
        </w:tc>
      </w:tr>
      <w:tr w:rsidR="008D6F13" w14:paraId="51FA887D" w14:textId="77777777" w:rsidTr="0031078F">
        <w:trPr>
          <w:trHeight w:hRule="exact" w:val="113"/>
        </w:trPr>
        <w:tc>
          <w:tcPr>
            <w:cnfStyle w:val="001000000000" w:firstRow="0" w:lastRow="0" w:firstColumn="1" w:lastColumn="0" w:oddVBand="0" w:evenVBand="0" w:oddHBand="0" w:evenHBand="0" w:firstRowFirstColumn="0" w:firstRowLastColumn="0" w:lastRowFirstColumn="0" w:lastRowLastColumn="0"/>
            <w:tcW w:w="3822" w:type="dxa"/>
            <w:tcBorders>
              <w:top w:val="single" w:sz="6" w:space="0" w:color="auto"/>
            </w:tcBorders>
          </w:tcPr>
          <w:p w14:paraId="5E8A5FAE" w14:textId="77777777" w:rsidR="008D6F13" w:rsidRDefault="008D6F13" w:rsidP="0031078F">
            <w:pPr>
              <w:spacing w:after="0"/>
            </w:pPr>
          </w:p>
        </w:tc>
        <w:tc>
          <w:tcPr>
            <w:tcW w:w="712" w:type="dxa"/>
            <w:gridSpan w:val="2"/>
            <w:tcBorders>
              <w:top w:val="single" w:sz="6" w:space="0" w:color="auto"/>
            </w:tcBorders>
          </w:tcPr>
          <w:p w14:paraId="7D85754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3F1AB5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947146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6E7820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A74E82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r>
      <w:tr w:rsidR="008D6F13" w14:paraId="27354346" w14:textId="77777777" w:rsidTr="0031078F">
        <w:tc>
          <w:tcPr>
            <w:cnfStyle w:val="001000000000" w:firstRow="0" w:lastRow="0" w:firstColumn="1" w:lastColumn="0" w:oddVBand="0" w:evenVBand="0" w:oddHBand="0" w:evenHBand="0" w:firstRowFirstColumn="0" w:firstRowLastColumn="0" w:lastRowFirstColumn="0" w:lastRowLastColumn="0"/>
            <w:tcW w:w="3822" w:type="dxa"/>
          </w:tcPr>
          <w:p w14:paraId="13531455" w14:textId="77777777" w:rsidR="008D6F13" w:rsidRDefault="008D6F13" w:rsidP="0031078F">
            <w:pPr>
              <w:spacing w:after="0"/>
            </w:pPr>
            <w:r>
              <w:rPr>
                <w:b/>
              </w:rPr>
              <w:t>KEY FISCAL AGGREGATES</w:t>
            </w:r>
          </w:p>
        </w:tc>
        <w:tc>
          <w:tcPr>
            <w:tcW w:w="712" w:type="dxa"/>
            <w:gridSpan w:val="2"/>
          </w:tcPr>
          <w:p w14:paraId="753FAA1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66D0A7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4036AC6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0C7FCD7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DFA525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r>
      <w:tr w:rsidR="008D6F13" w14:paraId="2665BDED" w14:textId="77777777" w:rsidTr="0031078F">
        <w:tc>
          <w:tcPr>
            <w:cnfStyle w:val="001000000000" w:firstRow="0" w:lastRow="0" w:firstColumn="1" w:lastColumn="0" w:oddVBand="0" w:evenVBand="0" w:oddHBand="0" w:evenHBand="0" w:firstRowFirstColumn="0" w:firstRowLastColumn="0" w:lastRowFirstColumn="0" w:lastRowLastColumn="0"/>
            <w:tcW w:w="3822" w:type="dxa"/>
          </w:tcPr>
          <w:p w14:paraId="41629757" w14:textId="77777777" w:rsidR="008D6F13" w:rsidRDefault="008D6F13" w:rsidP="0031078F">
            <w:pPr>
              <w:spacing w:after="0"/>
            </w:pPr>
            <w:r>
              <w:rPr>
                <w:b/>
              </w:rPr>
              <w:t>Net operating balance</w:t>
            </w:r>
          </w:p>
        </w:tc>
        <w:tc>
          <w:tcPr>
            <w:tcW w:w="712" w:type="dxa"/>
            <w:gridSpan w:val="2"/>
          </w:tcPr>
          <w:p w14:paraId="7E54C64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(12 628)</w:t>
            </w:r>
          </w:p>
        </w:tc>
        <w:tc>
          <w:tcPr>
            <w:tcW w:w="794" w:type="dxa"/>
          </w:tcPr>
          <w:p w14:paraId="1548BF8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(21 048)</w:t>
            </w:r>
          </w:p>
        </w:tc>
        <w:tc>
          <w:tcPr>
            <w:tcW w:w="794" w:type="dxa"/>
          </w:tcPr>
          <w:p w14:paraId="22E7ACFA"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(6 672)</w:t>
            </w:r>
          </w:p>
        </w:tc>
        <w:tc>
          <w:tcPr>
            <w:tcW w:w="794" w:type="dxa"/>
          </w:tcPr>
          <w:p w14:paraId="2CE3C8F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(6 415)</w:t>
            </w:r>
          </w:p>
        </w:tc>
        <w:tc>
          <w:tcPr>
            <w:tcW w:w="794" w:type="dxa"/>
          </w:tcPr>
          <w:p w14:paraId="39A2676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(5 742)</w:t>
            </w:r>
          </w:p>
        </w:tc>
      </w:tr>
      <w:tr w:rsidR="008D6F13" w14:paraId="68CE77E6" w14:textId="77777777" w:rsidTr="0031078F">
        <w:tc>
          <w:tcPr>
            <w:cnfStyle w:val="001000000000" w:firstRow="0" w:lastRow="0" w:firstColumn="1" w:lastColumn="0" w:oddVBand="0" w:evenVBand="0" w:oddHBand="0" w:evenHBand="0" w:firstRowFirstColumn="0" w:firstRowLastColumn="0" w:lastRowFirstColumn="0" w:lastRowLastColumn="0"/>
            <w:tcW w:w="3822" w:type="dxa"/>
            <w:tcBorders>
              <w:bottom w:val="single" w:sz="6" w:space="0" w:color="auto"/>
            </w:tcBorders>
          </w:tcPr>
          <w:p w14:paraId="2833E8F8" w14:textId="77777777" w:rsidR="008D6F13" w:rsidRDefault="008D6F13" w:rsidP="0031078F">
            <w:pPr>
              <w:spacing w:after="0"/>
            </w:pPr>
            <w:r>
              <w:t>Less: Net acquisition of non</w:t>
            </w:r>
            <w:r>
              <w:noBreakHyphen/>
              <w:t>financial assets from transactions</w:t>
            </w:r>
          </w:p>
        </w:tc>
        <w:tc>
          <w:tcPr>
            <w:tcW w:w="712" w:type="dxa"/>
            <w:gridSpan w:val="2"/>
            <w:tcBorders>
              <w:bottom w:val="single" w:sz="6" w:space="0" w:color="auto"/>
            </w:tcBorders>
          </w:tcPr>
          <w:p w14:paraId="6A7D2A9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19 964</w:t>
            </w:r>
          </w:p>
        </w:tc>
        <w:tc>
          <w:tcPr>
            <w:tcW w:w="794" w:type="dxa"/>
            <w:tcBorders>
              <w:bottom w:val="single" w:sz="6" w:space="0" w:color="auto"/>
            </w:tcBorders>
          </w:tcPr>
          <w:p w14:paraId="5ED7BB0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15 172</w:t>
            </w:r>
          </w:p>
        </w:tc>
        <w:tc>
          <w:tcPr>
            <w:tcW w:w="794" w:type="dxa"/>
            <w:tcBorders>
              <w:bottom w:val="single" w:sz="6" w:space="0" w:color="auto"/>
            </w:tcBorders>
          </w:tcPr>
          <w:p w14:paraId="152F8D2F"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16 809</w:t>
            </w:r>
          </w:p>
        </w:tc>
        <w:tc>
          <w:tcPr>
            <w:tcW w:w="794" w:type="dxa"/>
            <w:tcBorders>
              <w:bottom w:val="single" w:sz="6" w:space="0" w:color="auto"/>
            </w:tcBorders>
          </w:tcPr>
          <w:p w14:paraId="5C48050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17 396</w:t>
            </w:r>
          </w:p>
        </w:tc>
        <w:tc>
          <w:tcPr>
            <w:tcW w:w="794" w:type="dxa"/>
            <w:tcBorders>
              <w:bottom w:val="single" w:sz="6" w:space="0" w:color="auto"/>
            </w:tcBorders>
          </w:tcPr>
          <w:p w14:paraId="51F6169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16 594</w:t>
            </w:r>
          </w:p>
        </w:tc>
      </w:tr>
      <w:tr w:rsidR="008D6F13" w14:paraId="6098B218" w14:textId="77777777" w:rsidTr="0031078F">
        <w:tc>
          <w:tcPr>
            <w:cnfStyle w:val="001000000000" w:firstRow="0" w:lastRow="0" w:firstColumn="1" w:lastColumn="0" w:oddVBand="0" w:evenVBand="0" w:oddHBand="0" w:evenHBand="0" w:firstRowFirstColumn="0" w:firstRowLastColumn="0" w:lastRowFirstColumn="0" w:lastRowLastColumn="0"/>
            <w:tcW w:w="3822" w:type="dxa"/>
          </w:tcPr>
          <w:p w14:paraId="53DA9DDA" w14:textId="77777777" w:rsidR="008D6F13" w:rsidRDefault="008D6F13" w:rsidP="0031078F">
            <w:pPr>
              <w:spacing w:after="0"/>
            </w:pPr>
            <w:r>
              <w:rPr>
                <w:b/>
              </w:rPr>
              <w:t>Net lending/(borrowing)</w:t>
            </w:r>
          </w:p>
        </w:tc>
        <w:tc>
          <w:tcPr>
            <w:tcW w:w="712" w:type="dxa"/>
            <w:gridSpan w:val="2"/>
          </w:tcPr>
          <w:p w14:paraId="04E6923C"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(32 592)</w:t>
            </w:r>
          </w:p>
        </w:tc>
        <w:tc>
          <w:tcPr>
            <w:tcW w:w="794" w:type="dxa"/>
          </w:tcPr>
          <w:p w14:paraId="1C84B9B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(36 219)</w:t>
            </w:r>
          </w:p>
        </w:tc>
        <w:tc>
          <w:tcPr>
            <w:tcW w:w="794" w:type="dxa"/>
          </w:tcPr>
          <w:p w14:paraId="2AD4E0D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(23 481)</w:t>
            </w:r>
          </w:p>
        </w:tc>
        <w:tc>
          <w:tcPr>
            <w:tcW w:w="794" w:type="dxa"/>
          </w:tcPr>
          <w:p w14:paraId="43C19522"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(23 812)</w:t>
            </w:r>
          </w:p>
        </w:tc>
        <w:tc>
          <w:tcPr>
            <w:tcW w:w="794" w:type="dxa"/>
          </w:tcPr>
          <w:p w14:paraId="7482FFB5" w14:textId="083DD4CF"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(22 336)</w:t>
            </w:r>
          </w:p>
        </w:tc>
      </w:tr>
    </w:tbl>
    <w:p w14:paraId="5CF53FEC" w14:textId="0BC800C6" w:rsidR="008D6F13" w:rsidRPr="00921F69" w:rsidRDefault="008D6F13" w:rsidP="008D6F13">
      <w:pPr>
        <w:pStyle w:val="TableHeading"/>
        <w:rPr>
          <w:rFonts w:cstheme="majorHAnsi"/>
        </w:rPr>
      </w:pPr>
      <w:r w:rsidRPr="00921F69">
        <w:rPr>
          <w:rFonts w:cstheme="majorHAnsi"/>
        </w:rPr>
        <w:lastRenderedPageBreak/>
        <w:t>Table 5.7</w:t>
      </w:r>
      <w:r w:rsidR="007F1FE4">
        <w:rPr>
          <w:rFonts w:cstheme="majorHAnsi"/>
        </w:rPr>
        <w:t>:</w:t>
      </w:r>
      <w:r w:rsidRPr="00921F69">
        <w:rPr>
          <w:rFonts w:cstheme="majorHAnsi"/>
        </w:rPr>
        <w:tab/>
        <w:t xml:space="preserve">Non-financial public sector balance sheet as </w:t>
      </w:r>
      <w:proofErr w:type="gramStart"/>
      <w:r w:rsidRPr="00921F69">
        <w:rPr>
          <w:rFonts w:cstheme="majorHAnsi"/>
        </w:rPr>
        <w:t>at</w:t>
      </w:r>
      <w:proofErr w:type="gramEnd"/>
      <w:r w:rsidRPr="00921F69">
        <w:rPr>
          <w:rFonts w:cstheme="majorHAnsi"/>
        </w:rPr>
        <w:t xml:space="preserve"> 30 June</w:t>
      </w:r>
      <w:r w:rsidRPr="00921F69">
        <w:rPr>
          <w:rFonts w:cstheme="majorHAnsi"/>
        </w:rPr>
        <w:tab/>
        <w:t>($ million)</w:t>
      </w:r>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1F88E3BC"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47A22E94" w14:textId="240279C9" w:rsidR="008D6F13" w:rsidRDefault="008D6F13" w:rsidP="0031078F"/>
        </w:tc>
        <w:tc>
          <w:tcPr>
            <w:tcW w:w="794" w:type="dxa"/>
          </w:tcPr>
          <w:p w14:paraId="33E1C88C"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br/>
              <w:t>budget</w:t>
            </w:r>
            <w:r>
              <w:rPr>
                <w:vertAlign w:val="superscript"/>
              </w:rPr>
              <w:t xml:space="preserve"> (a)</w:t>
            </w:r>
          </w:p>
        </w:tc>
        <w:tc>
          <w:tcPr>
            <w:tcW w:w="794" w:type="dxa"/>
          </w:tcPr>
          <w:p w14:paraId="77D76219"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br/>
              <w:t>revised</w:t>
            </w:r>
          </w:p>
        </w:tc>
        <w:tc>
          <w:tcPr>
            <w:tcW w:w="794" w:type="dxa"/>
          </w:tcPr>
          <w:p w14:paraId="1CDB3E9D"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br/>
              <w:t>estimate</w:t>
            </w:r>
          </w:p>
        </w:tc>
        <w:tc>
          <w:tcPr>
            <w:tcW w:w="794" w:type="dxa"/>
          </w:tcPr>
          <w:p w14:paraId="21FDC54F"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br/>
              <w:t>estimate</w:t>
            </w:r>
          </w:p>
        </w:tc>
        <w:tc>
          <w:tcPr>
            <w:tcW w:w="794" w:type="dxa"/>
          </w:tcPr>
          <w:p w14:paraId="1F872AFD"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2025</w:t>
            </w:r>
            <w:r>
              <w:br/>
              <w:t>estimate</w:t>
            </w:r>
          </w:p>
        </w:tc>
      </w:tr>
      <w:tr w:rsidR="008D6F13" w14:paraId="3B273B24"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1956322" w14:textId="77777777" w:rsidR="008D6F13" w:rsidRDefault="008D6F13" w:rsidP="0031078F">
            <w:r>
              <w:rPr>
                <w:b/>
              </w:rPr>
              <w:t>Assets</w:t>
            </w:r>
          </w:p>
        </w:tc>
        <w:tc>
          <w:tcPr>
            <w:tcW w:w="794" w:type="dxa"/>
          </w:tcPr>
          <w:p w14:paraId="3B09064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4421C4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7444EE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294A03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AD3D1D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05C503FF"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B14B9D4" w14:textId="77777777" w:rsidR="008D6F13" w:rsidRDefault="008D6F13" w:rsidP="0031078F">
            <w:r>
              <w:rPr>
                <w:b/>
              </w:rPr>
              <w:t>Financial assets</w:t>
            </w:r>
          </w:p>
        </w:tc>
        <w:tc>
          <w:tcPr>
            <w:tcW w:w="794" w:type="dxa"/>
          </w:tcPr>
          <w:p w14:paraId="1529ED7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4885E1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E8DE94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53C061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AC369F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5C0E46EC"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2370A40" w14:textId="77777777" w:rsidR="008D6F13" w:rsidRDefault="008D6F13" w:rsidP="0031078F">
            <w:r>
              <w:t>Cash and deposits</w:t>
            </w:r>
          </w:p>
        </w:tc>
        <w:tc>
          <w:tcPr>
            <w:tcW w:w="794" w:type="dxa"/>
          </w:tcPr>
          <w:p w14:paraId="4491376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16 650</w:t>
            </w:r>
          </w:p>
        </w:tc>
        <w:tc>
          <w:tcPr>
            <w:tcW w:w="794" w:type="dxa"/>
          </w:tcPr>
          <w:p w14:paraId="12084C4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15 706</w:t>
            </w:r>
          </w:p>
        </w:tc>
        <w:tc>
          <w:tcPr>
            <w:tcW w:w="794" w:type="dxa"/>
          </w:tcPr>
          <w:p w14:paraId="636421E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15 650</w:t>
            </w:r>
          </w:p>
        </w:tc>
        <w:tc>
          <w:tcPr>
            <w:tcW w:w="794" w:type="dxa"/>
          </w:tcPr>
          <w:p w14:paraId="1375856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15 850</w:t>
            </w:r>
          </w:p>
        </w:tc>
        <w:tc>
          <w:tcPr>
            <w:tcW w:w="794" w:type="dxa"/>
          </w:tcPr>
          <w:p w14:paraId="1E8B2B7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16 143</w:t>
            </w:r>
          </w:p>
        </w:tc>
      </w:tr>
      <w:tr w:rsidR="008D6F13" w14:paraId="4C4298AF"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AC3A068" w14:textId="77777777" w:rsidR="008D6F13" w:rsidRDefault="008D6F13" w:rsidP="0031078F">
            <w:r>
              <w:t>Advances paid</w:t>
            </w:r>
          </w:p>
        </w:tc>
        <w:tc>
          <w:tcPr>
            <w:tcW w:w="794" w:type="dxa"/>
          </w:tcPr>
          <w:p w14:paraId="2DED730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630</w:t>
            </w:r>
          </w:p>
        </w:tc>
        <w:tc>
          <w:tcPr>
            <w:tcW w:w="794" w:type="dxa"/>
          </w:tcPr>
          <w:p w14:paraId="096189D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568</w:t>
            </w:r>
          </w:p>
        </w:tc>
        <w:tc>
          <w:tcPr>
            <w:tcW w:w="794" w:type="dxa"/>
          </w:tcPr>
          <w:p w14:paraId="7DF1B17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472</w:t>
            </w:r>
          </w:p>
        </w:tc>
        <w:tc>
          <w:tcPr>
            <w:tcW w:w="794" w:type="dxa"/>
          </w:tcPr>
          <w:p w14:paraId="3C32944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440</w:t>
            </w:r>
          </w:p>
        </w:tc>
        <w:tc>
          <w:tcPr>
            <w:tcW w:w="794" w:type="dxa"/>
          </w:tcPr>
          <w:p w14:paraId="7B6E29B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433</w:t>
            </w:r>
          </w:p>
        </w:tc>
      </w:tr>
      <w:tr w:rsidR="008D6F13" w14:paraId="4A317F57"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1E857B4" w14:textId="77777777" w:rsidR="008D6F13" w:rsidRDefault="008D6F13" w:rsidP="0031078F">
            <w:r>
              <w:t>Receivables and contract assets</w:t>
            </w:r>
          </w:p>
        </w:tc>
        <w:tc>
          <w:tcPr>
            <w:tcW w:w="794" w:type="dxa"/>
          </w:tcPr>
          <w:p w14:paraId="39795DF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7 558</w:t>
            </w:r>
          </w:p>
        </w:tc>
        <w:tc>
          <w:tcPr>
            <w:tcW w:w="794" w:type="dxa"/>
          </w:tcPr>
          <w:p w14:paraId="0016DB2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8 302</w:t>
            </w:r>
          </w:p>
        </w:tc>
        <w:tc>
          <w:tcPr>
            <w:tcW w:w="794" w:type="dxa"/>
          </w:tcPr>
          <w:p w14:paraId="07E2E5E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8 388</w:t>
            </w:r>
          </w:p>
        </w:tc>
        <w:tc>
          <w:tcPr>
            <w:tcW w:w="794" w:type="dxa"/>
          </w:tcPr>
          <w:p w14:paraId="269B7EC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8 546</w:t>
            </w:r>
          </w:p>
        </w:tc>
        <w:tc>
          <w:tcPr>
            <w:tcW w:w="794" w:type="dxa"/>
          </w:tcPr>
          <w:p w14:paraId="365A887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8 769</w:t>
            </w:r>
          </w:p>
        </w:tc>
      </w:tr>
      <w:tr w:rsidR="008D6F13" w14:paraId="112BC69A"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7EF0518" w14:textId="77777777" w:rsidR="008D6F13" w:rsidRDefault="008D6F13" w:rsidP="0031078F">
            <w:r>
              <w:t xml:space="preserve">Investments, </w:t>
            </w:r>
            <w:proofErr w:type="gramStart"/>
            <w:r>
              <w:t>loans</w:t>
            </w:r>
            <w:proofErr w:type="gramEnd"/>
            <w:r>
              <w:t xml:space="preserve"> and placements</w:t>
            </w:r>
          </w:p>
        </w:tc>
        <w:tc>
          <w:tcPr>
            <w:tcW w:w="794" w:type="dxa"/>
          </w:tcPr>
          <w:p w14:paraId="57A3576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3 504</w:t>
            </w:r>
          </w:p>
        </w:tc>
        <w:tc>
          <w:tcPr>
            <w:tcW w:w="794" w:type="dxa"/>
          </w:tcPr>
          <w:p w14:paraId="305D545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4 121</w:t>
            </w:r>
          </w:p>
        </w:tc>
        <w:tc>
          <w:tcPr>
            <w:tcW w:w="794" w:type="dxa"/>
          </w:tcPr>
          <w:p w14:paraId="0779C8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4 283</w:t>
            </w:r>
          </w:p>
        </w:tc>
        <w:tc>
          <w:tcPr>
            <w:tcW w:w="794" w:type="dxa"/>
          </w:tcPr>
          <w:p w14:paraId="66014B2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4 577</w:t>
            </w:r>
          </w:p>
        </w:tc>
        <w:tc>
          <w:tcPr>
            <w:tcW w:w="794" w:type="dxa"/>
          </w:tcPr>
          <w:p w14:paraId="5AABF03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4 879</w:t>
            </w:r>
          </w:p>
        </w:tc>
      </w:tr>
      <w:tr w:rsidR="008D6F13" w14:paraId="44478944"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76EBA24" w14:textId="77777777" w:rsidR="008D6F13" w:rsidRDefault="008D6F13" w:rsidP="0031078F">
            <w:r>
              <w:t>Investments accounted for using equity method</w:t>
            </w:r>
          </w:p>
        </w:tc>
        <w:tc>
          <w:tcPr>
            <w:tcW w:w="794" w:type="dxa"/>
          </w:tcPr>
          <w:p w14:paraId="4DE7D9C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5299C9C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70DEE37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31C9E01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28A7B13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w:t>
            </w:r>
          </w:p>
        </w:tc>
      </w:tr>
      <w:tr w:rsidR="008D6F13" w14:paraId="1F22B787"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0769C535" w14:textId="77777777" w:rsidR="008D6F13" w:rsidRDefault="008D6F13" w:rsidP="0031078F">
            <w:r>
              <w:t>Investments in other sector entities</w:t>
            </w:r>
          </w:p>
        </w:tc>
        <w:tc>
          <w:tcPr>
            <w:tcW w:w="794" w:type="dxa"/>
            <w:tcBorders>
              <w:bottom w:val="single" w:sz="6" w:space="0" w:color="auto"/>
            </w:tcBorders>
          </w:tcPr>
          <w:p w14:paraId="7FBF2B0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392</w:t>
            </w:r>
          </w:p>
        </w:tc>
        <w:tc>
          <w:tcPr>
            <w:tcW w:w="794" w:type="dxa"/>
            <w:tcBorders>
              <w:bottom w:val="single" w:sz="6" w:space="0" w:color="auto"/>
            </w:tcBorders>
          </w:tcPr>
          <w:p w14:paraId="63E20B1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272</w:t>
            </w:r>
          </w:p>
        </w:tc>
        <w:tc>
          <w:tcPr>
            <w:tcW w:w="794" w:type="dxa"/>
            <w:tcBorders>
              <w:bottom w:val="single" w:sz="6" w:space="0" w:color="auto"/>
            </w:tcBorders>
          </w:tcPr>
          <w:p w14:paraId="71D0A56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287</w:t>
            </w:r>
          </w:p>
        </w:tc>
        <w:tc>
          <w:tcPr>
            <w:tcW w:w="794" w:type="dxa"/>
            <w:tcBorders>
              <w:bottom w:val="single" w:sz="6" w:space="0" w:color="auto"/>
            </w:tcBorders>
          </w:tcPr>
          <w:p w14:paraId="6C66732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302</w:t>
            </w:r>
          </w:p>
        </w:tc>
        <w:tc>
          <w:tcPr>
            <w:tcW w:w="794" w:type="dxa"/>
            <w:tcBorders>
              <w:bottom w:val="single" w:sz="6" w:space="0" w:color="auto"/>
            </w:tcBorders>
          </w:tcPr>
          <w:p w14:paraId="315B85A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314</w:t>
            </w:r>
          </w:p>
        </w:tc>
      </w:tr>
      <w:tr w:rsidR="008D6F13" w14:paraId="7F6AAC41"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11E76C72" w14:textId="77777777" w:rsidR="008D6F13" w:rsidRDefault="008D6F13" w:rsidP="0031078F">
            <w:r>
              <w:rPr>
                <w:b/>
              </w:rPr>
              <w:t>Total financial assets</w:t>
            </w:r>
          </w:p>
        </w:tc>
        <w:tc>
          <w:tcPr>
            <w:tcW w:w="794" w:type="dxa"/>
            <w:tcBorders>
              <w:top w:val="single" w:sz="6" w:space="0" w:color="auto"/>
              <w:bottom w:val="single" w:sz="6" w:space="0" w:color="auto"/>
            </w:tcBorders>
          </w:tcPr>
          <w:p w14:paraId="7637FFF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28 744</w:t>
            </w:r>
          </w:p>
        </w:tc>
        <w:tc>
          <w:tcPr>
            <w:tcW w:w="794" w:type="dxa"/>
            <w:tcBorders>
              <w:top w:val="single" w:sz="6" w:space="0" w:color="auto"/>
              <w:bottom w:val="single" w:sz="6" w:space="0" w:color="auto"/>
            </w:tcBorders>
          </w:tcPr>
          <w:p w14:paraId="5D62B90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28 979</w:t>
            </w:r>
          </w:p>
        </w:tc>
        <w:tc>
          <w:tcPr>
            <w:tcW w:w="794" w:type="dxa"/>
            <w:tcBorders>
              <w:top w:val="single" w:sz="6" w:space="0" w:color="auto"/>
              <w:bottom w:val="single" w:sz="6" w:space="0" w:color="auto"/>
            </w:tcBorders>
          </w:tcPr>
          <w:p w14:paraId="2F616B1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29 090</w:t>
            </w:r>
          </w:p>
        </w:tc>
        <w:tc>
          <w:tcPr>
            <w:tcW w:w="794" w:type="dxa"/>
            <w:tcBorders>
              <w:top w:val="single" w:sz="6" w:space="0" w:color="auto"/>
              <w:bottom w:val="single" w:sz="6" w:space="0" w:color="auto"/>
            </w:tcBorders>
          </w:tcPr>
          <w:p w14:paraId="4756C6A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29 725</w:t>
            </w:r>
          </w:p>
        </w:tc>
        <w:tc>
          <w:tcPr>
            <w:tcW w:w="794" w:type="dxa"/>
            <w:tcBorders>
              <w:top w:val="single" w:sz="6" w:space="0" w:color="auto"/>
              <w:bottom w:val="single" w:sz="6" w:space="0" w:color="auto"/>
            </w:tcBorders>
          </w:tcPr>
          <w:p w14:paraId="6710827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30 549</w:t>
            </w:r>
          </w:p>
        </w:tc>
      </w:tr>
      <w:tr w:rsidR="008D6F13" w14:paraId="05141DA0"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3A5F3851" w14:textId="77777777" w:rsidR="008D6F13" w:rsidRDefault="008D6F13" w:rsidP="0031078F">
            <w:r>
              <w:rPr>
                <w:b/>
              </w:rPr>
              <w:t>Non</w:t>
            </w:r>
            <w:r>
              <w:rPr>
                <w:b/>
              </w:rPr>
              <w:noBreakHyphen/>
              <w:t>financial assets</w:t>
            </w:r>
          </w:p>
        </w:tc>
        <w:tc>
          <w:tcPr>
            <w:tcW w:w="794" w:type="dxa"/>
            <w:tcBorders>
              <w:top w:val="single" w:sz="6" w:space="0" w:color="auto"/>
            </w:tcBorders>
          </w:tcPr>
          <w:p w14:paraId="72005B4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2B9D90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EC7CAA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1B6D5E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E3868A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34AD13EE"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FC12AE9" w14:textId="77777777" w:rsidR="008D6F13" w:rsidRDefault="008D6F13" w:rsidP="0031078F">
            <w:r>
              <w:t>Inventories</w:t>
            </w:r>
          </w:p>
        </w:tc>
        <w:tc>
          <w:tcPr>
            <w:tcW w:w="794" w:type="dxa"/>
          </w:tcPr>
          <w:p w14:paraId="609817C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1 825</w:t>
            </w:r>
          </w:p>
        </w:tc>
        <w:tc>
          <w:tcPr>
            <w:tcW w:w="794" w:type="dxa"/>
          </w:tcPr>
          <w:p w14:paraId="45D596F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2 112</w:t>
            </w:r>
          </w:p>
        </w:tc>
        <w:tc>
          <w:tcPr>
            <w:tcW w:w="794" w:type="dxa"/>
          </w:tcPr>
          <w:p w14:paraId="2E0E7CB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1 641</w:t>
            </w:r>
          </w:p>
        </w:tc>
        <w:tc>
          <w:tcPr>
            <w:tcW w:w="794" w:type="dxa"/>
          </w:tcPr>
          <w:p w14:paraId="7CD36EA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1 629</w:t>
            </w:r>
          </w:p>
        </w:tc>
        <w:tc>
          <w:tcPr>
            <w:tcW w:w="794" w:type="dxa"/>
          </w:tcPr>
          <w:p w14:paraId="5648749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1 445</w:t>
            </w:r>
          </w:p>
        </w:tc>
      </w:tr>
      <w:tr w:rsidR="008D6F13" w14:paraId="1FAD49FE"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EE253D8" w14:textId="77777777" w:rsidR="008D6F13" w:rsidRDefault="008D6F13" w:rsidP="0031078F">
            <w:r>
              <w:t>Non</w:t>
            </w:r>
            <w:r>
              <w:noBreakHyphen/>
              <w:t>financial assets held for sale</w:t>
            </w:r>
          </w:p>
        </w:tc>
        <w:tc>
          <w:tcPr>
            <w:tcW w:w="794" w:type="dxa"/>
          </w:tcPr>
          <w:p w14:paraId="7BB7831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251</w:t>
            </w:r>
          </w:p>
        </w:tc>
        <w:tc>
          <w:tcPr>
            <w:tcW w:w="794" w:type="dxa"/>
          </w:tcPr>
          <w:p w14:paraId="4A2E2DA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218</w:t>
            </w:r>
          </w:p>
        </w:tc>
        <w:tc>
          <w:tcPr>
            <w:tcW w:w="794" w:type="dxa"/>
          </w:tcPr>
          <w:p w14:paraId="68994C9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215</w:t>
            </w:r>
          </w:p>
        </w:tc>
        <w:tc>
          <w:tcPr>
            <w:tcW w:w="794" w:type="dxa"/>
          </w:tcPr>
          <w:p w14:paraId="5C1BDAD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194</w:t>
            </w:r>
          </w:p>
        </w:tc>
        <w:tc>
          <w:tcPr>
            <w:tcW w:w="794" w:type="dxa"/>
          </w:tcPr>
          <w:p w14:paraId="33A6C3A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165</w:t>
            </w:r>
          </w:p>
        </w:tc>
      </w:tr>
      <w:tr w:rsidR="008D6F13" w14:paraId="68019D63"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5FC6B11" w14:textId="77777777" w:rsidR="008D6F13" w:rsidRDefault="008D6F13" w:rsidP="0031078F">
            <w:r>
              <w:t xml:space="preserve">Land, buildings, infrastructure, </w:t>
            </w:r>
            <w:proofErr w:type="gramStart"/>
            <w:r>
              <w:t>plant</w:t>
            </w:r>
            <w:proofErr w:type="gramEnd"/>
            <w:r>
              <w:t xml:space="preserve"> and equipment</w:t>
            </w:r>
          </w:p>
        </w:tc>
        <w:tc>
          <w:tcPr>
            <w:tcW w:w="794" w:type="dxa"/>
          </w:tcPr>
          <w:p w14:paraId="4FA4443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355 355</w:t>
            </w:r>
          </w:p>
        </w:tc>
        <w:tc>
          <w:tcPr>
            <w:tcW w:w="794" w:type="dxa"/>
          </w:tcPr>
          <w:p w14:paraId="6BD8DD8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349 765</w:t>
            </w:r>
          </w:p>
        </w:tc>
        <w:tc>
          <w:tcPr>
            <w:tcW w:w="794" w:type="dxa"/>
          </w:tcPr>
          <w:p w14:paraId="79B8243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374 247</w:t>
            </w:r>
          </w:p>
        </w:tc>
        <w:tc>
          <w:tcPr>
            <w:tcW w:w="794" w:type="dxa"/>
          </w:tcPr>
          <w:p w14:paraId="2852429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398 598</w:t>
            </w:r>
          </w:p>
        </w:tc>
        <w:tc>
          <w:tcPr>
            <w:tcW w:w="794" w:type="dxa"/>
          </w:tcPr>
          <w:p w14:paraId="76D1C1B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425 510</w:t>
            </w:r>
          </w:p>
        </w:tc>
      </w:tr>
      <w:tr w:rsidR="008D6F13" w14:paraId="4F0F2CCD"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20FFCE63" w14:textId="77777777" w:rsidR="008D6F13" w:rsidRDefault="008D6F13" w:rsidP="0031078F">
            <w:r>
              <w:t>Other non</w:t>
            </w:r>
            <w:r>
              <w:noBreakHyphen/>
              <w:t>financial assets</w:t>
            </w:r>
          </w:p>
        </w:tc>
        <w:tc>
          <w:tcPr>
            <w:tcW w:w="794" w:type="dxa"/>
            <w:tcBorders>
              <w:bottom w:val="single" w:sz="6" w:space="0" w:color="auto"/>
            </w:tcBorders>
          </w:tcPr>
          <w:p w14:paraId="109D634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4 257</w:t>
            </w:r>
          </w:p>
        </w:tc>
        <w:tc>
          <w:tcPr>
            <w:tcW w:w="794" w:type="dxa"/>
            <w:tcBorders>
              <w:bottom w:val="single" w:sz="6" w:space="0" w:color="auto"/>
            </w:tcBorders>
          </w:tcPr>
          <w:p w14:paraId="00F5DD2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4 490</w:t>
            </w:r>
          </w:p>
        </w:tc>
        <w:tc>
          <w:tcPr>
            <w:tcW w:w="794" w:type="dxa"/>
            <w:tcBorders>
              <w:bottom w:val="single" w:sz="6" w:space="0" w:color="auto"/>
            </w:tcBorders>
          </w:tcPr>
          <w:p w14:paraId="7331020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4 252</w:t>
            </w:r>
          </w:p>
        </w:tc>
        <w:tc>
          <w:tcPr>
            <w:tcW w:w="794" w:type="dxa"/>
            <w:tcBorders>
              <w:bottom w:val="single" w:sz="6" w:space="0" w:color="auto"/>
            </w:tcBorders>
          </w:tcPr>
          <w:p w14:paraId="3A275B2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4 045</w:t>
            </w:r>
          </w:p>
        </w:tc>
        <w:tc>
          <w:tcPr>
            <w:tcW w:w="794" w:type="dxa"/>
            <w:tcBorders>
              <w:bottom w:val="single" w:sz="6" w:space="0" w:color="auto"/>
            </w:tcBorders>
          </w:tcPr>
          <w:p w14:paraId="12E0A46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3 828</w:t>
            </w:r>
          </w:p>
        </w:tc>
      </w:tr>
      <w:tr w:rsidR="008D6F13" w14:paraId="6D50EFE9"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14368F37" w14:textId="77777777" w:rsidR="008D6F13" w:rsidRDefault="008D6F13" w:rsidP="0031078F">
            <w:r>
              <w:rPr>
                <w:b/>
              </w:rPr>
              <w:t>Total non</w:t>
            </w:r>
            <w:r>
              <w:rPr>
                <w:b/>
              </w:rPr>
              <w:noBreakHyphen/>
              <w:t>financial assets</w:t>
            </w:r>
          </w:p>
        </w:tc>
        <w:tc>
          <w:tcPr>
            <w:tcW w:w="794" w:type="dxa"/>
            <w:tcBorders>
              <w:top w:val="single" w:sz="6" w:space="0" w:color="auto"/>
              <w:bottom w:val="single" w:sz="6" w:space="0" w:color="auto"/>
            </w:tcBorders>
          </w:tcPr>
          <w:p w14:paraId="0C20E33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361 689</w:t>
            </w:r>
          </w:p>
        </w:tc>
        <w:tc>
          <w:tcPr>
            <w:tcW w:w="794" w:type="dxa"/>
            <w:tcBorders>
              <w:top w:val="single" w:sz="6" w:space="0" w:color="auto"/>
              <w:bottom w:val="single" w:sz="6" w:space="0" w:color="auto"/>
            </w:tcBorders>
          </w:tcPr>
          <w:p w14:paraId="64B8505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356 585</w:t>
            </w:r>
          </w:p>
        </w:tc>
        <w:tc>
          <w:tcPr>
            <w:tcW w:w="794" w:type="dxa"/>
            <w:tcBorders>
              <w:top w:val="single" w:sz="6" w:space="0" w:color="auto"/>
              <w:bottom w:val="single" w:sz="6" w:space="0" w:color="auto"/>
            </w:tcBorders>
          </w:tcPr>
          <w:p w14:paraId="0DF0459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380 355</w:t>
            </w:r>
          </w:p>
        </w:tc>
        <w:tc>
          <w:tcPr>
            <w:tcW w:w="794" w:type="dxa"/>
            <w:tcBorders>
              <w:top w:val="single" w:sz="6" w:space="0" w:color="auto"/>
              <w:bottom w:val="single" w:sz="6" w:space="0" w:color="auto"/>
            </w:tcBorders>
          </w:tcPr>
          <w:p w14:paraId="55AAC67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404 466</w:t>
            </w:r>
          </w:p>
        </w:tc>
        <w:tc>
          <w:tcPr>
            <w:tcW w:w="794" w:type="dxa"/>
            <w:tcBorders>
              <w:top w:val="single" w:sz="6" w:space="0" w:color="auto"/>
              <w:bottom w:val="single" w:sz="6" w:space="0" w:color="auto"/>
            </w:tcBorders>
          </w:tcPr>
          <w:p w14:paraId="138B97F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430 949</w:t>
            </w:r>
          </w:p>
        </w:tc>
      </w:tr>
      <w:tr w:rsidR="008D6F13" w14:paraId="053CCF76"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5510A50B" w14:textId="77777777" w:rsidR="008D6F13" w:rsidRDefault="008D6F13" w:rsidP="0031078F">
            <w:r>
              <w:rPr>
                <w:b/>
              </w:rPr>
              <w:t>Total assets</w:t>
            </w:r>
          </w:p>
        </w:tc>
        <w:tc>
          <w:tcPr>
            <w:tcW w:w="794" w:type="dxa"/>
            <w:tcBorders>
              <w:top w:val="single" w:sz="6" w:space="0" w:color="auto"/>
            </w:tcBorders>
          </w:tcPr>
          <w:p w14:paraId="7A988A4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390 433</w:t>
            </w:r>
          </w:p>
        </w:tc>
        <w:tc>
          <w:tcPr>
            <w:tcW w:w="794" w:type="dxa"/>
            <w:tcBorders>
              <w:top w:val="single" w:sz="6" w:space="0" w:color="auto"/>
            </w:tcBorders>
          </w:tcPr>
          <w:p w14:paraId="48FEE77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385 564</w:t>
            </w:r>
          </w:p>
        </w:tc>
        <w:tc>
          <w:tcPr>
            <w:tcW w:w="794" w:type="dxa"/>
            <w:tcBorders>
              <w:top w:val="single" w:sz="6" w:space="0" w:color="auto"/>
            </w:tcBorders>
          </w:tcPr>
          <w:p w14:paraId="7601C5D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409 445</w:t>
            </w:r>
          </w:p>
        </w:tc>
        <w:tc>
          <w:tcPr>
            <w:tcW w:w="794" w:type="dxa"/>
            <w:tcBorders>
              <w:top w:val="single" w:sz="6" w:space="0" w:color="auto"/>
            </w:tcBorders>
          </w:tcPr>
          <w:p w14:paraId="3D10E47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434 191</w:t>
            </w:r>
          </w:p>
        </w:tc>
        <w:tc>
          <w:tcPr>
            <w:tcW w:w="794" w:type="dxa"/>
            <w:tcBorders>
              <w:top w:val="single" w:sz="6" w:space="0" w:color="auto"/>
            </w:tcBorders>
          </w:tcPr>
          <w:p w14:paraId="4C1964C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461 498</w:t>
            </w:r>
          </w:p>
        </w:tc>
      </w:tr>
      <w:tr w:rsidR="008D6F13" w14:paraId="20A6CC5E"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8EFA42F" w14:textId="77777777" w:rsidR="008D6F13" w:rsidRDefault="008D6F13" w:rsidP="0031078F">
            <w:r>
              <w:rPr>
                <w:b/>
              </w:rPr>
              <w:t>Liabilities</w:t>
            </w:r>
          </w:p>
        </w:tc>
        <w:tc>
          <w:tcPr>
            <w:tcW w:w="794" w:type="dxa"/>
          </w:tcPr>
          <w:p w14:paraId="6C7A490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A50AD5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415EE8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86D167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C0400F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595D7A84"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9FAFF8D" w14:textId="77777777" w:rsidR="008D6F13" w:rsidRDefault="008D6F13" w:rsidP="0031078F">
            <w:r>
              <w:t>Deposits held and advances received</w:t>
            </w:r>
          </w:p>
        </w:tc>
        <w:tc>
          <w:tcPr>
            <w:tcW w:w="794" w:type="dxa"/>
          </w:tcPr>
          <w:p w14:paraId="6D2A900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1 607</w:t>
            </w:r>
          </w:p>
        </w:tc>
        <w:tc>
          <w:tcPr>
            <w:tcW w:w="794" w:type="dxa"/>
          </w:tcPr>
          <w:p w14:paraId="14E515A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1 717</w:t>
            </w:r>
          </w:p>
        </w:tc>
        <w:tc>
          <w:tcPr>
            <w:tcW w:w="794" w:type="dxa"/>
          </w:tcPr>
          <w:p w14:paraId="337D1DF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1 658</w:t>
            </w:r>
          </w:p>
        </w:tc>
        <w:tc>
          <w:tcPr>
            <w:tcW w:w="794" w:type="dxa"/>
          </w:tcPr>
          <w:p w14:paraId="61F31BD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1 677</w:t>
            </w:r>
          </w:p>
        </w:tc>
        <w:tc>
          <w:tcPr>
            <w:tcW w:w="794" w:type="dxa"/>
          </w:tcPr>
          <w:p w14:paraId="4680E1A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1 683</w:t>
            </w:r>
          </w:p>
        </w:tc>
      </w:tr>
      <w:tr w:rsidR="008D6F13" w14:paraId="641C60DE"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231F24A" w14:textId="77777777" w:rsidR="008D6F13" w:rsidRDefault="008D6F13" w:rsidP="0031078F">
            <w:r>
              <w:t>Payables</w:t>
            </w:r>
          </w:p>
        </w:tc>
        <w:tc>
          <w:tcPr>
            <w:tcW w:w="794" w:type="dxa"/>
          </w:tcPr>
          <w:p w14:paraId="0129070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28 970</w:t>
            </w:r>
          </w:p>
        </w:tc>
        <w:tc>
          <w:tcPr>
            <w:tcW w:w="794" w:type="dxa"/>
          </w:tcPr>
          <w:p w14:paraId="1DFE909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25 340</w:t>
            </w:r>
          </w:p>
        </w:tc>
        <w:tc>
          <w:tcPr>
            <w:tcW w:w="794" w:type="dxa"/>
          </w:tcPr>
          <w:p w14:paraId="49FE124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28 264</w:t>
            </w:r>
          </w:p>
        </w:tc>
        <w:tc>
          <w:tcPr>
            <w:tcW w:w="794" w:type="dxa"/>
          </w:tcPr>
          <w:p w14:paraId="330F105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28 046</w:t>
            </w:r>
          </w:p>
        </w:tc>
        <w:tc>
          <w:tcPr>
            <w:tcW w:w="794" w:type="dxa"/>
          </w:tcPr>
          <w:p w14:paraId="63F25E6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27 215</w:t>
            </w:r>
          </w:p>
        </w:tc>
      </w:tr>
      <w:tr w:rsidR="008D6F13" w14:paraId="3DD8FA96"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FBD217B" w14:textId="77777777" w:rsidR="008D6F13" w:rsidRDefault="008D6F13" w:rsidP="0031078F">
            <w:r>
              <w:t>Contract liabilities</w:t>
            </w:r>
          </w:p>
        </w:tc>
        <w:tc>
          <w:tcPr>
            <w:tcW w:w="794" w:type="dxa"/>
          </w:tcPr>
          <w:p w14:paraId="05BA36B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412</w:t>
            </w:r>
          </w:p>
        </w:tc>
        <w:tc>
          <w:tcPr>
            <w:tcW w:w="794" w:type="dxa"/>
          </w:tcPr>
          <w:p w14:paraId="53D0D0F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409</w:t>
            </w:r>
          </w:p>
        </w:tc>
        <w:tc>
          <w:tcPr>
            <w:tcW w:w="794" w:type="dxa"/>
          </w:tcPr>
          <w:p w14:paraId="0CED2AB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410</w:t>
            </w:r>
          </w:p>
        </w:tc>
        <w:tc>
          <w:tcPr>
            <w:tcW w:w="794" w:type="dxa"/>
          </w:tcPr>
          <w:p w14:paraId="018D3F1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413</w:t>
            </w:r>
          </w:p>
        </w:tc>
        <w:tc>
          <w:tcPr>
            <w:tcW w:w="794" w:type="dxa"/>
          </w:tcPr>
          <w:p w14:paraId="22B9680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414</w:t>
            </w:r>
          </w:p>
        </w:tc>
      </w:tr>
      <w:tr w:rsidR="008D6F13" w14:paraId="533D599B"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8121F40" w14:textId="77777777" w:rsidR="008D6F13" w:rsidRDefault="008D6F13" w:rsidP="0031078F">
            <w:r>
              <w:t>Borrowings</w:t>
            </w:r>
          </w:p>
        </w:tc>
        <w:tc>
          <w:tcPr>
            <w:tcW w:w="794" w:type="dxa"/>
          </w:tcPr>
          <w:p w14:paraId="7A45B8C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134 859</w:t>
            </w:r>
          </w:p>
        </w:tc>
        <w:tc>
          <w:tcPr>
            <w:tcW w:w="794" w:type="dxa"/>
          </w:tcPr>
          <w:p w14:paraId="5FCFBFE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142 832</w:t>
            </w:r>
          </w:p>
        </w:tc>
        <w:tc>
          <w:tcPr>
            <w:tcW w:w="794" w:type="dxa"/>
          </w:tcPr>
          <w:p w14:paraId="4000FD1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163 055</w:t>
            </w:r>
          </w:p>
        </w:tc>
        <w:tc>
          <w:tcPr>
            <w:tcW w:w="794" w:type="dxa"/>
          </w:tcPr>
          <w:p w14:paraId="00FB54B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187 495</w:t>
            </w:r>
          </w:p>
        </w:tc>
        <w:tc>
          <w:tcPr>
            <w:tcW w:w="794" w:type="dxa"/>
          </w:tcPr>
          <w:p w14:paraId="44ED009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210 719</w:t>
            </w:r>
          </w:p>
        </w:tc>
      </w:tr>
      <w:tr w:rsidR="008D6F13" w14:paraId="13F5693E"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3A37B0D" w14:textId="77777777" w:rsidR="008D6F13" w:rsidRDefault="008D6F13" w:rsidP="0031078F">
            <w:r>
              <w:t>Employee benefits</w:t>
            </w:r>
          </w:p>
        </w:tc>
        <w:tc>
          <w:tcPr>
            <w:tcW w:w="794" w:type="dxa"/>
          </w:tcPr>
          <w:p w14:paraId="61B4A99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10 228</w:t>
            </w:r>
          </w:p>
        </w:tc>
        <w:tc>
          <w:tcPr>
            <w:tcW w:w="794" w:type="dxa"/>
          </w:tcPr>
          <w:p w14:paraId="6ADA05A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10 241</w:t>
            </w:r>
          </w:p>
        </w:tc>
        <w:tc>
          <w:tcPr>
            <w:tcW w:w="794" w:type="dxa"/>
          </w:tcPr>
          <w:p w14:paraId="4917B9A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10 579</w:t>
            </w:r>
          </w:p>
        </w:tc>
        <w:tc>
          <w:tcPr>
            <w:tcW w:w="794" w:type="dxa"/>
          </w:tcPr>
          <w:p w14:paraId="2E3AEBC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10 918</w:t>
            </w:r>
          </w:p>
        </w:tc>
        <w:tc>
          <w:tcPr>
            <w:tcW w:w="794" w:type="dxa"/>
          </w:tcPr>
          <w:p w14:paraId="2574FC0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11 261</w:t>
            </w:r>
          </w:p>
        </w:tc>
      </w:tr>
      <w:tr w:rsidR="008D6F13" w14:paraId="58E664D3"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8D33B0D" w14:textId="77777777" w:rsidR="008D6F13" w:rsidRDefault="008D6F13" w:rsidP="0031078F">
            <w:r>
              <w:t>Superannuation</w:t>
            </w:r>
          </w:p>
        </w:tc>
        <w:tc>
          <w:tcPr>
            <w:tcW w:w="794" w:type="dxa"/>
          </w:tcPr>
          <w:p w14:paraId="6A8D3F2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26 466</w:t>
            </w:r>
          </w:p>
        </w:tc>
        <w:tc>
          <w:tcPr>
            <w:tcW w:w="794" w:type="dxa"/>
          </w:tcPr>
          <w:p w14:paraId="47BCCEC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25 785</w:t>
            </w:r>
          </w:p>
        </w:tc>
        <w:tc>
          <w:tcPr>
            <w:tcW w:w="794" w:type="dxa"/>
          </w:tcPr>
          <w:p w14:paraId="31557BB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24 687</w:t>
            </w:r>
          </w:p>
        </w:tc>
        <w:tc>
          <w:tcPr>
            <w:tcW w:w="794" w:type="dxa"/>
          </w:tcPr>
          <w:p w14:paraId="3776EF2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23 584</w:t>
            </w:r>
          </w:p>
        </w:tc>
        <w:tc>
          <w:tcPr>
            <w:tcW w:w="794" w:type="dxa"/>
          </w:tcPr>
          <w:p w14:paraId="68C140F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22 563</w:t>
            </w:r>
          </w:p>
        </w:tc>
      </w:tr>
      <w:tr w:rsidR="008D6F13" w14:paraId="2A2C0A41"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19B6E0BA" w14:textId="77777777" w:rsidR="008D6F13" w:rsidRDefault="008D6F13" w:rsidP="0031078F">
            <w:r>
              <w:t>Other provisions</w:t>
            </w:r>
          </w:p>
        </w:tc>
        <w:tc>
          <w:tcPr>
            <w:tcW w:w="794" w:type="dxa"/>
            <w:tcBorders>
              <w:bottom w:val="single" w:sz="6" w:space="0" w:color="auto"/>
            </w:tcBorders>
          </w:tcPr>
          <w:p w14:paraId="17D7EC8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1 921</w:t>
            </w:r>
          </w:p>
        </w:tc>
        <w:tc>
          <w:tcPr>
            <w:tcW w:w="794" w:type="dxa"/>
            <w:tcBorders>
              <w:bottom w:val="single" w:sz="6" w:space="0" w:color="auto"/>
            </w:tcBorders>
          </w:tcPr>
          <w:p w14:paraId="5199D04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1 861</w:t>
            </w:r>
          </w:p>
        </w:tc>
        <w:tc>
          <w:tcPr>
            <w:tcW w:w="794" w:type="dxa"/>
            <w:tcBorders>
              <w:bottom w:val="single" w:sz="6" w:space="0" w:color="auto"/>
            </w:tcBorders>
          </w:tcPr>
          <w:p w14:paraId="14D840D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2 097</w:t>
            </w:r>
          </w:p>
        </w:tc>
        <w:tc>
          <w:tcPr>
            <w:tcW w:w="794" w:type="dxa"/>
            <w:tcBorders>
              <w:bottom w:val="single" w:sz="6" w:space="0" w:color="auto"/>
            </w:tcBorders>
          </w:tcPr>
          <w:p w14:paraId="473B193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2 279</w:t>
            </w:r>
          </w:p>
        </w:tc>
        <w:tc>
          <w:tcPr>
            <w:tcW w:w="794" w:type="dxa"/>
            <w:tcBorders>
              <w:bottom w:val="single" w:sz="6" w:space="0" w:color="auto"/>
            </w:tcBorders>
          </w:tcPr>
          <w:p w14:paraId="41425E6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2 459</w:t>
            </w:r>
          </w:p>
        </w:tc>
      </w:tr>
      <w:tr w:rsidR="008D6F13" w14:paraId="0100F6DA"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769236FA" w14:textId="77777777" w:rsidR="008D6F13" w:rsidRDefault="008D6F13" w:rsidP="0031078F">
            <w:r>
              <w:rPr>
                <w:b/>
              </w:rPr>
              <w:t>Total liabilities</w:t>
            </w:r>
          </w:p>
        </w:tc>
        <w:tc>
          <w:tcPr>
            <w:tcW w:w="794" w:type="dxa"/>
            <w:tcBorders>
              <w:top w:val="single" w:sz="6" w:space="0" w:color="auto"/>
              <w:bottom w:val="single" w:sz="6" w:space="0" w:color="auto"/>
            </w:tcBorders>
          </w:tcPr>
          <w:p w14:paraId="62540D1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204 463</w:t>
            </w:r>
          </w:p>
        </w:tc>
        <w:tc>
          <w:tcPr>
            <w:tcW w:w="794" w:type="dxa"/>
            <w:tcBorders>
              <w:top w:val="single" w:sz="6" w:space="0" w:color="auto"/>
              <w:bottom w:val="single" w:sz="6" w:space="0" w:color="auto"/>
            </w:tcBorders>
          </w:tcPr>
          <w:p w14:paraId="4D86A6A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208 186</w:t>
            </w:r>
          </w:p>
        </w:tc>
        <w:tc>
          <w:tcPr>
            <w:tcW w:w="794" w:type="dxa"/>
            <w:tcBorders>
              <w:top w:val="single" w:sz="6" w:space="0" w:color="auto"/>
              <w:bottom w:val="single" w:sz="6" w:space="0" w:color="auto"/>
            </w:tcBorders>
          </w:tcPr>
          <w:p w14:paraId="41B3840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230 751</w:t>
            </w:r>
          </w:p>
        </w:tc>
        <w:tc>
          <w:tcPr>
            <w:tcW w:w="794" w:type="dxa"/>
            <w:tcBorders>
              <w:top w:val="single" w:sz="6" w:space="0" w:color="auto"/>
              <w:bottom w:val="single" w:sz="6" w:space="0" w:color="auto"/>
            </w:tcBorders>
          </w:tcPr>
          <w:p w14:paraId="1EDD891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254 411</w:t>
            </w:r>
          </w:p>
        </w:tc>
        <w:tc>
          <w:tcPr>
            <w:tcW w:w="794" w:type="dxa"/>
            <w:tcBorders>
              <w:top w:val="single" w:sz="6" w:space="0" w:color="auto"/>
              <w:bottom w:val="single" w:sz="6" w:space="0" w:color="auto"/>
            </w:tcBorders>
          </w:tcPr>
          <w:p w14:paraId="33E205B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276 312</w:t>
            </w:r>
          </w:p>
        </w:tc>
      </w:tr>
      <w:tr w:rsidR="008D6F13" w14:paraId="3D5AC639"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1D0AA85E" w14:textId="77777777" w:rsidR="008D6F13" w:rsidRDefault="008D6F13" w:rsidP="0031078F">
            <w:r>
              <w:rPr>
                <w:b/>
              </w:rPr>
              <w:t>Net assets</w:t>
            </w:r>
          </w:p>
        </w:tc>
        <w:tc>
          <w:tcPr>
            <w:tcW w:w="794" w:type="dxa"/>
            <w:tcBorders>
              <w:top w:val="single" w:sz="6" w:space="0" w:color="auto"/>
              <w:bottom w:val="single" w:sz="12" w:space="0" w:color="auto"/>
            </w:tcBorders>
          </w:tcPr>
          <w:p w14:paraId="3CE9E73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185 970</w:t>
            </w:r>
          </w:p>
        </w:tc>
        <w:tc>
          <w:tcPr>
            <w:tcW w:w="794" w:type="dxa"/>
            <w:tcBorders>
              <w:top w:val="single" w:sz="6" w:space="0" w:color="auto"/>
              <w:bottom w:val="single" w:sz="12" w:space="0" w:color="auto"/>
            </w:tcBorders>
          </w:tcPr>
          <w:p w14:paraId="74579F0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177 378</w:t>
            </w:r>
          </w:p>
        </w:tc>
        <w:tc>
          <w:tcPr>
            <w:tcW w:w="794" w:type="dxa"/>
            <w:tcBorders>
              <w:top w:val="single" w:sz="6" w:space="0" w:color="auto"/>
              <w:bottom w:val="single" w:sz="12" w:space="0" w:color="auto"/>
            </w:tcBorders>
          </w:tcPr>
          <w:p w14:paraId="607DA01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178 694</w:t>
            </w:r>
          </w:p>
        </w:tc>
        <w:tc>
          <w:tcPr>
            <w:tcW w:w="794" w:type="dxa"/>
            <w:tcBorders>
              <w:top w:val="single" w:sz="6" w:space="0" w:color="auto"/>
              <w:bottom w:val="single" w:sz="12" w:space="0" w:color="auto"/>
            </w:tcBorders>
          </w:tcPr>
          <w:p w14:paraId="4E749C6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179 780</w:t>
            </w:r>
          </w:p>
        </w:tc>
        <w:tc>
          <w:tcPr>
            <w:tcW w:w="794" w:type="dxa"/>
            <w:tcBorders>
              <w:top w:val="single" w:sz="6" w:space="0" w:color="auto"/>
              <w:bottom w:val="single" w:sz="12" w:space="0" w:color="auto"/>
            </w:tcBorders>
          </w:tcPr>
          <w:p w14:paraId="6AA0FEC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185 186</w:t>
            </w:r>
          </w:p>
        </w:tc>
      </w:tr>
      <w:tr w:rsidR="008D6F13" w14:paraId="243CB355"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5E735FCF" w14:textId="77777777" w:rsidR="008D6F13" w:rsidRDefault="008D6F13" w:rsidP="0031078F">
            <w:r>
              <w:t>Accumulated surplus/(deficit)</w:t>
            </w:r>
          </w:p>
        </w:tc>
        <w:tc>
          <w:tcPr>
            <w:tcW w:w="794" w:type="dxa"/>
            <w:tcBorders>
              <w:top w:val="single" w:sz="6" w:space="0" w:color="auto"/>
            </w:tcBorders>
          </w:tcPr>
          <w:p w14:paraId="0B2F5FA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73 053</w:t>
            </w:r>
          </w:p>
        </w:tc>
        <w:tc>
          <w:tcPr>
            <w:tcW w:w="794" w:type="dxa"/>
            <w:tcBorders>
              <w:top w:val="single" w:sz="6" w:space="0" w:color="auto"/>
            </w:tcBorders>
          </w:tcPr>
          <w:p w14:paraId="3374EF7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64 645</w:t>
            </w:r>
          </w:p>
        </w:tc>
        <w:tc>
          <w:tcPr>
            <w:tcW w:w="794" w:type="dxa"/>
            <w:tcBorders>
              <w:top w:val="single" w:sz="6" w:space="0" w:color="auto"/>
            </w:tcBorders>
          </w:tcPr>
          <w:p w14:paraId="2812AC3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58 884</w:t>
            </w:r>
          </w:p>
        </w:tc>
        <w:tc>
          <w:tcPr>
            <w:tcW w:w="794" w:type="dxa"/>
            <w:tcBorders>
              <w:top w:val="single" w:sz="6" w:space="0" w:color="auto"/>
            </w:tcBorders>
          </w:tcPr>
          <w:p w14:paraId="6F65EF4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53 810</w:t>
            </w:r>
          </w:p>
        </w:tc>
        <w:tc>
          <w:tcPr>
            <w:tcW w:w="794" w:type="dxa"/>
            <w:tcBorders>
              <w:top w:val="single" w:sz="6" w:space="0" w:color="auto"/>
            </w:tcBorders>
          </w:tcPr>
          <w:p w14:paraId="349A730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49 078</w:t>
            </w:r>
          </w:p>
        </w:tc>
      </w:tr>
      <w:tr w:rsidR="008D6F13" w14:paraId="2E681F9E"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7B89626" w14:textId="77777777" w:rsidR="008D6F13" w:rsidRDefault="008D6F13" w:rsidP="0031078F">
            <w:r>
              <w:t>Reserves</w:t>
            </w:r>
          </w:p>
        </w:tc>
        <w:tc>
          <w:tcPr>
            <w:tcW w:w="794" w:type="dxa"/>
            <w:tcBorders>
              <w:bottom w:val="single" w:sz="6" w:space="0" w:color="auto"/>
            </w:tcBorders>
          </w:tcPr>
          <w:p w14:paraId="0F651A9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112 917</w:t>
            </w:r>
          </w:p>
        </w:tc>
        <w:tc>
          <w:tcPr>
            <w:tcW w:w="794" w:type="dxa"/>
            <w:tcBorders>
              <w:bottom w:val="single" w:sz="6" w:space="0" w:color="auto"/>
            </w:tcBorders>
          </w:tcPr>
          <w:p w14:paraId="34B9736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112 733</w:t>
            </w:r>
          </w:p>
        </w:tc>
        <w:tc>
          <w:tcPr>
            <w:tcW w:w="794" w:type="dxa"/>
            <w:tcBorders>
              <w:bottom w:val="single" w:sz="6" w:space="0" w:color="auto"/>
            </w:tcBorders>
          </w:tcPr>
          <w:p w14:paraId="498C6BB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119 810</w:t>
            </w:r>
          </w:p>
        </w:tc>
        <w:tc>
          <w:tcPr>
            <w:tcW w:w="794" w:type="dxa"/>
            <w:tcBorders>
              <w:bottom w:val="single" w:sz="6" w:space="0" w:color="auto"/>
            </w:tcBorders>
          </w:tcPr>
          <w:p w14:paraId="2B0D21A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125 970</w:t>
            </w:r>
          </w:p>
        </w:tc>
        <w:tc>
          <w:tcPr>
            <w:tcW w:w="794" w:type="dxa"/>
            <w:tcBorders>
              <w:bottom w:val="single" w:sz="6" w:space="0" w:color="auto"/>
            </w:tcBorders>
          </w:tcPr>
          <w:p w14:paraId="31D0B2C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136 108</w:t>
            </w:r>
          </w:p>
        </w:tc>
      </w:tr>
      <w:tr w:rsidR="008D6F13" w14:paraId="0BE7C929"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6B91AC44" w14:textId="77777777" w:rsidR="008D6F13" w:rsidRDefault="008D6F13" w:rsidP="0031078F">
            <w:r>
              <w:rPr>
                <w:b/>
              </w:rPr>
              <w:t>Net worth</w:t>
            </w:r>
          </w:p>
        </w:tc>
        <w:tc>
          <w:tcPr>
            <w:tcW w:w="794" w:type="dxa"/>
            <w:tcBorders>
              <w:top w:val="single" w:sz="6" w:space="0" w:color="auto"/>
              <w:bottom w:val="single" w:sz="12" w:space="0" w:color="auto"/>
            </w:tcBorders>
          </w:tcPr>
          <w:p w14:paraId="4E8A8B9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185 970</w:t>
            </w:r>
          </w:p>
        </w:tc>
        <w:tc>
          <w:tcPr>
            <w:tcW w:w="794" w:type="dxa"/>
            <w:tcBorders>
              <w:top w:val="single" w:sz="6" w:space="0" w:color="auto"/>
              <w:bottom w:val="single" w:sz="12" w:space="0" w:color="auto"/>
            </w:tcBorders>
          </w:tcPr>
          <w:p w14:paraId="3418EBA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177 378</w:t>
            </w:r>
          </w:p>
        </w:tc>
        <w:tc>
          <w:tcPr>
            <w:tcW w:w="794" w:type="dxa"/>
            <w:tcBorders>
              <w:top w:val="single" w:sz="6" w:space="0" w:color="auto"/>
              <w:bottom w:val="single" w:sz="12" w:space="0" w:color="auto"/>
            </w:tcBorders>
          </w:tcPr>
          <w:p w14:paraId="3B15456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178 694</w:t>
            </w:r>
          </w:p>
        </w:tc>
        <w:tc>
          <w:tcPr>
            <w:tcW w:w="794" w:type="dxa"/>
            <w:tcBorders>
              <w:top w:val="single" w:sz="6" w:space="0" w:color="auto"/>
              <w:bottom w:val="single" w:sz="12" w:space="0" w:color="auto"/>
            </w:tcBorders>
          </w:tcPr>
          <w:p w14:paraId="3A1545A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179 780</w:t>
            </w:r>
          </w:p>
        </w:tc>
        <w:tc>
          <w:tcPr>
            <w:tcW w:w="794" w:type="dxa"/>
            <w:tcBorders>
              <w:top w:val="single" w:sz="6" w:space="0" w:color="auto"/>
              <w:bottom w:val="single" w:sz="12" w:space="0" w:color="auto"/>
            </w:tcBorders>
          </w:tcPr>
          <w:p w14:paraId="5D1F114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185 186</w:t>
            </w:r>
          </w:p>
        </w:tc>
      </w:tr>
      <w:tr w:rsidR="008D6F13" w14:paraId="7FB0F461" w14:textId="77777777" w:rsidTr="0031078F">
        <w:trPr>
          <w:trHeight w:hRule="exact" w:val="113"/>
        </w:trPr>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561CEBFB" w14:textId="77777777" w:rsidR="008D6F13" w:rsidRDefault="008D6F13" w:rsidP="0031078F"/>
        </w:tc>
        <w:tc>
          <w:tcPr>
            <w:tcW w:w="794" w:type="dxa"/>
            <w:tcBorders>
              <w:top w:val="single" w:sz="6" w:space="0" w:color="auto"/>
            </w:tcBorders>
          </w:tcPr>
          <w:p w14:paraId="2E95DDF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671282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E1DDDF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ADA4F3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41DA0D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04608083"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29C32FC" w14:textId="77777777" w:rsidR="008D6F13" w:rsidRDefault="008D6F13" w:rsidP="0031078F">
            <w:r>
              <w:rPr>
                <w:b/>
              </w:rPr>
              <w:t>FISCAL AGGREGATES</w:t>
            </w:r>
          </w:p>
        </w:tc>
        <w:tc>
          <w:tcPr>
            <w:tcW w:w="794" w:type="dxa"/>
          </w:tcPr>
          <w:p w14:paraId="7D5CD03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CAD236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932FFB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488708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15210E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701403C2"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52ED359" w14:textId="77777777" w:rsidR="008D6F13" w:rsidRDefault="008D6F13" w:rsidP="0031078F">
            <w:r>
              <w:t>Net financial worth</w:t>
            </w:r>
          </w:p>
        </w:tc>
        <w:tc>
          <w:tcPr>
            <w:tcW w:w="794" w:type="dxa"/>
          </w:tcPr>
          <w:p w14:paraId="706EA1D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(175 719)</w:t>
            </w:r>
          </w:p>
        </w:tc>
        <w:tc>
          <w:tcPr>
            <w:tcW w:w="794" w:type="dxa"/>
          </w:tcPr>
          <w:p w14:paraId="5F42E0B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(179 207)</w:t>
            </w:r>
          </w:p>
        </w:tc>
        <w:tc>
          <w:tcPr>
            <w:tcW w:w="794" w:type="dxa"/>
          </w:tcPr>
          <w:p w14:paraId="23B4786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(201 662)</w:t>
            </w:r>
          </w:p>
        </w:tc>
        <w:tc>
          <w:tcPr>
            <w:tcW w:w="794" w:type="dxa"/>
          </w:tcPr>
          <w:p w14:paraId="5D7C7ED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(224 686)</w:t>
            </w:r>
          </w:p>
        </w:tc>
        <w:tc>
          <w:tcPr>
            <w:tcW w:w="794" w:type="dxa"/>
          </w:tcPr>
          <w:p w14:paraId="0C1A82A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(245 763)</w:t>
            </w:r>
          </w:p>
        </w:tc>
      </w:tr>
      <w:tr w:rsidR="008D6F13" w14:paraId="7BF9EA7C"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AE10C4F" w14:textId="77777777" w:rsidR="008D6F13" w:rsidRDefault="008D6F13" w:rsidP="0031078F">
            <w:r>
              <w:t>Net financial liabilities</w:t>
            </w:r>
          </w:p>
        </w:tc>
        <w:tc>
          <w:tcPr>
            <w:tcW w:w="794" w:type="dxa"/>
          </w:tcPr>
          <w:p w14:paraId="36A1FCA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176 110</w:t>
            </w:r>
          </w:p>
        </w:tc>
        <w:tc>
          <w:tcPr>
            <w:tcW w:w="794" w:type="dxa"/>
          </w:tcPr>
          <w:p w14:paraId="7F66773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179 479</w:t>
            </w:r>
          </w:p>
        </w:tc>
        <w:tc>
          <w:tcPr>
            <w:tcW w:w="794" w:type="dxa"/>
          </w:tcPr>
          <w:p w14:paraId="18F8966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201 948</w:t>
            </w:r>
          </w:p>
        </w:tc>
        <w:tc>
          <w:tcPr>
            <w:tcW w:w="794" w:type="dxa"/>
          </w:tcPr>
          <w:p w14:paraId="13AEDF6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224 988</w:t>
            </w:r>
          </w:p>
        </w:tc>
        <w:tc>
          <w:tcPr>
            <w:tcW w:w="794" w:type="dxa"/>
          </w:tcPr>
          <w:p w14:paraId="36BC970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246 078</w:t>
            </w:r>
          </w:p>
        </w:tc>
      </w:tr>
      <w:tr w:rsidR="008D6F13" w14:paraId="6F5E86CB"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DA5912E" w14:textId="77777777" w:rsidR="008D6F13" w:rsidRDefault="008D6F13" w:rsidP="0031078F">
            <w:r>
              <w:t>Net debt</w:t>
            </w:r>
          </w:p>
        </w:tc>
        <w:tc>
          <w:tcPr>
            <w:tcW w:w="794" w:type="dxa"/>
          </w:tcPr>
          <w:p w14:paraId="13BF6E8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115 682</w:t>
            </w:r>
          </w:p>
        </w:tc>
        <w:tc>
          <w:tcPr>
            <w:tcW w:w="794" w:type="dxa"/>
          </w:tcPr>
          <w:p w14:paraId="3200CCB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124 155</w:t>
            </w:r>
          </w:p>
        </w:tc>
        <w:tc>
          <w:tcPr>
            <w:tcW w:w="794" w:type="dxa"/>
          </w:tcPr>
          <w:p w14:paraId="63BAA33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144 307</w:t>
            </w:r>
          </w:p>
        </w:tc>
        <w:tc>
          <w:tcPr>
            <w:tcW w:w="794" w:type="dxa"/>
          </w:tcPr>
          <w:p w14:paraId="0A14057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168 305</w:t>
            </w:r>
          </w:p>
        </w:tc>
        <w:tc>
          <w:tcPr>
            <w:tcW w:w="794" w:type="dxa"/>
          </w:tcPr>
          <w:p w14:paraId="3D227E92" w14:textId="6CE839E8" w:rsidR="008D6F13" w:rsidRDefault="008D6F13" w:rsidP="0031078F">
            <w:pPr>
              <w:cnfStyle w:val="000000000000" w:firstRow="0" w:lastRow="0" w:firstColumn="0" w:lastColumn="0" w:oddVBand="0" w:evenVBand="0" w:oddHBand="0" w:evenHBand="0" w:firstRowFirstColumn="0" w:firstRowLastColumn="0" w:lastRowFirstColumn="0" w:lastRowLastColumn="0"/>
            </w:pPr>
            <w:r>
              <w:t>190 945</w:t>
            </w:r>
          </w:p>
        </w:tc>
      </w:tr>
    </w:tbl>
    <w:p w14:paraId="18661F32" w14:textId="77777777" w:rsidR="008D6F13" w:rsidRPr="00921F69" w:rsidRDefault="008D6F13" w:rsidP="008D6F13">
      <w:pPr>
        <w:pStyle w:val="Note"/>
        <w:ind w:left="0" w:firstLine="0"/>
        <w:rPr>
          <w:rFonts w:cstheme="majorHAnsi"/>
        </w:rPr>
      </w:pPr>
      <w:r w:rsidRPr="00921F69">
        <w:rPr>
          <w:rFonts w:cstheme="majorHAnsi"/>
        </w:rPr>
        <w:t>Note:</w:t>
      </w:r>
    </w:p>
    <w:p w14:paraId="20C787F9" w14:textId="77777777" w:rsidR="008D6F13" w:rsidRPr="00921F69" w:rsidRDefault="008D6F13" w:rsidP="008D6F13">
      <w:pPr>
        <w:pStyle w:val="Note"/>
        <w:rPr>
          <w:rFonts w:cstheme="majorHAnsi"/>
        </w:rPr>
      </w:pPr>
      <w:r w:rsidRPr="00921F69">
        <w:rPr>
          <w:rFonts w:cstheme="majorHAnsi"/>
        </w:rPr>
        <w:t>(a)</w:t>
      </w:r>
      <w:r w:rsidRPr="00921F69">
        <w:rPr>
          <w:rFonts w:cstheme="majorHAnsi"/>
        </w:rPr>
        <w:tab/>
        <w:t xml:space="preserve">Balances represent actual opening balances </w:t>
      </w:r>
      <w:proofErr w:type="gramStart"/>
      <w:r w:rsidRPr="00921F69">
        <w:rPr>
          <w:rFonts w:cstheme="majorHAnsi"/>
        </w:rPr>
        <w:t>at</w:t>
      </w:r>
      <w:proofErr w:type="gramEnd"/>
      <w:r w:rsidRPr="00921F69">
        <w:rPr>
          <w:rFonts w:cstheme="majorHAnsi"/>
        </w:rPr>
        <w:t xml:space="preserve"> 1 July 2</w:t>
      </w:r>
      <w:r>
        <w:rPr>
          <w:rFonts w:cstheme="majorHAnsi"/>
        </w:rPr>
        <w:t>021</w:t>
      </w:r>
      <w:r w:rsidRPr="00921F69">
        <w:rPr>
          <w:rFonts w:cstheme="majorHAnsi"/>
        </w:rPr>
        <w:t xml:space="preserve"> plus 20</w:t>
      </w:r>
      <w:r>
        <w:rPr>
          <w:rFonts w:cstheme="majorHAnsi"/>
        </w:rPr>
        <w:t>21</w:t>
      </w:r>
      <w:r w:rsidRPr="00921F69">
        <w:rPr>
          <w:rFonts w:cstheme="majorHAnsi"/>
        </w:rPr>
        <w:t>-2</w:t>
      </w:r>
      <w:r>
        <w:rPr>
          <w:rFonts w:cstheme="majorHAnsi"/>
        </w:rPr>
        <w:t>2</w:t>
      </w:r>
      <w:r w:rsidRPr="00921F69">
        <w:rPr>
          <w:rFonts w:cstheme="majorHAnsi"/>
        </w:rPr>
        <w:t xml:space="preserve"> budgeted movements.</w:t>
      </w:r>
    </w:p>
    <w:p w14:paraId="21B827E3" w14:textId="77777777" w:rsidR="008D6F13" w:rsidRPr="00921F69" w:rsidRDefault="008D6F13" w:rsidP="008D6F13">
      <w:pPr>
        <w:rPr>
          <w:rFonts w:asciiTheme="majorHAnsi" w:hAnsiTheme="majorHAnsi" w:cstheme="majorHAnsi"/>
        </w:rPr>
      </w:pPr>
    </w:p>
    <w:p w14:paraId="30DEED6F" w14:textId="77777777" w:rsidR="008D6F13" w:rsidRPr="00921F69" w:rsidRDefault="008D6F13" w:rsidP="008D6F13">
      <w:pPr>
        <w:rPr>
          <w:rFonts w:asciiTheme="majorHAnsi" w:hAnsiTheme="majorHAnsi" w:cstheme="majorHAnsi"/>
        </w:rPr>
      </w:pPr>
    </w:p>
    <w:p w14:paraId="7347771D" w14:textId="77777777" w:rsidR="008D6F13" w:rsidRDefault="008D6F13" w:rsidP="008D6F13">
      <w:pPr>
        <w:keepLines w:val="0"/>
        <w:rPr>
          <w:rFonts w:asciiTheme="majorHAnsi" w:hAnsiTheme="majorHAnsi" w:cstheme="majorHAnsi"/>
          <w:b/>
          <w:sz w:val="20"/>
        </w:rPr>
      </w:pPr>
      <w:r>
        <w:rPr>
          <w:rFonts w:cstheme="majorHAnsi"/>
        </w:rPr>
        <w:br w:type="page"/>
      </w:r>
    </w:p>
    <w:p w14:paraId="17B191CB" w14:textId="12D26926" w:rsidR="008D6F13" w:rsidRPr="00A06E1B" w:rsidRDefault="008D6F13" w:rsidP="008D6F13">
      <w:pPr>
        <w:pStyle w:val="TableHeading"/>
        <w:rPr>
          <w:rFonts w:cstheme="majorHAnsi"/>
        </w:rPr>
      </w:pPr>
      <w:r w:rsidRPr="00921F69">
        <w:rPr>
          <w:rFonts w:cstheme="majorHAnsi"/>
        </w:rPr>
        <w:lastRenderedPageBreak/>
        <w:t>Table 5.8</w:t>
      </w:r>
      <w:r w:rsidR="007F1FE4">
        <w:rPr>
          <w:rFonts w:cstheme="majorHAnsi"/>
        </w:rPr>
        <w:t>:</w:t>
      </w:r>
      <w:r w:rsidRPr="00921F69">
        <w:rPr>
          <w:rFonts w:cstheme="majorHAnsi"/>
        </w:rPr>
        <w:tab/>
        <w:t xml:space="preserve">Non-financial public sector cash flow statement for the </w:t>
      </w:r>
      <w:r w:rsidRPr="00921F69">
        <w:rPr>
          <w:rFonts w:cstheme="majorHAnsi"/>
        </w:rPr>
        <w:br/>
        <w:t>financial year ended 30 June</w:t>
      </w:r>
      <w:r w:rsidRPr="00921F69">
        <w:rPr>
          <w:rFonts w:cstheme="majorHAnsi"/>
        </w:rPr>
        <w:tab/>
        <w:t>($ million)</w:t>
      </w:r>
    </w:p>
    <w:tbl>
      <w:tblPr>
        <w:tblStyle w:val="DTFTableNumeric"/>
        <w:tblW w:w="7710" w:type="dxa"/>
        <w:tblLayout w:type="fixed"/>
        <w:tblLook w:val="06A0" w:firstRow="1" w:lastRow="0" w:firstColumn="1" w:lastColumn="0" w:noHBand="1" w:noVBand="1"/>
      </w:tblPr>
      <w:tblGrid>
        <w:gridCol w:w="3740"/>
        <w:gridCol w:w="88"/>
        <w:gridCol w:w="706"/>
        <w:gridCol w:w="794"/>
        <w:gridCol w:w="794"/>
        <w:gridCol w:w="794"/>
        <w:gridCol w:w="794"/>
      </w:tblGrid>
      <w:tr w:rsidR="008D6F13" w14:paraId="1715CF11"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1232CEC6" w14:textId="308A0E9D" w:rsidR="008D6F13" w:rsidRDefault="008D6F13" w:rsidP="0031078F"/>
        </w:tc>
        <w:tc>
          <w:tcPr>
            <w:tcW w:w="794" w:type="dxa"/>
            <w:gridSpan w:val="2"/>
          </w:tcPr>
          <w:p w14:paraId="423333FB"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415E0AE9"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4FD5679B"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48F492C7"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69AFC497"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75143EC9"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AB57C78" w14:textId="77777777" w:rsidR="008D6F13" w:rsidRDefault="008D6F13" w:rsidP="0031078F">
            <w:r>
              <w:rPr>
                <w:b/>
              </w:rPr>
              <w:t>Cash flows from operating activities</w:t>
            </w:r>
          </w:p>
        </w:tc>
        <w:tc>
          <w:tcPr>
            <w:tcW w:w="794" w:type="dxa"/>
            <w:gridSpan w:val="2"/>
          </w:tcPr>
          <w:p w14:paraId="5F74D16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F920CA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0FCFB6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4464F6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85FFA5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46C8491E"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4B99B09" w14:textId="77777777" w:rsidR="008D6F13" w:rsidRDefault="008D6F13" w:rsidP="0031078F">
            <w:r>
              <w:rPr>
                <w:b/>
              </w:rPr>
              <w:t>Receipts</w:t>
            </w:r>
          </w:p>
        </w:tc>
        <w:tc>
          <w:tcPr>
            <w:tcW w:w="794" w:type="dxa"/>
            <w:gridSpan w:val="2"/>
          </w:tcPr>
          <w:p w14:paraId="7F7D5F0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7B3FA5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E98CC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6DDC6F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527E6A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49399BA5"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CA9E36F" w14:textId="77777777" w:rsidR="008D6F13" w:rsidRDefault="008D6F13" w:rsidP="0031078F">
            <w:r>
              <w:t>Taxes received</w:t>
            </w:r>
          </w:p>
        </w:tc>
        <w:tc>
          <w:tcPr>
            <w:tcW w:w="794" w:type="dxa"/>
            <w:gridSpan w:val="2"/>
          </w:tcPr>
          <w:p w14:paraId="6C86E38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28 126</w:t>
            </w:r>
          </w:p>
        </w:tc>
        <w:tc>
          <w:tcPr>
            <w:tcW w:w="794" w:type="dxa"/>
          </w:tcPr>
          <w:p w14:paraId="0DD29EF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27 162</w:t>
            </w:r>
          </w:p>
        </w:tc>
        <w:tc>
          <w:tcPr>
            <w:tcW w:w="794" w:type="dxa"/>
          </w:tcPr>
          <w:p w14:paraId="642907C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29 285</w:t>
            </w:r>
          </w:p>
        </w:tc>
        <w:tc>
          <w:tcPr>
            <w:tcW w:w="794" w:type="dxa"/>
          </w:tcPr>
          <w:p w14:paraId="151C30E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30 307</w:t>
            </w:r>
          </w:p>
        </w:tc>
        <w:tc>
          <w:tcPr>
            <w:tcW w:w="794" w:type="dxa"/>
          </w:tcPr>
          <w:p w14:paraId="758D4FC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31 649</w:t>
            </w:r>
          </w:p>
        </w:tc>
      </w:tr>
      <w:tr w:rsidR="008D6F13" w14:paraId="5D7DA520"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214DE96" w14:textId="77777777" w:rsidR="008D6F13" w:rsidRDefault="008D6F13" w:rsidP="0031078F">
            <w:r>
              <w:t>Grants</w:t>
            </w:r>
          </w:p>
        </w:tc>
        <w:tc>
          <w:tcPr>
            <w:tcW w:w="794" w:type="dxa"/>
            <w:gridSpan w:val="2"/>
          </w:tcPr>
          <w:p w14:paraId="35ABEB9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36 848</w:t>
            </w:r>
          </w:p>
        </w:tc>
        <w:tc>
          <w:tcPr>
            <w:tcW w:w="794" w:type="dxa"/>
          </w:tcPr>
          <w:p w14:paraId="1F791A0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41 112</w:t>
            </w:r>
          </w:p>
        </w:tc>
        <w:tc>
          <w:tcPr>
            <w:tcW w:w="794" w:type="dxa"/>
          </w:tcPr>
          <w:p w14:paraId="03E85E2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39 257</w:t>
            </w:r>
          </w:p>
        </w:tc>
        <w:tc>
          <w:tcPr>
            <w:tcW w:w="794" w:type="dxa"/>
          </w:tcPr>
          <w:p w14:paraId="0470CF5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39 960</w:t>
            </w:r>
          </w:p>
        </w:tc>
        <w:tc>
          <w:tcPr>
            <w:tcW w:w="794" w:type="dxa"/>
          </w:tcPr>
          <w:p w14:paraId="76CE256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41 348</w:t>
            </w:r>
          </w:p>
        </w:tc>
      </w:tr>
      <w:tr w:rsidR="008D6F13" w14:paraId="508B16A9"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834AC32" w14:textId="77777777" w:rsidR="008D6F13" w:rsidRDefault="008D6F13" w:rsidP="0031078F">
            <w:r>
              <w:t>Sales of goods and services and other receipts</w:t>
            </w:r>
            <w:r>
              <w:rPr>
                <w:vertAlign w:val="superscript"/>
              </w:rPr>
              <w:t xml:space="preserve"> (a)</w:t>
            </w:r>
          </w:p>
        </w:tc>
        <w:tc>
          <w:tcPr>
            <w:tcW w:w="794" w:type="dxa"/>
            <w:gridSpan w:val="2"/>
          </w:tcPr>
          <w:p w14:paraId="57BEBF6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19 166</w:t>
            </w:r>
          </w:p>
        </w:tc>
        <w:tc>
          <w:tcPr>
            <w:tcW w:w="794" w:type="dxa"/>
          </w:tcPr>
          <w:p w14:paraId="4BC17F9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15 445</w:t>
            </w:r>
          </w:p>
        </w:tc>
        <w:tc>
          <w:tcPr>
            <w:tcW w:w="794" w:type="dxa"/>
          </w:tcPr>
          <w:p w14:paraId="5948FEB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20 360</w:t>
            </w:r>
          </w:p>
        </w:tc>
        <w:tc>
          <w:tcPr>
            <w:tcW w:w="794" w:type="dxa"/>
          </w:tcPr>
          <w:p w14:paraId="6060FFD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17 292</w:t>
            </w:r>
          </w:p>
        </w:tc>
        <w:tc>
          <w:tcPr>
            <w:tcW w:w="794" w:type="dxa"/>
          </w:tcPr>
          <w:p w14:paraId="0444700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17 764</w:t>
            </w:r>
          </w:p>
        </w:tc>
      </w:tr>
      <w:tr w:rsidR="008D6F13" w14:paraId="0D5BAC54"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2F121DF" w14:textId="77777777" w:rsidR="008D6F13" w:rsidRDefault="008D6F13" w:rsidP="0031078F">
            <w:r>
              <w:t>Interest received</w:t>
            </w:r>
          </w:p>
        </w:tc>
        <w:tc>
          <w:tcPr>
            <w:tcW w:w="794" w:type="dxa"/>
            <w:gridSpan w:val="2"/>
          </w:tcPr>
          <w:p w14:paraId="77AD1EA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181</w:t>
            </w:r>
          </w:p>
        </w:tc>
        <w:tc>
          <w:tcPr>
            <w:tcW w:w="794" w:type="dxa"/>
          </w:tcPr>
          <w:p w14:paraId="477D16A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186</w:t>
            </w:r>
          </w:p>
        </w:tc>
        <w:tc>
          <w:tcPr>
            <w:tcW w:w="794" w:type="dxa"/>
          </w:tcPr>
          <w:p w14:paraId="24DAE18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175</w:t>
            </w:r>
          </w:p>
        </w:tc>
        <w:tc>
          <w:tcPr>
            <w:tcW w:w="794" w:type="dxa"/>
          </w:tcPr>
          <w:p w14:paraId="7C09EDB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177</w:t>
            </w:r>
          </w:p>
        </w:tc>
        <w:tc>
          <w:tcPr>
            <w:tcW w:w="794" w:type="dxa"/>
          </w:tcPr>
          <w:p w14:paraId="23F1C69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180</w:t>
            </w:r>
          </w:p>
        </w:tc>
      </w:tr>
      <w:tr w:rsidR="008D6F13" w14:paraId="31E38967"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10EECB77" w14:textId="77777777" w:rsidR="008D6F13" w:rsidRDefault="008D6F13" w:rsidP="0031078F">
            <w:r>
              <w:t>Dividends, income tax equivalent and rate equivalent receipts</w:t>
            </w:r>
          </w:p>
        </w:tc>
        <w:tc>
          <w:tcPr>
            <w:tcW w:w="794" w:type="dxa"/>
            <w:gridSpan w:val="2"/>
            <w:tcBorders>
              <w:bottom w:val="single" w:sz="6" w:space="0" w:color="auto"/>
            </w:tcBorders>
          </w:tcPr>
          <w:p w14:paraId="3400498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281</w:t>
            </w:r>
          </w:p>
        </w:tc>
        <w:tc>
          <w:tcPr>
            <w:tcW w:w="794" w:type="dxa"/>
            <w:tcBorders>
              <w:bottom w:val="single" w:sz="6" w:space="0" w:color="auto"/>
            </w:tcBorders>
          </w:tcPr>
          <w:p w14:paraId="0A10B95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285</w:t>
            </w:r>
          </w:p>
        </w:tc>
        <w:tc>
          <w:tcPr>
            <w:tcW w:w="794" w:type="dxa"/>
            <w:tcBorders>
              <w:bottom w:val="single" w:sz="6" w:space="0" w:color="auto"/>
            </w:tcBorders>
          </w:tcPr>
          <w:p w14:paraId="3EA2685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222</w:t>
            </w:r>
          </w:p>
        </w:tc>
        <w:tc>
          <w:tcPr>
            <w:tcW w:w="794" w:type="dxa"/>
            <w:tcBorders>
              <w:bottom w:val="single" w:sz="6" w:space="0" w:color="auto"/>
            </w:tcBorders>
          </w:tcPr>
          <w:p w14:paraId="778A8F0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240</w:t>
            </w:r>
          </w:p>
        </w:tc>
        <w:tc>
          <w:tcPr>
            <w:tcW w:w="794" w:type="dxa"/>
            <w:tcBorders>
              <w:bottom w:val="single" w:sz="6" w:space="0" w:color="auto"/>
            </w:tcBorders>
          </w:tcPr>
          <w:p w14:paraId="199CDD5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260</w:t>
            </w:r>
          </w:p>
        </w:tc>
      </w:tr>
      <w:tr w:rsidR="008D6F13" w14:paraId="232EA831"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011AFC81" w14:textId="77777777" w:rsidR="008D6F13" w:rsidRDefault="008D6F13" w:rsidP="0031078F">
            <w:r>
              <w:rPr>
                <w:b/>
              </w:rPr>
              <w:t>Total receipts</w:t>
            </w:r>
          </w:p>
        </w:tc>
        <w:tc>
          <w:tcPr>
            <w:tcW w:w="794" w:type="dxa"/>
            <w:gridSpan w:val="2"/>
            <w:tcBorders>
              <w:top w:val="single" w:sz="6" w:space="0" w:color="auto"/>
            </w:tcBorders>
          </w:tcPr>
          <w:p w14:paraId="03558A4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84 602</w:t>
            </w:r>
          </w:p>
        </w:tc>
        <w:tc>
          <w:tcPr>
            <w:tcW w:w="794" w:type="dxa"/>
            <w:tcBorders>
              <w:top w:val="single" w:sz="6" w:space="0" w:color="auto"/>
            </w:tcBorders>
          </w:tcPr>
          <w:p w14:paraId="03A7709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84 191</w:t>
            </w:r>
          </w:p>
        </w:tc>
        <w:tc>
          <w:tcPr>
            <w:tcW w:w="794" w:type="dxa"/>
            <w:tcBorders>
              <w:top w:val="single" w:sz="6" w:space="0" w:color="auto"/>
            </w:tcBorders>
          </w:tcPr>
          <w:p w14:paraId="4997DE5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89 298</w:t>
            </w:r>
          </w:p>
        </w:tc>
        <w:tc>
          <w:tcPr>
            <w:tcW w:w="794" w:type="dxa"/>
            <w:tcBorders>
              <w:top w:val="single" w:sz="6" w:space="0" w:color="auto"/>
            </w:tcBorders>
          </w:tcPr>
          <w:p w14:paraId="62392C4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87 976</w:t>
            </w:r>
          </w:p>
        </w:tc>
        <w:tc>
          <w:tcPr>
            <w:tcW w:w="794" w:type="dxa"/>
            <w:tcBorders>
              <w:top w:val="single" w:sz="6" w:space="0" w:color="auto"/>
            </w:tcBorders>
          </w:tcPr>
          <w:p w14:paraId="4664C6E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91 201</w:t>
            </w:r>
          </w:p>
        </w:tc>
      </w:tr>
      <w:tr w:rsidR="008D6F13" w14:paraId="6D95D6C2"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FF71C58" w14:textId="77777777" w:rsidR="008D6F13" w:rsidRDefault="008D6F13" w:rsidP="0031078F">
            <w:r>
              <w:rPr>
                <w:b/>
              </w:rPr>
              <w:t>Payments</w:t>
            </w:r>
          </w:p>
        </w:tc>
        <w:tc>
          <w:tcPr>
            <w:tcW w:w="794" w:type="dxa"/>
            <w:gridSpan w:val="2"/>
          </w:tcPr>
          <w:p w14:paraId="56072CD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C4F276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3A6FC8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832686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0DB714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36FF5A62"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85CB721" w14:textId="77777777" w:rsidR="008D6F13" w:rsidRDefault="008D6F13" w:rsidP="0031078F">
            <w:r>
              <w:t>Payments for employees</w:t>
            </w:r>
          </w:p>
        </w:tc>
        <w:tc>
          <w:tcPr>
            <w:tcW w:w="794" w:type="dxa"/>
            <w:gridSpan w:val="2"/>
          </w:tcPr>
          <w:p w14:paraId="07EA412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(32 849)</w:t>
            </w:r>
          </w:p>
        </w:tc>
        <w:tc>
          <w:tcPr>
            <w:tcW w:w="794" w:type="dxa"/>
          </w:tcPr>
          <w:p w14:paraId="40D18E8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(33 979)</w:t>
            </w:r>
          </w:p>
        </w:tc>
        <w:tc>
          <w:tcPr>
            <w:tcW w:w="794" w:type="dxa"/>
          </w:tcPr>
          <w:p w14:paraId="42553DA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(34 255)</w:t>
            </w:r>
          </w:p>
        </w:tc>
        <w:tc>
          <w:tcPr>
            <w:tcW w:w="794" w:type="dxa"/>
          </w:tcPr>
          <w:p w14:paraId="5B2A6E5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(35 042)</w:t>
            </w:r>
          </w:p>
        </w:tc>
        <w:tc>
          <w:tcPr>
            <w:tcW w:w="794" w:type="dxa"/>
          </w:tcPr>
          <w:p w14:paraId="05D77DB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(35 818)</w:t>
            </w:r>
          </w:p>
        </w:tc>
      </w:tr>
      <w:tr w:rsidR="008D6F13" w14:paraId="24B9FC94"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D3B2735" w14:textId="77777777" w:rsidR="008D6F13" w:rsidRDefault="008D6F13" w:rsidP="0031078F">
            <w:r>
              <w:t>Superannuation</w:t>
            </w:r>
          </w:p>
        </w:tc>
        <w:tc>
          <w:tcPr>
            <w:tcW w:w="794" w:type="dxa"/>
            <w:gridSpan w:val="2"/>
          </w:tcPr>
          <w:p w14:paraId="615C12A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(3 926)</w:t>
            </w:r>
          </w:p>
        </w:tc>
        <w:tc>
          <w:tcPr>
            <w:tcW w:w="794" w:type="dxa"/>
          </w:tcPr>
          <w:p w14:paraId="2443F71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(4 023)</w:t>
            </w:r>
          </w:p>
        </w:tc>
        <w:tc>
          <w:tcPr>
            <w:tcW w:w="794" w:type="dxa"/>
          </w:tcPr>
          <w:p w14:paraId="5E6C160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(3 990)</w:t>
            </w:r>
          </w:p>
        </w:tc>
        <w:tc>
          <w:tcPr>
            <w:tcW w:w="794" w:type="dxa"/>
          </w:tcPr>
          <w:p w14:paraId="7397275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(4 128)</w:t>
            </w:r>
          </w:p>
        </w:tc>
        <w:tc>
          <w:tcPr>
            <w:tcW w:w="794" w:type="dxa"/>
          </w:tcPr>
          <w:p w14:paraId="08CC67E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(4 152)</w:t>
            </w:r>
          </w:p>
        </w:tc>
      </w:tr>
      <w:tr w:rsidR="008D6F13" w14:paraId="2E69FB70"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E1B8B71" w14:textId="77777777" w:rsidR="008D6F13" w:rsidRDefault="008D6F13" w:rsidP="0031078F">
            <w:r>
              <w:t>Interest paid</w:t>
            </w:r>
          </w:p>
        </w:tc>
        <w:tc>
          <w:tcPr>
            <w:tcW w:w="794" w:type="dxa"/>
            <w:gridSpan w:val="2"/>
          </w:tcPr>
          <w:p w14:paraId="51C1211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(3 118)</w:t>
            </w:r>
          </w:p>
        </w:tc>
        <w:tc>
          <w:tcPr>
            <w:tcW w:w="794" w:type="dxa"/>
          </w:tcPr>
          <w:p w14:paraId="791ECA7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(3 230)</w:t>
            </w:r>
          </w:p>
        </w:tc>
        <w:tc>
          <w:tcPr>
            <w:tcW w:w="794" w:type="dxa"/>
          </w:tcPr>
          <w:p w14:paraId="2D4B0F8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(3 877)</w:t>
            </w:r>
          </w:p>
        </w:tc>
        <w:tc>
          <w:tcPr>
            <w:tcW w:w="794" w:type="dxa"/>
          </w:tcPr>
          <w:p w14:paraId="339F7A1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(4 563)</w:t>
            </w:r>
          </w:p>
        </w:tc>
        <w:tc>
          <w:tcPr>
            <w:tcW w:w="794" w:type="dxa"/>
          </w:tcPr>
          <w:p w14:paraId="081BD29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(5 394)</w:t>
            </w:r>
          </w:p>
        </w:tc>
      </w:tr>
      <w:tr w:rsidR="008D6F13" w14:paraId="67ECE68D"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2DFCDB5" w14:textId="77777777" w:rsidR="008D6F13" w:rsidRDefault="008D6F13" w:rsidP="0031078F">
            <w:r>
              <w:t>Grants and subsidies</w:t>
            </w:r>
          </w:p>
        </w:tc>
        <w:tc>
          <w:tcPr>
            <w:tcW w:w="794" w:type="dxa"/>
            <w:gridSpan w:val="2"/>
          </w:tcPr>
          <w:p w14:paraId="4EE3604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(15 462)</w:t>
            </w:r>
          </w:p>
        </w:tc>
        <w:tc>
          <w:tcPr>
            <w:tcW w:w="794" w:type="dxa"/>
          </w:tcPr>
          <w:p w14:paraId="03F2A27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(23 017)</w:t>
            </w:r>
          </w:p>
        </w:tc>
        <w:tc>
          <w:tcPr>
            <w:tcW w:w="794" w:type="dxa"/>
          </w:tcPr>
          <w:p w14:paraId="0E4ED0E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(14 250)</w:t>
            </w:r>
          </w:p>
        </w:tc>
        <w:tc>
          <w:tcPr>
            <w:tcW w:w="794" w:type="dxa"/>
          </w:tcPr>
          <w:p w14:paraId="00B0C71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(13 826)</w:t>
            </w:r>
          </w:p>
        </w:tc>
        <w:tc>
          <w:tcPr>
            <w:tcW w:w="794" w:type="dxa"/>
          </w:tcPr>
          <w:p w14:paraId="18D2BEC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(13 539)</w:t>
            </w:r>
          </w:p>
        </w:tc>
      </w:tr>
      <w:tr w:rsidR="008D6F13" w14:paraId="092E594A"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6559EE8" w14:textId="77777777" w:rsidR="008D6F13" w:rsidRDefault="008D6F13" w:rsidP="0031078F">
            <w:r>
              <w:t>Goods and services</w:t>
            </w:r>
            <w:r>
              <w:rPr>
                <w:vertAlign w:val="superscript"/>
              </w:rPr>
              <w:t xml:space="preserve"> (a)</w:t>
            </w:r>
          </w:p>
        </w:tc>
        <w:tc>
          <w:tcPr>
            <w:tcW w:w="794" w:type="dxa"/>
            <w:gridSpan w:val="2"/>
          </w:tcPr>
          <w:p w14:paraId="1DBDE6D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(28 844)</w:t>
            </w:r>
          </w:p>
        </w:tc>
        <w:tc>
          <w:tcPr>
            <w:tcW w:w="794" w:type="dxa"/>
          </w:tcPr>
          <w:p w14:paraId="194CFD8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(32 688)</w:t>
            </w:r>
          </w:p>
        </w:tc>
        <w:tc>
          <w:tcPr>
            <w:tcW w:w="794" w:type="dxa"/>
          </w:tcPr>
          <w:p w14:paraId="39A5F0F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(27 584)</w:t>
            </w:r>
          </w:p>
        </w:tc>
        <w:tc>
          <w:tcPr>
            <w:tcW w:w="794" w:type="dxa"/>
          </w:tcPr>
          <w:p w14:paraId="2E1A08E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(27 277)</w:t>
            </w:r>
          </w:p>
        </w:tc>
        <w:tc>
          <w:tcPr>
            <w:tcW w:w="794" w:type="dxa"/>
          </w:tcPr>
          <w:p w14:paraId="37D533B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(27 279)</w:t>
            </w:r>
          </w:p>
        </w:tc>
      </w:tr>
      <w:tr w:rsidR="008D6F13" w14:paraId="2CB96941"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522422E1" w14:textId="77777777" w:rsidR="008D6F13" w:rsidRDefault="008D6F13" w:rsidP="0031078F">
            <w:r>
              <w:t>Other payments</w:t>
            </w:r>
          </w:p>
        </w:tc>
        <w:tc>
          <w:tcPr>
            <w:tcW w:w="794" w:type="dxa"/>
            <w:gridSpan w:val="2"/>
            <w:tcBorders>
              <w:bottom w:val="single" w:sz="6" w:space="0" w:color="auto"/>
            </w:tcBorders>
          </w:tcPr>
          <w:p w14:paraId="4F5AF80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(1 279)</w:t>
            </w:r>
          </w:p>
        </w:tc>
        <w:tc>
          <w:tcPr>
            <w:tcW w:w="794" w:type="dxa"/>
            <w:tcBorders>
              <w:bottom w:val="single" w:sz="6" w:space="0" w:color="auto"/>
            </w:tcBorders>
          </w:tcPr>
          <w:p w14:paraId="6FE988F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(1 372)</w:t>
            </w:r>
          </w:p>
        </w:tc>
        <w:tc>
          <w:tcPr>
            <w:tcW w:w="794" w:type="dxa"/>
            <w:tcBorders>
              <w:bottom w:val="single" w:sz="6" w:space="0" w:color="auto"/>
            </w:tcBorders>
          </w:tcPr>
          <w:p w14:paraId="6D3871E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(1 360)</w:t>
            </w:r>
          </w:p>
        </w:tc>
        <w:tc>
          <w:tcPr>
            <w:tcW w:w="794" w:type="dxa"/>
            <w:tcBorders>
              <w:bottom w:val="single" w:sz="6" w:space="0" w:color="auto"/>
            </w:tcBorders>
          </w:tcPr>
          <w:p w14:paraId="2977773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(870)</w:t>
            </w:r>
          </w:p>
        </w:tc>
        <w:tc>
          <w:tcPr>
            <w:tcW w:w="794" w:type="dxa"/>
            <w:tcBorders>
              <w:bottom w:val="single" w:sz="6" w:space="0" w:color="auto"/>
            </w:tcBorders>
          </w:tcPr>
          <w:p w14:paraId="6725B5B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(917)</w:t>
            </w:r>
          </w:p>
        </w:tc>
      </w:tr>
      <w:tr w:rsidR="008D6F13" w14:paraId="7EF4C368"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60079D6E" w14:textId="77777777" w:rsidR="008D6F13" w:rsidRDefault="008D6F13" w:rsidP="0031078F">
            <w:r>
              <w:rPr>
                <w:b/>
              </w:rPr>
              <w:t>Total payments</w:t>
            </w:r>
          </w:p>
        </w:tc>
        <w:tc>
          <w:tcPr>
            <w:tcW w:w="794" w:type="dxa"/>
            <w:gridSpan w:val="2"/>
            <w:tcBorders>
              <w:top w:val="single" w:sz="6" w:space="0" w:color="auto"/>
              <w:bottom w:val="single" w:sz="6" w:space="0" w:color="auto"/>
            </w:tcBorders>
          </w:tcPr>
          <w:p w14:paraId="1F2F755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(85 478)</w:t>
            </w:r>
          </w:p>
        </w:tc>
        <w:tc>
          <w:tcPr>
            <w:tcW w:w="794" w:type="dxa"/>
            <w:tcBorders>
              <w:top w:val="single" w:sz="6" w:space="0" w:color="auto"/>
              <w:bottom w:val="single" w:sz="6" w:space="0" w:color="auto"/>
            </w:tcBorders>
          </w:tcPr>
          <w:p w14:paraId="7AB5E93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(98 309)</w:t>
            </w:r>
          </w:p>
        </w:tc>
        <w:tc>
          <w:tcPr>
            <w:tcW w:w="794" w:type="dxa"/>
            <w:tcBorders>
              <w:top w:val="single" w:sz="6" w:space="0" w:color="auto"/>
              <w:bottom w:val="single" w:sz="6" w:space="0" w:color="auto"/>
            </w:tcBorders>
          </w:tcPr>
          <w:p w14:paraId="2FC0D5E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(85 316)</w:t>
            </w:r>
          </w:p>
        </w:tc>
        <w:tc>
          <w:tcPr>
            <w:tcW w:w="794" w:type="dxa"/>
            <w:tcBorders>
              <w:top w:val="single" w:sz="6" w:space="0" w:color="auto"/>
              <w:bottom w:val="single" w:sz="6" w:space="0" w:color="auto"/>
            </w:tcBorders>
          </w:tcPr>
          <w:p w14:paraId="13DB8AC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(85 706)</w:t>
            </w:r>
          </w:p>
        </w:tc>
        <w:tc>
          <w:tcPr>
            <w:tcW w:w="794" w:type="dxa"/>
            <w:tcBorders>
              <w:top w:val="single" w:sz="6" w:space="0" w:color="auto"/>
              <w:bottom w:val="single" w:sz="6" w:space="0" w:color="auto"/>
            </w:tcBorders>
          </w:tcPr>
          <w:p w14:paraId="686828D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(87 099)</w:t>
            </w:r>
          </w:p>
        </w:tc>
      </w:tr>
      <w:tr w:rsidR="008D6F13" w14:paraId="363FD110"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0EF9692A" w14:textId="77777777" w:rsidR="008D6F13" w:rsidRDefault="008D6F13" w:rsidP="0031078F">
            <w:r>
              <w:rPr>
                <w:b/>
              </w:rPr>
              <w:t>Net cash flows from operating activities</w:t>
            </w:r>
          </w:p>
        </w:tc>
        <w:tc>
          <w:tcPr>
            <w:tcW w:w="794" w:type="dxa"/>
            <w:gridSpan w:val="2"/>
            <w:tcBorders>
              <w:top w:val="single" w:sz="6" w:space="0" w:color="auto"/>
            </w:tcBorders>
          </w:tcPr>
          <w:p w14:paraId="114437D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(876)</w:t>
            </w:r>
          </w:p>
        </w:tc>
        <w:tc>
          <w:tcPr>
            <w:tcW w:w="794" w:type="dxa"/>
            <w:tcBorders>
              <w:top w:val="single" w:sz="6" w:space="0" w:color="auto"/>
            </w:tcBorders>
          </w:tcPr>
          <w:p w14:paraId="011E125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(14 118)</w:t>
            </w:r>
          </w:p>
        </w:tc>
        <w:tc>
          <w:tcPr>
            <w:tcW w:w="794" w:type="dxa"/>
            <w:tcBorders>
              <w:top w:val="single" w:sz="6" w:space="0" w:color="auto"/>
            </w:tcBorders>
          </w:tcPr>
          <w:p w14:paraId="79B1422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3 982</w:t>
            </w:r>
          </w:p>
        </w:tc>
        <w:tc>
          <w:tcPr>
            <w:tcW w:w="794" w:type="dxa"/>
            <w:tcBorders>
              <w:top w:val="single" w:sz="6" w:space="0" w:color="auto"/>
            </w:tcBorders>
          </w:tcPr>
          <w:p w14:paraId="2044C49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2 270</w:t>
            </w:r>
          </w:p>
        </w:tc>
        <w:tc>
          <w:tcPr>
            <w:tcW w:w="794" w:type="dxa"/>
            <w:tcBorders>
              <w:top w:val="single" w:sz="6" w:space="0" w:color="auto"/>
            </w:tcBorders>
          </w:tcPr>
          <w:p w14:paraId="0937A19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4 102</w:t>
            </w:r>
          </w:p>
        </w:tc>
      </w:tr>
      <w:tr w:rsidR="008D6F13" w14:paraId="2F2CFEEE"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9442229" w14:textId="77777777" w:rsidR="008D6F13" w:rsidRDefault="008D6F13" w:rsidP="0031078F">
            <w:r>
              <w:rPr>
                <w:b/>
              </w:rPr>
              <w:t>Cash flows from investing activities</w:t>
            </w:r>
          </w:p>
        </w:tc>
        <w:tc>
          <w:tcPr>
            <w:tcW w:w="794" w:type="dxa"/>
            <w:gridSpan w:val="2"/>
          </w:tcPr>
          <w:p w14:paraId="55DF667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669FE4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B4DB67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F5E2C6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AD958B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6A75338B" w14:textId="77777777" w:rsidTr="0031078F">
        <w:tc>
          <w:tcPr>
            <w:cnfStyle w:val="001000000000" w:firstRow="0" w:lastRow="0" w:firstColumn="1" w:lastColumn="0" w:oddVBand="0" w:evenVBand="0" w:oddHBand="0" w:evenHBand="0" w:firstRowFirstColumn="0" w:firstRowLastColumn="0" w:lastRowFirstColumn="0" w:lastRowLastColumn="0"/>
            <w:tcW w:w="3828" w:type="dxa"/>
            <w:gridSpan w:val="2"/>
          </w:tcPr>
          <w:p w14:paraId="6C3CCEF1" w14:textId="77777777" w:rsidR="008D6F13" w:rsidRDefault="008D6F13" w:rsidP="0031078F">
            <w:r>
              <w:rPr>
                <w:b/>
              </w:rPr>
              <w:t>Cash flows from investments in non</w:t>
            </w:r>
            <w:r>
              <w:rPr>
                <w:b/>
              </w:rPr>
              <w:noBreakHyphen/>
              <w:t>financial assets</w:t>
            </w:r>
          </w:p>
        </w:tc>
        <w:tc>
          <w:tcPr>
            <w:tcW w:w="706" w:type="dxa"/>
          </w:tcPr>
          <w:p w14:paraId="73DBF5A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86AE18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75BC3C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6717B4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A94686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1DC3365C"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D474153" w14:textId="77777777" w:rsidR="008D6F13" w:rsidRDefault="008D6F13" w:rsidP="0031078F">
            <w:r>
              <w:t>Purchases of non</w:t>
            </w:r>
            <w:r>
              <w:noBreakHyphen/>
              <w:t>financial assets</w:t>
            </w:r>
          </w:p>
        </w:tc>
        <w:tc>
          <w:tcPr>
            <w:tcW w:w="794" w:type="dxa"/>
            <w:gridSpan w:val="2"/>
          </w:tcPr>
          <w:p w14:paraId="21A1E13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(23 609)</w:t>
            </w:r>
          </w:p>
        </w:tc>
        <w:tc>
          <w:tcPr>
            <w:tcW w:w="794" w:type="dxa"/>
          </w:tcPr>
          <w:p w14:paraId="5A4A19E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(18 653)</w:t>
            </w:r>
          </w:p>
        </w:tc>
        <w:tc>
          <w:tcPr>
            <w:tcW w:w="794" w:type="dxa"/>
          </w:tcPr>
          <w:p w14:paraId="67D096B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(21 596)</w:t>
            </w:r>
          </w:p>
        </w:tc>
        <w:tc>
          <w:tcPr>
            <w:tcW w:w="794" w:type="dxa"/>
          </w:tcPr>
          <w:p w14:paraId="48330EF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(25 323)</w:t>
            </w:r>
          </w:p>
        </w:tc>
        <w:tc>
          <w:tcPr>
            <w:tcW w:w="794" w:type="dxa"/>
          </w:tcPr>
          <w:p w14:paraId="69D14EA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(26 428)</w:t>
            </w:r>
          </w:p>
        </w:tc>
      </w:tr>
      <w:tr w:rsidR="008D6F13" w14:paraId="73ECD41D"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65092B28" w14:textId="77777777" w:rsidR="008D6F13" w:rsidRDefault="008D6F13" w:rsidP="0031078F">
            <w:r>
              <w:t>Sales of non</w:t>
            </w:r>
            <w:r>
              <w:noBreakHyphen/>
              <w:t>financial assets</w:t>
            </w:r>
          </w:p>
        </w:tc>
        <w:tc>
          <w:tcPr>
            <w:tcW w:w="794" w:type="dxa"/>
            <w:gridSpan w:val="2"/>
            <w:tcBorders>
              <w:bottom w:val="single" w:sz="6" w:space="0" w:color="auto"/>
            </w:tcBorders>
          </w:tcPr>
          <w:p w14:paraId="2BC97F2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797</w:t>
            </w:r>
          </w:p>
        </w:tc>
        <w:tc>
          <w:tcPr>
            <w:tcW w:w="794" w:type="dxa"/>
            <w:tcBorders>
              <w:bottom w:val="single" w:sz="6" w:space="0" w:color="auto"/>
            </w:tcBorders>
          </w:tcPr>
          <w:p w14:paraId="6C203BB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587</w:t>
            </w:r>
          </w:p>
        </w:tc>
        <w:tc>
          <w:tcPr>
            <w:tcW w:w="794" w:type="dxa"/>
            <w:tcBorders>
              <w:bottom w:val="single" w:sz="6" w:space="0" w:color="auto"/>
            </w:tcBorders>
          </w:tcPr>
          <w:p w14:paraId="2BA06E1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845</w:t>
            </w:r>
          </w:p>
        </w:tc>
        <w:tc>
          <w:tcPr>
            <w:tcW w:w="794" w:type="dxa"/>
            <w:tcBorders>
              <w:bottom w:val="single" w:sz="6" w:space="0" w:color="auto"/>
            </w:tcBorders>
          </w:tcPr>
          <w:p w14:paraId="44AC5D9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1 098</w:t>
            </w:r>
          </w:p>
        </w:tc>
        <w:tc>
          <w:tcPr>
            <w:tcW w:w="794" w:type="dxa"/>
            <w:tcBorders>
              <w:bottom w:val="single" w:sz="6" w:space="0" w:color="auto"/>
            </w:tcBorders>
          </w:tcPr>
          <w:p w14:paraId="23905A8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586</w:t>
            </w:r>
          </w:p>
        </w:tc>
      </w:tr>
      <w:tr w:rsidR="008D6F13" w14:paraId="723932E6"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5F9240CA" w14:textId="77777777" w:rsidR="008D6F13" w:rsidRDefault="008D6F13" w:rsidP="0031078F">
            <w:r>
              <w:rPr>
                <w:b/>
              </w:rPr>
              <w:t xml:space="preserve">Net cash flows from investments in </w:t>
            </w:r>
            <w:r>
              <w:rPr>
                <w:b/>
              </w:rPr>
              <w:br/>
              <w:t>non</w:t>
            </w:r>
            <w:r>
              <w:rPr>
                <w:b/>
              </w:rPr>
              <w:noBreakHyphen/>
              <w:t>financial assets</w:t>
            </w:r>
          </w:p>
        </w:tc>
        <w:tc>
          <w:tcPr>
            <w:tcW w:w="794" w:type="dxa"/>
            <w:gridSpan w:val="2"/>
            <w:tcBorders>
              <w:top w:val="single" w:sz="6" w:space="0" w:color="auto"/>
            </w:tcBorders>
          </w:tcPr>
          <w:p w14:paraId="08CC60B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(22 812)</w:t>
            </w:r>
          </w:p>
        </w:tc>
        <w:tc>
          <w:tcPr>
            <w:tcW w:w="794" w:type="dxa"/>
            <w:tcBorders>
              <w:top w:val="single" w:sz="6" w:space="0" w:color="auto"/>
            </w:tcBorders>
          </w:tcPr>
          <w:p w14:paraId="23A75CC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(18 066)</w:t>
            </w:r>
          </w:p>
        </w:tc>
        <w:tc>
          <w:tcPr>
            <w:tcW w:w="794" w:type="dxa"/>
            <w:tcBorders>
              <w:top w:val="single" w:sz="6" w:space="0" w:color="auto"/>
            </w:tcBorders>
          </w:tcPr>
          <w:p w14:paraId="669FAB7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(20 751)</w:t>
            </w:r>
          </w:p>
        </w:tc>
        <w:tc>
          <w:tcPr>
            <w:tcW w:w="794" w:type="dxa"/>
            <w:tcBorders>
              <w:top w:val="single" w:sz="6" w:space="0" w:color="auto"/>
            </w:tcBorders>
          </w:tcPr>
          <w:p w14:paraId="1680E3C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(24 225)</w:t>
            </w:r>
          </w:p>
        </w:tc>
        <w:tc>
          <w:tcPr>
            <w:tcW w:w="794" w:type="dxa"/>
            <w:tcBorders>
              <w:top w:val="single" w:sz="6" w:space="0" w:color="auto"/>
            </w:tcBorders>
          </w:tcPr>
          <w:p w14:paraId="69AECE9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(25 842)</w:t>
            </w:r>
          </w:p>
        </w:tc>
      </w:tr>
      <w:tr w:rsidR="008D6F13" w14:paraId="6EB843C3"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1762A7E7" w14:textId="77777777" w:rsidR="008D6F13" w:rsidRDefault="008D6F13" w:rsidP="0031078F">
            <w:r>
              <w:t>Net cash flows from investments in financial assets for policy purposes</w:t>
            </w:r>
          </w:p>
        </w:tc>
        <w:tc>
          <w:tcPr>
            <w:tcW w:w="794" w:type="dxa"/>
            <w:gridSpan w:val="2"/>
            <w:tcBorders>
              <w:bottom w:val="single" w:sz="6" w:space="0" w:color="auto"/>
            </w:tcBorders>
          </w:tcPr>
          <w:p w14:paraId="3ED0169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(90)</w:t>
            </w:r>
          </w:p>
        </w:tc>
        <w:tc>
          <w:tcPr>
            <w:tcW w:w="794" w:type="dxa"/>
            <w:tcBorders>
              <w:bottom w:val="single" w:sz="6" w:space="0" w:color="auto"/>
            </w:tcBorders>
          </w:tcPr>
          <w:p w14:paraId="5000931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(59)</w:t>
            </w:r>
          </w:p>
        </w:tc>
        <w:tc>
          <w:tcPr>
            <w:tcW w:w="794" w:type="dxa"/>
            <w:tcBorders>
              <w:bottom w:val="single" w:sz="6" w:space="0" w:color="auto"/>
            </w:tcBorders>
          </w:tcPr>
          <w:p w14:paraId="41180EE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102</w:t>
            </w:r>
          </w:p>
        </w:tc>
        <w:tc>
          <w:tcPr>
            <w:tcW w:w="794" w:type="dxa"/>
            <w:tcBorders>
              <w:bottom w:val="single" w:sz="6" w:space="0" w:color="auto"/>
            </w:tcBorders>
          </w:tcPr>
          <w:p w14:paraId="5300B88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58</w:t>
            </w:r>
          </w:p>
        </w:tc>
        <w:tc>
          <w:tcPr>
            <w:tcW w:w="794" w:type="dxa"/>
            <w:tcBorders>
              <w:bottom w:val="single" w:sz="6" w:space="0" w:color="auto"/>
            </w:tcBorders>
          </w:tcPr>
          <w:p w14:paraId="5DB4734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40</w:t>
            </w:r>
          </w:p>
        </w:tc>
      </w:tr>
      <w:tr w:rsidR="008D6F13" w14:paraId="680C12C4"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2E0C742C" w14:textId="77777777" w:rsidR="008D6F13" w:rsidRDefault="008D6F13" w:rsidP="0031078F">
            <w:r>
              <w:rPr>
                <w:b/>
              </w:rPr>
              <w:t>Subtotal</w:t>
            </w:r>
          </w:p>
        </w:tc>
        <w:tc>
          <w:tcPr>
            <w:tcW w:w="794" w:type="dxa"/>
            <w:gridSpan w:val="2"/>
            <w:tcBorders>
              <w:top w:val="single" w:sz="6" w:space="0" w:color="auto"/>
            </w:tcBorders>
          </w:tcPr>
          <w:p w14:paraId="2ED177D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(22 902)</w:t>
            </w:r>
          </w:p>
        </w:tc>
        <w:tc>
          <w:tcPr>
            <w:tcW w:w="794" w:type="dxa"/>
            <w:tcBorders>
              <w:top w:val="single" w:sz="6" w:space="0" w:color="auto"/>
            </w:tcBorders>
          </w:tcPr>
          <w:p w14:paraId="34EFC50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(18 125)</w:t>
            </w:r>
          </w:p>
        </w:tc>
        <w:tc>
          <w:tcPr>
            <w:tcW w:w="794" w:type="dxa"/>
            <w:tcBorders>
              <w:top w:val="single" w:sz="6" w:space="0" w:color="auto"/>
            </w:tcBorders>
          </w:tcPr>
          <w:p w14:paraId="6D67824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(20 648)</w:t>
            </w:r>
          </w:p>
        </w:tc>
        <w:tc>
          <w:tcPr>
            <w:tcW w:w="794" w:type="dxa"/>
            <w:tcBorders>
              <w:top w:val="single" w:sz="6" w:space="0" w:color="auto"/>
            </w:tcBorders>
          </w:tcPr>
          <w:p w14:paraId="36FDAF9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(24 167)</w:t>
            </w:r>
          </w:p>
        </w:tc>
        <w:tc>
          <w:tcPr>
            <w:tcW w:w="794" w:type="dxa"/>
            <w:tcBorders>
              <w:top w:val="single" w:sz="6" w:space="0" w:color="auto"/>
            </w:tcBorders>
          </w:tcPr>
          <w:p w14:paraId="3D47015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(25 802)</w:t>
            </w:r>
          </w:p>
        </w:tc>
      </w:tr>
      <w:tr w:rsidR="008D6F13" w14:paraId="5FA0B7E8"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3238DC12" w14:textId="77777777" w:rsidR="008D6F13" w:rsidRDefault="008D6F13" w:rsidP="0031078F">
            <w:r>
              <w:t>Net cash flows from investment in financial assets for liquidity management purposes</w:t>
            </w:r>
          </w:p>
        </w:tc>
        <w:tc>
          <w:tcPr>
            <w:tcW w:w="794" w:type="dxa"/>
            <w:gridSpan w:val="2"/>
            <w:tcBorders>
              <w:bottom w:val="single" w:sz="6" w:space="0" w:color="auto"/>
            </w:tcBorders>
          </w:tcPr>
          <w:p w14:paraId="4A5F637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234</w:t>
            </w:r>
          </w:p>
        </w:tc>
        <w:tc>
          <w:tcPr>
            <w:tcW w:w="794" w:type="dxa"/>
            <w:tcBorders>
              <w:bottom w:val="single" w:sz="6" w:space="0" w:color="auto"/>
            </w:tcBorders>
          </w:tcPr>
          <w:p w14:paraId="4877F6F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(420)</w:t>
            </w:r>
          </w:p>
        </w:tc>
        <w:tc>
          <w:tcPr>
            <w:tcW w:w="794" w:type="dxa"/>
            <w:tcBorders>
              <w:bottom w:val="single" w:sz="6" w:space="0" w:color="auto"/>
            </w:tcBorders>
          </w:tcPr>
          <w:p w14:paraId="3D4B468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(161)</w:t>
            </w:r>
          </w:p>
        </w:tc>
        <w:tc>
          <w:tcPr>
            <w:tcW w:w="794" w:type="dxa"/>
            <w:tcBorders>
              <w:bottom w:val="single" w:sz="6" w:space="0" w:color="auto"/>
            </w:tcBorders>
          </w:tcPr>
          <w:p w14:paraId="0BDDF4E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(254)</w:t>
            </w:r>
          </w:p>
        </w:tc>
        <w:tc>
          <w:tcPr>
            <w:tcW w:w="794" w:type="dxa"/>
            <w:tcBorders>
              <w:bottom w:val="single" w:sz="6" w:space="0" w:color="auto"/>
            </w:tcBorders>
          </w:tcPr>
          <w:p w14:paraId="5D09E4F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(266)</w:t>
            </w:r>
          </w:p>
        </w:tc>
      </w:tr>
      <w:tr w:rsidR="008D6F13" w14:paraId="4AF9189A"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33BC2EA0" w14:textId="77777777" w:rsidR="008D6F13" w:rsidRDefault="008D6F13" w:rsidP="0031078F">
            <w:r>
              <w:rPr>
                <w:b/>
              </w:rPr>
              <w:t>Net cash flows from investing activities</w:t>
            </w:r>
          </w:p>
        </w:tc>
        <w:tc>
          <w:tcPr>
            <w:tcW w:w="794" w:type="dxa"/>
            <w:gridSpan w:val="2"/>
            <w:tcBorders>
              <w:top w:val="single" w:sz="6" w:space="0" w:color="auto"/>
            </w:tcBorders>
          </w:tcPr>
          <w:p w14:paraId="555586D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(22 667)</w:t>
            </w:r>
          </w:p>
        </w:tc>
        <w:tc>
          <w:tcPr>
            <w:tcW w:w="794" w:type="dxa"/>
            <w:tcBorders>
              <w:top w:val="single" w:sz="6" w:space="0" w:color="auto"/>
            </w:tcBorders>
          </w:tcPr>
          <w:p w14:paraId="4D21DFD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(18 546)</w:t>
            </w:r>
          </w:p>
        </w:tc>
        <w:tc>
          <w:tcPr>
            <w:tcW w:w="794" w:type="dxa"/>
            <w:tcBorders>
              <w:top w:val="single" w:sz="6" w:space="0" w:color="auto"/>
            </w:tcBorders>
          </w:tcPr>
          <w:p w14:paraId="2794DB6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(20 809)</w:t>
            </w:r>
          </w:p>
        </w:tc>
        <w:tc>
          <w:tcPr>
            <w:tcW w:w="794" w:type="dxa"/>
            <w:tcBorders>
              <w:top w:val="single" w:sz="6" w:space="0" w:color="auto"/>
            </w:tcBorders>
          </w:tcPr>
          <w:p w14:paraId="14B1BCE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(24 421)</w:t>
            </w:r>
          </w:p>
        </w:tc>
        <w:tc>
          <w:tcPr>
            <w:tcW w:w="794" w:type="dxa"/>
            <w:tcBorders>
              <w:top w:val="single" w:sz="6" w:space="0" w:color="auto"/>
            </w:tcBorders>
          </w:tcPr>
          <w:p w14:paraId="01A8FCD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(26 068)</w:t>
            </w:r>
          </w:p>
        </w:tc>
      </w:tr>
      <w:tr w:rsidR="008D6F13" w14:paraId="3B063078"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131AAE1" w14:textId="77777777" w:rsidR="008D6F13" w:rsidRDefault="008D6F13" w:rsidP="0031078F">
            <w:r>
              <w:rPr>
                <w:b/>
              </w:rPr>
              <w:t>Cash flows from financing activities</w:t>
            </w:r>
          </w:p>
        </w:tc>
        <w:tc>
          <w:tcPr>
            <w:tcW w:w="794" w:type="dxa"/>
            <w:gridSpan w:val="2"/>
          </w:tcPr>
          <w:p w14:paraId="7975645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798097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EB017B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48B6AA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3875CF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20E6A9E2"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77E4308" w14:textId="77777777" w:rsidR="008D6F13" w:rsidRDefault="008D6F13" w:rsidP="0031078F">
            <w:r>
              <w:t>Advances received (net)</w:t>
            </w:r>
          </w:p>
        </w:tc>
        <w:tc>
          <w:tcPr>
            <w:tcW w:w="794" w:type="dxa"/>
            <w:gridSpan w:val="2"/>
          </w:tcPr>
          <w:p w14:paraId="41DE892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(112)</w:t>
            </w:r>
          </w:p>
        </w:tc>
        <w:tc>
          <w:tcPr>
            <w:tcW w:w="794" w:type="dxa"/>
          </w:tcPr>
          <w:p w14:paraId="113FC7A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(37)</w:t>
            </w:r>
          </w:p>
        </w:tc>
        <w:tc>
          <w:tcPr>
            <w:tcW w:w="794" w:type="dxa"/>
          </w:tcPr>
          <w:p w14:paraId="56DC080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(54)</w:t>
            </w:r>
          </w:p>
        </w:tc>
        <w:tc>
          <w:tcPr>
            <w:tcW w:w="794" w:type="dxa"/>
          </w:tcPr>
          <w:p w14:paraId="522C8F4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w:t>
            </w:r>
          </w:p>
        </w:tc>
        <w:tc>
          <w:tcPr>
            <w:tcW w:w="794" w:type="dxa"/>
          </w:tcPr>
          <w:p w14:paraId="1282042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w:t>
            </w:r>
          </w:p>
        </w:tc>
      </w:tr>
      <w:tr w:rsidR="008D6F13" w14:paraId="7150C24E"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C1008C9" w14:textId="77777777" w:rsidR="008D6F13" w:rsidRDefault="008D6F13" w:rsidP="0031078F">
            <w:r>
              <w:t>Net borrowings</w:t>
            </w:r>
          </w:p>
        </w:tc>
        <w:tc>
          <w:tcPr>
            <w:tcW w:w="794" w:type="dxa"/>
            <w:gridSpan w:val="2"/>
          </w:tcPr>
          <w:p w14:paraId="1E2DDE0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23 666</w:t>
            </w:r>
          </w:p>
        </w:tc>
        <w:tc>
          <w:tcPr>
            <w:tcW w:w="794" w:type="dxa"/>
          </w:tcPr>
          <w:p w14:paraId="60AAEE8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31 762</w:t>
            </w:r>
          </w:p>
        </w:tc>
        <w:tc>
          <w:tcPr>
            <w:tcW w:w="794" w:type="dxa"/>
          </w:tcPr>
          <w:p w14:paraId="188CCDC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16 723</w:t>
            </w:r>
          </w:p>
        </w:tc>
        <w:tc>
          <w:tcPr>
            <w:tcW w:w="794" w:type="dxa"/>
          </w:tcPr>
          <w:p w14:paraId="6CBE983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22 204</w:t>
            </w:r>
          </w:p>
        </w:tc>
        <w:tc>
          <w:tcPr>
            <w:tcW w:w="794" w:type="dxa"/>
          </w:tcPr>
          <w:p w14:paraId="66E16E4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22 202</w:t>
            </w:r>
          </w:p>
        </w:tc>
      </w:tr>
      <w:tr w:rsidR="008D6F13" w14:paraId="211C895C"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23B17BB" w14:textId="77777777" w:rsidR="008D6F13" w:rsidRDefault="008D6F13" w:rsidP="0031078F">
            <w:r>
              <w:t>Deposits received (net)</w:t>
            </w:r>
          </w:p>
        </w:tc>
        <w:tc>
          <w:tcPr>
            <w:tcW w:w="794" w:type="dxa"/>
            <w:gridSpan w:val="2"/>
          </w:tcPr>
          <w:p w14:paraId="700A424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w:t>
            </w:r>
          </w:p>
        </w:tc>
        <w:tc>
          <w:tcPr>
            <w:tcW w:w="794" w:type="dxa"/>
          </w:tcPr>
          <w:p w14:paraId="549D02A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42</w:t>
            </w:r>
          </w:p>
        </w:tc>
        <w:tc>
          <w:tcPr>
            <w:tcW w:w="794" w:type="dxa"/>
          </w:tcPr>
          <w:p w14:paraId="267C3D8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w:t>
            </w:r>
          </w:p>
        </w:tc>
        <w:tc>
          <w:tcPr>
            <w:tcW w:w="794" w:type="dxa"/>
          </w:tcPr>
          <w:p w14:paraId="0752257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w:t>
            </w:r>
          </w:p>
        </w:tc>
        <w:tc>
          <w:tcPr>
            <w:tcW w:w="794" w:type="dxa"/>
          </w:tcPr>
          <w:p w14:paraId="7574E90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w:t>
            </w:r>
          </w:p>
        </w:tc>
      </w:tr>
      <w:tr w:rsidR="008D6F13" w14:paraId="58A39DAB"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5ECE63C3" w14:textId="77777777" w:rsidR="008D6F13" w:rsidRDefault="008D6F13" w:rsidP="0031078F">
            <w:r>
              <w:rPr>
                <w:b/>
              </w:rPr>
              <w:t>Net cash flows from financing activities</w:t>
            </w:r>
          </w:p>
        </w:tc>
        <w:tc>
          <w:tcPr>
            <w:tcW w:w="794" w:type="dxa"/>
            <w:gridSpan w:val="2"/>
            <w:tcBorders>
              <w:top w:val="single" w:sz="6" w:space="0" w:color="auto"/>
              <w:bottom w:val="single" w:sz="6" w:space="0" w:color="auto"/>
            </w:tcBorders>
          </w:tcPr>
          <w:p w14:paraId="2ED62BC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23 562</w:t>
            </w:r>
          </w:p>
        </w:tc>
        <w:tc>
          <w:tcPr>
            <w:tcW w:w="794" w:type="dxa"/>
            <w:tcBorders>
              <w:top w:val="single" w:sz="6" w:space="0" w:color="auto"/>
              <w:bottom w:val="single" w:sz="6" w:space="0" w:color="auto"/>
            </w:tcBorders>
          </w:tcPr>
          <w:p w14:paraId="695A0F0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31 768</w:t>
            </w:r>
          </w:p>
        </w:tc>
        <w:tc>
          <w:tcPr>
            <w:tcW w:w="794" w:type="dxa"/>
            <w:tcBorders>
              <w:top w:val="single" w:sz="6" w:space="0" w:color="auto"/>
              <w:bottom w:val="single" w:sz="6" w:space="0" w:color="auto"/>
            </w:tcBorders>
          </w:tcPr>
          <w:p w14:paraId="3EFFD0B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16 665</w:t>
            </w:r>
          </w:p>
        </w:tc>
        <w:tc>
          <w:tcPr>
            <w:tcW w:w="794" w:type="dxa"/>
            <w:tcBorders>
              <w:top w:val="single" w:sz="6" w:space="0" w:color="auto"/>
              <w:bottom w:val="single" w:sz="6" w:space="0" w:color="auto"/>
            </w:tcBorders>
          </w:tcPr>
          <w:p w14:paraId="76F7E84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22 223</w:t>
            </w:r>
          </w:p>
        </w:tc>
        <w:tc>
          <w:tcPr>
            <w:tcW w:w="794" w:type="dxa"/>
            <w:tcBorders>
              <w:top w:val="single" w:sz="6" w:space="0" w:color="auto"/>
              <w:bottom w:val="single" w:sz="6" w:space="0" w:color="auto"/>
            </w:tcBorders>
          </w:tcPr>
          <w:p w14:paraId="1F9600A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22 207</w:t>
            </w:r>
          </w:p>
        </w:tc>
      </w:tr>
      <w:tr w:rsidR="008D6F13" w14:paraId="3A0B2EAA"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17E4A043" w14:textId="77777777" w:rsidR="008D6F13" w:rsidRDefault="008D6F13" w:rsidP="0031078F">
            <w:r>
              <w:rPr>
                <w:b/>
              </w:rPr>
              <w:t>Net increase/(decrease) in cash and cash equivalents</w:t>
            </w:r>
          </w:p>
        </w:tc>
        <w:tc>
          <w:tcPr>
            <w:tcW w:w="794" w:type="dxa"/>
            <w:gridSpan w:val="2"/>
            <w:tcBorders>
              <w:top w:val="single" w:sz="6" w:space="0" w:color="auto"/>
            </w:tcBorders>
          </w:tcPr>
          <w:p w14:paraId="38E4D67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18</w:t>
            </w:r>
          </w:p>
        </w:tc>
        <w:tc>
          <w:tcPr>
            <w:tcW w:w="794" w:type="dxa"/>
            <w:tcBorders>
              <w:top w:val="single" w:sz="6" w:space="0" w:color="auto"/>
            </w:tcBorders>
          </w:tcPr>
          <w:p w14:paraId="3E04B94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(896)</w:t>
            </w:r>
          </w:p>
        </w:tc>
        <w:tc>
          <w:tcPr>
            <w:tcW w:w="794" w:type="dxa"/>
            <w:tcBorders>
              <w:top w:val="single" w:sz="6" w:space="0" w:color="auto"/>
            </w:tcBorders>
          </w:tcPr>
          <w:p w14:paraId="564479A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(162)</w:t>
            </w:r>
          </w:p>
        </w:tc>
        <w:tc>
          <w:tcPr>
            <w:tcW w:w="794" w:type="dxa"/>
            <w:tcBorders>
              <w:top w:val="single" w:sz="6" w:space="0" w:color="auto"/>
            </w:tcBorders>
          </w:tcPr>
          <w:p w14:paraId="1BFD24D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72</w:t>
            </w:r>
          </w:p>
        </w:tc>
        <w:tc>
          <w:tcPr>
            <w:tcW w:w="794" w:type="dxa"/>
            <w:tcBorders>
              <w:top w:val="single" w:sz="6" w:space="0" w:color="auto"/>
            </w:tcBorders>
          </w:tcPr>
          <w:p w14:paraId="597A0B2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241</w:t>
            </w:r>
          </w:p>
        </w:tc>
      </w:tr>
      <w:tr w:rsidR="008D6F13" w14:paraId="7220189D"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5A09F285" w14:textId="77777777" w:rsidR="008D6F13" w:rsidRDefault="008D6F13" w:rsidP="0031078F">
            <w:r>
              <w:t xml:space="preserve">Cash and cash equivalents at beginning of </w:t>
            </w:r>
            <w:r>
              <w:br/>
              <w:t>reporting period</w:t>
            </w:r>
            <w:r>
              <w:rPr>
                <w:vertAlign w:val="superscript"/>
              </w:rPr>
              <w:t xml:space="preserve"> (b)(c)</w:t>
            </w:r>
          </w:p>
        </w:tc>
        <w:tc>
          <w:tcPr>
            <w:tcW w:w="794" w:type="dxa"/>
            <w:gridSpan w:val="2"/>
            <w:tcBorders>
              <w:bottom w:val="single" w:sz="6" w:space="0" w:color="auto"/>
            </w:tcBorders>
          </w:tcPr>
          <w:p w14:paraId="4AA9AC1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16 466</w:t>
            </w:r>
          </w:p>
        </w:tc>
        <w:tc>
          <w:tcPr>
            <w:tcW w:w="794" w:type="dxa"/>
            <w:tcBorders>
              <w:bottom w:val="single" w:sz="6" w:space="0" w:color="auto"/>
            </w:tcBorders>
          </w:tcPr>
          <w:p w14:paraId="6A3BA4A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16 466</w:t>
            </w:r>
          </w:p>
        </w:tc>
        <w:tc>
          <w:tcPr>
            <w:tcW w:w="794" w:type="dxa"/>
            <w:tcBorders>
              <w:bottom w:val="single" w:sz="6" w:space="0" w:color="auto"/>
            </w:tcBorders>
          </w:tcPr>
          <w:p w14:paraId="0D29752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15 570</w:t>
            </w:r>
          </w:p>
        </w:tc>
        <w:tc>
          <w:tcPr>
            <w:tcW w:w="794" w:type="dxa"/>
            <w:tcBorders>
              <w:bottom w:val="single" w:sz="6" w:space="0" w:color="auto"/>
            </w:tcBorders>
          </w:tcPr>
          <w:p w14:paraId="0A7F95F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15 407</w:t>
            </w:r>
          </w:p>
        </w:tc>
        <w:tc>
          <w:tcPr>
            <w:tcW w:w="794" w:type="dxa"/>
            <w:tcBorders>
              <w:bottom w:val="single" w:sz="6" w:space="0" w:color="auto"/>
            </w:tcBorders>
          </w:tcPr>
          <w:p w14:paraId="5BA8B47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15 479</w:t>
            </w:r>
          </w:p>
        </w:tc>
      </w:tr>
      <w:tr w:rsidR="008D6F13" w14:paraId="39FC4831"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545D21A4" w14:textId="77777777" w:rsidR="008D6F13" w:rsidRDefault="008D6F13" w:rsidP="0031078F">
            <w:r>
              <w:rPr>
                <w:b/>
              </w:rPr>
              <w:t xml:space="preserve">Cash and cash equivalents at end of </w:t>
            </w:r>
            <w:r>
              <w:rPr>
                <w:b/>
              </w:rPr>
              <w:br/>
              <w:t>reporting period</w:t>
            </w:r>
            <w:r>
              <w:rPr>
                <w:b/>
                <w:vertAlign w:val="superscript"/>
              </w:rPr>
              <w:t xml:space="preserve"> (b)(c)</w:t>
            </w:r>
          </w:p>
        </w:tc>
        <w:tc>
          <w:tcPr>
            <w:tcW w:w="794" w:type="dxa"/>
            <w:gridSpan w:val="2"/>
            <w:tcBorders>
              <w:top w:val="single" w:sz="6" w:space="0" w:color="auto"/>
              <w:bottom w:val="single" w:sz="6" w:space="0" w:color="auto"/>
            </w:tcBorders>
          </w:tcPr>
          <w:p w14:paraId="13E06BE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16 484</w:t>
            </w:r>
          </w:p>
        </w:tc>
        <w:tc>
          <w:tcPr>
            <w:tcW w:w="794" w:type="dxa"/>
            <w:tcBorders>
              <w:top w:val="single" w:sz="6" w:space="0" w:color="auto"/>
              <w:bottom w:val="single" w:sz="6" w:space="0" w:color="auto"/>
            </w:tcBorders>
          </w:tcPr>
          <w:p w14:paraId="2398D9F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15 570</w:t>
            </w:r>
          </w:p>
        </w:tc>
        <w:tc>
          <w:tcPr>
            <w:tcW w:w="794" w:type="dxa"/>
            <w:tcBorders>
              <w:top w:val="single" w:sz="6" w:space="0" w:color="auto"/>
              <w:bottom w:val="single" w:sz="6" w:space="0" w:color="auto"/>
            </w:tcBorders>
          </w:tcPr>
          <w:p w14:paraId="39EE5FB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15 407</w:t>
            </w:r>
          </w:p>
        </w:tc>
        <w:tc>
          <w:tcPr>
            <w:tcW w:w="794" w:type="dxa"/>
            <w:tcBorders>
              <w:top w:val="single" w:sz="6" w:space="0" w:color="auto"/>
              <w:bottom w:val="single" w:sz="6" w:space="0" w:color="auto"/>
            </w:tcBorders>
          </w:tcPr>
          <w:p w14:paraId="08DA2BC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15 479</w:t>
            </w:r>
          </w:p>
        </w:tc>
        <w:tc>
          <w:tcPr>
            <w:tcW w:w="794" w:type="dxa"/>
            <w:tcBorders>
              <w:top w:val="single" w:sz="6" w:space="0" w:color="auto"/>
              <w:bottom w:val="single" w:sz="6" w:space="0" w:color="auto"/>
            </w:tcBorders>
          </w:tcPr>
          <w:p w14:paraId="34CD106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15 720</w:t>
            </w:r>
          </w:p>
        </w:tc>
      </w:tr>
    </w:tbl>
    <w:p w14:paraId="1E6A5FC9" w14:textId="2D1899A4" w:rsidR="008D6F13" w:rsidRPr="00A06E1B" w:rsidRDefault="008D6F13" w:rsidP="008D6F13">
      <w:pPr>
        <w:pStyle w:val="TableHeading"/>
        <w:rPr>
          <w:rFonts w:cstheme="majorHAnsi"/>
        </w:rPr>
      </w:pPr>
      <w:r w:rsidRPr="00921F69">
        <w:rPr>
          <w:rFonts w:cstheme="majorHAnsi"/>
        </w:rPr>
        <w:lastRenderedPageBreak/>
        <w:t>Table 5.8</w:t>
      </w:r>
      <w:r w:rsidR="007F1FE4">
        <w:rPr>
          <w:rFonts w:cstheme="majorHAnsi"/>
        </w:rPr>
        <w:t>:</w:t>
      </w:r>
      <w:r w:rsidRPr="00921F69">
        <w:rPr>
          <w:rFonts w:cstheme="majorHAnsi"/>
        </w:rPr>
        <w:tab/>
        <w:t xml:space="preserve">Non-financial public sector cash flow statement for the </w:t>
      </w:r>
      <w:r w:rsidRPr="00921F69">
        <w:rPr>
          <w:rFonts w:cstheme="majorHAnsi"/>
        </w:rPr>
        <w:br/>
        <w:t>financial year ended 30 June</w:t>
      </w:r>
      <w:r>
        <w:rPr>
          <w:rFonts w:cstheme="majorHAnsi"/>
        </w:rPr>
        <w:t xml:space="preserve"> </w:t>
      </w:r>
      <w:r w:rsidRPr="00B976DB">
        <w:rPr>
          <w:rFonts w:cstheme="majorHAnsi"/>
          <w:i/>
          <w:iCs/>
        </w:rPr>
        <w:t>(continued)</w:t>
      </w:r>
      <w:r w:rsidRPr="00921F69">
        <w:rPr>
          <w:rFonts w:cstheme="majorHAnsi"/>
        </w:rPr>
        <w:tab/>
        <w:t>($ million)</w:t>
      </w:r>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51F95EEC"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71E96FA4" w14:textId="77777777" w:rsidR="008D6F13" w:rsidRDefault="008D6F13" w:rsidP="0031078F"/>
        </w:tc>
        <w:tc>
          <w:tcPr>
            <w:tcW w:w="794" w:type="dxa"/>
          </w:tcPr>
          <w:p w14:paraId="236CEDAD"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24E6CC82"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454055B7"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50253A0D"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3F30E62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5446E6A4"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6BB62E4" w14:textId="77777777" w:rsidR="008D6F13" w:rsidRDefault="008D6F13" w:rsidP="0031078F">
            <w:r>
              <w:rPr>
                <w:b/>
              </w:rPr>
              <w:t>FISCAL AGGREGATES</w:t>
            </w:r>
          </w:p>
        </w:tc>
        <w:tc>
          <w:tcPr>
            <w:tcW w:w="794" w:type="dxa"/>
          </w:tcPr>
          <w:p w14:paraId="3DCDB8E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83AEA8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74425D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C6D93E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2D0187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16ECD394"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F0B0CE0" w14:textId="77777777" w:rsidR="008D6F13" w:rsidRDefault="008D6F13" w:rsidP="0031078F">
            <w:r>
              <w:t>Net cash flows from operating activities</w:t>
            </w:r>
          </w:p>
        </w:tc>
        <w:tc>
          <w:tcPr>
            <w:tcW w:w="794" w:type="dxa"/>
          </w:tcPr>
          <w:p w14:paraId="25F9CB6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(876)</w:t>
            </w:r>
          </w:p>
        </w:tc>
        <w:tc>
          <w:tcPr>
            <w:tcW w:w="794" w:type="dxa"/>
          </w:tcPr>
          <w:p w14:paraId="7AFD536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(14 118)</w:t>
            </w:r>
          </w:p>
        </w:tc>
        <w:tc>
          <w:tcPr>
            <w:tcW w:w="794" w:type="dxa"/>
          </w:tcPr>
          <w:p w14:paraId="6375BBE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3 982</w:t>
            </w:r>
          </w:p>
        </w:tc>
        <w:tc>
          <w:tcPr>
            <w:tcW w:w="794" w:type="dxa"/>
          </w:tcPr>
          <w:p w14:paraId="36B7A31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2 270</w:t>
            </w:r>
          </w:p>
        </w:tc>
        <w:tc>
          <w:tcPr>
            <w:tcW w:w="794" w:type="dxa"/>
          </w:tcPr>
          <w:p w14:paraId="3DF9102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4 102</w:t>
            </w:r>
          </w:p>
        </w:tc>
      </w:tr>
      <w:tr w:rsidR="008D6F13" w14:paraId="42FDF096"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167D8579" w14:textId="77777777" w:rsidR="008D6F13" w:rsidRDefault="008D6F13" w:rsidP="0031078F">
            <w:r>
              <w:t xml:space="preserve">Net cash flows from investments in </w:t>
            </w:r>
            <w:r>
              <w:br/>
              <w:t>non</w:t>
            </w:r>
            <w:r>
              <w:noBreakHyphen/>
              <w:t>financial assets</w:t>
            </w:r>
          </w:p>
        </w:tc>
        <w:tc>
          <w:tcPr>
            <w:tcW w:w="794" w:type="dxa"/>
            <w:tcBorders>
              <w:bottom w:val="single" w:sz="6" w:space="0" w:color="auto"/>
            </w:tcBorders>
          </w:tcPr>
          <w:p w14:paraId="687628F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(22 812)</w:t>
            </w:r>
          </w:p>
        </w:tc>
        <w:tc>
          <w:tcPr>
            <w:tcW w:w="794" w:type="dxa"/>
            <w:tcBorders>
              <w:bottom w:val="single" w:sz="6" w:space="0" w:color="auto"/>
            </w:tcBorders>
          </w:tcPr>
          <w:p w14:paraId="180EFD9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(18 066)</w:t>
            </w:r>
          </w:p>
        </w:tc>
        <w:tc>
          <w:tcPr>
            <w:tcW w:w="794" w:type="dxa"/>
            <w:tcBorders>
              <w:bottom w:val="single" w:sz="6" w:space="0" w:color="auto"/>
            </w:tcBorders>
          </w:tcPr>
          <w:p w14:paraId="1223BD5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(20 751)</w:t>
            </w:r>
          </w:p>
        </w:tc>
        <w:tc>
          <w:tcPr>
            <w:tcW w:w="794" w:type="dxa"/>
            <w:tcBorders>
              <w:bottom w:val="single" w:sz="6" w:space="0" w:color="auto"/>
            </w:tcBorders>
          </w:tcPr>
          <w:p w14:paraId="00225AA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(24 225)</w:t>
            </w:r>
          </w:p>
        </w:tc>
        <w:tc>
          <w:tcPr>
            <w:tcW w:w="794" w:type="dxa"/>
            <w:tcBorders>
              <w:bottom w:val="single" w:sz="6" w:space="0" w:color="auto"/>
            </w:tcBorders>
          </w:tcPr>
          <w:p w14:paraId="40FCF2D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(25 842)</w:t>
            </w:r>
          </w:p>
        </w:tc>
      </w:tr>
      <w:tr w:rsidR="008D6F13" w14:paraId="47ED15D8"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3038CBA" w14:textId="77777777" w:rsidR="008D6F13" w:rsidRDefault="008D6F13" w:rsidP="0031078F">
            <w:r>
              <w:rPr>
                <w:b/>
              </w:rPr>
              <w:t>Cash surplus/(deficit)</w:t>
            </w:r>
          </w:p>
        </w:tc>
        <w:tc>
          <w:tcPr>
            <w:tcW w:w="794" w:type="dxa"/>
          </w:tcPr>
          <w:p w14:paraId="5A3A741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(23 688)</w:t>
            </w:r>
          </w:p>
        </w:tc>
        <w:tc>
          <w:tcPr>
            <w:tcW w:w="794" w:type="dxa"/>
          </w:tcPr>
          <w:p w14:paraId="0F83885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(32 184)</w:t>
            </w:r>
          </w:p>
        </w:tc>
        <w:tc>
          <w:tcPr>
            <w:tcW w:w="794" w:type="dxa"/>
          </w:tcPr>
          <w:p w14:paraId="44134FF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(16 768)</w:t>
            </w:r>
          </w:p>
        </w:tc>
        <w:tc>
          <w:tcPr>
            <w:tcW w:w="794" w:type="dxa"/>
          </w:tcPr>
          <w:p w14:paraId="33EFC46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(21 956)</w:t>
            </w:r>
          </w:p>
        </w:tc>
        <w:tc>
          <w:tcPr>
            <w:tcW w:w="794" w:type="dxa"/>
          </w:tcPr>
          <w:p w14:paraId="104F2938" w14:textId="65CE25B9"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(21 740)</w:t>
            </w:r>
          </w:p>
        </w:tc>
      </w:tr>
    </w:tbl>
    <w:p w14:paraId="6D6BEAC3" w14:textId="77777777" w:rsidR="008D6F13" w:rsidRPr="00921F69" w:rsidRDefault="008D6F13" w:rsidP="008D6F13">
      <w:pPr>
        <w:pStyle w:val="Note"/>
        <w:ind w:left="0" w:firstLine="0"/>
        <w:rPr>
          <w:rFonts w:cstheme="majorHAnsi"/>
        </w:rPr>
      </w:pPr>
      <w:r w:rsidRPr="00921F69">
        <w:rPr>
          <w:rFonts w:cstheme="majorHAnsi"/>
        </w:rPr>
        <w:t>Notes:</w:t>
      </w:r>
    </w:p>
    <w:p w14:paraId="601A3F3D" w14:textId="77777777" w:rsidR="008D6F13" w:rsidRPr="00921F69" w:rsidRDefault="008D6F13" w:rsidP="008D6F13">
      <w:pPr>
        <w:pStyle w:val="Note"/>
        <w:rPr>
          <w:rFonts w:cstheme="majorHAnsi"/>
        </w:rPr>
      </w:pPr>
      <w:r w:rsidRPr="00921F69">
        <w:rPr>
          <w:rFonts w:cstheme="majorHAnsi"/>
        </w:rPr>
        <w:t>(a)</w:t>
      </w:r>
      <w:r w:rsidRPr="00921F69">
        <w:rPr>
          <w:rFonts w:cstheme="majorHAnsi"/>
        </w:rPr>
        <w:tab/>
        <w:t>Inclusive of goods and services tax.</w:t>
      </w:r>
    </w:p>
    <w:p w14:paraId="69F8DF80" w14:textId="77777777" w:rsidR="008D6F13" w:rsidRPr="00921F69" w:rsidRDefault="008D6F13" w:rsidP="008D6F13">
      <w:pPr>
        <w:pStyle w:val="Note"/>
        <w:rPr>
          <w:rFonts w:cstheme="majorHAnsi"/>
        </w:rPr>
      </w:pPr>
      <w:r w:rsidRPr="00921F69">
        <w:rPr>
          <w:rFonts w:cstheme="majorHAnsi"/>
        </w:rPr>
        <w:t>(b)</w:t>
      </w:r>
      <w:r w:rsidRPr="00921F69">
        <w:rPr>
          <w:rFonts w:cstheme="majorHAnsi"/>
        </w:rPr>
        <w:tab/>
      </w:r>
      <w:r w:rsidRPr="006D1F40">
        <w:rPr>
          <w:rFonts w:cstheme="majorHAnsi"/>
          <w:i w:val="0"/>
          <w:iCs/>
        </w:rPr>
        <w:t>20</w:t>
      </w:r>
      <w:r>
        <w:rPr>
          <w:rFonts w:cstheme="majorHAnsi"/>
          <w:i w:val="0"/>
          <w:iCs/>
        </w:rPr>
        <w:t>21</w:t>
      </w:r>
      <w:r w:rsidRPr="006D1F40">
        <w:rPr>
          <w:rFonts w:cstheme="majorHAnsi"/>
          <w:i w:val="0"/>
          <w:iCs/>
        </w:rPr>
        <w:t>-2</w:t>
      </w:r>
      <w:r>
        <w:rPr>
          <w:rFonts w:cstheme="majorHAnsi"/>
          <w:i w:val="0"/>
          <w:iCs/>
        </w:rPr>
        <w:t>2</w:t>
      </w:r>
      <w:r w:rsidRPr="006D1F40">
        <w:rPr>
          <w:rFonts w:cstheme="majorHAnsi"/>
          <w:i w:val="0"/>
          <w:iCs/>
        </w:rPr>
        <w:t xml:space="preserve"> Budget</w:t>
      </w:r>
      <w:r w:rsidRPr="00921F69">
        <w:rPr>
          <w:rFonts w:cstheme="majorHAnsi"/>
        </w:rPr>
        <w:t xml:space="preserve"> figures have been restated to represent actual opening balances </w:t>
      </w:r>
      <w:proofErr w:type="gramStart"/>
      <w:r w:rsidRPr="00921F69">
        <w:rPr>
          <w:rFonts w:cstheme="majorHAnsi"/>
        </w:rPr>
        <w:t>at</w:t>
      </w:r>
      <w:proofErr w:type="gramEnd"/>
      <w:r w:rsidRPr="00921F69">
        <w:rPr>
          <w:rFonts w:cstheme="majorHAnsi"/>
        </w:rPr>
        <w:t xml:space="preserve"> 1 July 20</w:t>
      </w:r>
      <w:r>
        <w:rPr>
          <w:rFonts w:cstheme="majorHAnsi"/>
        </w:rPr>
        <w:t>21</w:t>
      </w:r>
      <w:r w:rsidRPr="00921F69">
        <w:rPr>
          <w:rFonts w:cstheme="majorHAnsi"/>
        </w:rPr>
        <w:t>.</w:t>
      </w:r>
    </w:p>
    <w:p w14:paraId="0BA31143" w14:textId="77777777" w:rsidR="008D6F13" w:rsidRPr="009E38F8" w:rsidRDefault="008D6F13" w:rsidP="008D6F13">
      <w:pPr>
        <w:pStyle w:val="Note"/>
        <w:rPr>
          <w:iCs/>
        </w:rPr>
      </w:pPr>
      <w:r w:rsidRPr="009E38F8">
        <w:rPr>
          <w:iCs/>
        </w:rPr>
        <w:t>(</w:t>
      </w:r>
      <w:r>
        <w:rPr>
          <w:iCs/>
        </w:rPr>
        <w:t>c</w:t>
      </w:r>
      <w:r w:rsidRPr="009E38F8">
        <w:rPr>
          <w:iCs/>
        </w:rPr>
        <w:t>)</w:t>
      </w:r>
      <w:r w:rsidRPr="009E38F8">
        <w:rPr>
          <w:iCs/>
        </w:rPr>
        <w:tab/>
      </w:r>
      <w:r>
        <w:t>Cash and cash equivalents at the end of the reporting period does not equal cash and deposits on the balance sheet. This is due to overdrafts being included in the cash flow statement balances.</w:t>
      </w:r>
    </w:p>
    <w:p w14:paraId="09D9F010" w14:textId="77777777" w:rsidR="008D6F13" w:rsidRPr="00921F69" w:rsidRDefault="008D6F13" w:rsidP="008D6F13">
      <w:pPr>
        <w:rPr>
          <w:rFonts w:asciiTheme="majorHAnsi" w:hAnsiTheme="majorHAnsi" w:cstheme="majorHAnsi"/>
        </w:rPr>
      </w:pPr>
    </w:p>
    <w:p w14:paraId="08DB5C8C" w14:textId="77777777" w:rsidR="008D6F13" w:rsidRDefault="008D6F13" w:rsidP="008D6F13">
      <w:pPr>
        <w:keepLines w:val="0"/>
        <w:rPr>
          <w:rFonts w:asciiTheme="majorHAnsi" w:hAnsiTheme="majorHAnsi" w:cstheme="majorHAnsi"/>
          <w:b/>
          <w:sz w:val="20"/>
        </w:rPr>
      </w:pPr>
      <w:r>
        <w:rPr>
          <w:rFonts w:cstheme="majorHAnsi"/>
        </w:rPr>
        <w:br w:type="page"/>
      </w:r>
    </w:p>
    <w:p w14:paraId="627A2C51" w14:textId="23CB0351" w:rsidR="008D6F13" w:rsidRPr="002F6C0D" w:rsidRDefault="008D6F13" w:rsidP="008D6F13">
      <w:pPr>
        <w:pStyle w:val="TableHeading"/>
        <w:rPr>
          <w:rFonts w:cstheme="majorHAnsi"/>
        </w:rPr>
      </w:pPr>
      <w:r w:rsidRPr="00921F69">
        <w:rPr>
          <w:rFonts w:cstheme="majorHAnsi"/>
        </w:rPr>
        <w:lastRenderedPageBreak/>
        <w:t>Table 5.9</w:t>
      </w:r>
      <w:r w:rsidR="007F1FE4">
        <w:rPr>
          <w:rFonts w:cstheme="majorHAnsi"/>
        </w:rPr>
        <w:t>:</w:t>
      </w:r>
      <w:r w:rsidRPr="00921F69">
        <w:rPr>
          <w:rFonts w:cstheme="majorHAnsi"/>
        </w:rPr>
        <w:tab/>
        <w:t xml:space="preserve">Non-financial public sector statement of changes in equity </w:t>
      </w:r>
      <w:r w:rsidRPr="00921F69">
        <w:rPr>
          <w:rFonts w:cstheme="majorHAnsi"/>
        </w:rPr>
        <w:br/>
        <w:t>for the financial year ended 30 June</w:t>
      </w:r>
      <w:r w:rsidRPr="00921F69">
        <w:rPr>
          <w:rFonts w:cstheme="majorHAnsi"/>
        </w:rPr>
        <w:tab/>
        <w:t>($ million)</w:t>
      </w:r>
    </w:p>
    <w:tbl>
      <w:tblPr>
        <w:tblStyle w:val="DTFTableNumeric"/>
        <w:tblW w:w="7710" w:type="dxa"/>
        <w:tblLayout w:type="fixed"/>
        <w:tblLook w:val="06A0" w:firstRow="1" w:lastRow="0" w:firstColumn="1" w:lastColumn="0" w:noHBand="1" w:noVBand="1"/>
      </w:tblPr>
      <w:tblGrid>
        <w:gridCol w:w="2674"/>
        <w:gridCol w:w="210"/>
        <w:gridCol w:w="770"/>
        <w:gridCol w:w="1078"/>
        <w:gridCol w:w="1511"/>
        <w:gridCol w:w="714"/>
        <w:gridCol w:w="753"/>
      </w:tblGrid>
      <w:tr w:rsidR="008D6F13" w14:paraId="408F823D"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74" w:type="dxa"/>
          </w:tcPr>
          <w:p w14:paraId="040307E1" w14:textId="16B90F87" w:rsidR="008D6F13" w:rsidRDefault="008D6F13" w:rsidP="0031078F"/>
        </w:tc>
        <w:tc>
          <w:tcPr>
            <w:tcW w:w="980" w:type="dxa"/>
            <w:gridSpan w:val="2"/>
          </w:tcPr>
          <w:p w14:paraId="0351FE29"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rPr>
                <w:i w:val="0"/>
                <w:sz w:val="16"/>
              </w:rPr>
            </w:pPr>
            <w:r>
              <w:rPr>
                <w:sz w:val="16"/>
              </w:rPr>
              <w:t>Accumulated surplus/</w:t>
            </w:r>
          </w:p>
          <w:p w14:paraId="7B901FF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rPr>
                <w:sz w:val="16"/>
              </w:rPr>
              <w:t>(deficit)</w:t>
            </w:r>
          </w:p>
        </w:tc>
        <w:tc>
          <w:tcPr>
            <w:tcW w:w="1078" w:type="dxa"/>
          </w:tcPr>
          <w:p w14:paraId="63265178"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rPr>
                <w:sz w:val="16"/>
              </w:rPr>
              <w:t>Non</w:t>
            </w:r>
            <w:r>
              <w:rPr>
                <w:sz w:val="16"/>
              </w:rPr>
              <w:noBreakHyphen/>
              <w:t>financial assets revaluation surplus</w:t>
            </w:r>
          </w:p>
        </w:tc>
        <w:tc>
          <w:tcPr>
            <w:tcW w:w="1511" w:type="dxa"/>
          </w:tcPr>
          <w:p w14:paraId="50104F2C"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rPr>
                <w:sz w:val="16"/>
              </w:rPr>
              <w:t>Investment in other sector entities revaluation surplus</w:t>
            </w:r>
          </w:p>
        </w:tc>
        <w:tc>
          <w:tcPr>
            <w:tcW w:w="714" w:type="dxa"/>
          </w:tcPr>
          <w:p w14:paraId="1CBA1803"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rPr>
                <w:sz w:val="16"/>
              </w:rPr>
              <w:t>Other reserves</w:t>
            </w:r>
          </w:p>
        </w:tc>
        <w:tc>
          <w:tcPr>
            <w:tcW w:w="753" w:type="dxa"/>
          </w:tcPr>
          <w:p w14:paraId="2A37FA7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rPr>
                <w:sz w:val="16"/>
              </w:rPr>
              <w:t>Total</w:t>
            </w:r>
          </w:p>
        </w:tc>
      </w:tr>
      <w:tr w:rsidR="008D6F13" w14:paraId="755F0268" w14:textId="77777777" w:rsidTr="0031078F">
        <w:tc>
          <w:tcPr>
            <w:cnfStyle w:val="001000000000" w:firstRow="0" w:lastRow="0" w:firstColumn="1" w:lastColumn="0" w:oddVBand="0" w:evenVBand="0" w:oddHBand="0" w:evenHBand="0" w:firstRowFirstColumn="0" w:firstRowLastColumn="0" w:lastRowFirstColumn="0" w:lastRowLastColumn="0"/>
            <w:tcW w:w="2884" w:type="dxa"/>
            <w:gridSpan w:val="2"/>
          </w:tcPr>
          <w:p w14:paraId="5C84390C" w14:textId="77777777" w:rsidR="008D6F13" w:rsidRDefault="008D6F13" w:rsidP="0031078F">
            <w:r>
              <w:rPr>
                <w:b/>
                <w:sz w:val="16"/>
              </w:rPr>
              <w:t>2021</w:t>
            </w:r>
            <w:r>
              <w:rPr>
                <w:b/>
                <w:sz w:val="16"/>
              </w:rPr>
              <w:noBreakHyphen/>
              <w:t>22 budget</w:t>
            </w:r>
            <w:r>
              <w:rPr>
                <w:b/>
                <w:sz w:val="16"/>
                <w:vertAlign w:val="superscript"/>
              </w:rPr>
              <w:t xml:space="preserve"> (a)</w:t>
            </w:r>
          </w:p>
        </w:tc>
        <w:tc>
          <w:tcPr>
            <w:tcW w:w="770" w:type="dxa"/>
          </w:tcPr>
          <w:p w14:paraId="578D67D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078" w:type="dxa"/>
          </w:tcPr>
          <w:p w14:paraId="66D64F5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511" w:type="dxa"/>
          </w:tcPr>
          <w:p w14:paraId="46AEB67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14" w:type="dxa"/>
          </w:tcPr>
          <w:p w14:paraId="3799CDD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53" w:type="dxa"/>
          </w:tcPr>
          <w:p w14:paraId="227B75B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5EC7D182" w14:textId="77777777" w:rsidTr="0031078F">
        <w:tc>
          <w:tcPr>
            <w:cnfStyle w:val="001000000000" w:firstRow="0" w:lastRow="0" w:firstColumn="1" w:lastColumn="0" w:oddVBand="0" w:evenVBand="0" w:oddHBand="0" w:evenHBand="0" w:firstRowFirstColumn="0" w:firstRowLastColumn="0" w:lastRowFirstColumn="0" w:lastRowLastColumn="0"/>
            <w:tcW w:w="2884" w:type="dxa"/>
            <w:gridSpan w:val="2"/>
          </w:tcPr>
          <w:p w14:paraId="58EC3A54" w14:textId="77777777" w:rsidR="008D6F13" w:rsidRDefault="008D6F13" w:rsidP="0031078F">
            <w:r>
              <w:rPr>
                <w:sz w:val="16"/>
              </w:rPr>
              <w:t xml:space="preserve">Balance </w:t>
            </w:r>
            <w:proofErr w:type="gramStart"/>
            <w:r>
              <w:rPr>
                <w:sz w:val="16"/>
              </w:rPr>
              <w:t>at</w:t>
            </w:r>
            <w:proofErr w:type="gramEnd"/>
            <w:r>
              <w:rPr>
                <w:sz w:val="16"/>
              </w:rPr>
              <w:t xml:space="preserve"> 1 July 2021</w:t>
            </w:r>
          </w:p>
        </w:tc>
        <w:tc>
          <w:tcPr>
            <w:tcW w:w="770" w:type="dxa"/>
          </w:tcPr>
          <w:p w14:paraId="79868DB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84 992</w:t>
            </w:r>
          </w:p>
        </w:tc>
        <w:tc>
          <w:tcPr>
            <w:tcW w:w="1078" w:type="dxa"/>
          </w:tcPr>
          <w:p w14:paraId="39F89B1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109 782</w:t>
            </w:r>
          </w:p>
        </w:tc>
        <w:tc>
          <w:tcPr>
            <w:tcW w:w="1511" w:type="dxa"/>
          </w:tcPr>
          <w:p w14:paraId="1161F4D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528</w:t>
            </w:r>
          </w:p>
        </w:tc>
        <w:tc>
          <w:tcPr>
            <w:tcW w:w="714" w:type="dxa"/>
          </w:tcPr>
          <w:p w14:paraId="75FB3DF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1 763</w:t>
            </w:r>
          </w:p>
        </w:tc>
        <w:tc>
          <w:tcPr>
            <w:tcW w:w="753" w:type="dxa"/>
          </w:tcPr>
          <w:p w14:paraId="42840BD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197 065</w:t>
            </w:r>
          </w:p>
        </w:tc>
      </w:tr>
      <w:tr w:rsidR="008D6F13" w14:paraId="54DD3BA2" w14:textId="77777777" w:rsidTr="0031078F">
        <w:tc>
          <w:tcPr>
            <w:cnfStyle w:val="001000000000" w:firstRow="0" w:lastRow="0" w:firstColumn="1" w:lastColumn="0" w:oddVBand="0" w:evenVBand="0" w:oddHBand="0" w:evenHBand="0" w:firstRowFirstColumn="0" w:firstRowLastColumn="0" w:lastRowFirstColumn="0" w:lastRowLastColumn="0"/>
            <w:tcW w:w="2884" w:type="dxa"/>
            <w:gridSpan w:val="2"/>
          </w:tcPr>
          <w:p w14:paraId="32BD5938" w14:textId="77777777" w:rsidR="008D6F13" w:rsidRDefault="008D6F13" w:rsidP="0031078F">
            <w:r>
              <w:rPr>
                <w:sz w:val="16"/>
              </w:rPr>
              <w:t>Net result for the year</w:t>
            </w:r>
          </w:p>
        </w:tc>
        <w:tc>
          <w:tcPr>
            <w:tcW w:w="770" w:type="dxa"/>
          </w:tcPr>
          <w:p w14:paraId="25148FE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(13 129)</w:t>
            </w:r>
          </w:p>
        </w:tc>
        <w:tc>
          <w:tcPr>
            <w:tcW w:w="1078" w:type="dxa"/>
          </w:tcPr>
          <w:p w14:paraId="20E0C97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1511" w:type="dxa"/>
          </w:tcPr>
          <w:p w14:paraId="6A9C9C9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14" w:type="dxa"/>
          </w:tcPr>
          <w:p w14:paraId="15300A9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53" w:type="dxa"/>
          </w:tcPr>
          <w:p w14:paraId="6F135CD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(13 129)</w:t>
            </w:r>
          </w:p>
        </w:tc>
      </w:tr>
      <w:tr w:rsidR="008D6F13" w14:paraId="613E33D2" w14:textId="77777777" w:rsidTr="0031078F">
        <w:tc>
          <w:tcPr>
            <w:cnfStyle w:val="001000000000" w:firstRow="0" w:lastRow="0" w:firstColumn="1" w:lastColumn="0" w:oddVBand="0" w:evenVBand="0" w:oddHBand="0" w:evenHBand="0" w:firstRowFirstColumn="0" w:firstRowLastColumn="0" w:lastRowFirstColumn="0" w:lastRowLastColumn="0"/>
            <w:tcW w:w="2884" w:type="dxa"/>
            <w:gridSpan w:val="2"/>
          </w:tcPr>
          <w:p w14:paraId="46459130" w14:textId="77777777" w:rsidR="008D6F13" w:rsidRDefault="008D6F13" w:rsidP="0031078F">
            <w:r>
              <w:rPr>
                <w:sz w:val="16"/>
              </w:rPr>
              <w:t>Other comprehensive income for the year</w:t>
            </w:r>
          </w:p>
        </w:tc>
        <w:tc>
          <w:tcPr>
            <w:tcW w:w="770" w:type="dxa"/>
          </w:tcPr>
          <w:p w14:paraId="75DFC86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1 190</w:t>
            </w:r>
          </w:p>
        </w:tc>
        <w:tc>
          <w:tcPr>
            <w:tcW w:w="1078" w:type="dxa"/>
          </w:tcPr>
          <w:p w14:paraId="251751A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573</w:t>
            </w:r>
          </w:p>
        </w:tc>
        <w:tc>
          <w:tcPr>
            <w:tcW w:w="1511" w:type="dxa"/>
          </w:tcPr>
          <w:p w14:paraId="0AA4963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216</w:t>
            </w:r>
          </w:p>
        </w:tc>
        <w:tc>
          <w:tcPr>
            <w:tcW w:w="714" w:type="dxa"/>
          </w:tcPr>
          <w:p w14:paraId="6722887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55</w:t>
            </w:r>
          </w:p>
        </w:tc>
        <w:tc>
          <w:tcPr>
            <w:tcW w:w="753" w:type="dxa"/>
          </w:tcPr>
          <w:p w14:paraId="32D99BE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2 034</w:t>
            </w:r>
          </w:p>
        </w:tc>
      </w:tr>
      <w:tr w:rsidR="008D6F13" w14:paraId="07E58EE6" w14:textId="77777777" w:rsidTr="0031078F">
        <w:tc>
          <w:tcPr>
            <w:cnfStyle w:val="001000000000" w:firstRow="0" w:lastRow="0" w:firstColumn="1" w:lastColumn="0" w:oddVBand="0" w:evenVBand="0" w:oddHBand="0" w:evenHBand="0" w:firstRowFirstColumn="0" w:firstRowLastColumn="0" w:lastRowFirstColumn="0" w:lastRowLastColumn="0"/>
            <w:tcW w:w="2884" w:type="dxa"/>
            <w:gridSpan w:val="2"/>
            <w:tcBorders>
              <w:top w:val="single" w:sz="6" w:space="0" w:color="auto"/>
              <w:bottom w:val="single" w:sz="6" w:space="0" w:color="auto"/>
            </w:tcBorders>
          </w:tcPr>
          <w:p w14:paraId="2A56EFC2" w14:textId="77777777" w:rsidR="008D6F13" w:rsidRDefault="008D6F13" w:rsidP="0031078F">
            <w:r>
              <w:rPr>
                <w:b/>
                <w:sz w:val="16"/>
              </w:rPr>
              <w:t xml:space="preserve">Total equity as </w:t>
            </w:r>
            <w:proofErr w:type="gramStart"/>
            <w:r>
              <w:rPr>
                <w:b/>
                <w:sz w:val="16"/>
              </w:rPr>
              <w:t>at</w:t>
            </w:r>
            <w:proofErr w:type="gramEnd"/>
            <w:r>
              <w:rPr>
                <w:b/>
                <w:sz w:val="16"/>
              </w:rPr>
              <w:t xml:space="preserve"> 30 June 2022</w:t>
            </w:r>
          </w:p>
        </w:tc>
        <w:tc>
          <w:tcPr>
            <w:tcW w:w="770" w:type="dxa"/>
            <w:tcBorders>
              <w:top w:val="single" w:sz="6" w:space="0" w:color="auto"/>
              <w:bottom w:val="single" w:sz="6" w:space="0" w:color="auto"/>
            </w:tcBorders>
          </w:tcPr>
          <w:p w14:paraId="6438B19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73 053</w:t>
            </w:r>
          </w:p>
        </w:tc>
        <w:tc>
          <w:tcPr>
            <w:tcW w:w="1078" w:type="dxa"/>
            <w:tcBorders>
              <w:top w:val="single" w:sz="6" w:space="0" w:color="auto"/>
              <w:bottom w:val="single" w:sz="6" w:space="0" w:color="auto"/>
            </w:tcBorders>
          </w:tcPr>
          <w:p w14:paraId="6E024FC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110 355</w:t>
            </w:r>
          </w:p>
        </w:tc>
        <w:tc>
          <w:tcPr>
            <w:tcW w:w="1511" w:type="dxa"/>
            <w:tcBorders>
              <w:top w:val="single" w:sz="6" w:space="0" w:color="auto"/>
              <w:bottom w:val="single" w:sz="6" w:space="0" w:color="auto"/>
            </w:tcBorders>
          </w:tcPr>
          <w:p w14:paraId="69BADE7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744</w:t>
            </w:r>
          </w:p>
        </w:tc>
        <w:tc>
          <w:tcPr>
            <w:tcW w:w="714" w:type="dxa"/>
            <w:tcBorders>
              <w:top w:val="single" w:sz="6" w:space="0" w:color="auto"/>
              <w:bottom w:val="single" w:sz="6" w:space="0" w:color="auto"/>
            </w:tcBorders>
          </w:tcPr>
          <w:p w14:paraId="40F5EB3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1 818</w:t>
            </w:r>
          </w:p>
        </w:tc>
        <w:tc>
          <w:tcPr>
            <w:tcW w:w="753" w:type="dxa"/>
            <w:tcBorders>
              <w:top w:val="single" w:sz="6" w:space="0" w:color="auto"/>
              <w:bottom w:val="single" w:sz="6" w:space="0" w:color="auto"/>
            </w:tcBorders>
          </w:tcPr>
          <w:p w14:paraId="354DE20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185 970</w:t>
            </w:r>
          </w:p>
        </w:tc>
      </w:tr>
      <w:tr w:rsidR="008D6F13" w14:paraId="3C4E3730" w14:textId="77777777" w:rsidTr="0031078F">
        <w:tc>
          <w:tcPr>
            <w:cnfStyle w:val="001000000000" w:firstRow="0" w:lastRow="0" w:firstColumn="1" w:lastColumn="0" w:oddVBand="0" w:evenVBand="0" w:oddHBand="0" w:evenHBand="0" w:firstRowFirstColumn="0" w:firstRowLastColumn="0" w:lastRowFirstColumn="0" w:lastRowLastColumn="0"/>
            <w:tcW w:w="2884" w:type="dxa"/>
            <w:gridSpan w:val="2"/>
            <w:tcBorders>
              <w:top w:val="single" w:sz="6" w:space="0" w:color="auto"/>
            </w:tcBorders>
          </w:tcPr>
          <w:p w14:paraId="0CA7CB4D" w14:textId="77777777" w:rsidR="008D6F13" w:rsidRDefault="008D6F13" w:rsidP="0031078F">
            <w:r>
              <w:rPr>
                <w:b/>
                <w:sz w:val="16"/>
              </w:rPr>
              <w:t>2021</w:t>
            </w:r>
            <w:r>
              <w:rPr>
                <w:b/>
                <w:sz w:val="16"/>
              </w:rPr>
              <w:noBreakHyphen/>
              <w:t>22 revised</w:t>
            </w:r>
          </w:p>
        </w:tc>
        <w:tc>
          <w:tcPr>
            <w:tcW w:w="770" w:type="dxa"/>
            <w:tcBorders>
              <w:top w:val="single" w:sz="6" w:space="0" w:color="auto"/>
            </w:tcBorders>
          </w:tcPr>
          <w:p w14:paraId="1C2EEFD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078" w:type="dxa"/>
            <w:tcBorders>
              <w:top w:val="single" w:sz="6" w:space="0" w:color="auto"/>
            </w:tcBorders>
          </w:tcPr>
          <w:p w14:paraId="4FB4AF2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511" w:type="dxa"/>
            <w:tcBorders>
              <w:top w:val="single" w:sz="6" w:space="0" w:color="auto"/>
            </w:tcBorders>
          </w:tcPr>
          <w:p w14:paraId="61B12C8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14" w:type="dxa"/>
            <w:tcBorders>
              <w:top w:val="single" w:sz="6" w:space="0" w:color="auto"/>
            </w:tcBorders>
          </w:tcPr>
          <w:p w14:paraId="65065FC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53" w:type="dxa"/>
            <w:tcBorders>
              <w:top w:val="single" w:sz="6" w:space="0" w:color="auto"/>
            </w:tcBorders>
          </w:tcPr>
          <w:p w14:paraId="4095579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52220FBF" w14:textId="77777777" w:rsidTr="0031078F">
        <w:tc>
          <w:tcPr>
            <w:cnfStyle w:val="001000000000" w:firstRow="0" w:lastRow="0" w:firstColumn="1" w:lastColumn="0" w:oddVBand="0" w:evenVBand="0" w:oddHBand="0" w:evenHBand="0" w:firstRowFirstColumn="0" w:firstRowLastColumn="0" w:lastRowFirstColumn="0" w:lastRowLastColumn="0"/>
            <w:tcW w:w="2884" w:type="dxa"/>
            <w:gridSpan w:val="2"/>
          </w:tcPr>
          <w:p w14:paraId="1FA80588" w14:textId="77777777" w:rsidR="008D6F13" w:rsidRDefault="008D6F13" w:rsidP="0031078F">
            <w:r>
              <w:rPr>
                <w:sz w:val="16"/>
              </w:rPr>
              <w:t xml:space="preserve">Balance </w:t>
            </w:r>
            <w:proofErr w:type="gramStart"/>
            <w:r>
              <w:rPr>
                <w:sz w:val="16"/>
              </w:rPr>
              <w:t>at</w:t>
            </w:r>
            <w:proofErr w:type="gramEnd"/>
            <w:r>
              <w:rPr>
                <w:sz w:val="16"/>
              </w:rPr>
              <w:t xml:space="preserve"> 1 July 2021</w:t>
            </w:r>
          </w:p>
        </w:tc>
        <w:tc>
          <w:tcPr>
            <w:tcW w:w="770" w:type="dxa"/>
          </w:tcPr>
          <w:p w14:paraId="0BE8E4C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84 992</w:t>
            </w:r>
          </w:p>
        </w:tc>
        <w:tc>
          <w:tcPr>
            <w:tcW w:w="1078" w:type="dxa"/>
          </w:tcPr>
          <w:p w14:paraId="009CC2B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109 782</w:t>
            </w:r>
          </w:p>
        </w:tc>
        <w:tc>
          <w:tcPr>
            <w:tcW w:w="1511" w:type="dxa"/>
          </w:tcPr>
          <w:p w14:paraId="18E6B0F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528</w:t>
            </w:r>
          </w:p>
        </w:tc>
        <w:tc>
          <w:tcPr>
            <w:tcW w:w="714" w:type="dxa"/>
          </w:tcPr>
          <w:p w14:paraId="651F95F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1 763</w:t>
            </w:r>
          </w:p>
        </w:tc>
        <w:tc>
          <w:tcPr>
            <w:tcW w:w="753" w:type="dxa"/>
          </w:tcPr>
          <w:p w14:paraId="07C9572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197 065</w:t>
            </w:r>
          </w:p>
        </w:tc>
      </w:tr>
      <w:tr w:rsidR="008D6F13" w14:paraId="41993C1B" w14:textId="77777777" w:rsidTr="0031078F">
        <w:tc>
          <w:tcPr>
            <w:cnfStyle w:val="001000000000" w:firstRow="0" w:lastRow="0" w:firstColumn="1" w:lastColumn="0" w:oddVBand="0" w:evenVBand="0" w:oddHBand="0" w:evenHBand="0" w:firstRowFirstColumn="0" w:firstRowLastColumn="0" w:lastRowFirstColumn="0" w:lastRowLastColumn="0"/>
            <w:tcW w:w="2884" w:type="dxa"/>
            <w:gridSpan w:val="2"/>
          </w:tcPr>
          <w:p w14:paraId="7FC2E747" w14:textId="77777777" w:rsidR="008D6F13" w:rsidRDefault="008D6F13" w:rsidP="0031078F">
            <w:r>
              <w:rPr>
                <w:sz w:val="16"/>
              </w:rPr>
              <w:t>Net result for the year</w:t>
            </w:r>
          </w:p>
        </w:tc>
        <w:tc>
          <w:tcPr>
            <w:tcW w:w="770" w:type="dxa"/>
          </w:tcPr>
          <w:p w14:paraId="732F874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(21 976)</w:t>
            </w:r>
          </w:p>
        </w:tc>
        <w:tc>
          <w:tcPr>
            <w:tcW w:w="1078" w:type="dxa"/>
          </w:tcPr>
          <w:p w14:paraId="01658BA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1511" w:type="dxa"/>
          </w:tcPr>
          <w:p w14:paraId="2FAA7B6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14" w:type="dxa"/>
          </w:tcPr>
          <w:p w14:paraId="3A4DD99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53" w:type="dxa"/>
          </w:tcPr>
          <w:p w14:paraId="57A0744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(21 976)</w:t>
            </w:r>
          </w:p>
        </w:tc>
      </w:tr>
      <w:tr w:rsidR="008D6F13" w14:paraId="1D7E4F5B" w14:textId="77777777" w:rsidTr="0031078F">
        <w:tc>
          <w:tcPr>
            <w:cnfStyle w:val="001000000000" w:firstRow="0" w:lastRow="0" w:firstColumn="1" w:lastColumn="0" w:oddVBand="0" w:evenVBand="0" w:oddHBand="0" w:evenHBand="0" w:firstRowFirstColumn="0" w:firstRowLastColumn="0" w:lastRowFirstColumn="0" w:lastRowLastColumn="0"/>
            <w:tcW w:w="2884" w:type="dxa"/>
            <w:gridSpan w:val="2"/>
          </w:tcPr>
          <w:p w14:paraId="2EA3A4C3" w14:textId="77777777" w:rsidR="008D6F13" w:rsidRDefault="008D6F13" w:rsidP="0031078F">
            <w:r>
              <w:rPr>
                <w:sz w:val="16"/>
              </w:rPr>
              <w:t>Other comprehensive income for the year</w:t>
            </w:r>
          </w:p>
        </w:tc>
        <w:tc>
          <w:tcPr>
            <w:tcW w:w="770" w:type="dxa"/>
          </w:tcPr>
          <w:p w14:paraId="56F4953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1 630</w:t>
            </w:r>
          </w:p>
        </w:tc>
        <w:tc>
          <w:tcPr>
            <w:tcW w:w="1078" w:type="dxa"/>
          </w:tcPr>
          <w:p w14:paraId="000D710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539</w:t>
            </w:r>
          </w:p>
        </w:tc>
        <w:tc>
          <w:tcPr>
            <w:tcW w:w="1511" w:type="dxa"/>
          </w:tcPr>
          <w:p w14:paraId="1EB580F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97</w:t>
            </w:r>
          </w:p>
        </w:tc>
        <w:tc>
          <w:tcPr>
            <w:tcW w:w="714" w:type="dxa"/>
          </w:tcPr>
          <w:p w14:paraId="34216DC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24</w:t>
            </w:r>
          </w:p>
        </w:tc>
        <w:tc>
          <w:tcPr>
            <w:tcW w:w="753" w:type="dxa"/>
          </w:tcPr>
          <w:p w14:paraId="017C6D6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2 289</w:t>
            </w:r>
          </w:p>
        </w:tc>
      </w:tr>
      <w:tr w:rsidR="008D6F13" w14:paraId="61E890E5" w14:textId="77777777" w:rsidTr="0031078F">
        <w:tc>
          <w:tcPr>
            <w:cnfStyle w:val="001000000000" w:firstRow="0" w:lastRow="0" w:firstColumn="1" w:lastColumn="0" w:oddVBand="0" w:evenVBand="0" w:oddHBand="0" w:evenHBand="0" w:firstRowFirstColumn="0" w:firstRowLastColumn="0" w:lastRowFirstColumn="0" w:lastRowLastColumn="0"/>
            <w:tcW w:w="2884" w:type="dxa"/>
            <w:gridSpan w:val="2"/>
            <w:tcBorders>
              <w:top w:val="single" w:sz="6" w:space="0" w:color="auto"/>
              <w:bottom w:val="single" w:sz="6" w:space="0" w:color="auto"/>
            </w:tcBorders>
          </w:tcPr>
          <w:p w14:paraId="11B7135B" w14:textId="77777777" w:rsidR="008D6F13" w:rsidRDefault="008D6F13" w:rsidP="0031078F">
            <w:r>
              <w:rPr>
                <w:b/>
                <w:sz w:val="16"/>
              </w:rPr>
              <w:t xml:space="preserve">Total equity as </w:t>
            </w:r>
            <w:proofErr w:type="gramStart"/>
            <w:r>
              <w:rPr>
                <w:b/>
                <w:sz w:val="16"/>
              </w:rPr>
              <w:t>at</w:t>
            </w:r>
            <w:proofErr w:type="gramEnd"/>
            <w:r>
              <w:rPr>
                <w:b/>
                <w:sz w:val="16"/>
              </w:rPr>
              <w:t xml:space="preserve"> 30 June 2022</w:t>
            </w:r>
          </w:p>
        </w:tc>
        <w:tc>
          <w:tcPr>
            <w:tcW w:w="770" w:type="dxa"/>
            <w:tcBorders>
              <w:top w:val="single" w:sz="6" w:space="0" w:color="auto"/>
              <w:bottom w:val="single" w:sz="6" w:space="0" w:color="auto"/>
            </w:tcBorders>
          </w:tcPr>
          <w:p w14:paraId="376E390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64 645</w:t>
            </w:r>
          </w:p>
        </w:tc>
        <w:tc>
          <w:tcPr>
            <w:tcW w:w="1078" w:type="dxa"/>
            <w:tcBorders>
              <w:top w:val="single" w:sz="6" w:space="0" w:color="auto"/>
              <w:bottom w:val="single" w:sz="6" w:space="0" w:color="auto"/>
            </w:tcBorders>
          </w:tcPr>
          <w:p w14:paraId="1A8D9A4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110 322</w:t>
            </w:r>
          </w:p>
        </w:tc>
        <w:tc>
          <w:tcPr>
            <w:tcW w:w="1511" w:type="dxa"/>
            <w:tcBorders>
              <w:top w:val="single" w:sz="6" w:space="0" w:color="auto"/>
              <w:bottom w:val="single" w:sz="6" w:space="0" w:color="auto"/>
            </w:tcBorders>
          </w:tcPr>
          <w:p w14:paraId="4563FC0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625</w:t>
            </w:r>
          </w:p>
        </w:tc>
        <w:tc>
          <w:tcPr>
            <w:tcW w:w="714" w:type="dxa"/>
            <w:tcBorders>
              <w:top w:val="single" w:sz="6" w:space="0" w:color="auto"/>
              <w:bottom w:val="single" w:sz="6" w:space="0" w:color="auto"/>
            </w:tcBorders>
          </w:tcPr>
          <w:p w14:paraId="27C8131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1 787</w:t>
            </w:r>
          </w:p>
        </w:tc>
        <w:tc>
          <w:tcPr>
            <w:tcW w:w="753" w:type="dxa"/>
            <w:tcBorders>
              <w:top w:val="single" w:sz="6" w:space="0" w:color="auto"/>
              <w:bottom w:val="single" w:sz="6" w:space="0" w:color="auto"/>
            </w:tcBorders>
          </w:tcPr>
          <w:p w14:paraId="41908FC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177 378</w:t>
            </w:r>
          </w:p>
        </w:tc>
      </w:tr>
      <w:tr w:rsidR="008D6F13" w14:paraId="7F170235" w14:textId="77777777" w:rsidTr="0031078F">
        <w:tc>
          <w:tcPr>
            <w:cnfStyle w:val="001000000000" w:firstRow="0" w:lastRow="0" w:firstColumn="1" w:lastColumn="0" w:oddVBand="0" w:evenVBand="0" w:oddHBand="0" w:evenHBand="0" w:firstRowFirstColumn="0" w:firstRowLastColumn="0" w:lastRowFirstColumn="0" w:lastRowLastColumn="0"/>
            <w:tcW w:w="2884" w:type="dxa"/>
            <w:gridSpan w:val="2"/>
            <w:tcBorders>
              <w:top w:val="single" w:sz="6" w:space="0" w:color="auto"/>
            </w:tcBorders>
          </w:tcPr>
          <w:p w14:paraId="320B8599" w14:textId="77777777" w:rsidR="008D6F13" w:rsidRDefault="008D6F13" w:rsidP="0031078F">
            <w:r>
              <w:rPr>
                <w:b/>
                <w:sz w:val="16"/>
              </w:rPr>
              <w:t>2022</w:t>
            </w:r>
            <w:r>
              <w:rPr>
                <w:b/>
                <w:sz w:val="16"/>
              </w:rPr>
              <w:noBreakHyphen/>
              <w:t>23 estimate</w:t>
            </w:r>
          </w:p>
        </w:tc>
        <w:tc>
          <w:tcPr>
            <w:tcW w:w="770" w:type="dxa"/>
            <w:tcBorders>
              <w:top w:val="single" w:sz="6" w:space="0" w:color="auto"/>
            </w:tcBorders>
          </w:tcPr>
          <w:p w14:paraId="7F11015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078" w:type="dxa"/>
            <w:tcBorders>
              <w:top w:val="single" w:sz="6" w:space="0" w:color="auto"/>
            </w:tcBorders>
          </w:tcPr>
          <w:p w14:paraId="4A6D60B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511" w:type="dxa"/>
            <w:tcBorders>
              <w:top w:val="single" w:sz="6" w:space="0" w:color="auto"/>
            </w:tcBorders>
          </w:tcPr>
          <w:p w14:paraId="61250F7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14" w:type="dxa"/>
            <w:tcBorders>
              <w:top w:val="single" w:sz="6" w:space="0" w:color="auto"/>
            </w:tcBorders>
          </w:tcPr>
          <w:p w14:paraId="65D056F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53" w:type="dxa"/>
            <w:tcBorders>
              <w:top w:val="single" w:sz="6" w:space="0" w:color="auto"/>
            </w:tcBorders>
          </w:tcPr>
          <w:p w14:paraId="04A6690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22658062" w14:textId="77777777" w:rsidTr="0031078F">
        <w:tc>
          <w:tcPr>
            <w:cnfStyle w:val="001000000000" w:firstRow="0" w:lastRow="0" w:firstColumn="1" w:lastColumn="0" w:oddVBand="0" w:evenVBand="0" w:oddHBand="0" w:evenHBand="0" w:firstRowFirstColumn="0" w:firstRowLastColumn="0" w:lastRowFirstColumn="0" w:lastRowLastColumn="0"/>
            <w:tcW w:w="2884" w:type="dxa"/>
            <w:gridSpan w:val="2"/>
          </w:tcPr>
          <w:p w14:paraId="30BCA9F5" w14:textId="77777777" w:rsidR="008D6F13" w:rsidRDefault="008D6F13" w:rsidP="0031078F">
            <w:r>
              <w:rPr>
                <w:sz w:val="16"/>
              </w:rPr>
              <w:t xml:space="preserve">Balance </w:t>
            </w:r>
            <w:proofErr w:type="gramStart"/>
            <w:r>
              <w:rPr>
                <w:sz w:val="16"/>
              </w:rPr>
              <w:t>at</w:t>
            </w:r>
            <w:proofErr w:type="gramEnd"/>
            <w:r>
              <w:rPr>
                <w:sz w:val="16"/>
              </w:rPr>
              <w:t xml:space="preserve"> 1 July 2022</w:t>
            </w:r>
          </w:p>
        </w:tc>
        <w:tc>
          <w:tcPr>
            <w:tcW w:w="770" w:type="dxa"/>
          </w:tcPr>
          <w:p w14:paraId="50D0FBD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64 645</w:t>
            </w:r>
          </w:p>
        </w:tc>
        <w:tc>
          <w:tcPr>
            <w:tcW w:w="1078" w:type="dxa"/>
          </w:tcPr>
          <w:p w14:paraId="7C5A26C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110 322</w:t>
            </w:r>
          </w:p>
        </w:tc>
        <w:tc>
          <w:tcPr>
            <w:tcW w:w="1511" w:type="dxa"/>
          </w:tcPr>
          <w:p w14:paraId="298F22B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625</w:t>
            </w:r>
          </w:p>
        </w:tc>
        <w:tc>
          <w:tcPr>
            <w:tcW w:w="714" w:type="dxa"/>
          </w:tcPr>
          <w:p w14:paraId="7333D91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1 787</w:t>
            </w:r>
          </w:p>
        </w:tc>
        <w:tc>
          <w:tcPr>
            <w:tcW w:w="753" w:type="dxa"/>
          </w:tcPr>
          <w:p w14:paraId="271D196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177 378</w:t>
            </w:r>
          </w:p>
        </w:tc>
      </w:tr>
      <w:tr w:rsidR="008D6F13" w14:paraId="255F7CD2" w14:textId="77777777" w:rsidTr="0031078F">
        <w:tc>
          <w:tcPr>
            <w:cnfStyle w:val="001000000000" w:firstRow="0" w:lastRow="0" w:firstColumn="1" w:lastColumn="0" w:oddVBand="0" w:evenVBand="0" w:oddHBand="0" w:evenHBand="0" w:firstRowFirstColumn="0" w:firstRowLastColumn="0" w:lastRowFirstColumn="0" w:lastRowLastColumn="0"/>
            <w:tcW w:w="2884" w:type="dxa"/>
            <w:gridSpan w:val="2"/>
          </w:tcPr>
          <w:p w14:paraId="2AFAE6E6" w14:textId="77777777" w:rsidR="008D6F13" w:rsidRDefault="008D6F13" w:rsidP="0031078F">
            <w:r>
              <w:rPr>
                <w:sz w:val="16"/>
              </w:rPr>
              <w:t>Net result for the year</w:t>
            </w:r>
          </w:p>
        </w:tc>
        <w:tc>
          <w:tcPr>
            <w:tcW w:w="770" w:type="dxa"/>
          </w:tcPr>
          <w:p w14:paraId="7678E15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(7 132)</w:t>
            </w:r>
          </w:p>
        </w:tc>
        <w:tc>
          <w:tcPr>
            <w:tcW w:w="1078" w:type="dxa"/>
          </w:tcPr>
          <w:p w14:paraId="1669B40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1511" w:type="dxa"/>
          </w:tcPr>
          <w:p w14:paraId="702B455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14" w:type="dxa"/>
          </w:tcPr>
          <w:p w14:paraId="470FA5D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53" w:type="dxa"/>
          </w:tcPr>
          <w:p w14:paraId="3E5A32E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(7 132)</w:t>
            </w:r>
          </w:p>
        </w:tc>
      </w:tr>
      <w:tr w:rsidR="008D6F13" w14:paraId="53834D3B" w14:textId="77777777" w:rsidTr="0031078F">
        <w:tc>
          <w:tcPr>
            <w:cnfStyle w:val="001000000000" w:firstRow="0" w:lastRow="0" w:firstColumn="1" w:lastColumn="0" w:oddVBand="0" w:evenVBand="0" w:oddHBand="0" w:evenHBand="0" w:firstRowFirstColumn="0" w:firstRowLastColumn="0" w:lastRowFirstColumn="0" w:lastRowLastColumn="0"/>
            <w:tcW w:w="2884" w:type="dxa"/>
            <w:gridSpan w:val="2"/>
          </w:tcPr>
          <w:p w14:paraId="5B4440E8" w14:textId="77777777" w:rsidR="008D6F13" w:rsidRDefault="008D6F13" w:rsidP="0031078F">
            <w:r>
              <w:rPr>
                <w:sz w:val="16"/>
              </w:rPr>
              <w:t>Other comprehensive income for the year</w:t>
            </w:r>
          </w:p>
        </w:tc>
        <w:tc>
          <w:tcPr>
            <w:tcW w:w="770" w:type="dxa"/>
          </w:tcPr>
          <w:p w14:paraId="647ADC1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1 370</w:t>
            </w:r>
          </w:p>
        </w:tc>
        <w:tc>
          <w:tcPr>
            <w:tcW w:w="1078" w:type="dxa"/>
          </w:tcPr>
          <w:p w14:paraId="585A806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7 039</w:t>
            </w:r>
          </w:p>
        </w:tc>
        <w:tc>
          <w:tcPr>
            <w:tcW w:w="1511" w:type="dxa"/>
          </w:tcPr>
          <w:p w14:paraId="22FDAB2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15</w:t>
            </w:r>
          </w:p>
        </w:tc>
        <w:tc>
          <w:tcPr>
            <w:tcW w:w="714" w:type="dxa"/>
          </w:tcPr>
          <w:p w14:paraId="789C54B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24</w:t>
            </w:r>
          </w:p>
        </w:tc>
        <w:tc>
          <w:tcPr>
            <w:tcW w:w="753" w:type="dxa"/>
          </w:tcPr>
          <w:p w14:paraId="206B680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8 448</w:t>
            </w:r>
          </w:p>
        </w:tc>
      </w:tr>
      <w:tr w:rsidR="008D6F13" w14:paraId="0AEC75AB" w14:textId="77777777" w:rsidTr="0031078F">
        <w:tc>
          <w:tcPr>
            <w:cnfStyle w:val="001000000000" w:firstRow="0" w:lastRow="0" w:firstColumn="1" w:lastColumn="0" w:oddVBand="0" w:evenVBand="0" w:oddHBand="0" w:evenHBand="0" w:firstRowFirstColumn="0" w:firstRowLastColumn="0" w:lastRowFirstColumn="0" w:lastRowLastColumn="0"/>
            <w:tcW w:w="2884" w:type="dxa"/>
            <w:gridSpan w:val="2"/>
            <w:tcBorders>
              <w:top w:val="single" w:sz="6" w:space="0" w:color="auto"/>
              <w:bottom w:val="single" w:sz="6" w:space="0" w:color="auto"/>
            </w:tcBorders>
          </w:tcPr>
          <w:p w14:paraId="6F36A51A" w14:textId="77777777" w:rsidR="008D6F13" w:rsidRDefault="008D6F13" w:rsidP="0031078F">
            <w:r>
              <w:rPr>
                <w:b/>
                <w:sz w:val="16"/>
              </w:rPr>
              <w:t xml:space="preserve">Total equity as </w:t>
            </w:r>
            <w:proofErr w:type="gramStart"/>
            <w:r>
              <w:rPr>
                <w:b/>
                <w:sz w:val="16"/>
              </w:rPr>
              <w:t>at</w:t>
            </w:r>
            <w:proofErr w:type="gramEnd"/>
            <w:r>
              <w:rPr>
                <w:b/>
                <w:sz w:val="16"/>
              </w:rPr>
              <w:t xml:space="preserve"> 30 June 2023</w:t>
            </w:r>
          </w:p>
        </w:tc>
        <w:tc>
          <w:tcPr>
            <w:tcW w:w="770" w:type="dxa"/>
            <w:tcBorders>
              <w:top w:val="single" w:sz="6" w:space="0" w:color="auto"/>
              <w:bottom w:val="single" w:sz="6" w:space="0" w:color="auto"/>
            </w:tcBorders>
          </w:tcPr>
          <w:p w14:paraId="1E68BA0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58 884</w:t>
            </w:r>
          </w:p>
        </w:tc>
        <w:tc>
          <w:tcPr>
            <w:tcW w:w="1078" w:type="dxa"/>
            <w:tcBorders>
              <w:top w:val="single" w:sz="6" w:space="0" w:color="auto"/>
              <w:bottom w:val="single" w:sz="6" w:space="0" w:color="auto"/>
            </w:tcBorders>
          </w:tcPr>
          <w:p w14:paraId="32B5617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117 360</w:t>
            </w:r>
          </w:p>
        </w:tc>
        <w:tc>
          <w:tcPr>
            <w:tcW w:w="1511" w:type="dxa"/>
            <w:tcBorders>
              <w:top w:val="single" w:sz="6" w:space="0" w:color="auto"/>
              <w:bottom w:val="single" w:sz="6" w:space="0" w:color="auto"/>
            </w:tcBorders>
          </w:tcPr>
          <w:p w14:paraId="736880D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639</w:t>
            </w:r>
          </w:p>
        </w:tc>
        <w:tc>
          <w:tcPr>
            <w:tcW w:w="714" w:type="dxa"/>
            <w:tcBorders>
              <w:top w:val="single" w:sz="6" w:space="0" w:color="auto"/>
              <w:bottom w:val="single" w:sz="6" w:space="0" w:color="auto"/>
            </w:tcBorders>
          </w:tcPr>
          <w:p w14:paraId="0B23D94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1 811</w:t>
            </w:r>
          </w:p>
        </w:tc>
        <w:tc>
          <w:tcPr>
            <w:tcW w:w="753" w:type="dxa"/>
            <w:tcBorders>
              <w:top w:val="single" w:sz="6" w:space="0" w:color="auto"/>
              <w:bottom w:val="single" w:sz="6" w:space="0" w:color="auto"/>
            </w:tcBorders>
          </w:tcPr>
          <w:p w14:paraId="7953478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178 694</w:t>
            </w:r>
          </w:p>
        </w:tc>
      </w:tr>
      <w:tr w:rsidR="008D6F13" w14:paraId="41F1128A" w14:textId="77777777" w:rsidTr="0031078F">
        <w:tc>
          <w:tcPr>
            <w:cnfStyle w:val="001000000000" w:firstRow="0" w:lastRow="0" w:firstColumn="1" w:lastColumn="0" w:oddVBand="0" w:evenVBand="0" w:oddHBand="0" w:evenHBand="0" w:firstRowFirstColumn="0" w:firstRowLastColumn="0" w:lastRowFirstColumn="0" w:lastRowLastColumn="0"/>
            <w:tcW w:w="2884" w:type="dxa"/>
            <w:gridSpan w:val="2"/>
            <w:tcBorders>
              <w:top w:val="single" w:sz="6" w:space="0" w:color="auto"/>
            </w:tcBorders>
          </w:tcPr>
          <w:p w14:paraId="2C6AD067" w14:textId="77777777" w:rsidR="008D6F13" w:rsidRDefault="008D6F13" w:rsidP="0031078F">
            <w:r>
              <w:rPr>
                <w:b/>
                <w:sz w:val="16"/>
              </w:rPr>
              <w:t>2023</w:t>
            </w:r>
            <w:r>
              <w:rPr>
                <w:b/>
                <w:sz w:val="16"/>
              </w:rPr>
              <w:noBreakHyphen/>
              <w:t>24 estimate</w:t>
            </w:r>
          </w:p>
        </w:tc>
        <w:tc>
          <w:tcPr>
            <w:tcW w:w="770" w:type="dxa"/>
            <w:tcBorders>
              <w:top w:val="single" w:sz="6" w:space="0" w:color="auto"/>
            </w:tcBorders>
          </w:tcPr>
          <w:p w14:paraId="18C9CA8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078" w:type="dxa"/>
            <w:tcBorders>
              <w:top w:val="single" w:sz="6" w:space="0" w:color="auto"/>
            </w:tcBorders>
          </w:tcPr>
          <w:p w14:paraId="106A442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511" w:type="dxa"/>
            <w:tcBorders>
              <w:top w:val="single" w:sz="6" w:space="0" w:color="auto"/>
            </w:tcBorders>
          </w:tcPr>
          <w:p w14:paraId="57C45F3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14" w:type="dxa"/>
            <w:tcBorders>
              <w:top w:val="single" w:sz="6" w:space="0" w:color="auto"/>
            </w:tcBorders>
          </w:tcPr>
          <w:p w14:paraId="238651F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53" w:type="dxa"/>
            <w:tcBorders>
              <w:top w:val="single" w:sz="6" w:space="0" w:color="auto"/>
            </w:tcBorders>
          </w:tcPr>
          <w:p w14:paraId="73027FE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32467746" w14:textId="77777777" w:rsidTr="0031078F">
        <w:tc>
          <w:tcPr>
            <w:cnfStyle w:val="001000000000" w:firstRow="0" w:lastRow="0" w:firstColumn="1" w:lastColumn="0" w:oddVBand="0" w:evenVBand="0" w:oddHBand="0" w:evenHBand="0" w:firstRowFirstColumn="0" w:firstRowLastColumn="0" w:lastRowFirstColumn="0" w:lastRowLastColumn="0"/>
            <w:tcW w:w="2884" w:type="dxa"/>
            <w:gridSpan w:val="2"/>
          </w:tcPr>
          <w:p w14:paraId="58610156" w14:textId="77777777" w:rsidR="008D6F13" w:rsidRDefault="008D6F13" w:rsidP="0031078F">
            <w:r>
              <w:rPr>
                <w:sz w:val="16"/>
              </w:rPr>
              <w:t xml:space="preserve">Balance </w:t>
            </w:r>
            <w:proofErr w:type="gramStart"/>
            <w:r>
              <w:rPr>
                <w:sz w:val="16"/>
              </w:rPr>
              <w:t>at</w:t>
            </w:r>
            <w:proofErr w:type="gramEnd"/>
            <w:r>
              <w:rPr>
                <w:sz w:val="16"/>
              </w:rPr>
              <w:t xml:space="preserve"> 1 July 2023</w:t>
            </w:r>
          </w:p>
        </w:tc>
        <w:tc>
          <w:tcPr>
            <w:tcW w:w="770" w:type="dxa"/>
          </w:tcPr>
          <w:p w14:paraId="1C7D2BD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58 884</w:t>
            </w:r>
          </w:p>
        </w:tc>
        <w:tc>
          <w:tcPr>
            <w:tcW w:w="1078" w:type="dxa"/>
          </w:tcPr>
          <w:p w14:paraId="0907AAA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117 360</w:t>
            </w:r>
          </w:p>
        </w:tc>
        <w:tc>
          <w:tcPr>
            <w:tcW w:w="1511" w:type="dxa"/>
          </w:tcPr>
          <w:p w14:paraId="062A907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639</w:t>
            </w:r>
          </w:p>
        </w:tc>
        <w:tc>
          <w:tcPr>
            <w:tcW w:w="714" w:type="dxa"/>
          </w:tcPr>
          <w:p w14:paraId="29F4661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1 811</w:t>
            </w:r>
          </w:p>
        </w:tc>
        <w:tc>
          <w:tcPr>
            <w:tcW w:w="753" w:type="dxa"/>
          </w:tcPr>
          <w:p w14:paraId="1FFC6F4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178 694</w:t>
            </w:r>
          </w:p>
        </w:tc>
      </w:tr>
      <w:tr w:rsidR="008D6F13" w14:paraId="60404D6B" w14:textId="77777777" w:rsidTr="0031078F">
        <w:tc>
          <w:tcPr>
            <w:cnfStyle w:val="001000000000" w:firstRow="0" w:lastRow="0" w:firstColumn="1" w:lastColumn="0" w:oddVBand="0" w:evenVBand="0" w:oddHBand="0" w:evenHBand="0" w:firstRowFirstColumn="0" w:firstRowLastColumn="0" w:lastRowFirstColumn="0" w:lastRowLastColumn="0"/>
            <w:tcW w:w="2884" w:type="dxa"/>
            <w:gridSpan w:val="2"/>
          </w:tcPr>
          <w:p w14:paraId="545A88E7" w14:textId="77777777" w:rsidR="008D6F13" w:rsidRDefault="008D6F13" w:rsidP="0031078F">
            <w:r>
              <w:rPr>
                <w:sz w:val="16"/>
              </w:rPr>
              <w:t>Net result for the year</w:t>
            </w:r>
          </w:p>
        </w:tc>
        <w:tc>
          <w:tcPr>
            <w:tcW w:w="770" w:type="dxa"/>
          </w:tcPr>
          <w:p w14:paraId="3042E2E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(6 474)</w:t>
            </w:r>
          </w:p>
        </w:tc>
        <w:tc>
          <w:tcPr>
            <w:tcW w:w="1078" w:type="dxa"/>
          </w:tcPr>
          <w:p w14:paraId="1107A1B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1511" w:type="dxa"/>
          </w:tcPr>
          <w:p w14:paraId="6CD3D59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14" w:type="dxa"/>
          </w:tcPr>
          <w:p w14:paraId="15B652E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53" w:type="dxa"/>
          </w:tcPr>
          <w:p w14:paraId="0E975FB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(6 474)</w:t>
            </w:r>
          </w:p>
        </w:tc>
      </w:tr>
      <w:tr w:rsidR="008D6F13" w14:paraId="263FDE91" w14:textId="77777777" w:rsidTr="0031078F">
        <w:tc>
          <w:tcPr>
            <w:cnfStyle w:val="001000000000" w:firstRow="0" w:lastRow="0" w:firstColumn="1" w:lastColumn="0" w:oddVBand="0" w:evenVBand="0" w:oddHBand="0" w:evenHBand="0" w:firstRowFirstColumn="0" w:firstRowLastColumn="0" w:lastRowFirstColumn="0" w:lastRowLastColumn="0"/>
            <w:tcW w:w="2884" w:type="dxa"/>
            <w:gridSpan w:val="2"/>
          </w:tcPr>
          <w:p w14:paraId="1DE6DC76" w14:textId="77777777" w:rsidR="008D6F13" w:rsidRDefault="008D6F13" w:rsidP="0031078F">
            <w:r>
              <w:rPr>
                <w:sz w:val="16"/>
              </w:rPr>
              <w:t>Other comprehensive income for the year</w:t>
            </w:r>
          </w:p>
        </w:tc>
        <w:tc>
          <w:tcPr>
            <w:tcW w:w="770" w:type="dxa"/>
          </w:tcPr>
          <w:p w14:paraId="3CA4657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1 400</w:t>
            </w:r>
          </w:p>
        </w:tc>
        <w:tc>
          <w:tcPr>
            <w:tcW w:w="1078" w:type="dxa"/>
          </w:tcPr>
          <w:p w14:paraId="09D68FA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6 120</w:t>
            </w:r>
          </w:p>
        </w:tc>
        <w:tc>
          <w:tcPr>
            <w:tcW w:w="1511" w:type="dxa"/>
          </w:tcPr>
          <w:p w14:paraId="0752D83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15</w:t>
            </w:r>
          </w:p>
        </w:tc>
        <w:tc>
          <w:tcPr>
            <w:tcW w:w="714" w:type="dxa"/>
          </w:tcPr>
          <w:p w14:paraId="103C51F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24</w:t>
            </w:r>
          </w:p>
        </w:tc>
        <w:tc>
          <w:tcPr>
            <w:tcW w:w="753" w:type="dxa"/>
          </w:tcPr>
          <w:p w14:paraId="7521A18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7 560</w:t>
            </w:r>
          </w:p>
        </w:tc>
      </w:tr>
      <w:tr w:rsidR="008D6F13" w14:paraId="2BD94833" w14:textId="77777777" w:rsidTr="0031078F">
        <w:tc>
          <w:tcPr>
            <w:cnfStyle w:val="001000000000" w:firstRow="0" w:lastRow="0" w:firstColumn="1" w:lastColumn="0" w:oddVBand="0" w:evenVBand="0" w:oddHBand="0" w:evenHBand="0" w:firstRowFirstColumn="0" w:firstRowLastColumn="0" w:lastRowFirstColumn="0" w:lastRowLastColumn="0"/>
            <w:tcW w:w="2884" w:type="dxa"/>
            <w:gridSpan w:val="2"/>
            <w:tcBorders>
              <w:top w:val="single" w:sz="6" w:space="0" w:color="auto"/>
              <w:bottom w:val="single" w:sz="6" w:space="0" w:color="auto"/>
            </w:tcBorders>
          </w:tcPr>
          <w:p w14:paraId="7B4A1EA3" w14:textId="77777777" w:rsidR="008D6F13" w:rsidRDefault="008D6F13" w:rsidP="0031078F">
            <w:r>
              <w:rPr>
                <w:b/>
                <w:sz w:val="16"/>
              </w:rPr>
              <w:t xml:space="preserve">Total equity as </w:t>
            </w:r>
            <w:proofErr w:type="gramStart"/>
            <w:r>
              <w:rPr>
                <w:b/>
                <w:sz w:val="16"/>
              </w:rPr>
              <w:t>at</w:t>
            </w:r>
            <w:proofErr w:type="gramEnd"/>
            <w:r>
              <w:rPr>
                <w:b/>
                <w:sz w:val="16"/>
              </w:rPr>
              <w:t xml:space="preserve"> 30 June 2024</w:t>
            </w:r>
          </w:p>
        </w:tc>
        <w:tc>
          <w:tcPr>
            <w:tcW w:w="770" w:type="dxa"/>
            <w:tcBorders>
              <w:top w:val="single" w:sz="6" w:space="0" w:color="auto"/>
              <w:bottom w:val="single" w:sz="6" w:space="0" w:color="auto"/>
            </w:tcBorders>
          </w:tcPr>
          <w:p w14:paraId="65865BB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53 810</w:t>
            </w:r>
          </w:p>
        </w:tc>
        <w:tc>
          <w:tcPr>
            <w:tcW w:w="1078" w:type="dxa"/>
            <w:tcBorders>
              <w:top w:val="single" w:sz="6" w:space="0" w:color="auto"/>
              <w:bottom w:val="single" w:sz="6" w:space="0" w:color="auto"/>
            </w:tcBorders>
          </w:tcPr>
          <w:p w14:paraId="6E7A135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123 480</w:t>
            </w:r>
          </w:p>
        </w:tc>
        <w:tc>
          <w:tcPr>
            <w:tcW w:w="1511" w:type="dxa"/>
            <w:tcBorders>
              <w:top w:val="single" w:sz="6" w:space="0" w:color="auto"/>
              <w:bottom w:val="single" w:sz="6" w:space="0" w:color="auto"/>
            </w:tcBorders>
          </w:tcPr>
          <w:p w14:paraId="5C44B47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655</w:t>
            </w:r>
          </w:p>
        </w:tc>
        <w:tc>
          <w:tcPr>
            <w:tcW w:w="714" w:type="dxa"/>
            <w:tcBorders>
              <w:top w:val="single" w:sz="6" w:space="0" w:color="auto"/>
              <w:bottom w:val="single" w:sz="6" w:space="0" w:color="auto"/>
            </w:tcBorders>
          </w:tcPr>
          <w:p w14:paraId="52CD0F2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1 835</w:t>
            </w:r>
          </w:p>
        </w:tc>
        <w:tc>
          <w:tcPr>
            <w:tcW w:w="753" w:type="dxa"/>
            <w:tcBorders>
              <w:top w:val="single" w:sz="6" w:space="0" w:color="auto"/>
              <w:bottom w:val="single" w:sz="6" w:space="0" w:color="auto"/>
            </w:tcBorders>
          </w:tcPr>
          <w:p w14:paraId="1FCA382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179 780</w:t>
            </w:r>
          </w:p>
        </w:tc>
      </w:tr>
      <w:tr w:rsidR="008D6F13" w14:paraId="1CA743C0" w14:textId="77777777" w:rsidTr="0031078F">
        <w:tc>
          <w:tcPr>
            <w:cnfStyle w:val="001000000000" w:firstRow="0" w:lastRow="0" w:firstColumn="1" w:lastColumn="0" w:oddVBand="0" w:evenVBand="0" w:oddHBand="0" w:evenHBand="0" w:firstRowFirstColumn="0" w:firstRowLastColumn="0" w:lastRowFirstColumn="0" w:lastRowLastColumn="0"/>
            <w:tcW w:w="2884" w:type="dxa"/>
            <w:gridSpan w:val="2"/>
            <w:tcBorders>
              <w:top w:val="single" w:sz="6" w:space="0" w:color="auto"/>
            </w:tcBorders>
          </w:tcPr>
          <w:p w14:paraId="49B3950F" w14:textId="77777777" w:rsidR="008D6F13" w:rsidRDefault="008D6F13" w:rsidP="0031078F">
            <w:r>
              <w:rPr>
                <w:b/>
                <w:sz w:val="16"/>
              </w:rPr>
              <w:t>2024</w:t>
            </w:r>
            <w:r>
              <w:rPr>
                <w:b/>
                <w:sz w:val="16"/>
              </w:rPr>
              <w:noBreakHyphen/>
              <w:t>25 estimate</w:t>
            </w:r>
          </w:p>
        </w:tc>
        <w:tc>
          <w:tcPr>
            <w:tcW w:w="770" w:type="dxa"/>
            <w:tcBorders>
              <w:top w:val="single" w:sz="6" w:space="0" w:color="auto"/>
            </w:tcBorders>
          </w:tcPr>
          <w:p w14:paraId="096A33B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078" w:type="dxa"/>
            <w:tcBorders>
              <w:top w:val="single" w:sz="6" w:space="0" w:color="auto"/>
            </w:tcBorders>
          </w:tcPr>
          <w:p w14:paraId="4A4E05E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511" w:type="dxa"/>
            <w:tcBorders>
              <w:top w:val="single" w:sz="6" w:space="0" w:color="auto"/>
            </w:tcBorders>
          </w:tcPr>
          <w:p w14:paraId="2E468C9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14" w:type="dxa"/>
            <w:tcBorders>
              <w:top w:val="single" w:sz="6" w:space="0" w:color="auto"/>
            </w:tcBorders>
          </w:tcPr>
          <w:p w14:paraId="638C9D3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53" w:type="dxa"/>
            <w:tcBorders>
              <w:top w:val="single" w:sz="6" w:space="0" w:color="auto"/>
            </w:tcBorders>
          </w:tcPr>
          <w:p w14:paraId="2477A2A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4D32F4F3" w14:textId="77777777" w:rsidTr="0031078F">
        <w:tc>
          <w:tcPr>
            <w:cnfStyle w:val="001000000000" w:firstRow="0" w:lastRow="0" w:firstColumn="1" w:lastColumn="0" w:oddVBand="0" w:evenVBand="0" w:oddHBand="0" w:evenHBand="0" w:firstRowFirstColumn="0" w:firstRowLastColumn="0" w:lastRowFirstColumn="0" w:lastRowLastColumn="0"/>
            <w:tcW w:w="2884" w:type="dxa"/>
            <w:gridSpan w:val="2"/>
          </w:tcPr>
          <w:p w14:paraId="57DECBE1" w14:textId="77777777" w:rsidR="008D6F13" w:rsidRDefault="008D6F13" w:rsidP="0031078F">
            <w:r>
              <w:rPr>
                <w:sz w:val="16"/>
              </w:rPr>
              <w:t xml:space="preserve">Balance </w:t>
            </w:r>
            <w:proofErr w:type="gramStart"/>
            <w:r>
              <w:rPr>
                <w:sz w:val="16"/>
              </w:rPr>
              <w:t>at</w:t>
            </w:r>
            <w:proofErr w:type="gramEnd"/>
            <w:r>
              <w:rPr>
                <w:sz w:val="16"/>
              </w:rPr>
              <w:t xml:space="preserve"> 1 July 2024</w:t>
            </w:r>
          </w:p>
        </w:tc>
        <w:tc>
          <w:tcPr>
            <w:tcW w:w="770" w:type="dxa"/>
          </w:tcPr>
          <w:p w14:paraId="19405A3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53 810</w:t>
            </w:r>
          </w:p>
        </w:tc>
        <w:tc>
          <w:tcPr>
            <w:tcW w:w="1078" w:type="dxa"/>
          </w:tcPr>
          <w:p w14:paraId="54D2DEC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123 480</w:t>
            </w:r>
          </w:p>
        </w:tc>
        <w:tc>
          <w:tcPr>
            <w:tcW w:w="1511" w:type="dxa"/>
          </w:tcPr>
          <w:p w14:paraId="38B870F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655</w:t>
            </w:r>
          </w:p>
        </w:tc>
        <w:tc>
          <w:tcPr>
            <w:tcW w:w="714" w:type="dxa"/>
          </w:tcPr>
          <w:p w14:paraId="16D2D8A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1 835</w:t>
            </w:r>
          </w:p>
        </w:tc>
        <w:tc>
          <w:tcPr>
            <w:tcW w:w="753" w:type="dxa"/>
          </w:tcPr>
          <w:p w14:paraId="31CE2A2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179 780</w:t>
            </w:r>
          </w:p>
        </w:tc>
      </w:tr>
      <w:tr w:rsidR="008D6F13" w14:paraId="76107953" w14:textId="77777777" w:rsidTr="0031078F">
        <w:tc>
          <w:tcPr>
            <w:cnfStyle w:val="001000000000" w:firstRow="0" w:lastRow="0" w:firstColumn="1" w:lastColumn="0" w:oddVBand="0" w:evenVBand="0" w:oddHBand="0" w:evenHBand="0" w:firstRowFirstColumn="0" w:firstRowLastColumn="0" w:lastRowFirstColumn="0" w:lastRowLastColumn="0"/>
            <w:tcW w:w="2884" w:type="dxa"/>
            <w:gridSpan w:val="2"/>
            <w:tcBorders>
              <w:bottom w:val="nil"/>
            </w:tcBorders>
          </w:tcPr>
          <w:p w14:paraId="36EBFAA0" w14:textId="77777777" w:rsidR="008D6F13" w:rsidRDefault="008D6F13" w:rsidP="0031078F">
            <w:r>
              <w:rPr>
                <w:sz w:val="16"/>
              </w:rPr>
              <w:t>Net result for the year</w:t>
            </w:r>
          </w:p>
        </w:tc>
        <w:tc>
          <w:tcPr>
            <w:tcW w:w="770" w:type="dxa"/>
            <w:tcBorders>
              <w:bottom w:val="nil"/>
            </w:tcBorders>
          </w:tcPr>
          <w:p w14:paraId="15FA98A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(6 165)</w:t>
            </w:r>
          </w:p>
        </w:tc>
        <w:tc>
          <w:tcPr>
            <w:tcW w:w="1078" w:type="dxa"/>
            <w:tcBorders>
              <w:bottom w:val="nil"/>
            </w:tcBorders>
          </w:tcPr>
          <w:p w14:paraId="49BE1D6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1511" w:type="dxa"/>
            <w:tcBorders>
              <w:bottom w:val="nil"/>
            </w:tcBorders>
          </w:tcPr>
          <w:p w14:paraId="1D7B964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14" w:type="dxa"/>
            <w:tcBorders>
              <w:bottom w:val="nil"/>
            </w:tcBorders>
          </w:tcPr>
          <w:p w14:paraId="2940AD5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53" w:type="dxa"/>
            <w:tcBorders>
              <w:bottom w:val="nil"/>
            </w:tcBorders>
          </w:tcPr>
          <w:p w14:paraId="31466EA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(6 165)</w:t>
            </w:r>
          </w:p>
        </w:tc>
      </w:tr>
      <w:tr w:rsidR="008D6F13" w14:paraId="7284D03F" w14:textId="77777777" w:rsidTr="0031078F">
        <w:tc>
          <w:tcPr>
            <w:cnfStyle w:val="001000000000" w:firstRow="0" w:lastRow="0" w:firstColumn="1" w:lastColumn="0" w:oddVBand="0" w:evenVBand="0" w:oddHBand="0" w:evenHBand="0" w:firstRowFirstColumn="0" w:firstRowLastColumn="0" w:lastRowFirstColumn="0" w:lastRowLastColumn="0"/>
            <w:tcW w:w="2884" w:type="dxa"/>
            <w:gridSpan w:val="2"/>
            <w:tcBorders>
              <w:bottom w:val="single" w:sz="4" w:space="0" w:color="auto"/>
            </w:tcBorders>
          </w:tcPr>
          <w:p w14:paraId="710B51DF" w14:textId="77777777" w:rsidR="008D6F13" w:rsidRDefault="008D6F13" w:rsidP="0031078F">
            <w:r>
              <w:rPr>
                <w:sz w:val="16"/>
              </w:rPr>
              <w:t>Other comprehensive income for the year</w:t>
            </w:r>
          </w:p>
        </w:tc>
        <w:tc>
          <w:tcPr>
            <w:tcW w:w="770" w:type="dxa"/>
            <w:tcBorders>
              <w:bottom w:val="single" w:sz="4" w:space="0" w:color="auto"/>
            </w:tcBorders>
          </w:tcPr>
          <w:p w14:paraId="5A50C76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1 433</w:t>
            </w:r>
          </w:p>
        </w:tc>
        <w:tc>
          <w:tcPr>
            <w:tcW w:w="1078" w:type="dxa"/>
            <w:tcBorders>
              <w:bottom w:val="single" w:sz="4" w:space="0" w:color="auto"/>
            </w:tcBorders>
          </w:tcPr>
          <w:p w14:paraId="67FFA4B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10 102</w:t>
            </w:r>
          </w:p>
        </w:tc>
        <w:tc>
          <w:tcPr>
            <w:tcW w:w="1511" w:type="dxa"/>
            <w:tcBorders>
              <w:bottom w:val="single" w:sz="4" w:space="0" w:color="auto"/>
            </w:tcBorders>
          </w:tcPr>
          <w:p w14:paraId="555E236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12</w:t>
            </w:r>
          </w:p>
        </w:tc>
        <w:tc>
          <w:tcPr>
            <w:tcW w:w="714" w:type="dxa"/>
            <w:tcBorders>
              <w:bottom w:val="single" w:sz="4" w:space="0" w:color="auto"/>
            </w:tcBorders>
          </w:tcPr>
          <w:p w14:paraId="1781A92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24</w:t>
            </w:r>
          </w:p>
        </w:tc>
        <w:tc>
          <w:tcPr>
            <w:tcW w:w="753" w:type="dxa"/>
            <w:tcBorders>
              <w:bottom w:val="single" w:sz="4" w:space="0" w:color="auto"/>
            </w:tcBorders>
          </w:tcPr>
          <w:p w14:paraId="6442D22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11 570</w:t>
            </w:r>
          </w:p>
        </w:tc>
      </w:tr>
      <w:tr w:rsidR="008D6F13" w14:paraId="7A94A9DC" w14:textId="77777777" w:rsidTr="0031078F">
        <w:tc>
          <w:tcPr>
            <w:cnfStyle w:val="001000000000" w:firstRow="0" w:lastRow="0" w:firstColumn="1" w:lastColumn="0" w:oddVBand="0" w:evenVBand="0" w:oddHBand="0" w:evenHBand="0" w:firstRowFirstColumn="0" w:firstRowLastColumn="0" w:lastRowFirstColumn="0" w:lastRowLastColumn="0"/>
            <w:tcW w:w="2884" w:type="dxa"/>
            <w:gridSpan w:val="2"/>
            <w:tcBorders>
              <w:top w:val="single" w:sz="4" w:space="0" w:color="auto"/>
            </w:tcBorders>
          </w:tcPr>
          <w:p w14:paraId="6C35F5EC" w14:textId="77777777" w:rsidR="008D6F13" w:rsidRDefault="008D6F13" w:rsidP="0031078F">
            <w:r>
              <w:rPr>
                <w:b/>
                <w:sz w:val="16"/>
              </w:rPr>
              <w:t xml:space="preserve">Total equity as </w:t>
            </w:r>
            <w:proofErr w:type="gramStart"/>
            <w:r>
              <w:rPr>
                <w:b/>
                <w:sz w:val="16"/>
              </w:rPr>
              <w:t>at</w:t>
            </w:r>
            <w:proofErr w:type="gramEnd"/>
            <w:r>
              <w:rPr>
                <w:b/>
                <w:sz w:val="16"/>
              </w:rPr>
              <w:t xml:space="preserve"> 30 June 2025</w:t>
            </w:r>
          </w:p>
        </w:tc>
        <w:tc>
          <w:tcPr>
            <w:tcW w:w="770" w:type="dxa"/>
            <w:tcBorders>
              <w:top w:val="single" w:sz="4" w:space="0" w:color="auto"/>
            </w:tcBorders>
          </w:tcPr>
          <w:p w14:paraId="6D28547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49 078</w:t>
            </w:r>
          </w:p>
        </w:tc>
        <w:tc>
          <w:tcPr>
            <w:tcW w:w="1078" w:type="dxa"/>
            <w:tcBorders>
              <w:top w:val="single" w:sz="4" w:space="0" w:color="auto"/>
            </w:tcBorders>
          </w:tcPr>
          <w:p w14:paraId="3F3C810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133 582</w:t>
            </w:r>
          </w:p>
        </w:tc>
        <w:tc>
          <w:tcPr>
            <w:tcW w:w="1511" w:type="dxa"/>
            <w:tcBorders>
              <w:top w:val="single" w:sz="4" w:space="0" w:color="auto"/>
            </w:tcBorders>
          </w:tcPr>
          <w:p w14:paraId="0F2F3E9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667</w:t>
            </w:r>
          </w:p>
        </w:tc>
        <w:tc>
          <w:tcPr>
            <w:tcW w:w="714" w:type="dxa"/>
            <w:tcBorders>
              <w:top w:val="single" w:sz="4" w:space="0" w:color="auto"/>
            </w:tcBorders>
          </w:tcPr>
          <w:p w14:paraId="228003A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1 859</w:t>
            </w:r>
          </w:p>
        </w:tc>
        <w:tc>
          <w:tcPr>
            <w:tcW w:w="753" w:type="dxa"/>
            <w:tcBorders>
              <w:top w:val="single" w:sz="4" w:space="0" w:color="auto"/>
            </w:tcBorders>
          </w:tcPr>
          <w:p w14:paraId="24195312" w14:textId="52F4DC6C"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185 186</w:t>
            </w:r>
          </w:p>
        </w:tc>
      </w:tr>
    </w:tbl>
    <w:p w14:paraId="34455256" w14:textId="77777777" w:rsidR="008D6F13" w:rsidRPr="00921F69" w:rsidRDefault="008D6F13" w:rsidP="008D6F13">
      <w:pPr>
        <w:pStyle w:val="Note"/>
        <w:ind w:left="0" w:firstLine="0"/>
        <w:rPr>
          <w:rFonts w:cstheme="majorHAnsi"/>
        </w:rPr>
      </w:pPr>
      <w:r w:rsidRPr="00921F69">
        <w:rPr>
          <w:rFonts w:cstheme="majorHAnsi"/>
        </w:rPr>
        <w:t>Note:</w:t>
      </w:r>
    </w:p>
    <w:p w14:paraId="627478FE" w14:textId="77777777" w:rsidR="008D6F13" w:rsidRPr="00921F69" w:rsidRDefault="008D6F13" w:rsidP="008D6F13">
      <w:pPr>
        <w:pStyle w:val="Note"/>
        <w:rPr>
          <w:rFonts w:cstheme="majorHAnsi"/>
        </w:rPr>
      </w:pPr>
      <w:r w:rsidRPr="00921F69">
        <w:rPr>
          <w:rFonts w:cstheme="majorHAnsi"/>
        </w:rPr>
        <w:t>(a)</w:t>
      </w:r>
      <w:r w:rsidRPr="00921F69">
        <w:rPr>
          <w:rFonts w:cstheme="majorHAnsi"/>
        </w:rPr>
        <w:tab/>
        <w:t xml:space="preserve">Balances represent actual opening balances </w:t>
      </w:r>
      <w:proofErr w:type="gramStart"/>
      <w:r w:rsidRPr="00921F69">
        <w:rPr>
          <w:rFonts w:cstheme="majorHAnsi"/>
        </w:rPr>
        <w:t>at</w:t>
      </w:r>
      <w:proofErr w:type="gramEnd"/>
      <w:r w:rsidRPr="00921F69">
        <w:rPr>
          <w:rFonts w:cstheme="majorHAnsi"/>
        </w:rPr>
        <w:t xml:space="preserve"> 1 July 20</w:t>
      </w:r>
      <w:r>
        <w:rPr>
          <w:rFonts w:cstheme="majorHAnsi"/>
        </w:rPr>
        <w:t xml:space="preserve">21 </w:t>
      </w:r>
      <w:r w:rsidRPr="00921F69">
        <w:rPr>
          <w:rFonts w:cstheme="majorHAnsi"/>
        </w:rPr>
        <w:t>plus 20</w:t>
      </w:r>
      <w:r>
        <w:rPr>
          <w:rFonts w:cstheme="majorHAnsi"/>
        </w:rPr>
        <w:t>21</w:t>
      </w:r>
      <w:r w:rsidRPr="00921F69">
        <w:rPr>
          <w:rFonts w:cstheme="majorHAnsi"/>
        </w:rPr>
        <w:t>-2</w:t>
      </w:r>
      <w:r>
        <w:rPr>
          <w:rFonts w:cstheme="majorHAnsi"/>
        </w:rPr>
        <w:t>2</w:t>
      </w:r>
      <w:r w:rsidRPr="00921F69">
        <w:rPr>
          <w:rFonts w:cstheme="majorHAnsi"/>
        </w:rPr>
        <w:t xml:space="preserve"> budgeted movements.</w:t>
      </w:r>
    </w:p>
    <w:p w14:paraId="29529A9E" w14:textId="77777777" w:rsidR="008D6F13" w:rsidRDefault="008D6F13" w:rsidP="008D6F13">
      <w:pPr>
        <w:rPr>
          <w:rFonts w:asciiTheme="majorHAnsi" w:hAnsiTheme="majorHAnsi" w:cstheme="majorHAnsi"/>
        </w:rPr>
      </w:pPr>
    </w:p>
    <w:p w14:paraId="610259EA" w14:textId="77777777" w:rsidR="008D6F13" w:rsidRPr="00921F69" w:rsidRDefault="008D6F13" w:rsidP="008D6F13">
      <w:pPr>
        <w:rPr>
          <w:rFonts w:asciiTheme="majorHAnsi" w:hAnsiTheme="majorHAnsi" w:cstheme="majorHAnsi"/>
        </w:rPr>
      </w:pPr>
    </w:p>
    <w:p w14:paraId="324060E4" w14:textId="77777777" w:rsidR="008D6F13" w:rsidRDefault="008D6F13" w:rsidP="008D6F13">
      <w:pPr>
        <w:keepLines w:val="0"/>
        <w:rPr>
          <w:rFonts w:asciiTheme="majorHAnsi" w:hAnsiTheme="majorHAnsi" w:cstheme="majorHAnsi"/>
          <w:b/>
          <w:sz w:val="20"/>
        </w:rPr>
      </w:pPr>
      <w:r>
        <w:rPr>
          <w:rFonts w:cstheme="majorHAnsi"/>
        </w:rPr>
        <w:br w:type="page"/>
      </w:r>
    </w:p>
    <w:p w14:paraId="6AD1E078" w14:textId="3E4B12FE" w:rsidR="008D6F13" w:rsidRPr="00921F69" w:rsidRDefault="008D6F13" w:rsidP="008D6F13">
      <w:pPr>
        <w:pStyle w:val="TableHeading"/>
        <w:rPr>
          <w:rFonts w:cstheme="majorHAnsi"/>
        </w:rPr>
      </w:pPr>
      <w:r w:rsidRPr="00921F69">
        <w:rPr>
          <w:rFonts w:cstheme="majorHAnsi"/>
        </w:rPr>
        <w:lastRenderedPageBreak/>
        <w:t>Table 5.10</w:t>
      </w:r>
      <w:r w:rsidR="007F1FE4">
        <w:rPr>
          <w:rFonts w:cstheme="majorHAnsi"/>
        </w:rPr>
        <w:t>:</w:t>
      </w:r>
      <w:r w:rsidRPr="00921F69">
        <w:rPr>
          <w:rFonts w:cstheme="majorHAnsi"/>
        </w:rPr>
        <w:tab/>
        <w:t>Net acquisition of non-financial assets – non-financial public sector</w:t>
      </w:r>
      <w:r w:rsidRPr="00921F69">
        <w:rPr>
          <w:rFonts w:cstheme="majorHAnsi"/>
        </w:rPr>
        <w:tab/>
        <w:t>($ million)</w:t>
      </w:r>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47300708"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109D4D0A" w14:textId="2F980178" w:rsidR="008D6F13" w:rsidRDefault="008D6F13" w:rsidP="0031078F"/>
        </w:tc>
        <w:tc>
          <w:tcPr>
            <w:tcW w:w="794" w:type="dxa"/>
          </w:tcPr>
          <w:p w14:paraId="7DA12C68"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2B317F54"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24EE8293"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6D13F8B2"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3238C6D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04F96002"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88AA636" w14:textId="77777777" w:rsidR="008D6F13" w:rsidRDefault="008D6F13" w:rsidP="0031078F">
            <w:r>
              <w:t>Purchases of non</w:t>
            </w:r>
            <w:r>
              <w:noBreakHyphen/>
              <w:t xml:space="preserve">financial assets </w:t>
            </w:r>
            <w:r>
              <w:br/>
              <w:t>(including change in inventories)</w:t>
            </w:r>
          </w:p>
        </w:tc>
        <w:tc>
          <w:tcPr>
            <w:tcW w:w="794" w:type="dxa"/>
          </w:tcPr>
          <w:p w14:paraId="1A17131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23 291</w:t>
            </w:r>
          </w:p>
        </w:tc>
        <w:tc>
          <w:tcPr>
            <w:tcW w:w="794" w:type="dxa"/>
          </w:tcPr>
          <w:p w14:paraId="024489B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18 332</w:t>
            </w:r>
          </w:p>
        </w:tc>
        <w:tc>
          <w:tcPr>
            <w:tcW w:w="794" w:type="dxa"/>
          </w:tcPr>
          <w:p w14:paraId="1A64E17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21 205</w:t>
            </w:r>
          </w:p>
        </w:tc>
        <w:tc>
          <w:tcPr>
            <w:tcW w:w="794" w:type="dxa"/>
          </w:tcPr>
          <w:p w14:paraId="2B2A68D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25 328</w:t>
            </w:r>
          </w:p>
        </w:tc>
        <w:tc>
          <w:tcPr>
            <w:tcW w:w="794" w:type="dxa"/>
          </w:tcPr>
          <w:p w14:paraId="15053CC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26 433</w:t>
            </w:r>
          </w:p>
        </w:tc>
      </w:tr>
      <w:tr w:rsidR="008D6F13" w14:paraId="1CD3D8C3"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DE4EBAA" w14:textId="77777777" w:rsidR="008D6F13" w:rsidRDefault="008D6F13" w:rsidP="0031078F">
            <w:r>
              <w:t>Less: Sales of non</w:t>
            </w:r>
            <w:r>
              <w:noBreakHyphen/>
              <w:t>financial assets</w:t>
            </w:r>
          </w:p>
        </w:tc>
        <w:tc>
          <w:tcPr>
            <w:tcW w:w="794" w:type="dxa"/>
          </w:tcPr>
          <w:p w14:paraId="0231C8C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(797)</w:t>
            </w:r>
          </w:p>
        </w:tc>
        <w:tc>
          <w:tcPr>
            <w:tcW w:w="794" w:type="dxa"/>
          </w:tcPr>
          <w:p w14:paraId="4AF0430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(587)</w:t>
            </w:r>
          </w:p>
        </w:tc>
        <w:tc>
          <w:tcPr>
            <w:tcW w:w="794" w:type="dxa"/>
          </w:tcPr>
          <w:p w14:paraId="7E490B8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(845)</w:t>
            </w:r>
          </w:p>
        </w:tc>
        <w:tc>
          <w:tcPr>
            <w:tcW w:w="794" w:type="dxa"/>
          </w:tcPr>
          <w:p w14:paraId="534B7D8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(1 098)</w:t>
            </w:r>
          </w:p>
        </w:tc>
        <w:tc>
          <w:tcPr>
            <w:tcW w:w="794" w:type="dxa"/>
          </w:tcPr>
          <w:p w14:paraId="121A7A5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(586)</w:t>
            </w:r>
          </w:p>
        </w:tc>
      </w:tr>
      <w:tr w:rsidR="008D6F13" w14:paraId="7C182BE0"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62F6811" w14:textId="77777777" w:rsidR="008D6F13" w:rsidRDefault="008D6F13" w:rsidP="0031078F">
            <w:r>
              <w:t>Less: Depreciation and amortisation</w:t>
            </w:r>
          </w:p>
        </w:tc>
        <w:tc>
          <w:tcPr>
            <w:tcW w:w="794" w:type="dxa"/>
          </w:tcPr>
          <w:p w14:paraId="63B802A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(7 174)</w:t>
            </w:r>
          </w:p>
        </w:tc>
        <w:tc>
          <w:tcPr>
            <w:tcW w:w="794" w:type="dxa"/>
          </w:tcPr>
          <w:p w14:paraId="2549CC0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(7 112)</w:t>
            </w:r>
          </w:p>
        </w:tc>
        <w:tc>
          <w:tcPr>
            <w:tcW w:w="794" w:type="dxa"/>
          </w:tcPr>
          <w:p w14:paraId="1B24235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(7 719)</w:t>
            </w:r>
          </w:p>
        </w:tc>
        <w:tc>
          <w:tcPr>
            <w:tcW w:w="794" w:type="dxa"/>
          </w:tcPr>
          <w:p w14:paraId="546BDC4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(9 403)</w:t>
            </w:r>
          </w:p>
        </w:tc>
        <w:tc>
          <w:tcPr>
            <w:tcW w:w="794" w:type="dxa"/>
          </w:tcPr>
          <w:p w14:paraId="48EE615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(10 542)</w:t>
            </w:r>
          </w:p>
        </w:tc>
      </w:tr>
      <w:tr w:rsidR="008D6F13" w14:paraId="3B392F74"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46582D35" w14:textId="77777777" w:rsidR="008D6F13" w:rsidRDefault="008D6F13" w:rsidP="0031078F">
            <w:r>
              <w:t>Plus: Other movements in non</w:t>
            </w:r>
            <w:r>
              <w:noBreakHyphen/>
              <w:t>financial assets</w:t>
            </w:r>
            <w:r>
              <w:rPr>
                <w:vertAlign w:val="superscript"/>
              </w:rPr>
              <w:t xml:space="preserve"> (a)(b)</w:t>
            </w:r>
          </w:p>
        </w:tc>
        <w:tc>
          <w:tcPr>
            <w:tcW w:w="794" w:type="dxa"/>
            <w:tcBorders>
              <w:bottom w:val="single" w:sz="6" w:space="0" w:color="auto"/>
            </w:tcBorders>
          </w:tcPr>
          <w:p w14:paraId="3FCB156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4 644</w:t>
            </w:r>
          </w:p>
        </w:tc>
        <w:tc>
          <w:tcPr>
            <w:tcW w:w="794" w:type="dxa"/>
            <w:tcBorders>
              <w:bottom w:val="single" w:sz="6" w:space="0" w:color="auto"/>
            </w:tcBorders>
          </w:tcPr>
          <w:p w14:paraId="6D0117B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4 539</w:t>
            </w:r>
          </w:p>
        </w:tc>
        <w:tc>
          <w:tcPr>
            <w:tcW w:w="794" w:type="dxa"/>
            <w:tcBorders>
              <w:bottom w:val="single" w:sz="6" w:space="0" w:color="auto"/>
            </w:tcBorders>
          </w:tcPr>
          <w:p w14:paraId="5DF8892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4 168</w:t>
            </w:r>
          </w:p>
        </w:tc>
        <w:tc>
          <w:tcPr>
            <w:tcW w:w="794" w:type="dxa"/>
            <w:tcBorders>
              <w:bottom w:val="single" w:sz="6" w:space="0" w:color="auto"/>
            </w:tcBorders>
          </w:tcPr>
          <w:p w14:paraId="22B2486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2 569</w:t>
            </w:r>
          </w:p>
        </w:tc>
        <w:tc>
          <w:tcPr>
            <w:tcW w:w="794" w:type="dxa"/>
            <w:tcBorders>
              <w:bottom w:val="single" w:sz="6" w:space="0" w:color="auto"/>
            </w:tcBorders>
          </w:tcPr>
          <w:p w14:paraId="2C9069D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1 290</w:t>
            </w:r>
          </w:p>
        </w:tc>
      </w:tr>
      <w:tr w:rsidR="008D6F13" w14:paraId="467C90B0"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BDE4085" w14:textId="77777777" w:rsidR="008D6F13" w:rsidRDefault="008D6F13" w:rsidP="0031078F">
            <w:r>
              <w:rPr>
                <w:b/>
              </w:rPr>
              <w:t>Total net acquisition of non</w:t>
            </w:r>
            <w:r>
              <w:rPr>
                <w:b/>
              </w:rPr>
              <w:noBreakHyphen/>
              <w:t xml:space="preserve">financial assets </w:t>
            </w:r>
            <w:r>
              <w:rPr>
                <w:b/>
              </w:rPr>
              <w:br/>
              <w:t>from transactions</w:t>
            </w:r>
          </w:p>
        </w:tc>
        <w:tc>
          <w:tcPr>
            <w:tcW w:w="794" w:type="dxa"/>
          </w:tcPr>
          <w:p w14:paraId="385DFDD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19 964</w:t>
            </w:r>
          </w:p>
        </w:tc>
        <w:tc>
          <w:tcPr>
            <w:tcW w:w="794" w:type="dxa"/>
          </w:tcPr>
          <w:p w14:paraId="08DF0A0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15 172</w:t>
            </w:r>
          </w:p>
        </w:tc>
        <w:tc>
          <w:tcPr>
            <w:tcW w:w="794" w:type="dxa"/>
          </w:tcPr>
          <w:p w14:paraId="6F91675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16 809</w:t>
            </w:r>
          </w:p>
        </w:tc>
        <w:tc>
          <w:tcPr>
            <w:tcW w:w="794" w:type="dxa"/>
          </w:tcPr>
          <w:p w14:paraId="3837686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17 396</w:t>
            </w:r>
          </w:p>
        </w:tc>
        <w:tc>
          <w:tcPr>
            <w:tcW w:w="794" w:type="dxa"/>
          </w:tcPr>
          <w:p w14:paraId="40ACF695" w14:textId="3624748C"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16 594</w:t>
            </w:r>
          </w:p>
        </w:tc>
      </w:tr>
    </w:tbl>
    <w:p w14:paraId="33C7929E" w14:textId="77777777" w:rsidR="008D6F13" w:rsidRDefault="008D6F13" w:rsidP="008D6F13">
      <w:pPr>
        <w:pStyle w:val="Note"/>
      </w:pPr>
      <w:r>
        <w:t>Notes:</w:t>
      </w:r>
    </w:p>
    <w:p w14:paraId="0A5099B5" w14:textId="77777777" w:rsidR="008D6F13" w:rsidRDefault="008D6F13" w:rsidP="008D6F13">
      <w:pPr>
        <w:pStyle w:val="Note"/>
      </w:pPr>
      <w:r w:rsidRPr="00714B66">
        <w:t>(a)</w:t>
      </w:r>
      <w:r w:rsidRPr="00714B66">
        <w:tab/>
        <w:t xml:space="preserve">The other movements in non-financial assets includes recognising right of use assets under lease </w:t>
      </w:r>
      <w:proofErr w:type="gramStart"/>
      <w:r w:rsidRPr="00714B66">
        <w:t>arrangements, and</w:t>
      </w:r>
      <w:proofErr w:type="gramEnd"/>
      <w:r w:rsidRPr="00714B66">
        <w:t xml:space="preserve"> recognising service concession arrangements </w:t>
      </w:r>
      <w:r>
        <w:t>arising</w:t>
      </w:r>
      <w:r w:rsidRPr="00714B66">
        <w:t xml:space="preserve"> from </w:t>
      </w:r>
      <w:r>
        <w:t>p</w:t>
      </w:r>
      <w:r w:rsidRPr="00714B66">
        <w:t xml:space="preserve">ublic </w:t>
      </w:r>
      <w:r>
        <w:t>p</w:t>
      </w:r>
      <w:r w:rsidRPr="00714B66">
        <w:t xml:space="preserve">rivate </w:t>
      </w:r>
      <w:r>
        <w:t>p</w:t>
      </w:r>
      <w:r w:rsidRPr="00714B66">
        <w:t xml:space="preserve">artnerships. </w:t>
      </w:r>
    </w:p>
    <w:p w14:paraId="51257438" w14:textId="77777777" w:rsidR="008D6F13" w:rsidRDefault="008D6F13" w:rsidP="008D6F13">
      <w:pPr>
        <w:pStyle w:val="Note"/>
      </w:pPr>
      <w:r w:rsidRPr="00714B66">
        <w:t>(</w:t>
      </w:r>
      <w:r>
        <w:t>b</w:t>
      </w:r>
      <w:r w:rsidRPr="00714B66">
        <w:t>)</w:t>
      </w:r>
      <w:r w:rsidRPr="00714B66">
        <w:tab/>
      </w:r>
      <w:r w:rsidRPr="00333D11">
        <w:t xml:space="preserve">The public private partnerships across the </w:t>
      </w:r>
      <w:r>
        <w:t xml:space="preserve">budget and </w:t>
      </w:r>
      <w:r w:rsidRPr="00333D11">
        <w:t>forward estimates relate to</w:t>
      </w:r>
      <w:r>
        <w:t xml:space="preserve"> the</w:t>
      </w:r>
      <w:r w:rsidRPr="00333D11">
        <w:t xml:space="preserve"> </w:t>
      </w:r>
      <w:proofErr w:type="gramStart"/>
      <w:r w:rsidRPr="00333D11">
        <w:t>High Capacity</w:t>
      </w:r>
      <w:proofErr w:type="gramEnd"/>
      <w:r w:rsidRPr="00333D11">
        <w:t xml:space="preserve"> Metro Trains Project, the Metro Tunnel, the new Footscray Hospital, </w:t>
      </w:r>
      <w:r>
        <w:t xml:space="preserve">the Frankston Hospital Redevelopment, the </w:t>
      </w:r>
      <w:r w:rsidRPr="00333D11">
        <w:t>North East Link, the Western Roads Upgrade, and the West Gate Tunnel Project.</w:t>
      </w:r>
    </w:p>
    <w:p w14:paraId="24E85C6A" w14:textId="77777777" w:rsidR="008D6F13" w:rsidRDefault="008D6F13" w:rsidP="008D6F13">
      <w:pPr>
        <w:keepLines w:val="0"/>
        <w:rPr>
          <w:rFonts w:asciiTheme="majorHAnsi" w:hAnsiTheme="majorHAnsi" w:cstheme="majorHAnsi"/>
          <w:b/>
          <w:sz w:val="20"/>
        </w:rPr>
      </w:pPr>
      <w:r>
        <w:rPr>
          <w:rFonts w:cstheme="majorHAnsi"/>
        </w:rPr>
        <w:br w:type="page"/>
      </w:r>
    </w:p>
    <w:p w14:paraId="012E20B5" w14:textId="61246892" w:rsidR="008D6F13" w:rsidRPr="00921F69" w:rsidRDefault="008D6F13" w:rsidP="008D6F13">
      <w:pPr>
        <w:pStyle w:val="TableHeading"/>
        <w:rPr>
          <w:rFonts w:cstheme="majorHAnsi"/>
        </w:rPr>
      </w:pPr>
      <w:r w:rsidRPr="00921F69">
        <w:rPr>
          <w:rFonts w:cstheme="majorHAnsi"/>
        </w:rPr>
        <w:lastRenderedPageBreak/>
        <w:t>Table 5.11</w:t>
      </w:r>
      <w:r w:rsidR="007F1FE4">
        <w:rPr>
          <w:rFonts w:cstheme="majorHAnsi"/>
        </w:rPr>
        <w:t>:</w:t>
      </w:r>
      <w:r w:rsidRPr="00921F69">
        <w:rPr>
          <w:rFonts w:cstheme="majorHAnsi"/>
        </w:rPr>
        <w:tab/>
        <w:t xml:space="preserve">Public financial </w:t>
      </w:r>
      <w:proofErr w:type="gramStart"/>
      <w:r w:rsidRPr="00921F69">
        <w:rPr>
          <w:rFonts w:cstheme="majorHAnsi"/>
        </w:rPr>
        <w:t>corporations</w:t>
      </w:r>
      <w:proofErr w:type="gramEnd"/>
      <w:r w:rsidRPr="00921F69">
        <w:rPr>
          <w:rFonts w:cstheme="majorHAnsi"/>
        </w:rPr>
        <w:t xml:space="preserve"> sector comprehensive operating statement </w:t>
      </w:r>
      <w:r w:rsidRPr="00921F69">
        <w:rPr>
          <w:rFonts w:cstheme="majorHAnsi"/>
        </w:rPr>
        <w:br/>
        <w:t>for the financial year ended 30 June</w:t>
      </w:r>
      <w:r w:rsidRPr="00921F69">
        <w:rPr>
          <w:rFonts w:cstheme="majorHAnsi"/>
        </w:rPr>
        <w:tab/>
        <w:t>($ million)</w:t>
      </w:r>
    </w:p>
    <w:tbl>
      <w:tblPr>
        <w:tblStyle w:val="DTFTableNumeric"/>
        <w:tblW w:w="7710" w:type="dxa"/>
        <w:tblLayout w:type="fixed"/>
        <w:tblLook w:val="06A0" w:firstRow="1" w:lastRow="0" w:firstColumn="1" w:lastColumn="0" w:noHBand="1" w:noVBand="1"/>
      </w:tblPr>
      <w:tblGrid>
        <w:gridCol w:w="3780"/>
        <w:gridCol w:w="754"/>
        <w:gridCol w:w="794"/>
        <w:gridCol w:w="794"/>
        <w:gridCol w:w="794"/>
        <w:gridCol w:w="794"/>
      </w:tblGrid>
      <w:tr w:rsidR="008D6F13" w14:paraId="2C8EC502"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80" w:type="dxa"/>
          </w:tcPr>
          <w:p w14:paraId="61A97D32" w14:textId="58779AE6" w:rsidR="008D6F13" w:rsidRDefault="008D6F13" w:rsidP="0031078F"/>
        </w:tc>
        <w:tc>
          <w:tcPr>
            <w:tcW w:w="754" w:type="dxa"/>
          </w:tcPr>
          <w:p w14:paraId="3E34BEE8"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rPr>
                <w:sz w:val="16"/>
              </w:rPr>
              <w:t>2021</w:t>
            </w:r>
            <w:r>
              <w:rPr>
                <w:sz w:val="16"/>
              </w:rPr>
              <w:noBreakHyphen/>
              <w:t>22</w:t>
            </w:r>
            <w:r>
              <w:rPr>
                <w:sz w:val="16"/>
              </w:rPr>
              <w:br/>
              <w:t>budget</w:t>
            </w:r>
          </w:p>
        </w:tc>
        <w:tc>
          <w:tcPr>
            <w:tcW w:w="794" w:type="dxa"/>
          </w:tcPr>
          <w:p w14:paraId="088CA420"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rPr>
                <w:sz w:val="16"/>
              </w:rPr>
              <w:t>2021</w:t>
            </w:r>
            <w:r>
              <w:rPr>
                <w:sz w:val="16"/>
              </w:rPr>
              <w:noBreakHyphen/>
              <w:t>22</w:t>
            </w:r>
            <w:r>
              <w:rPr>
                <w:sz w:val="16"/>
              </w:rPr>
              <w:br/>
              <w:t>revised</w:t>
            </w:r>
          </w:p>
        </w:tc>
        <w:tc>
          <w:tcPr>
            <w:tcW w:w="794" w:type="dxa"/>
          </w:tcPr>
          <w:p w14:paraId="16810AF0"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rPr>
                <w:sz w:val="16"/>
              </w:rPr>
              <w:t>2022</w:t>
            </w:r>
            <w:r>
              <w:rPr>
                <w:sz w:val="16"/>
              </w:rPr>
              <w:noBreakHyphen/>
              <w:t>23</w:t>
            </w:r>
            <w:r>
              <w:rPr>
                <w:sz w:val="16"/>
              </w:rPr>
              <w:br/>
              <w:t>estimate</w:t>
            </w:r>
          </w:p>
        </w:tc>
        <w:tc>
          <w:tcPr>
            <w:tcW w:w="794" w:type="dxa"/>
          </w:tcPr>
          <w:p w14:paraId="6F8D4C36"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rPr>
                <w:sz w:val="16"/>
              </w:rPr>
              <w:t>2023</w:t>
            </w:r>
            <w:r>
              <w:rPr>
                <w:sz w:val="16"/>
              </w:rPr>
              <w:noBreakHyphen/>
              <w:t>24</w:t>
            </w:r>
            <w:r>
              <w:rPr>
                <w:sz w:val="16"/>
              </w:rPr>
              <w:br/>
              <w:t>estimate</w:t>
            </w:r>
          </w:p>
        </w:tc>
        <w:tc>
          <w:tcPr>
            <w:tcW w:w="794" w:type="dxa"/>
          </w:tcPr>
          <w:p w14:paraId="1AB1A835"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rPr>
                <w:sz w:val="16"/>
              </w:rPr>
              <w:t>2024</w:t>
            </w:r>
            <w:r>
              <w:rPr>
                <w:sz w:val="16"/>
              </w:rPr>
              <w:noBreakHyphen/>
              <w:t>25</w:t>
            </w:r>
            <w:r>
              <w:rPr>
                <w:sz w:val="16"/>
              </w:rPr>
              <w:br/>
              <w:t>estimate</w:t>
            </w:r>
          </w:p>
        </w:tc>
      </w:tr>
      <w:tr w:rsidR="008D6F13" w14:paraId="5FE9C033" w14:textId="77777777" w:rsidTr="0031078F">
        <w:tc>
          <w:tcPr>
            <w:cnfStyle w:val="001000000000" w:firstRow="0" w:lastRow="0" w:firstColumn="1" w:lastColumn="0" w:oddVBand="0" w:evenVBand="0" w:oddHBand="0" w:evenHBand="0" w:firstRowFirstColumn="0" w:firstRowLastColumn="0" w:lastRowFirstColumn="0" w:lastRowLastColumn="0"/>
            <w:tcW w:w="3780" w:type="dxa"/>
          </w:tcPr>
          <w:p w14:paraId="7C28A9B3" w14:textId="77777777" w:rsidR="008D6F13" w:rsidRDefault="008D6F13" w:rsidP="0031078F">
            <w:r>
              <w:rPr>
                <w:b/>
                <w:sz w:val="16"/>
              </w:rPr>
              <w:t>Revenue and income from transactions</w:t>
            </w:r>
          </w:p>
        </w:tc>
        <w:tc>
          <w:tcPr>
            <w:tcW w:w="754" w:type="dxa"/>
          </w:tcPr>
          <w:p w14:paraId="3F033F4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A9F350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8C203C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61849B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CD058C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2EA61245" w14:textId="77777777" w:rsidTr="0031078F">
        <w:tc>
          <w:tcPr>
            <w:cnfStyle w:val="001000000000" w:firstRow="0" w:lastRow="0" w:firstColumn="1" w:lastColumn="0" w:oddVBand="0" w:evenVBand="0" w:oddHBand="0" w:evenHBand="0" w:firstRowFirstColumn="0" w:firstRowLastColumn="0" w:lastRowFirstColumn="0" w:lastRowLastColumn="0"/>
            <w:tcW w:w="3780" w:type="dxa"/>
          </w:tcPr>
          <w:p w14:paraId="257F4782" w14:textId="77777777" w:rsidR="008D6F13" w:rsidRDefault="008D6F13" w:rsidP="0031078F">
            <w:r>
              <w:rPr>
                <w:sz w:val="16"/>
              </w:rPr>
              <w:t>Interest income</w:t>
            </w:r>
          </w:p>
        </w:tc>
        <w:tc>
          <w:tcPr>
            <w:tcW w:w="754" w:type="dxa"/>
          </w:tcPr>
          <w:p w14:paraId="1EE71E0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2 175</w:t>
            </w:r>
          </w:p>
        </w:tc>
        <w:tc>
          <w:tcPr>
            <w:tcW w:w="794" w:type="dxa"/>
          </w:tcPr>
          <w:p w14:paraId="2378615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2 350</w:t>
            </w:r>
          </w:p>
        </w:tc>
        <w:tc>
          <w:tcPr>
            <w:tcW w:w="794" w:type="dxa"/>
          </w:tcPr>
          <w:p w14:paraId="5C3B1C2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3 035</w:t>
            </w:r>
          </w:p>
        </w:tc>
        <w:tc>
          <w:tcPr>
            <w:tcW w:w="794" w:type="dxa"/>
          </w:tcPr>
          <w:p w14:paraId="62B4AE7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3 745</w:t>
            </w:r>
          </w:p>
        </w:tc>
        <w:tc>
          <w:tcPr>
            <w:tcW w:w="794" w:type="dxa"/>
          </w:tcPr>
          <w:p w14:paraId="48959C9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4 601</w:t>
            </w:r>
          </w:p>
        </w:tc>
      </w:tr>
      <w:tr w:rsidR="008D6F13" w14:paraId="57F6BE0F" w14:textId="77777777" w:rsidTr="0031078F">
        <w:tc>
          <w:tcPr>
            <w:cnfStyle w:val="001000000000" w:firstRow="0" w:lastRow="0" w:firstColumn="1" w:lastColumn="0" w:oddVBand="0" w:evenVBand="0" w:oddHBand="0" w:evenHBand="0" w:firstRowFirstColumn="0" w:firstRowLastColumn="0" w:lastRowFirstColumn="0" w:lastRowLastColumn="0"/>
            <w:tcW w:w="3780" w:type="dxa"/>
          </w:tcPr>
          <w:p w14:paraId="3417B5BD" w14:textId="77777777" w:rsidR="008D6F13" w:rsidRDefault="008D6F13" w:rsidP="0031078F">
            <w:r>
              <w:rPr>
                <w:sz w:val="16"/>
              </w:rPr>
              <w:t>Dividend income</w:t>
            </w:r>
          </w:p>
        </w:tc>
        <w:tc>
          <w:tcPr>
            <w:tcW w:w="754" w:type="dxa"/>
          </w:tcPr>
          <w:p w14:paraId="0CA3D0E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1 433</w:t>
            </w:r>
          </w:p>
        </w:tc>
        <w:tc>
          <w:tcPr>
            <w:tcW w:w="794" w:type="dxa"/>
          </w:tcPr>
          <w:p w14:paraId="03910A9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1 619</w:t>
            </w:r>
          </w:p>
        </w:tc>
        <w:tc>
          <w:tcPr>
            <w:tcW w:w="794" w:type="dxa"/>
          </w:tcPr>
          <w:p w14:paraId="6E4F842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1 629</w:t>
            </w:r>
          </w:p>
        </w:tc>
        <w:tc>
          <w:tcPr>
            <w:tcW w:w="794" w:type="dxa"/>
          </w:tcPr>
          <w:p w14:paraId="7B8D31A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1 632</w:t>
            </w:r>
          </w:p>
        </w:tc>
        <w:tc>
          <w:tcPr>
            <w:tcW w:w="794" w:type="dxa"/>
          </w:tcPr>
          <w:p w14:paraId="72B6556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2 041</w:t>
            </w:r>
          </w:p>
        </w:tc>
      </w:tr>
      <w:tr w:rsidR="008D6F13" w14:paraId="20EA5E2A" w14:textId="77777777" w:rsidTr="0031078F">
        <w:tc>
          <w:tcPr>
            <w:cnfStyle w:val="001000000000" w:firstRow="0" w:lastRow="0" w:firstColumn="1" w:lastColumn="0" w:oddVBand="0" w:evenVBand="0" w:oddHBand="0" w:evenHBand="0" w:firstRowFirstColumn="0" w:firstRowLastColumn="0" w:lastRowFirstColumn="0" w:lastRowLastColumn="0"/>
            <w:tcW w:w="3780" w:type="dxa"/>
          </w:tcPr>
          <w:p w14:paraId="2FE63279" w14:textId="77777777" w:rsidR="008D6F13" w:rsidRDefault="008D6F13" w:rsidP="0031078F">
            <w:r>
              <w:rPr>
                <w:sz w:val="16"/>
              </w:rPr>
              <w:t>Sales of goods and services</w:t>
            </w:r>
          </w:p>
        </w:tc>
        <w:tc>
          <w:tcPr>
            <w:tcW w:w="754" w:type="dxa"/>
          </w:tcPr>
          <w:p w14:paraId="2D2B0A7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5 555</w:t>
            </w:r>
          </w:p>
        </w:tc>
        <w:tc>
          <w:tcPr>
            <w:tcW w:w="794" w:type="dxa"/>
          </w:tcPr>
          <w:p w14:paraId="673CA3F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5 589</w:t>
            </w:r>
          </w:p>
        </w:tc>
        <w:tc>
          <w:tcPr>
            <w:tcW w:w="794" w:type="dxa"/>
          </w:tcPr>
          <w:p w14:paraId="1C6BDBF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5 819</w:t>
            </w:r>
          </w:p>
        </w:tc>
        <w:tc>
          <w:tcPr>
            <w:tcW w:w="794" w:type="dxa"/>
          </w:tcPr>
          <w:p w14:paraId="70E1FE9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6 099</w:t>
            </w:r>
          </w:p>
        </w:tc>
        <w:tc>
          <w:tcPr>
            <w:tcW w:w="794" w:type="dxa"/>
          </w:tcPr>
          <w:p w14:paraId="28F02C9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6 375</w:t>
            </w:r>
          </w:p>
        </w:tc>
      </w:tr>
      <w:tr w:rsidR="008D6F13" w14:paraId="4CA0D7E8" w14:textId="77777777" w:rsidTr="0031078F">
        <w:tc>
          <w:tcPr>
            <w:cnfStyle w:val="001000000000" w:firstRow="0" w:lastRow="0" w:firstColumn="1" w:lastColumn="0" w:oddVBand="0" w:evenVBand="0" w:oddHBand="0" w:evenHBand="0" w:firstRowFirstColumn="0" w:firstRowLastColumn="0" w:lastRowFirstColumn="0" w:lastRowLastColumn="0"/>
            <w:tcW w:w="3780" w:type="dxa"/>
          </w:tcPr>
          <w:p w14:paraId="5A2B4088" w14:textId="77777777" w:rsidR="008D6F13" w:rsidRDefault="008D6F13" w:rsidP="0031078F">
            <w:r>
              <w:rPr>
                <w:sz w:val="16"/>
              </w:rPr>
              <w:t>Grants</w:t>
            </w:r>
          </w:p>
        </w:tc>
        <w:tc>
          <w:tcPr>
            <w:tcW w:w="754" w:type="dxa"/>
          </w:tcPr>
          <w:p w14:paraId="485781F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200</w:t>
            </w:r>
          </w:p>
        </w:tc>
        <w:tc>
          <w:tcPr>
            <w:tcW w:w="794" w:type="dxa"/>
          </w:tcPr>
          <w:p w14:paraId="6022A5E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200</w:t>
            </w:r>
          </w:p>
        </w:tc>
        <w:tc>
          <w:tcPr>
            <w:tcW w:w="794" w:type="dxa"/>
          </w:tcPr>
          <w:p w14:paraId="2C440E8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200</w:t>
            </w:r>
          </w:p>
        </w:tc>
        <w:tc>
          <w:tcPr>
            <w:tcW w:w="794" w:type="dxa"/>
          </w:tcPr>
          <w:p w14:paraId="49ED0E1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200</w:t>
            </w:r>
          </w:p>
        </w:tc>
        <w:tc>
          <w:tcPr>
            <w:tcW w:w="794" w:type="dxa"/>
          </w:tcPr>
          <w:p w14:paraId="2641FD5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200</w:t>
            </w:r>
          </w:p>
        </w:tc>
      </w:tr>
      <w:tr w:rsidR="008D6F13" w14:paraId="199679FF" w14:textId="77777777" w:rsidTr="0031078F">
        <w:tc>
          <w:tcPr>
            <w:cnfStyle w:val="001000000000" w:firstRow="0" w:lastRow="0" w:firstColumn="1" w:lastColumn="0" w:oddVBand="0" w:evenVBand="0" w:oddHBand="0" w:evenHBand="0" w:firstRowFirstColumn="0" w:firstRowLastColumn="0" w:lastRowFirstColumn="0" w:lastRowLastColumn="0"/>
            <w:tcW w:w="3780" w:type="dxa"/>
            <w:tcBorders>
              <w:bottom w:val="single" w:sz="6" w:space="0" w:color="auto"/>
            </w:tcBorders>
          </w:tcPr>
          <w:p w14:paraId="5187CF4C" w14:textId="77777777" w:rsidR="008D6F13" w:rsidRDefault="008D6F13" w:rsidP="0031078F">
            <w:r>
              <w:rPr>
                <w:sz w:val="16"/>
              </w:rPr>
              <w:t>Other revenue and income</w:t>
            </w:r>
          </w:p>
        </w:tc>
        <w:tc>
          <w:tcPr>
            <w:tcW w:w="754" w:type="dxa"/>
            <w:tcBorders>
              <w:bottom w:val="single" w:sz="6" w:space="0" w:color="auto"/>
            </w:tcBorders>
          </w:tcPr>
          <w:p w14:paraId="622885A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25</w:t>
            </w:r>
          </w:p>
        </w:tc>
        <w:tc>
          <w:tcPr>
            <w:tcW w:w="794" w:type="dxa"/>
            <w:tcBorders>
              <w:bottom w:val="single" w:sz="6" w:space="0" w:color="auto"/>
            </w:tcBorders>
          </w:tcPr>
          <w:p w14:paraId="479C38D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28</w:t>
            </w:r>
          </w:p>
        </w:tc>
        <w:tc>
          <w:tcPr>
            <w:tcW w:w="794" w:type="dxa"/>
            <w:tcBorders>
              <w:bottom w:val="single" w:sz="6" w:space="0" w:color="auto"/>
            </w:tcBorders>
          </w:tcPr>
          <w:p w14:paraId="4F3DCD3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30</w:t>
            </w:r>
          </w:p>
        </w:tc>
        <w:tc>
          <w:tcPr>
            <w:tcW w:w="794" w:type="dxa"/>
            <w:tcBorders>
              <w:bottom w:val="single" w:sz="6" w:space="0" w:color="auto"/>
            </w:tcBorders>
          </w:tcPr>
          <w:p w14:paraId="10F6EF3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30</w:t>
            </w:r>
          </w:p>
        </w:tc>
        <w:tc>
          <w:tcPr>
            <w:tcW w:w="794" w:type="dxa"/>
            <w:tcBorders>
              <w:bottom w:val="single" w:sz="6" w:space="0" w:color="auto"/>
            </w:tcBorders>
          </w:tcPr>
          <w:p w14:paraId="6C44770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31</w:t>
            </w:r>
          </w:p>
        </w:tc>
      </w:tr>
      <w:tr w:rsidR="008D6F13" w14:paraId="0D256092" w14:textId="77777777" w:rsidTr="0031078F">
        <w:tc>
          <w:tcPr>
            <w:cnfStyle w:val="001000000000" w:firstRow="0" w:lastRow="0" w:firstColumn="1" w:lastColumn="0" w:oddVBand="0" w:evenVBand="0" w:oddHBand="0" w:evenHBand="0" w:firstRowFirstColumn="0" w:firstRowLastColumn="0" w:lastRowFirstColumn="0" w:lastRowLastColumn="0"/>
            <w:tcW w:w="3780" w:type="dxa"/>
            <w:tcBorders>
              <w:top w:val="single" w:sz="6" w:space="0" w:color="auto"/>
            </w:tcBorders>
          </w:tcPr>
          <w:p w14:paraId="3CD2DF43" w14:textId="77777777" w:rsidR="008D6F13" w:rsidRDefault="008D6F13" w:rsidP="0031078F">
            <w:r>
              <w:rPr>
                <w:b/>
                <w:sz w:val="16"/>
              </w:rPr>
              <w:t>Total revenue and income from transactions</w:t>
            </w:r>
          </w:p>
        </w:tc>
        <w:tc>
          <w:tcPr>
            <w:tcW w:w="754" w:type="dxa"/>
            <w:tcBorders>
              <w:top w:val="single" w:sz="6" w:space="0" w:color="auto"/>
            </w:tcBorders>
          </w:tcPr>
          <w:p w14:paraId="00CBECF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9 388</w:t>
            </w:r>
          </w:p>
        </w:tc>
        <w:tc>
          <w:tcPr>
            <w:tcW w:w="794" w:type="dxa"/>
            <w:tcBorders>
              <w:top w:val="single" w:sz="6" w:space="0" w:color="auto"/>
            </w:tcBorders>
          </w:tcPr>
          <w:p w14:paraId="2A4DF76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9 785</w:t>
            </w:r>
          </w:p>
        </w:tc>
        <w:tc>
          <w:tcPr>
            <w:tcW w:w="794" w:type="dxa"/>
            <w:tcBorders>
              <w:top w:val="single" w:sz="6" w:space="0" w:color="auto"/>
            </w:tcBorders>
          </w:tcPr>
          <w:p w14:paraId="0C19DF9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10 713</w:t>
            </w:r>
          </w:p>
        </w:tc>
        <w:tc>
          <w:tcPr>
            <w:tcW w:w="794" w:type="dxa"/>
            <w:tcBorders>
              <w:top w:val="single" w:sz="6" w:space="0" w:color="auto"/>
            </w:tcBorders>
          </w:tcPr>
          <w:p w14:paraId="57A2DA9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11 706</w:t>
            </w:r>
          </w:p>
        </w:tc>
        <w:tc>
          <w:tcPr>
            <w:tcW w:w="794" w:type="dxa"/>
            <w:tcBorders>
              <w:top w:val="single" w:sz="6" w:space="0" w:color="auto"/>
            </w:tcBorders>
          </w:tcPr>
          <w:p w14:paraId="1DA990D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13 247</w:t>
            </w:r>
          </w:p>
        </w:tc>
      </w:tr>
      <w:tr w:rsidR="008D6F13" w14:paraId="633C4C22" w14:textId="77777777" w:rsidTr="0031078F">
        <w:tc>
          <w:tcPr>
            <w:cnfStyle w:val="001000000000" w:firstRow="0" w:lastRow="0" w:firstColumn="1" w:lastColumn="0" w:oddVBand="0" w:evenVBand="0" w:oddHBand="0" w:evenHBand="0" w:firstRowFirstColumn="0" w:firstRowLastColumn="0" w:lastRowFirstColumn="0" w:lastRowLastColumn="0"/>
            <w:tcW w:w="3780" w:type="dxa"/>
          </w:tcPr>
          <w:p w14:paraId="6DF66ED1" w14:textId="77777777" w:rsidR="008D6F13" w:rsidRDefault="008D6F13" w:rsidP="0031078F">
            <w:r>
              <w:rPr>
                <w:b/>
                <w:sz w:val="16"/>
              </w:rPr>
              <w:t>Expenses from transactions</w:t>
            </w:r>
          </w:p>
        </w:tc>
        <w:tc>
          <w:tcPr>
            <w:tcW w:w="754" w:type="dxa"/>
          </w:tcPr>
          <w:p w14:paraId="2206477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5F00CF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52E928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6B76E3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60B86B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5B4D79C5" w14:textId="77777777" w:rsidTr="0031078F">
        <w:tc>
          <w:tcPr>
            <w:cnfStyle w:val="001000000000" w:firstRow="0" w:lastRow="0" w:firstColumn="1" w:lastColumn="0" w:oddVBand="0" w:evenVBand="0" w:oddHBand="0" w:evenHBand="0" w:firstRowFirstColumn="0" w:firstRowLastColumn="0" w:lastRowFirstColumn="0" w:lastRowLastColumn="0"/>
            <w:tcW w:w="3780" w:type="dxa"/>
          </w:tcPr>
          <w:p w14:paraId="1B41A7E5" w14:textId="77777777" w:rsidR="008D6F13" w:rsidRDefault="008D6F13" w:rsidP="0031078F">
            <w:r>
              <w:rPr>
                <w:sz w:val="16"/>
              </w:rPr>
              <w:t>Employee expenses</w:t>
            </w:r>
          </w:p>
        </w:tc>
        <w:tc>
          <w:tcPr>
            <w:tcW w:w="754" w:type="dxa"/>
          </w:tcPr>
          <w:p w14:paraId="40D2B31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435</w:t>
            </w:r>
          </w:p>
        </w:tc>
        <w:tc>
          <w:tcPr>
            <w:tcW w:w="794" w:type="dxa"/>
          </w:tcPr>
          <w:p w14:paraId="6E2E3ED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481</w:t>
            </w:r>
          </w:p>
        </w:tc>
        <w:tc>
          <w:tcPr>
            <w:tcW w:w="794" w:type="dxa"/>
          </w:tcPr>
          <w:p w14:paraId="7F2DC01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482</w:t>
            </w:r>
          </w:p>
        </w:tc>
        <w:tc>
          <w:tcPr>
            <w:tcW w:w="794" w:type="dxa"/>
          </w:tcPr>
          <w:p w14:paraId="192FAB5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497</w:t>
            </w:r>
          </w:p>
        </w:tc>
        <w:tc>
          <w:tcPr>
            <w:tcW w:w="794" w:type="dxa"/>
          </w:tcPr>
          <w:p w14:paraId="54CD193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508</w:t>
            </w:r>
          </w:p>
        </w:tc>
      </w:tr>
      <w:tr w:rsidR="008D6F13" w14:paraId="448F31C2" w14:textId="77777777" w:rsidTr="0031078F">
        <w:tc>
          <w:tcPr>
            <w:cnfStyle w:val="001000000000" w:firstRow="0" w:lastRow="0" w:firstColumn="1" w:lastColumn="0" w:oddVBand="0" w:evenVBand="0" w:oddHBand="0" w:evenHBand="0" w:firstRowFirstColumn="0" w:firstRowLastColumn="0" w:lastRowFirstColumn="0" w:lastRowLastColumn="0"/>
            <w:tcW w:w="3780" w:type="dxa"/>
          </w:tcPr>
          <w:p w14:paraId="46456125" w14:textId="77777777" w:rsidR="008D6F13" w:rsidRDefault="008D6F13" w:rsidP="0031078F">
            <w:r>
              <w:rPr>
                <w:sz w:val="16"/>
              </w:rPr>
              <w:t>Other superannuation</w:t>
            </w:r>
          </w:p>
        </w:tc>
        <w:tc>
          <w:tcPr>
            <w:tcW w:w="754" w:type="dxa"/>
          </w:tcPr>
          <w:p w14:paraId="6EAC957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37</w:t>
            </w:r>
          </w:p>
        </w:tc>
        <w:tc>
          <w:tcPr>
            <w:tcW w:w="794" w:type="dxa"/>
          </w:tcPr>
          <w:p w14:paraId="6DEEEBF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42</w:t>
            </w:r>
          </w:p>
        </w:tc>
        <w:tc>
          <w:tcPr>
            <w:tcW w:w="794" w:type="dxa"/>
          </w:tcPr>
          <w:p w14:paraId="01DE64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43</w:t>
            </w:r>
          </w:p>
        </w:tc>
        <w:tc>
          <w:tcPr>
            <w:tcW w:w="794" w:type="dxa"/>
          </w:tcPr>
          <w:p w14:paraId="4BB5F44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45</w:t>
            </w:r>
          </w:p>
        </w:tc>
        <w:tc>
          <w:tcPr>
            <w:tcW w:w="794" w:type="dxa"/>
          </w:tcPr>
          <w:p w14:paraId="1E69312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47</w:t>
            </w:r>
          </w:p>
        </w:tc>
      </w:tr>
      <w:tr w:rsidR="008D6F13" w14:paraId="48C5CB00" w14:textId="77777777" w:rsidTr="0031078F">
        <w:tc>
          <w:tcPr>
            <w:cnfStyle w:val="001000000000" w:firstRow="0" w:lastRow="0" w:firstColumn="1" w:lastColumn="0" w:oddVBand="0" w:evenVBand="0" w:oddHBand="0" w:evenHBand="0" w:firstRowFirstColumn="0" w:firstRowLastColumn="0" w:lastRowFirstColumn="0" w:lastRowLastColumn="0"/>
            <w:tcW w:w="3780" w:type="dxa"/>
          </w:tcPr>
          <w:p w14:paraId="4474A6BC" w14:textId="77777777" w:rsidR="008D6F13" w:rsidRDefault="008D6F13" w:rsidP="0031078F">
            <w:r>
              <w:rPr>
                <w:sz w:val="16"/>
              </w:rPr>
              <w:t>Depreciation</w:t>
            </w:r>
          </w:p>
        </w:tc>
        <w:tc>
          <w:tcPr>
            <w:tcW w:w="754" w:type="dxa"/>
          </w:tcPr>
          <w:p w14:paraId="4A2D4A2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103</w:t>
            </w:r>
          </w:p>
        </w:tc>
        <w:tc>
          <w:tcPr>
            <w:tcW w:w="794" w:type="dxa"/>
          </w:tcPr>
          <w:p w14:paraId="4683459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81</w:t>
            </w:r>
          </w:p>
        </w:tc>
        <w:tc>
          <w:tcPr>
            <w:tcW w:w="794" w:type="dxa"/>
          </w:tcPr>
          <w:p w14:paraId="35116FE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92</w:t>
            </w:r>
          </w:p>
        </w:tc>
        <w:tc>
          <w:tcPr>
            <w:tcW w:w="794" w:type="dxa"/>
          </w:tcPr>
          <w:p w14:paraId="78FE8D5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91</w:t>
            </w:r>
          </w:p>
        </w:tc>
        <w:tc>
          <w:tcPr>
            <w:tcW w:w="794" w:type="dxa"/>
          </w:tcPr>
          <w:p w14:paraId="5880303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92</w:t>
            </w:r>
          </w:p>
        </w:tc>
      </w:tr>
      <w:tr w:rsidR="008D6F13" w14:paraId="3ED4E97D" w14:textId="77777777" w:rsidTr="0031078F">
        <w:tc>
          <w:tcPr>
            <w:cnfStyle w:val="001000000000" w:firstRow="0" w:lastRow="0" w:firstColumn="1" w:lastColumn="0" w:oddVBand="0" w:evenVBand="0" w:oddHBand="0" w:evenHBand="0" w:firstRowFirstColumn="0" w:firstRowLastColumn="0" w:lastRowFirstColumn="0" w:lastRowLastColumn="0"/>
            <w:tcW w:w="3780" w:type="dxa"/>
          </w:tcPr>
          <w:p w14:paraId="67099ADC" w14:textId="77777777" w:rsidR="008D6F13" w:rsidRDefault="008D6F13" w:rsidP="0031078F">
            <w:r>
              <w:rPr>
                <w:sz w:val="16"/>
              </w:rPr>
              <w:t>Interest expense</w:t>
            </w:r>
          </w:p>
        </w:tc>
        <w:tc>
          <w:tcPr>
            <w:tcW w:w="754" w:type="dxa"/>
          </w:tcPr>
          <w:p w14:paraId="7686DE4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2 088</w:t>
            </w:r>
          </w:p>
        </w:tc>
        <w:tc>
          <w:tcPr>
            <w:tcW w:w="794" w:type="dxa"/>
          </w:tcPr>
          <w:p w14:paraId="2F0A73B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2 240</w:t>
            </w:r>
          </w:p>
        </w:tc>
        <w:tc>
          <w:tcPr>
            <w:tcW w:w="794" w:type="dxa"/>
          </w:tcPr>
          <w:p w14:paraId="3F06A54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2 908</w:t>
            </w:r>
          </w:p>
        </w:tc>
        <w:tc>
          <w:tcPr>
            <w:tcW w:w="794" w:type="dxa"/>
          </w:tcPr>
          <w:p w14:paraId="7CFF4E2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3 593</w:t>
            </w:r>
          </w:p>
        </w:tc>
        <w:tc>
          <w:tcPr>
            <w:tcW w:w="794" w:type="dxa"/>
          </w:tcPr>
          <w:p w14:paraId="6967668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4 395</w:t>
            </w:r>
          </w:p>
        </w:tc>
      </w:tr>
      <w:tr w:rsidR="008D6F13" w14:paraId="57E0FD41" w14:textId="77777777" w:rsidTr="0031078F">
        <w:tc>
          <w:tcPr>
            <w:cnfStyle w:val="001000000000" w:firstRow="0" w:lastRow="0" w:firstColumn="1" w:lastColumn="0" w:oddVBand="0" w:evenVBand="0" w:oddHBand="0" w:evenHBand="0" w:firstRowFirstColumn="0" w:firstRowLastColumn="0" w:lastRowFirstColumn="0" w:lastRowLastColumn="0"/>
            <w:tcW w:w="3780" w:type="dxa"/>
          </w:tcPr>
          <w:p w14:paraId="090E2CD7" w14:textId="77777777" w:rsidR="008D6F13" w:rsidRDefault="008D6F13" w:rsidP="0031078F">
            <w:r>
              <w:rPr>
                <w:sz w:val="16"/>
              </w:rPr>
              <w:t>Grant expense</w:t>
            </w:r>
          </w:p>
        </w:tc>
        <w:tc>
          <w:tcPr>
            <w:tcW w:w="754" w:type="dxa"/>
          </w:tcPr>
          <w:p w14:paraId="7FDAF21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754</w:t>
            </w:r>
          </w:p>
        </w:tc>
        <w:tc>
          <w:tcPr>
            <w:tcW w:w="794" w:type="dxa"/>
          </w:tcPr>
          <w:p w14:paraId="0D857EB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714</w:t>
            </w:r>
          </w:p>
        </w:tc>
        <w:tc>
          <w:tcPr>
            <w:tcW w:w="794" w:type="dxa"/>
          </w:tcPr>
          <w:p w14:paraId="555A4AB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690</w:t>
            </w:r>
          </w:p>
        </w:tc>
        <w:tc>
          <w:tcPr>
            <w:tcW w:w="794" w:type="dxa"/>
          </w:tcPr>
          <w:p w14:paraId="03F0C5A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957</w:t>
            </w:r>
          </w:p>
        </w:tc>
        <w:tc>
          <w:tcPr>
            <w:tcW w:w="794" w:type="dxa"/>
          </w:tcPr>
          <w:p w14:paraId="46DAEDC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849</w:t>
            </w:r>
          </w:p>
        </w:tc>
      </w:tr>
      <w:tr w:rsidR="008D6F13" w14:paraId="19547557" w14:textId="77777777" w:rsidTr="0031078F">
        <w:tc>
          <w:tcPr>
            <w:cnfStyle w:val="001000000000" w:firstRow="0" w:lastRow="0" w:firstColumn="1" w:lastColumn="0" w:oddVBand="0" w:evenVBand="0" w:oddHBand="0" w:evenHBand="0" w:firstRowFirstColumn="0" w:firstRowLastColumn="0" w:lastRowFirstColumn="0" w:lastRowLastColumn="0"/>
            <w:tcW w:w="3780" w:type="dxa"/>
          </w:tcPr>
          <w:p w14:paraId="6D607A28" w14:textId="77777777" w:rsidR="008D6F13" w:rsidRDefault="008D6F13" w:rsidP="0031078F">
            <w:r>
              <w:rPr>
                <w:sz w:val="16"/>
              </w:rPr>
              <w:t>Other operating expenses</w:t>
            </w:r>
          </w:p>
        </w:tc>
        <w:tc>
          <w:tcPr>
            <w:tcW w:w="754" w:type="dxa"/>
          </w:tcPr>
          <w:p w14:paraId="293B3EA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10 589</w:t>
            </w:r>
          </w:p>
        </w:tc>
        <w:tc>
          <w:tcPr>
            <w:tcW w:w="794" w:type="dxa"/>
          </w:tcPr>
          <w:p w14:paraId="60E04D4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10 211</w:t>
            </w:r>
          </w:p>
        </w:tc>
        <w:tc>
          <w:tcPr>
            <w:tcW w:w="794" w:type="dxa"/>
          </w:tcPr>
          <w:p w14:paraId="1801CC9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10 876</w:t>
            </w:r>
          </w:p>
        </w:tc>
        <w:tc>
          <w:tcPr>
            <w:tcW w:w="794" w:type="dxa"/>
          </w:tcPr>
          <w:p w14:paraId="1812023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11 550</w:t>
            </w:r>
          </w:p>
        </w:tc>
        <w:tc>
          <w:tcPr>
            <w:tcW w:w="794" w:type="dxa"/>
          </w:tcPr>
          <w:p w14:paraId="05EABCA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12 083</w:t>
            </w:r>
          </w:p>
        </w:tc>
      </w:tr>
      <w:tr w:rsidR="008D6F13" w14:paraId="7A188353" w14:textId="77777777" w:rsidTr="0031078F">
        <w:tc>
          <w:tcPr>
            <w:cnfStyle w:val="001000000000" w:firstRow="0" w:lastRow="0" w:firstColumn="1" w:lastColumn="0" w:oddVBand="0" w:evenVBand="0" w:oddHBand="0" w:evenHBand="0" w:firstRowFirstColumn="0" w:firstRowLastColumn="0" w:lastRowFirstColumn="0" w:lastRowLastColumn="0"/>
            <w:tcW w:w="3780" w:type="dxa"/>
            <w:tcBorders>
              <w:bottom w:val="single" w:sz="6" w:space="0" w:color="auto"/>
            </w:tcBorders>
          </w:tcPr>
          <w:p w14:paraId="58264B31" w14:textId="77777777" w:rsidR="008D6F13" w:rsidRDefault="008D6F13" w:rsidP="0031078F">
            <w:r>
              <w:rPr>
                <w:sz w:val="16"/>
              </w:rPr>
              <w:t>Other property expenses</w:t>
            </w:r>
          </w:p>
        </w:tc>
        <w:tc>
          <w:tcPr>
            <w:tcW w:w="754" w:type="dxa"/>
            <w:tcBorders>
              <w:bottom w:val="single" w:sz="6" w:space="0" w:color="auto"/>
            </w:tcBorders>
          </w:tcPr>
          <w:p w14:paraId="501F86A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6</w:t>
            </w:r>
          </w:p>
        </w:tc>
        <w:tc>
          <w:tcPr>
            <w:tcW w:w="794" w:type="dxa"/>
            <w:tcBorders>
              <w:bottom w:val="single" w:sz="6" w:space="0" w:color="auto"/>
            </w:tcBorders>
          </w:tcPr>
          <w:p w14:paraId="647E2F3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6</w:t>
            </w:r>
          </w:p>
        </w:tc>
        <w:tc>
          <w:tcPr>
            <w:tcW w:w="794" w:type="dxa"/>
            <w:tcBorders>
              <w:bottom w:val="single" w:sz="6" w:space="0" w:color="auto"/>
            </w:tcBorders>
          </w:tcPr>
          <w:p w14:paraId="57E6AD7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8</w:t>
            </w:r>
          </w:p>
        </w:tc>
        <w:tc>
          <w:tcPr>
            <w:tcW w:w="794" w:type="dxa"/>
            <w:tcBorders>
              <w:bottom w:val="single" w:sz="6" w:space="0" w:color="auto"/>
            </w:tcBorders>
          </w:tcPr>
          <w:p w14:paraId="479AAA6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10</w:t>
            </w:r>
          </w:p>
        </w:tc>
        <w:tc>
          <w:tcPr>
            <w:tcW w:w="794" w:type="dxa"/>
            <w:tcBorders>
              <w:bottom w:val="single" w:sz="6" w:space="0" w:color="auto"/>
            </w:tcBorders>
          </w:tcPr>
          <w:p w14:paraId="1388971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10</w:t>
            </w:r>
          </w:p>
        </w:tc>
      </w:tr>
      <w:tr w:rsidR="008D6F13" w14:paraId="4594CE96" w14:textId="77777777" w:rsidTr="0031078F">
        <w:tc>
          <w:tcPr>
            <w:cnfStyle w:val="001000000000" w:firstRow="0" w:lastRow="0" w:firstColumn="1" w:lastColumn="0" w:oddVBand="0" w:evenVBand="0" w:oddHBand="0" w:evenHBand="0" w:firstRowFirstColumn="0" w:firstRowLastColumn="0" w:lastRowFirstColumn="0" w:lastRowLastColumn="0"/>
            <w:tcW w:w="3780" w:type="dxa"/>
            <w:tcBorders>
              <w:top w:val="single" w:sz="6" w:space="0" w:color="auto"/>
              <w:bottom w:val="single" w:sz="6" w:space="0" w:color="auto"/>
            </w:tcBorders>
          </w:tcPr>
          <w:p w14:paraId="1972F5AD" w14:textId="77777777" w:rsidR="008D6F13" w:rsidRDefault="008D6F13" w:rsidP="0031078F">
            <w:r>
              <w:rPr>
                <w:b/>
                <w:sz w:val="16"/>
              </w:rPr>
              <w:t>Total expenses from transactions</w:t>
            </w:r>
          </w:p>
        </w:tc>
        <w:tc>
          <w:tcPr>
            <w:tcW w:w="754" w:type="dxa"/>
            <w:tcBorders>
              <w:top w:val="single" w:sz="6" w:space="0" w:color="auto"/>
              <w:bottom w:val="single" w:sz="6" w:space="0" w:color="auto"/>
            </w:tcBorders>
          </w:tcPr>
          <w:p w14:paraId="6A479E5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14 014</w:t>
            </w:r>
          </w:p>
        </w:tc>
        <w:tc>
          <w:tcPr>
            <w:tcW w:w="794" w:type="dxa"/>
            <w:tcBorders>
              <w:top w:val="single" w:sz="6" w:space="0" w:color="auto"/>
              <w:bottom w:val="single" w:sz="6" w:space="0" w:color="auto"/>
            </w:tcBorders>
          </w:tcPr>
          <w:p w14:paraId="5891C3F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13 776</w:t>
            </w:r>
          </w:p>
        </w:tc>
        <w:tc>
          <w:tcPr>
            <w:tcW w:w="794" w:type="dxa"/>
            <w:tcBorders>
              <w:top w:val="single" w:sz="6" w:space="0" w:color="auto"/>
              <w:bottom w:val="single" w:sz="6" w:space="0" w:color="auto"/>
            </w:tcBorders>
          </w:tcPr>
          <w:p w14:paraId="6B18F26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15 100</w:t>
            </w:r>
          </w:p>
        </w:tc>
        <w:tc>
          <w:tcPr>
            <w:tcW w:w="794" w:type="dxa"/>
            <w:tcBorders>
              <w:top w:val="single" w:sz="6" w:space="0" w:color="auto"/>
              <w:bottom w:val="single" w:sz="6" w:space="0" w:color="auto"/>
            </w:tcBorders>
          </w:tcPr>
          <w:p w14:paraId="3718B21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16 743</w:t>
            </w:r>
          </w:p>
        </w:tc>
        <w:tc>
          <w:tcPr>
            <w:tcW w:w="794" w:type="dxa"/>
            <w:tcBorders>
              <w:top w:val="single" w:sz="6" w:space="0" w:color="auto"/>
              <w:bottom w:val="single" w:sz="6" w:space="0" w:color="auto"/>
            </w:tcBorders>
          </w:tcPr>
          <w:p w14:paraId="4975C1B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17 984</w:t>
            </w:r>
          </w:p>
        </w:tc>
      </w:tr>
      <w:tr w:rsidR="008D6F13" w14:paraId="6F4BCCC5" w14:textId="77777777" w:rsidTr="0031078F">
        <w:tc>
          <w:tcPr>
            <w:cnfStyle w:val="001000000000" w:firstRow="0" w:lastRow="0" w:firstColumn="1" w:lastColumn="0" w:oddVBand="0" w:evenVBand="0" w:oddHBand="0" w:evenHBand="0" w:firstRowFirstColumn="0" w:firstRowLastColumn="0" w:lastRowFirstColumn="0" w:lastRowLastColumn="0"/>
            <w:tcW w:w="3780" w:type="dxa"/>
            <w:tcBorders>
              <w:top w:val="single" w:sz="6" w:space="0" w:color="auto"/>
              <w:bottom w:val="single" w:sz="12" w:space="0" w:color="auto"/>
            </w:tcBorders>
          </w:tcPr>
          <w:p w14:paraId="78C6332B" w14:textId="77777777" w:rsidR="008D6F13" w:rsidRDefault="008D6F13" w:rsidP="0031078F">
            <w:r>
              <w:rPr>
                <w:b/>
                <w:sz w:val="16"/>
              </w:rPr>
              <w:t>Net result from transactions – net operating balance</w:t>
            </w:r>
            <w:r>
              <w:rPr>
                <w:b/>
                <w:sz w:val="16"/>
                <w:vertAlign w:val="superscript"/>
              </w:rPr>
              <w:t xml:space="preserve"> (a) </w:t>
            </w:r>
          </w:p>
        </w:tc>
        <w:tc>
          <w:tcPr>
            <w:tcW w:w="754" w:type="dxa"/>
            <w:tcBorders>
              <w:top w:val="single" w:sz="6" w:space="0" w:color="auto"/>
              <w:bottom w:val="single" w:sz="12" w:space="0" w:color="auto"/>
            </w:tcBorders>
          </w:tcPr>
          <w:p w14:paraId="66A6014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(4 625)</w:t>
            </w:r>
          </w:p>
        </w:tc>
        <w:tc>
          <w:tcPr>
            <w:tcW w:w="794" w:type="dxa"/>
            <w:tcBorders>
              <w:top w:val="single" w:sz="6" w:space="0" w:color="auto"/>
              <w:bottom w:val="single" w:sz="12" w:space="0" w:color="auto"/>
            </w:tcBorders>
          </w:tcPr>
          <w:p w14:paraId="098C59B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(3 990)</w:t>
            </w:r>
          </w:p>
        </w:tc>
        <w:tc>
          <w:tcPr>
            <w:tcW w:w="794" w:type="dxa"/>
            <w:tcBorders>
              <w:top w:val="single" w:sz="6" w:space="0" w:color="auto"/>
              <w:bottom w:val="single" w:sz="12" w:space="0" w:color="auto"/>
            </w:tcBorders>
          </w:tcPr>
          <w:p w14:paraId="685A6F2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(4 387)</w:t>
            </w:r>
          </w:p>
        </w:tc>
        <w:tc>
          <w:tcPr>
            <w:tcW w:w="794" w:type="dxa"/>
            <w:tcBorders>
              <w:top w:val="single" w:sz="6" w:space="0" w:color="auto"/>
              <w:bottom w:val="single" w:sz="12" w:space="0" w:color="auto"/>
            </w:tcBorders>
          </w:tcPr>
          <w:p w14:paraId="706856A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(5 037)</w:t>
            </w:r>
          </w:p>
        </w:tc>
        <w:tc>
          <w:tcPr>
            <w:tcW w:w="794" w:type="dxa"/>
            <w:tcBorders>
              <w:top w:val="single" w:sz="6" w:space="0" w:color="auto"/>
              <w:bottom w:val="single" w:sz="12" w:space="0" w:color="auto"/>
            </w:tcBorders>
          </w:tcPr>
          <w:p w14:paraId="6DD068A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(4 737)</w:t>
            </w:r>
          </w:p>
        </w:tc>
      </w:tr>
      <w:tr w:rsidR="008D6F13" w14:paraId="14430FFE" w14:textId="77777777" w:rsidTr="0031078F">
        <w:tc>
          <w:tcPr>
            <w:cnfStyle w:val="001000000000" w:firstRow="0" w:lastRow="0" w:firstColumn="1" w:lastColumn="0" w:oddVBand="0" w:evenVBand="0" w:oddHBand="0" w:evenHBand="0" w:firstRowFirstColumn="0" w:firstRowLastColumn="0" w:lastRowFirstColumn="0" w:lastRowLastColumn="0"/>
            <w:tcW w:w="3780" w:type="dxa"/>
            <w:tcBorders>
              <w:top w:val="single" w:sz="6" w:space="0" w:color="auto"/>
            </w:tcBorders>
          </w:tcPr>
          <w:p w14:paraId="49FB9661" w14:textId="77777777" w:rsidR="008D6F13" w:rsidRDefault="008D6F13" w:rsidP="0031078F">
            <w:r>
              <w:rPr>
                <w:b/>
                <w:sz w:val="16"/>
              </w:rPr>
              <w:t>Other economic flows included in net result</w:t>
            </w:r>
          </w:p>
        </w:tc>
        <w:tc>
          <w:tcPr>
            <w:tcW w:w="754" w:type="dxa"/>
            <w:tcBorders>
              <w:top w:val="single" w:sz="6" w:space="0" w:color="auto"/>
            </w:tcBorders>
          </w:tcPr>
          <w:p w14:paraId="53C4E7F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404020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8CF178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BC613A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8EC81F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0E6B6D18" w14:textId="77777777" w:rsidTr="0031078F">
        <w:tc>
          <w:tcPr>
            <w:cnfStyle w:val="001000000000" w:firstRow="0" w:lastRow="0" w:firstColumn="1" w:lastColumn="0" w:oddVBand="0" w:evenVBand="0" w:oddHBand="0" w:evenHBand="0" w:firstRowFirstColumn="0" w:firstRowLastColumn="0" w:lastRowFirstColumn="0" w:lastRowLastColumn="0"/>
            <w:tcW w:w="3780" w:type="dxa"/>
          </w:tcPr>
          <w:p w14:paraId="6BC93147" w14:textId="77777777" w:rsidR="008D6F13" w:rsidRDefault="008D6F13" w:rsidP="0031078F">
            <w:r>
              <w:rPr>
                <w:sz w:val="16"/>
              </w:rPr>
              <w:t>Net gain/(loss) on financial assets or liabilities at fair value</w:t>
            </w:r>
          </w:p>
        </w:tc>
        <w:tc>
          <w:tcPr>
            <w:tcW w:w="754" w:type="dxa"/>
          </w:tcPr>
          <w:p w14:paraId="20745ED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457</w:t>
            </w:r>
          </w:p>
        </w:tc>
        <w:tc>
          <w:tcPr>
            <w:tcW w:w="794" w:type="dxa"/>
          </w:tcPr>
          <w:p w14:paraId="2B6817A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120</w:t>
            </w:r>
          </w:p>
        </w:tc>
        <w:tc>
          <w:tcPr>
            <w:tcW w:w="794" w:type="dxa"/>
          </w:tcPr>
          <w:p w14:paraId="53614E6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462</w:t>
            </w:r>
          </w:p>
        </w:tc>
        <w:tc>
          <w:tcPr>
            <w:tcW w:w="794" w:type="dxa"/>
          </w:tcPr>
          <w:p w14:paraId="570A416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367</w:t>
            </w:r>
          </w:p>
        </w:tc>
        <w:tc>
          <w:tcPr>
            <w:tcW w:w="794" w:type="dxa"/>
          </w:tcPr>
          <w:p w14:paraId="3F7BE0C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882</w:t>
            </w:r>
          </w:p>
        </w:tc>
      </w:tr>
      <w:tr w:rsidR="008D6F13" w14:paraId="7DB2BCB0" w14:textId="77777777" w:rsidTr="0031078F">
        <w:tc>
          <w:tcPr>
            <w:cnfStyle w:val="001000000000" w:firstRow="0" w:lastRow="0" w:firstColumn="1" w:lastColumn="0" w:oddVBand="0" w:evenVBand="0" w:oddHBand="0" w:evenHBand="0" w:firstRowFirstColumn="0" w:firstRowLastColumn="0" w:lastRowFirstColumn="0" w:lastRowLastColumn="0"/>
            <w:tcW w:w="3780" w:type="dxa"/>
            <w:tcBorders>
              <w:bottom w:val="single" w:sz="6" w:space="0" w:color="auto"/>
            </w:tcBorders>
          </w:tcPr>
          <w:p w14:paraId="4A44DEAD" w14:textId="77777777" w:rsidR="008D6F13" w:rsidRDefault="008D6F13" w:rsidP="0031078F">
            <w:r>
              <w:rPr>
                <w:sz w:val="16"/>
              </w:rPr>
              <w:t>Other gains/(losses) from other economic flows</w:t>
            </w:r>
          </w:p>
        </w:tc>
        <w:tc>
          <w:tcPr>
            <w:tcW w:w="754" w:type="dxa"/>
            <w:tcBorders>
              <w:bottom w:val="single" w:sz="6" w:space="0" w:color="auto"/>
            </w:tcBorders>
          </w:tcPr>
          <w:p w14:paraId="4F1F6C1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1 966</w:t>
            </w:r>
          </w:p>
        </w:tc>
        <w:tc>
          <w:tcPr>
            <w:tcW w:w="794" w:type="dxa"/>
            <w:tcBorders>
              <w:bottom w:val="single" w:sz="6" w:space="0" w:color="auto"/>
            </w:tcBorders>
          </w:tcPr>
          <w:p w14:paraId="03826EA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1 489</w:t>
            </w:r>
          </w:p>
        </w:tc>
        <w:tc>
          <w:tcPr>
            <w:tcW w:w="794" w:type="dxa"/>
            <w:tcBorders>
              <w:bottom w:val="single" w:sz="6" w:space="0" w:color="auto"/>
            </w:tcBorders>
          </w:tcPr>
          <w:p w14:paraId="3DDB83F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1 826</w:t>
            </w:r>
          </w:p>
        </w:tc>
        <w:tc>
          <w:tcPr>
            <w:tcW w:w="794" w:type="dxa"/>
            <w:tcBorders>
              <w:bottom w:val="single" w:sz="6" w:space="0" w:color="auto"/>
            </w:tcBorders>
          </w:tcPr>
          <w:p w14:paraId="2961596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2 156</w:t>
            </w:r>
          </w:p>
        </w:tc>
        <w:tc>
          <w:tcPr>
            <w:tcW w:w="794" w:type="dxa"/>
            <w:tcBorders>
              <w:bottom w:val="single" w:sz="6" w:space="0" w:color="auto"/>
            </w:tcBorders>
          </w:tcPr>
          <w:p w14:paraId="16B01F7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1 973</w:t>
            </w:r>
          </w:p>
        </w:tc>
      </w:tr>
      <w:tr w:rsidR="008D6F13" w14:paraId="3CF8CA4C" w14:textId="77777777" w:rsidTr="0031078F">
        <w:tc>
          <w:tcPr>
            <w:cnfStyle w:val="001000000000" w:firstRow="0" w:lastRow="0" w:firstColumn="1" w:lastColumn="0" w:oddVBand="0" w:evenVBand="0" w:oddHBand="0" w:evenHBand="0" w:firstRowFirstColumn="0" w:firstRowLastColumn="0" w:lastRowFirstColumn="0" w:lastRowLastColumn="0"/>
            <w:tcW w:w="3780" w:type="dxa"/>
            <w:tcBorders>
              <w:top w:val="single" w:sz="6" w:space="0" w:color="auto"/>
              <w:bottom w:val="single" w:sz="6" w:space="0" w:color="auto"/>
            </w:tcBorders>
          </w:tcPr>
          <w:p w14:paraId="4CFDA432" w14:textId="77777777" w:rsidR="008D6F13" w:rsidRDefault="008D6F13" w:rsidP="0031078F">
            <w:r>
              <w:rPr>
                <w:b/>
                <w:sz w:val="16"/>
              </w:rPr>
              <w:t>Total other economic flows included in net result</w:t>
            </w:r>
          </w:p>
        </w:tc>
        <w:tc>
          <w:tcPr>
            <w:tcW w:w="754" w:type="dxa"/>
            <w:tcBorders>
              <w:top w:val="single" w:sz="6" w:space="0" w:color="auto"/>
              <w:bottom w:val="single" w:sz="6" w:space="0" w:color="auto"/>
            </w:tcBorders>
          </w:tcPr>
          <w:p w14:paraId="3991008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2 423</w:t>
            </w:r>
          </w:p>
        </w:tc>
        <w:tc>
          <w:tcPr>
            <w:tcW w:w="794" w:type="dxa"/>
            <w:tcBorders>
              <w:top w:val="single" w:sz="6" w:space="0" w:color="auto"/>
              <w:bottom w:val="single" w:sz="6" w:space="0" w:color="auto"/>
            </w:tcBorders>
          </w:tcPr>
          <w:p w14:paraId="0ACE509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1 608</w:t>
            </w:r>
          </w:p>
        </w:tc>
        <w:tc>
          <w:tcPr>
            <w:tcW w:w="794" w:type="dxa"/>
            <w:tcBorders>
              <w:top w:val="single" w:sz="6" w:space="0" w:color="auto"/>
              <w:bottom w:val="single" w:sz="6" w:space="0" w:color="auto"/>
            </w:tcBorders>
          </w:tcPr>
          <w:p w14:paraId="27F6ECB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2 288</w:t>
            </w:r>
          </w:p>
        </w:tc>
        <w:tc>
          <w:tcPr>
            <w:tcW w:w="794" w:type="dxa"/>
            <w:tcBorders>
              <w:top w:val="single" w:sz="6" w:space="0" w:color="auto"/>
              <w:bottom w:val="single" w:sz="6" w:space="0" w:color="auto"/>
            </w:tcBorders>
          </w:tcPr>
          <w:p w14:paraId="46E3772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2 522</w:t>
            </w:r>
          </w:p>
        </w:tc>
        <w:tc>
          <w:tcPr>
            <w:tcW w:w="794" w:type="dxa"/>
            <w:tcBorders>
              <w:top w:val="single" w:sz="6" w:space="0" w:color="auto"/>
              <w:bottom w:val="single" w:sz="6" w:space="0" w:color="auto"/>
            </w:tcBorders>
          </w:tcPr>
          <w:p w14:paraId="1F5FE59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2 855</w:t>
            </w:r>
          </w:p>
        </w:tc>
      </w:tr>
      <w:tr w:rsidR="008D6F13" w14:paraId="2873E7E1" w14:textId="77777777" w:rsidTr="0031078F">
        <w:tc>
          <w:tcPr>
            <w:cnfStyle w:val="001000000000" w:firstRow="0" w:lastRow="0" w:firstColumn="1" w:lastColumn="0" w:oddVBand="0" w:evenVBand="0" w:oddHBand="0" w:evenHBand="0" w:firstRowFirstColumn="0" w:firstRowLastColumn="0" w:lastRowFirstColumn="0" w:lastRowLastColumn="0"/>
            <w:tcW w:w="3780" w:type="dxa"/>
            <w:tcBorders>
              <w:top w:val="single" w:sz="6" w:space="0" w:color="auto"/>
              <w:bottom w:val="single" w:sz="12" w:space="0" w:color="auto"/>
            </w:tcBorders>
          </w:tcPr>
          <w:p w14:paraId="2F758EAA" w14:textId="77777777" w:rsidR="008D6F13" w:rsidRDefault="008D6F13" w:rsidP="0031078F">
            <w:r>
              <w:rPr>
                <w:b/>
                <w:sz w:val="16"/>
              </w:rPr>
              <w:t>Net result</w:t>
            </w:r>
          </w:p>
        </w:tc>
        <w:tc>
          <w:tcPr>
            <w:tcW w:w="754" w:type="dxa"/>
            <w:tcBorders>
              <w:top w:val="single" w:sz="6" w:space="0" w:color="auto"/>
              <w:bottom w:val="single" w:sz="12" w:space="0" w:color="auto"/>
            </w:tcBorders>
          </w:tcPr>
          <w:p w14:paraId="4BEEED6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(2 203)</w:t>
            </w:r>
          </w:p>
        </w:tc>
        <w:tc>
          <w:tcPr>
            <w:tcW w:w="794" w:type="dxa"/>
            <w:tcBorders>
              <w:top w:val="single" w:sz="6" w:space="0" w:color="auto"/>
              <w:bottom w:val="single" w:sz="12" w:space="0" w:color="auto"/>
            </w:tcBorders>
          </w:tcPr>
          <w:p w14:paraId="2816FDA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(2 382)</w:t>
            </w:r>
          </w:p>
        </w:tc>
        <w:tc>
          <w:tcPr>
            <w:tcW w:w="794" w:type="dxa"/>
            <w:tcBorders>
              <w:top w:val="single" w:sz="6" w:space="0" w:color="auto"/>
              <w:bottom w:val="single" w:sz="12" w:space="0" w:color="auto"/>
            </w:tcBorders>
          </w:tcPr>
          <w:p w14:paraId="150E036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(2 099)</w:t>
            </w:r>
          </w:p>
        </w:tc>
        <w:tc>
          <w:tcPr>
            <w:tcW w:w="794" w:type="dxa"/>
            <w:tcBorders>
              <w:top w:val="single" w:sz="6" w:space="0" w:color="auto"/>
              <w:bottom w:val="single" w:sz="12" w:space="0" w:color="auto"/>
            </w:tcBorders>
          </w:tcPr>
          <w:p w14:paraId="55A64DE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(2 514)</w:t>
            </w:r>
          </w:p>
        </w:tc>
        <w:tc>
          <w:tcPr>
            <w:tcW w:w="794" w:type="dxa"/>
            <w:tcBorders>
              <w:top w:val="single" w:sz="6" w:space="0" w:color="auto"/>
              <w:bottom w:val="single" w:sz="12" w:space="0" w:color="auto"/>
            </w:tcBorders>
          </w:tcPr>
          <w:p w14:paraId="68087B6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(1 883)</w:t>
            </w:r>
          </w:p>
        </w:tc>
      </w:tr>
      <w:tr w:rsidR="008D6F13" w14:paraId="783264F9" w14:textId="77777777" w:rsidTr="0031078F">
        <w:tc>
          <w:tcPr>
            <w:cnfStyle w:val="001000000000" w:firstRow="0" w:lastRow="0" w:firstColumn="1" w:lastColumn="0" w:oddVBand="0" w:evenVBand="0" w:oddHBand="0" w:evenHBand="0" w:firstRowFirstColumn="0" w:firstRowLastColumn="0" w:lastRowFirstColumn="0" w:lastRowLastColumn="0"/>
            <w:tcW w:w="3780" w:type="dxa"/>
            <w:tcBorders>
              <w:top w:val="single" w:sz="6" w:space="0" w:color="auto"/>
            </w:tcBorders>
          </w:tcPr>
          <w:p w14:paraId="01937012" w14:textId="77777777" w:rsidR="008D6F13" w:rsidRDefault="008D6F13" w:rsidP="0031078F">
            <w:r>
              <w:rPr>
                <w:b/>
                <w:sz w:val="16"/>
              </w:rPr>
              <w:t>Other economic flows – other comprehensive income</w:t>
            </w:r>
          </w:p>
        </w:tc>
        <w:tc>
          <w:tcPr>
            <w:tcW w:w="754" w:type="dxa"/>
            <w:tcBorders>
              <w:top w:val="single" w:sz="6" w:space="0" w:color="auto"/>
            </w:tcBorders>
          </w:tcPr>
          <w:p w14:paraId="103F010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C178D5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E96042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C294D1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77F42C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20A30253" w14:textId="77777777" w:rsidTr="0031078F">
        <w:tc>
          <w:tcPr>
            <w:cnfStyle w:val="001000000000" w:firstRow="0" w:lastRow="0" w:firstColumn="1" w:lastColumn="0" w:oddVBand="0" w:evenVBand="0" w:oddHBand="0" w:evenHBand="0" w:firstRowFirstColumn="0" w:firstRowLastColumn="0" w:lastRowFirstColumn="0" w:lastRowLastColumn="0"/>
            <w:tcW w:w="3780" w:type="dxa"/>
          </w:tcPr>
          <w:p w14:paraId="40588EA1" w14:textId="77777777" w:rsidR="008D6F13" w:rsidRDefault="008D6F13" w:rsidP="0031078F">
            <w:r>
              <w:rPr>
                <w:b/>
                <w:sz w:val="16"/>
              </w:rPr>
              <w:t>Items that will not be reclassified to net result</w:t>
            </w:r>
          </w:p>
        </w:tc>
        <w:tc>
          <w:tcPr>
            <w:tcW w:w="754" w:type="dxa"/>
          </w:tcPr>
          <w:p w14:paraId="20649F2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F3ADE9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079C9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B27B56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D66825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343D3FAC" w14:textId="77777777" w:rsidTr="0031078F">
        <w:tc>
          <w:tcPr>
            <w:cnfStyle w:val="001000000000" w:firstRow="0" w:lastRow="0" w:firstColumn="1" w:lastColumn="0" w:oddVBand="0" w:evenVBand="0" w:oddHBand="0" w:evenHBand="0" w:firstRowFirstColumn="0" w:firstRowLastColumn="0" w:lastRowFirstColumn="0" w:lastRowLastColumn="0"/>
            <w:tcW w:w="3780" w:type="dxa"/>
          </w:tcPr>
          <w:p w14:paraId="289CDEE7" w14:textId="77777777" w:rsidR="008D6F13" w:rsidRDefault="008D6F13" w:rsidP="0031078F">
            <w:r>
              <w:rPr>
                <w:sz w:val="16"/>
              </w:rPr>
              <w:t>Other movements in equity</w:t>
            </w:r>
          </w:p>
        </w:tc>
        <w:tc>
          <w:tcPr>
            <w:tcW w:w="754" w:type="dxa"/>
          </w:tcPr>
          <w:p w14:paraId="252018F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w:t>
            </w:r>
          </w:p>
        </w:tc>
        <w:tc>
          <w:tcPr>
            <w:tcW w:w="794" w:type="dxa"/>
          </w:tcPr>
          <w:p w14:paraId="5B6A756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w:t>
            </w:r>
          </w:p>
        </w:tc>
        <w:tc>
          <w:tcPr>
            <w:tcW w:w="794" w:type="dxa"/>
          </w:tcPr>
          <w:p w14:paraId="1E27AB3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13</w:t>
            </w:r>
          </w:p>
        </w:tc>
        <w:tc>
          <w:tcPr>
            <w:tcW w:w="794" w:type="dxa"/>
          </w:tcPr>
          <w:p w14:paraId="72DF536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12</w:t>
            </w:r>
          </w:p>
        </w:tc>
        <w:tc>
          <w:tcPr>
            <w:tcW w:w="794" w:type="dxa"/>
          </w:tcPr>
          <w:p w14:paraId="7C8FD07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12</w:t>
            </w:r>
          </w:p>
        </w:tc>
      </w:tr>
      <w:tr w:rsidR="008D6F13" w14:paraId="4B4B5FB3" w14:textId="77777777" w:rsidTr="0031078F">
        <w:tc>
          <w:tcPr>
            <w:cnfStyle w:val="001000000000" w:firstRow="0" w:lastRow="0" w:firstColumn="1" w:lastColumn="0" w:oddVBand="0" w:evenVBand="0" w:oddHBand="0" w:evenHBand="0" w:firstRowFirstColumn="0" w:firstRowLastColumn="0" w:lastRowFirstColumn="0" w:lastRowLastColumn="0"/>
            <w:tcW w:w="3780" w:type="dxa"/>
            <w:tcBorders>
              <w:top w:val="single" w:sz="6" w:space="0" w:color="auto"/>
              <w:bottom w:val="single" w:sz="6" w:space="0" w:color="auto"/>
            </w:tcBorders>
          </w:tcPr>
          <w:p w14:paraId="2CC06641" w14:textId="77777777" w:rsidR="008D6F13" w:rsidRDefault="008D6F13" w:rsidP="0031078F">
            <w:r>
              <w:rPr>
                <w:b/>
                <w:sz w:val="16"/>
              </w:rPr>
              <w:t xml:space="preserve">Total other economic flows – </w:t>
            </w:r>
            <w:r>
              <w:rPr>
                <w:b/>
                <w:sz w:val="16"/>
              </w:rPr>
              <w:br/>
              <w:t>other comprehensive income</w:t>
            </w:r>
          </w:p>
        </w:tc>
        <w:tc>
          <w:tcPr>
            <w:tcW w:w="754" w:type="dxa"/>
            <w:tcBorders>
              <w:top w:val="single" w:sz="6" w:space="0" w:color="auto"/>
              <w:bottom w:val="single" w:sz="6" w:space="0" w:color="auto"/>
            </w:tcBorders>
          </w:tcPr>
          <w:p w14:paraId="6C1F8B0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w:t>
            </w:r>
          </w:p>
        </w:tc>
        <w:tc>
          <w:tcPr>
            <w:tcW w:w="794" w:type="dxa"/>
            <w:tcBorders>
              <w:top w:val="single" w:sz="6" w:space="0" w:color="auto"/>
              <w:bottom w:val="single" w:sz="6" w:space="0" w:color="auto"/>
            </w:tcBorders>
          </w:tcPr>
          <w:p w14:paraId="1124727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w:t>
            </w:r>
          </w:p>
        </w:tc>
        <w:tc>
          <w:tcPr>
            <w:tcW w:w="794" w:type="dxa"/>
            <w:tcBorders>
              <w:top w:val="single" w:sz="6" w:space="0" w:color="auto"/>
              <w:bottom w:val="single" w:sz="6" w:space="0" w:color="auto"/>
            </w:tcBorders>
          </w:tcPr>
          <w:p w14:paraId="3E4815A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13</w:t>
            </w:r>
          </w:p>
        </w:tc>
        <w:tc>
          <w:tcPr>
            <w:tcW w:w="794" w:type="dxa"/>
            <w:tcBorders>
              <w:top w:val="single" w:sz="6" w:space="0" w:color="auto"/>
              <w:bottom w:val="single" w:sz="6" w:space="0" w:color="auto"/>
            </w:tcBorders>
          </w:tcPr>
          <w:p w14:paraId="6E725F2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12</w:t>
            </w:r>
          </w:p>
        </w:tc>
        <w:tc>
          <w:tcPr>
            <w:tcW w:w="794" w:type="dxa"/>
            <w:tcBorders>
              <w:top w:val="single" w:sz="6" w:space="0" w:color="auto"/>
              <w:bottom w:val="single" w:sz="6" w:space="0" w:color="auto"/>
            </w:tcBorders>
          </w:tcPr>
          <w:p w14:paraId="34B97F0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12</w:t>
            </w:r>
          </w:p>
        </w:tc>
      </w:tr>
      <w:tr w:rsidR="008D6F13" w14:paraId="77BFD61C" w14:textId="77777777" w:rsidTr="0031078F">
        <w:tc>
          <w:tcPr>
            <w:cnfStyle w:val="001000000000" w:firstRow="0" w:lastRow="0" w:firstColumn="1" w:lastColumn="0" w:oddVBand="0" w:evenVBand="0" w:oddHBand="0" w:evenHBand="0" w:firstRowFirstColumn="0" w:firstRowLastColumn="0" w:lastRowFirstColumn="0" w:lastRowLastColumn="0"/>
            <w:tcW w:w="3780" w:type="dxa"/>
            <w:tcBorders>
              <w:top w:val="single" w:sz="6" w:space="0" w:color="auto"/>
              <w:bottom w:val="single" w:sz="12" w:space="0" w:color="auto"/>
            </w:tcBorders>
          </w:tcPr>
          <w:p w14:paraId="25A3314B" w14:textId="77777777" w:rsidR="008D6F13" w:rsidRDefault="008D6F13" w:rsidP="0031078F">
            <w:r>
              <w:rPr>
                <w:b/>
                <w:sz w:val="16"/>
              </w:rPr>
              <w:t>Comprehensive result – total change in net worth</w:t>
            </w:r>
          </w:p>
        </w:tc>
        <w:tc>
          <w:tcPr>
            <w:tcW w:w="754" w:type="dxa"/>
            <w:tcBorders>
              <w:top w:val="single" w:sz="6" w:space="0" w:color="auto"/>
              <w:bottom w:val="single" w:sz="12" w:space="0" w:color="auto"/>
            </w:tcBorders>
          </w:tcPr>
          <w:p w14:paraId="00A6C6D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(2 204)</w:t>
            </w:r>
          </w:p>
        </w:tc>
        <w:tc>
          <w:tcPr>
            <w:tcW w:w="794" w:type="dxa"/>
            <w:tcBorders>
              <w:top w:val="single" w:sz="6" w:space="0" w:color="auto"/>
              <w:bottom w:val="single" w:sz="12" w:space="0" w:color="auto"/>
            </w:tcBorders>
          </w:tcPr>
          <w:p w14:paraId="1927E41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(2 382)</w:t>
            </w:r>
          </w:p>
        </w:tc>
        <w:tc>
          <w:tcPr>
            <w:tcW w:w="794" w:type="dxa"/>
            <w:tcBorders>
              <w:top w:val="single" w:sz="6" w:space="0" w:color="auto"/>
              <w:bottom w:val="single" w:sz="12" w:space="0" w:color="auto"/>
            </w:tcBorders>
          </w:tcPr>
          <w:p w14:paraId="2A668EC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(2 086)</w:t>
            </w:r>
          </w:p>
        </w:tc>
        <w:tc>
          <w:tcPr>
            <w:tcW w:w="794" w:type="dxa"/>
            <w:tcBorders>
              <w:top w:val="single" w:sz="6" w:space="0" w:color="auto"/>
              <w:bottom w:val="single" w:sz="12" w:space="0" w:color="auto"/>
            </w:tcBorders>
          </w:tcPr>
          <w:p w14:paraId="3B80BC7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(2 502)</w:t>
            </w:r>
          </w:p>
        </w:tc>
        <w:tc>
          <w:tcPr>
            <w:tcW w:w="794" w:type="dxa"/>
            <w:tcBorders>
              <w:top w:val="single" w:sz="6" w:space="0" w:color="auto"/>
              <w:bottom w:val="single" w:sz="12" w:space="0" w:color="auto"/>
            </w:tcBorders>
          </w:tcPr>
          <w:p w14:paraId="54CA80E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(1 870)</w:t>
            </w:r>
          </w:p>
        </w:tc>
      </w:tr>
      <w:tr w:rsidR="008D6F13" w14:paraId="7F12167E" w14:textId="77777777" w:rsidTr="0031078F">
        <w:trPr>
          <w:trHeight w:hRule="exact" w:val="113"/>
        </w:trPr>
        <w:tc>
          <w:tcPr>
            <w:cnfStyle w:val="001000000000" w:firstRow="0" w:lastRow="0" w:firstColumn="1" w:lastColumn="0" w:oddVBand="0" w:evenVBand="0" w:oddHBand="0" w:evenHBand="0" w:firstRowFirstColumn="0" w:firstRowLastColumn="0" w:lastRowFirstColumn="0" w:lastRowLastColumn="0"/>
            <w:tcW w:w="3780" w:type="dxa"/>
            <w:tcBorders>
              <w:top w:val="single" w:sz="6" w:space="0" w:color="auto"/>
            </w:tcBorders>
          </w:tcPr>
          <w:p w14:paraId="1585F938" w14:textId="77777777" w:rsidR="008D6F13" w:rsidRDefault="008D6F13" w:rsidP="0031078F"/>
        </w:tc>
        <w:tc>
          <w:tcPr>
            <w:tcW w:w="754" w:type="dxa"/>
            <w:tcBorders>
              <w:top w:val="single" w:sz="6" w:space="0" w:color="auto"/>
            </w:tcBorders>
          </w:tcPr>
          <w:p w14:paraId="4FB6955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A8CD73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8294F4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3D3C2D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DE5AC5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3B6F7D53" w14:textId="77777777" w:rsidTr="0031078F">
        <w:tc>
          <w:tcPr>
            <w:cnfStyle w:val="001000000000" w:firstRow="0" w:lastRow="0" w:firstColumn="1" w:lastColumn="0" w:oddVBand="0" w:evenVBand="0" w:oddHBand="0" w:evenHBand="0" w:firstRowFirstColumn="0" w:firstRowLastColumn="0" w:lastRowFirstColumn="0" w:lastRowLastColumn="0"/>
            <w:tcW w:w="3780" w:type="dxa"/>
          </w:tcPr>
          <w:p w14:paraId="73F5CE24" w14:textId="77777777" w:rsidR="008D6F13" w:rsidRDefault="008D6F13" w:rsidP="0031078F">
            <w:r>
              <w:rPr>
                <w:b/>
                <w:sz w:val="16"/>
              </w:rPr>
              <w:t>KEY FISCAL AGGREGATES</w:t>
            </w:r>
          </w:p>
        </w:tc>
        <w:tc>
          <w:tcPr>
            <w:tcW w:w="754" w:type="dxa"/>
          </w:tcPr>
          <w:p w14:paraId="37F22A5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04F682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15AA4F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D78401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93EDB4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3E0A210B" w14:textId="77777777" w:rsidTr="0031078F">
        <w:tc>
          <w:tcPr>
            <w:cnfStyle w:val="001000000000" w:firstRow="0" w:lastRow="0" w:firstColumn="1" w:lastColumn="0" w:oddVBand="0" w:evenVBand="0" w:oddHBand="0" w:evenHBand="0" w:firstRowFirstColumn="0" w:firstRowLastColumn="0" w:lastRowFirstColumn="0" w:lastRowLastColumn="0"/>
            <w:tcW w:w="3780" w:type="dxa"/>
          </w:tcPr>
          <w:p w14:paraId="3F27B205" w14:textId="77777777" w:rsidR="008D6F13" w:rsidRDefault="008D6F13" w:rsidP="0031078F">
            <w:r>
              <w:rPr>
                <w:b/>
                <w:sz w:val="16"/>
              </w:rPr>
              <w:t>Net operating balance</w:t>
            </w:r>
          </w:p>
        </w:tc>
        <w:tc>
          <w:tcPr>
            <w:tcW w:w="754" w:type="dxa"/>
          </w:tcPr>
          <w:p w14:paraId="70E52DA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(4 625)</w:t>
            </w:r>
          </w:p>
        </w:tc>
        <w:tc>
          <w:tcPr>
            <w:tcW w:w="794" w:type="dxa"/>
          </w:tcPr>
          <w:p w14:paraId="23143BB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(3 990)</w:t>
            </w:r>
          </w:p>
        </w:tc>
        <w:tc>
          <w:tcPr>
            <w:tcW w:w="794" w:type="dxa"/>
          </w:tcPr>
          <w:p w14:paraId="5A4417E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(4 387)</w:t>
            </w:r>
          </w:p>
        </w:tc>
        <w:tc>
          <w:tcPr>
            <w:tcW w:w="794" w:type="dxa"/>
          </w:tcPr>
          <w:p w14:paraId="0156B24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(5 037)</w:t>
            </w:r>
          </w:p>
        </w:tc>
        <w:tc>
          <w:tcPr>
            <w:tcW w:w="794" w:type="dxa"/>
          </w:tcPr>
          <w:p w14:paraId="7601CC5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(4 737)</w:t>
            </w:r>
          </w:p>
        </w:tc>
      </w:tr>
      <w:tr w:rsidR="008D6F13" w14:paraId="7CA6A356" w14:textId="77777777" w:rsidTr="0031078F">
        <w:tc>
          <w:tcPr>
            <w:cnfStyle w:val="001000000000" w:firstRow="0" w:lastRow="0" w:firstColumn="1" w:lastColumn="0" w:oddVBand="0" w:evenVBand="0" w:oddHBand="0" w:evenHBand="0" w:firstRowFirstColumn="0" w:firstRowLastColumn="0" w:lastRowFirstColumn="0" w:lastRowLastColumn="0"/>
            <w:tcW w:w="3780" w:type="dxa"/>
            <w:tcBorders>
              <w:bottom w:val="single" w:sz="6" w:space="0" w:color="auto"/>
            </w:tcBorders>
          </w:tcPr>
          <w:p w14:paraId="25A281C8" w14:textId="77777777" w:rsidR="008D6F13" w:rsidRDefault="008D6F13" w:rsidP="0031078F">
            <w:r>
              <w:rPr>
                <w:sz w:val="16"/>
              </w:rPr>
              <w:t>Less: Net acquisition of non</w:t>
            </w:r>
            <w:r>
              <w:rPr>
                <w:sz w:val="16"/>
              </w:rPr>
              <w:noBreakHyphen/>
              <w:t>financial assets from transactions</w:t>
            </w:r>
          </w:p>
        </w:tc>
        <w:tc>
          <w:tcPr>
            <w:tcW w:w="754" w:type="dxa"/>
            <w:tcBorders>
              <w:bottom w:val="single" w:sz="6" w:space="0" w:color="auto"/>
            </w:tcBorders>
          </w:tcPr>
          <w:p w14:paraId="6659A6E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74</w:t>
            </w:r>
          </w:p>
        </w:tc>
        <w:tc>
          <w:tcPr>
            <w:tcW w:w="794" w:type="dxa"/>
            <w:tcBorders>
              <w:bottom w:val="single" w:sz="6" w:space="0" w:color="auto"/>
            </w:tcBorders>
          </w:tcPr>
          <w:p w14:paraId="1863DBA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183</w:t>
            </w:r>
          </w:p>
        </w:tc>
        <w:tc>
          <w:tcPr>
            <w:tcW w:w="794" w:type="dxa"/>
            <w:tcBorders>
              <w:bottom w:val="single" w:sz="6" w:space="0" w:color="auto"/>
            </w:tcBorders>
          </w:tcPr>
          <w:p w14:paraId="49EF892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41</w:t>
            </w:r>
          </w:p>
        </w:tc>
        <w:tc>
          <w:tcPr>
            <w:tcW w:w="794" w:type="dxa"/>
            <w:tcBorders>
              <w:bottom w:val="single" w:sz="6" w:space="0" w:color="auto"/>
            </w:tcBorders>
          </w:tcPr>
          <w:p w14:paraId="056DD9C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w:t>
            </w:r>
          </w:p>
        </w:tc>
        <w:tc>
          <w:tcPr>
            <w:tcW w:w="794" w:type="dxa"/>
            <w:tcBorders>
              <w:bottom w:val="single" w:sz="6" w:space="0" w:color="auto"/>
            </w:tcBorders>
          </w:tcPr>
          <w:p w14:paraId="6247EEF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w:t>
            </w:r>
          </w:p>
        </w:tc>
      </w:tr>
      <w:tr w:rsidR="008D6F13" w14:paraId="40824AF2" w14:textId="77777777" w:rsidTr="0031078F">
        <w:tc>
          <w:tcPr>
            <w:cnfStyle w:val="001000000000" w:firstRow="0" w:lastRow="0" w:firstColumn="1" w:lastColumn="0" w:oddVBand="0" w:evenVBand="0" w:oddHBand="0" w:evenHBand="0" w:firstRowFirstColumn="0" w:firstRowLastColumn="0" w:lastRowFirstColumn="0" w:lastRowLastColumn="0"/>
            <w:tcW w:w="3780" w:type="dxa"/>
          </w:tcPr>
          <w:p w14:paraId="1FD509E3" w14:textId="77777777" w:rsidR="008D6F13" w:rsidRDefault="008D6F13" w:rsidP="0031078F">
            <w:r>
              <w:rPr>
                <w:b/>
                <w:sz w:val="16"/>
              </w:rPr>
              <w:t>Net lending/(borrowing)</w:t>
            </w:r>
          </w:p>
        </w:tc>
        <w:tc>
          <w:tcPr>
            <w:tcW w:w="754" w:type="dxa"/>
          </w:tcPr>
          <w:p w14:paraId="4AE915D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(4 699)</w:t>
            </w:r>
          </w:p>
        </w:tc>
        <w:tc>
          <w:tcPr>
            <w:tcW w:w="794" w:type="dxa"/>
          </w:tcPr>
          <w:p w14:paraId="6AF6D04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(4 173)</w:t>
            </w:r>
          </w:p>
        </w:tc>
        <w:tc>
          <w:tcPr>
            <w:tcW w:w="794" w:type="dxa"/>
          </w:tcPr>
          <w:p w14:paraId="19A166C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(4 427)</w:t>
            </w:r>
          </w:p>
        </w:tc>
        <w:tc>
          <w:tcPr>
            <w:tcW w:w="794" w:type="dxa"/>
          </w:tcPr>
          <w:p w14:paraId="5FF177B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(5 037)</w:t>
            </w:r>
          </w:p>
        </w:tc>
        <w:tc>
          <w:tcPr>
            <w:tcW w:w="794" w:type="dxa"/>
          </w:tcPr>
          <w:p w14:paraId="4D89F4D4" w14:textId="47EFE02B"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(4 735)</w:t>
            </w:r>
          </w:p>
        </w:tc>
      </w:tr>
    </w:tbl>
    <w:p w14:paraId="61820F43" w14:textId="77777777" w:rsidR="008D6F13" w:rsidRPr="00921F69" w:rsidRDefault="008D6F13" w:rsidP="008D6F13">
      <w:pPr>
        <w:pStyle w:val="Note"/>
        <w:ind w:left="0" w:firstLine="0"/>
        <w:rPr>
          <w:rFonts w:cstheme="majorHAnsi"/>
        </w:rPr>
      </w:pPr>
      <w:r w:rsidRPr="00921F69">
        <w:rPr>
          <w:rFonts w:cstheme="majorHAnsi"/>
        </w:rPr>
        <w:t>Note:</w:t>
      </w:r>
    </w:p>
    <w:p w14:paraId="55906604" w14:textId="77777777" w:rsidR="008D6F13" w:rsidRPr="00921F69" w:rsidRDefault="008D6F13" w:rsidP="008D6F13">
      <w:pPr>
        <w:pStyle w:val="Note"/>
        <w:rPr>
          <w:rFonts w:cstheme="majorHAnsi"/>
        </w:rPr>
      </w:pPr>
      <w:r w:rsidRPr="00921F69">
        <w:rPr>
          <w:rFonts w:cstheme="majorHAnsi"/>
        </w:rPr>
        <w:t>(a)</w:t>
      </w:r>
      <w:r w:rsidRPr="00921F69">
        <w:rPr>
          <w:rFonts w:cstheme="majorHAnsi"/>
        </w:rPr>
        <w:tab/>
      </w:r>
      <w:r>
        <w:t xml:space="preserve">Capital gains on the investment portfolios of the State’s insurance agencies (WorkSafe Victoria, Transport Accident Commission and Victorian Managed Insurance Authority) are classified as other economic flows. As these capital gains are available to fund claims expenses, the net result more meaningfully reflects the underlying operations and performance of the public financial </w:t>
      </w:r>
      <w:proofErr w:type="gramStart"/>
      <w:r>
        <w:t>corporations</w:t>
      </w:r>
      <w:proofErr w:type="gramEnd"/>
      <w:r>
        <w:t xml:space="preserve"> sector than the net result from transactions.</w:t>
      </w:r>
    </w:p>
    <w:p w14:paraId="1FA677C7" w14:textId="77777777" w:rsidR="008D6F13" w:rsidRDefault="008D6F13" w:rsidP="008D6F13">
      <w:pPr>
        <w:keepLines w:val="0"/>
        <w:rPr>
          <w:rFonts w:asciiTheme="majorHAnsi" w:hAnsiTheme="majorHAnsi" w:cstheme="majorHAnsi"/>
          <w:b/>
          <w:sz w:val="20"/>
        </w:rPr>
      </w:pPr>
      <w:r>
        <w:rPr>
          <w:rFonts w:cstheme="majorHAnsi"/>
        </w:rPr>
        <w:br w:type="page"/>
      </w:r>
    </w:p>
    <w:p w14:paraId="504DDC57" w14:textId="4CCCA21F" w:rsidR="008D6F13" w:rsidRPr="00921F69" w:rsidRDefault="008D6F13" w:rsidP="008D6F13">
      <w:pPr>
        <w:pStyle w:val="TableHeading"/>
        <w:rPr>
          <w:rFonts w:cstheme="majorHAnsi"/>
        </w:rPr>
      </w:pPr>
      <w:r w:rsidRPr="00921F69">
        <w:rPr>
          <w:rFonts w:cstheme="majorHAnsi"/>
        </w:rPr>
        <w:lastRenderedPageBreak/>
        <w:t>Table 5.12</w:t>
      </w:r>
      <w:r w:rsidR="007F1FE4">
        <w:rPr>
          <w:rFonts w:cstheme="majorHAnsi"/>
        </w:rPr>
        <w:t>:</w:t>
      </w:r>
      <w:r w:rsidRPr="00921F69">
        <w:rPr>
          <w:rFonts w:cstheme="majorHAnsi"/>
        </w:rPr>
        <w:tab/>
        <w:t xml:space="preserve">Public financial corporations sector balance sheet as </w:t>
      </w:r>
      <w:proofErr w:type="gramStart"/>
      <w:r w:rsidRPr="00921F69">
        <w:rPr>
          <w:rFonts w:cstheme="majorHAnsi"/>
        </w:rPr>
        <w:t>at</w:t>
      </w:r>
      <w:proofErr w:type="gramEnd"/>
      <w:r w:rsidRPr="00921F69">
        <w:rPr>
          <w:rFonts w:cstheme="majorHAnsi"/>
        </w:rPr>
        <w:t xml:space="preserve"> 30 June</w:t>
      </w:r>
      <w:r w:rsidRPr="00921F69">
        <w:rPr>
          <w:rFonts w:cstheme="majorHAnsi"/>
        </w:rPr>
        <w:tab/>
        <w:t>($ million)</w:t>
      </w:r>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484BB483"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560AE7A5" w14:textId="00E9D77D" w:rsidR="008D6F13" w:rsidRDefault="008D6F13" w:rsidP="0031078F"/>
        </w:tc>
        <w:tc>
          <w:tcPr>
            <w:tcW w:w="794" w:type="dxa"/>
          </w:tcPr>
          <w:p w14:paraId="7B65904F"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br/>
              <w:t>budget</w:t>
            </w:r>
            <w:r>
              <w:rPr>
                <w:vertAlign w:val="superscript"/>
              </w:rPr>
              <w:t xml:space="preserve"> (a)</w:t>
            </w:r>
          </w:p>
        </w:tc>
        <w:tc>
          <w:tcPr>
            <w:tcW w:w="794" w:type="dxa"/>
          </w:tcPr>
          <w:p w14:paraId="025E3212"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br/>
              <w:t>revised</w:t>
            </w:r>
          </w:p>
        </w:tc>
        <w:tc>
          <w:tcPr>
            <w:tcW w:w="794" w:type="dxa"/>
          </w:tcPr>
          <w:p w14:paraId="72B38A5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br/>
              <w:t>estimate</w:t>
            </w:r>
          </w:p>
        </w:tc>
        <w:tc>
          <w:tcPr>
            <w:tcW w:w="794" w:type="dxa"/>
          </w:tcPr>
          <w:p w14:paraId="6CCE44F4"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br/>
              <w:t>estimate</w:t>
            </w:r>
          </w:p>
        </w:tc>
        <w:tc>
          <w:tcPr>
            <w:tcW w:w="794" w:type="dxa"/>
          </w:tcPr>
          <w:p w14:paraId="40383B67"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2025</w:t>
            </w:r>
            <w:r>
              <w:br/>
              <w:t>estimate</w:t>
            </w:r>
          </w:p>
        </w:tc>
      </w:tr>
      <w:tr w:rsidR="008D6F13" w14:paraId="2FF2E2AB"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B58D41E" w14:textId="77777777" w:rsidR="008D6F13" w:rsidRDefault="008D6F13" w:rsidP="0031078F">
            <w:r>
              <w:rPr>
                <w:b/>
              </w:rPr>
              <w:t>Assets</w:t>
            </w:r>
          </w:p>
        </w:tc>
        <w:tc>
          <w:tcPr>
            <w:tcW w:w="794" w:type="dxa"/>
          </w:tcPr>
          <w:p w14:paraId="39CE442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919BAC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B1E3A2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1A8F0C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92A1EF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0C9D9979"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3EE740B" w14:textId="77777777" w:rsidR="008D6F13" w:rsidRDefault="008D6F13" w:rsidP="0031078F">
            <w:r>
              <w:rPr>
                <w:b/>
              </w:rPr>
              <w:t>Financial assets</w:t>
            </w:r>
          </w:p>
        </w:tc>
        <w:tc>
          <w:tcPr>
            <w:tcW w:w="794" w:type="dxa"/>
          </w:tcPr>
          <w:p w14:paraId="3DE68D2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0C1219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C32D90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5BCB15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2EC419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7C7A4595"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5157959" w14:textId="77777777" w:rsidR="008D6F13" w:rsidRDefault="008D6F13" w:rsidP="0031078F">
            <w:r>
              <w:t>Cash and deposits</w:t>
            </w:r>
          </w:p>
        </w:tc>
        <w:tc>
          <w:tcPr>
            <w:tcW w:w="794" w:type="dxa"/>
          </w:tcPr>
          <w:p w14:paraId="73DCFC4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7 901</w:t>
            </w:r>
          </w:p>
        </w:tc>
        <w:tc>
          <w:tcPr>
            <w:tcW w:w="794" w:type="dxa"/>
          </w:tcPr>
          <w:p w14:paraId="7FC6614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5 681</w:t>
            </w:r>
          </w:p>
        </w:tc>
        <w:tc>
          <w:tcPr>
            <w:tcW w:w="794" w:type="dxa"/>
          </w:tcPr>
          <w:p w14:paraId="788E601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5 963</w:t>
            </w:r>
          </w:p>
        </w:tc>
        <w:tc>
          <w:tcPr>
            <w:tcW w:w="794" w:type="dxa"/>
          </w:tcPr>
          <w:p w14:paraId="090A46D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6 179</w:t>
            </w:r>
          </w:p>
        </w:tc>
        <w:tc>
          <w:tcPr>
            <w:tcW w:w="794" w:type="dxa"/>
          </w:tcPr>
          <w:p w14:paraId="6A4BE41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6 522</w:t>
            </w:r>
          </w:p>
        </w:tc>
      </w:tr>
      <w:tr w:rsidR="008D6F13" w14:paraId="79796A8F"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9CC4F4D" w14:textId="77777777" w:rsidR="008D6F13" w:rsidRDefault="008D6F13" w:rsidP="0031078F">
            <w:r>
              <w:t>Advances paid</w:t>
            </w:r>
          </w:p>
        </w:tc>
        <w:tc>
          <w:tcPr>
            <w:tcW w:w="794" w:type="dxa"/>
          </w:tcPr>
          <w:p w14:paraId="2E0B25A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w:t>
            </w:r>
          </w:p>
        </w:tc>
        <w:tc>
          <w:tcPr>
            <w:tcW w:w="794" w:type="dxa"/>
          </w:tcPr>
          <w:p w14:paraId="7CB021B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w:t>
            </w:r>
          </w:p>
        </w:tc>
        <w:tc>
          <w:tcPr>
            <w:tcW w:w="794" w:type="dxa"/>
          </w:tcPr>
          <w:p w14:paraId="0C09CC6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w:t>
            </w:r>
          </w:p>
        </w:tc>
        <w:tc>
          <w:tcPr>
            <w:tcW w:w="794" w:type="dxa"/>
          </w:tcPr>
          <w:p w14:paraId="6EF39FB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w:t>
            </w:r>
          </w:p>
        </w:tc>
        <w:tc>
          <w:tcPr>
            <w:tcW w:w="794" w:type="dxa"/>
          </w:tcPr>
          <w:p w14:paraId="134281C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w:t>
            </w:r>
          </w:p>
        </w:tc>
      </w:tr>
      <w:tr w:rsidR="008D6F13" w14:paraId="450AD862"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1F9E3CA" w14:textId="77777777" w:rsidR="008D6F13" w:rsidRDefault="008D6F13" w:rsidP="0031078F">
            <w:r>
              <w:t>Receivables</w:t>
            </w:r>
          </w:p>
        </w:tc>
        <w:tc>
          <w:tcPr>
            <w:tcW w:w="794" w:type="dxa"/>
          </w:tcPr>
          <w:p w14:paraId="2AA48F5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2 200</w:t>
            </w:r>
          </w:p>
        </w:tc>
        <w:tc>
          <w:tcPr>
            <w:tcW w:w="794" w:type="dxa"/>
          </w:tcPr>
          <w:p w14:paraId="061B664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1 784</w:t>
            </w:r>
          </w:p>
        </w:tc>
        <w:tc>
          <w:tcPr>
            <w:tcW w:w="794" w:type="dxa"/>
          </w:tcPr>
          <w:p w14:paraId="642F86A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1 822</w:t>
            </w:r>
          </w:p>
        </w:tc>
        <w:tc>
          <w:tcPr>
            <w:tcW w:w="794" w:type="dxa"/>
          </w:tcPr>
          <w:p w14:paraId="0E4EE01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1 877</w:t>
            </w:r>
          </w:p>
        </w:tc>
        <w:tc>
          <w:tcPr>
            <w:tcW w:w="794" w:type="dxa"/>
          </w:tcPr>
          <w:p w14:paraId="02F67C4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1 940</w:t>
            </w:r>
          </w:p>
        </w:tc>
      </w:tr>
      <w:tr w:rsidR="008D6F13" w14:paraId="04FB6C5F"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C1BF59B" w14:textId="77777777" w:rsidR="008D6F13" w:rsidRDefault="008D6F13" w:rsidP="0031078F">
            <w:r>
              <w:t xml:space="preserve">Investments, </w:t>
            </w:r>
            <w:proofErr w:type="gramStart"/>
            <w:r>
              <w:t>loans</w:t>
            </w:r>
            <w:proofErr w:type="gramEnd"/>
            <w:r>
              <w:t xml:space="preserve"> and placements</w:t>
            </w:r>
          </w:p>
        </w:tc>
        <w:tc>
          <w:tcPr>
            <w:tcW w:w="794" w:type="dxa"/>
          </w:tcPr>
          <w:p w14:paraId="67AA092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42 994</w:t>
            </w:r>
          </w:p>
        </w:tc>
        <w:tc>
          <w:tcPr>
            <w:tcW w:w="794" w:type="dxa"/>
          </w:tcPr>
          <w:p w14:paraId="012E392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43 691</w:t>
            </w:r>
          </w:p>
        </w:tc>
        <w:tc>
          <w:tcPr>
            <w:tcW w:w="794" w:type="dxa"/>
          </w:tcPr>
          <w:p w14:paraId="6554073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44 243</w:t>
            </w:r>
          </w:p>
        </w:tc>
        <w:tc>
          <w:tcPr>
            <w:tcW w:w="794" w:type="dxa"/>
          </w:tcPr>
          <w:p w14:paraId="63A534E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44 748</w:t>
            </w:r>
          </w:p>
        </w:tc>
        <w:tc>
          <w:tcPr>
            <w:tcW w:w="794" w:type="dxa"/>
          </w:tcPr>
          <w:p w14:paraId="53EB4D2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45 733</w:t>
            </w:r>
          </w:p>
        </w:tc>
      </w:tr>
      <w:tr w:rsidR="008D6F13" w14:paraId="202A1EDC"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C792984" w14:textId="77777777" w:rsidR="008D6F13" w:rsidRDefault="008D6F13" w:rsidP="0031078F">
            <w:r>
              <w:t>Loans receivable from non</w:t>
            </w:r>
            <w:r>
              <w:noBreakHyphen/>
              <w:t>financial public sector</w:t>
            </w:r>
            <w:r>
              <w:rPr>
                <w:vertAlign w:val="superscript"/>
              </w:rPr>
              <w:t xml:space="preserve"> (b)</w:t>
            </w:r>
          </w:p>
        </w:tc>
        <w:tc>
          <w:tcPr>
            <w:tcW w:w="794" w:type="dxa"/>
          </w:tcPr>
          <w:p w14:paraId="0F3A7ED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105 158</w:t>
            </w:r>
          </w:p>
        </w:tc>
        <w:tc>
          <w:tcPr>
            <w:tcW w:w="794" w:type="dxa"/>
          </w:tcPr>
          <w:p w14:paraId="5221392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115 436</w:t>
            </w:r>
          </w:p>
        </w:tc>
        <w:tc>
          <w:tcPr>
            <w:tcW w:w="794" w:type="dxa"/>
          </w:tcPr>
          <w:p w14:paraId="5F9968D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133 766</w:t>
            </w:r>
          </w:p>
        </w:tc>
        <w:tc>
          <w:tcPr>
            <w:tcW w:w="794" w:type="dxa"/>
          </w:tcPr>
          <w:p w14:paraId="1B58401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158 528</w:t>
            </w:r>
          </w:p>
        </w:tc>
        <w:tc>
          <w:tcPr>
            <w:tcW w:w="794" w:type="dxa"/>
          </w:tcPr>
          <w:p w14:paraId="239EDA5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181 885</w:t>
            </w:r>
          </w:p>
        </w:tc>
      </w:tr>
      <w:tr w:rsidR="008D6F13" w14:paraId="54DF6C07"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0AEE91B3" w14:textId="77777777" w:rsidR="008D6F13" w:rsidRDefault="008D6F13" w:rsidP="0031078F">
            <w:r>
              <w:rPr>
                <w:b/>
              </w:rPr>
              <w:t>Total financial assets</w:t>
            </w:r>
          </w:p>
        </w:tc>
        <w:tc>
          <w:tcPr>
            <w:tcW w:w="794" w:type="dxa"/>
            <w:tcBorders>
              <w:top w:val="single" w:sz="6" w:space="0" w:color="auto"/>
              <w:bottom w:val="single" w:sz="6" w:space="0" w:color="auto"/>
            </w:tcBorders>
          </w:tcPr>
          <w:p w14:paraId="7D58473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158 266</w:t>
            </w:r>
          </w:p>
        </w:tc>
        <w:tc>
          <w:tcPr>
            <w:tcW w:w="794" w:type="dxa"/>
            <w:tcBorders>
              <w:top w:val="single" w:sz="6" w:space="0" w:color="auto"/>
              <w:bottom w:val="single" w:sz="6" w:space="0" w:color="auto"/>
            </w:tcBorders>
          </w:tcPr>
          <w:p w14:paraId="3EB0AB8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166 601</w:t>
            </w:r>
          </w:p>
        </w:tc>
        <w:tc>
          <w:tcPr>
            <w:tcW w:w="794" w:type="dxa"/>
            <w:tcBorders>
              <w:top w:val="single" w:sz="6" w:space="0" w:color="auto"/>
              <w:bottom w:val="single" w:sz="6" w:space="0" w:color="auto"/>
            </w:tcBorders>
          </w:tcPr>
          <w:p w14:paraId="1AB1037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185 800</w:t>
            </w:r>
          </w:p>
        </w:tc>
        <w:tc>
          <w:tcPr>
            <w:tcW w:w="794" w:type="dxa"/>
            <w:tcBorders>
              <w:top w:val="single" w:sz="6" w:space="0" w:color="auto"/>
              <w:bottom w:val="single" w:sz="6" w:space="0" w:color="auto"/>
            </w:tcBorders>
          </w:tcPr>
          <w:p w14:paraId="13DF4A5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211 337</w:t>
            </w:r>
          </w:p>
        </w:tc>
        <w:tc>
          <w:tcPr>
            <w:tcW w:w="794" w:type="dxa"/>
            <w:tcBorders>
              <w:top w:val="single" w:sz="6" w:space="0" w:color="auto"/>
              <w:bottom w:val="single" w:sz="6" w:space="0" w:color="auto"/>
            </w:tcBorders>
          </w:tcPr>
          <w:p w14:paraId="7832EDF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236 085</w:t>
            </w:r>
          </w:p>
        </w:tc>
      </w:tr>
      <w:tr w:rsidR="008D6F13" w14:paraId="6A5ADEBE"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1A401FFD" w14:textId="77777777" w:rsidR="008D6F13" w:rsidRDefault="008D6F13" w:rsidP="0031078F">
            <w:r>
              <w:rPr>
                <w:b/>
              </w:rPr>
              <w:t>Non</w:t>
            </w:r>
            <w:r>
              <w:rPr>
                <w:b/>
              </w:rPr>
              <w:noBreakHyphen/>
              <w:t>financial assets</w:t>
            </w:r>
          </w:p>
        </w:tc>
        <w:tc>
          <w:tcPr>
            <w:tcW w:w="794" w:type="dxa"/>
            <w:tcBorders>
              <w:top w:val="single" w:sz="6" w:space="0" w:color="auto"/>
            </w:tcBorders>
          </w:tcPr>
          <w:p w14:paraId="2917DF6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3E2A95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986710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5AAE2E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7CF64C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71720931"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B2009F2" w14:textId="77777777" w:rsidR="008D6F13" w:rsidRDefault="008D6F13" w:rsidP="0031078F">
            <w:r>
              <w:t xml:space="preserve">Land, buildings, infrastructure, </w:t>
            </w:r>
            <w:proofErr w:type="gramStart"/>
            <w:r>
              <w:t>plant</w:t>
            </w:r>
            <w:proofErr w:type="gramEnd"/>
            <w:r>
              <w:t xml:space="preserve"> and equipment</w:t>
            </w:r>
          </w:p>
        </w:tc>
        <w:tc>
          <w:tcPr>
            <w:tcW w:w="794" w:type="dxa"/>
          </w:tcPr>
          <w:p w14:paraId="572A6A7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358</w:t>
            </w:r>
          </w:p>
        </w:tc>
        <w:tc>
          <w:tcPr>
            <w:tcW w:w="794" w:type="dxa"/>
          </w:tcPr>
          <w:p w14:paraId="11436A7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361</w:t>
            </w:r>
          </w:p>
        </w:tc>
        <w:tc>
          <w:tcPr>
            <w:tcW w:w="794" w:type="dxa"/>
          </w:tcPr>
          <w:p w14:paraId="62582E2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329</w:t>
            </w:r>
          </w:p>
        </w:tc>
        <w:tc>
          <w:tcPr>
            <w:tcW w:w="794" w:type="dxa"/>
          </w:tcPr>
          <w:p w14:paraId="6BEF364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295</w:t>
            </w:r>
          </w:p>
        </w:tc>
        <w:tc>
          <w:tcPr>
            <w:tcW w:w="794" w:type="dxa"/>
          </w:tcPr>
          <w:p w14:paraId="53013C4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259</w:t>
            </w:r>
          </w:p>
        </w:tc>
      </w:tr>
      <w:tr w:rsidR="008D6F13" w14:paraId="1EC5720C"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3ED78CBE" w14:textId="77777777" w:rsidR="008D6F13" w:rsidRDefault="008D6F13" w:rsidP="0031078F">
            <w:r>
              <w:t>Other non</w:t>
            </w:r>
            <w:r>
              <w:noBreakHyphen/>
              <w:t>financial assets</w:t>
            </w:r>
          </w:p>
        </w:tc>
        <w:tc>
          <w:tcPr>
            <w:tcW w:w="794" w:type="dxa"/>
            <w:tcBorders>
              <w:bottom w:val="single" w:sz="6" w:space="0" w:color="auto"/>
            </w:tcBorders>
          </w:tcPr>
          <w:p w14:paraId="6E3F3D3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4 465</w:t>
            </w:r>
          </w:p>
        </w:tc>
        <w:tc>
          <w:tcPr>
            <w:tcW w:w="794" w:type="dxa"/>
            <w:tcBorders>
              <w:bottom w:val="single" w:sz="6" w:space="0" w:color="auto"/>
            </w:tcBorders>
          </w:tcPr>
          <w:p w14:paraId="0B1D8D2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4 491</w:t>
            </w:r>
          </w:p>
        </w:tc>
        <w:tc>
          <w:tcPr>
            <w:tcW w:w="794" w:type="dxa"/>
            <w:tcBorders>
              <w:bottom w:val="single" w:sz="6" w:space="0" w:color="auto"/>
            </w:tcBorders>
          </w:tcPr>
          <w:p w14:paraId="07BBEC8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5 364</w:t>
            </w:r>
          </w:p>
        </w:tc>
        <w:tc>
          <w:tcPr>
            <w:tcW w:w="794" w:type="dxa"/>
            <w:tcBorders>
              <w:bottom w:val="single" w:sz="6" w:space="0" w:color="auto"/>
            </w:tcBorders>
          </w:tcPr>
          <w:p w14:paraId="4F6EB49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6 262</w:t>
            </w:r>
          </w:p>
        </w:tc>
        <w:tc>
          <w:tcPr>
            <w:tcW w:w="794" w:type="dxa"/>
            <w:tcBorders>
              <w:bottom w:val="single" w:sz="6" w:space="0" w:color="auto"/>
            </w:tcBorders>
          </w:tcPr>
          <w:p w14:paraId="6512D6C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6 922</w:t>
            </w:r>
          </w:p>
        </w:tc>
      </w:tr>
      <w:tr w:rsidR="008D6F13" w14:paraId="4E39DBF3"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17B4F839" w14:textId="77777777" w:rsidR="008D6F13" w:rsidRDefault="008D6F13" w:rsidP="0031078F">
            <w:r>
              <w:rPr>
                <w:b/>
              </w:rPr>
              <w:t>Total non</w:t>
            </w:r>
            <w:r>
              <w:rPr>
                <w:b/>
              </w:rPr>
              <w:noBreakHyphen/>
              <w:t>financial assets</w:t>
            </w:r>
          </w:p>
        </w:tc>
        <w:tc>
          <w:tcPr>
            <w:tcW w:w="794" w:type="dxa"/>
            <w:tcBorders>
              <w:top w:val="single" w:sz="6" w:space="0" w:color="auto"/>
              <w:bottom w:val="single" w:sz="6" w:space="0" w:color="auto"/>
            </w:tcBorders>
          </w:tcPr>
          <w:p w14:paraId="14A36F9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4 823</w:t>
            </w:r>
          </w:p>
        </w:tc>
        <w:tc>
          <w:tcPr>
            <w:tcW w:w="794" w:type="dxa"/>
            <w:tcBorders>
              <w:top w:val="single" w:sz="6" w:space="0" w:color="auto"/>
              <w:bottom w:val="single" w:sz="6" w:space="0" w:color="auto"/>
            </w:tcBorders>
          </w:tcPr>
          <w:p w14:paraId="5CFC8EE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4 852</w:t>
            </w:r>
          </w:p>
        </w:tc>
        <w:tc>
          <w:tcPr>
            <w:tcW w:w="794" w:type="dxa"/>
            <w:tcBorders>
              <w:top w:val="single" w:sz="6" w:space="0" w:color="auto"/>
              <w:bottom w:val="single" w:sz="6" w:space="0" w:color="auto"/>
            </w:tcBorders>
          </w:tcPr>
          <w:p w14:paraId="600323B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5 692</w:t>
            </w:r>
          </w:p>
        </w:tc>
        <w:tc>
          <w:tcPr>
            <w:tcW w:w="794" w:type="dxa"/>
            <w:tcBorders>
              <w:top w:val="single" w:sz="6" w:space="0" w:color="auto"/>
              <w:bottom w:val="single" w:sz="6" w:space="0" w:color="auto"/>
            </w:tcBorders>
          </w:tcPr>
          <w:p w14:paraId="737DD74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6 556</w:t>
            </w:r>
          </w:p>
        </w:tc>
        <w:tc>
          <w:tcPr>
            <w:tcW w:w="794" w:type="dxa"/>
            <w:tcBorders>
              <w:top w:val="single" w:sz="6" w:space="0" w:color="auto"/>
              <w:bottom w:val="single" w:sz="6" w:space="0" w:color="auto"/>
            </w:tcBorders>
          </w:tcPr>
          <w:p w14:paraId="3DB7C62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7 182</w:t>
            </w:r>
          </w:p>
        </w:tc>
      </w:tr>
      <w:tr w:rsidR="008D6F13" w14:paraId="71074E0D"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1CB7D6F1" w14:textId="77777777" w:rsidR="008D6F13" w:rsidRDefault="008D6F13" w:rsidP="0031078F">
            <w:r>
              <w:rPr>
                <w:b/>
              </w:rPr>
              <w:t>Total assets</w:t>
            </w:r>
          </w:p>
        </w:tc>
        <w:tc>
          <w:tcPr>
            <w:tcW w:w="794" w:type="dxa"/>
            <w:tcBorders>
              <w:top w:val="single" w:sz="6" w:space="0" w:color="auto"/>
            </w:tcBorders>
          </w:tcPr>
          <w:p w14:paraId="53BD90F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163 089</w:t>
            </w:r>
          </w:p>
        </w:tc>
        <w:tc>
          <w:tcPr>
            <w:tcW w:w="794" w:type="dxa"/>
            <w:tcBorders>
              <w:top w:val="single" w:sz="6" w:space="0" w:color="auto"/>
            </w:tcBorders>
          </w:tcPr>
          <w:p w14:paraId="2A6F8DD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171 453</w:t>
            </w:r>
          </w:p>
        </w:tc>
        <w:tc>
          <w:tcPr>
            <w:tcW w:w="794" w:type="dxa"/>
            <w:tcBorders>
              <w:top w:val="single" w:sz="6" w:space="0" w:color="auto"/>
            </w:tcBorders>
          </w:tcPr>
          <w:p w14:paraId="14A1C58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191 493</w:t>
            </w:r>
          </w:p>
        </w:tc>
        <w:tc>
          <w:tcPr>
            <w:tcW w:w="794" w:type="dxa"/>
            <w:tcBorders>
              <w:top w:val="single" w:sz="6" w:space="0" w:color="auto"/>
            </w:tcBorders>
          </w:tcPr>
          <w:p w14:paraId="1D23A40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217 894</w:t>
            </w:r>
          </w:p>
        </w:tc>
        <w:tc>
          <w:tcPr>
            <w:tcW w:w="794" w:type="dxa"/>
            <w:tcBorders>
              <w:top w:val="single" w:sz="6" w:space="0" w:color="auto"/>
            </w:tcBorders>
          </w:tcPr>
          <w:p w14:paraId="7B57C40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243 266</w:t>
            </w:r>
          </w:p>
        </w:tc>
      </w:tr>
      <w:tr w:rsidR="008D6F13" w14:paraId="3DC26F74"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04A33F2" w14:textId="77777777" w:rsidR="008D6F13" w:rsidRDefault="008D6F13" w:rsidP="0031078F">
            <w:r>
              <w:rPr>
                <w:b/>
              </w:rPr>
              <w:t>Liabilities</w:t>
            </w:r>
          </w:p>
        </w:tc>
        <w:tc>
          <w:tcPr>
            <w:tcW w:w="794" w:type="dxa"/>
          </w:tcPr>
          <w:p w14:paraId="79B7A20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4D0D67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ABF817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FD7B3D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11A01C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3F2B01E9"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73A9845" w14:textId="77777777" w:rsidR="008D6F13" w:rsidRDefault="008D6F13" w:rsidP="0031078F">
            <w:r>
              <w:t>Deposits held and advances received</w:t>
            </w:r>
          </w:p>
        </w:tc>
        <w:tc>
          <w:tcPr>
            <w:tcW w:w="794" w:type="dxa"/>
          </w:tcPr>
          <w:p w14:paraId="4DF074D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261</w:t>
            </w:r>
          </w:p>
        </w:tc>
        <w:tc>
          <w:tcPr>
            <w:tcW w:w="794" w:type="dxa"/>
          </w:tcPr>
          <w:p w14:paraId="1CBE696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290</w:t>
            </w:r>
          </w:p>
        </w:tc>
        <w:tc>
          <w:tcPr>
            <w:tcW w:w="794" w:type="dxa"/>
          </w:tcPr>
          <w:p w14:paraId="4FDDF7A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286</w:t>
            </w:r>
          </w:p>
        </w:tc>
        <w:tc>
          <w:tcPr>
            <w:tcW w:w="794" w:type="dxa"/>
          </w:tcPr>
          <w:p w14:paraId="1172586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314</w:t>
            </w:r>
          </w:p>
        </w:tc>
        <w:tc>
          <w:tcPr>
            <w:tcW w:w="794" w:type="dxa"/>
          </w:tcPr>
          <w:p w14:paraId="6AB50FC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338</w:t>
            </w:r>
          </w:p>
        </w:tc>
      </w:tr>
      <w:tr w:rsidR="008D6F13" w14:paraId="6361747C"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FF51F75" w14:textId="77777777" w:rsidR="008D6F13" w:rsidRDefault="008D6F13" w:rsidP="0031078F">
            <w:r>
              <w:t>Payables</w:t>
            </w:r>
          </w:p>
        </w:tc>
        <w:tc>
          <w:tcPr>
            <w:tcW w:w="794" w:type="dxa"/>
          </w:tcPr>
          <w:p w14:paraId="29C4C73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2 668</w:t>
            </w:r>
          </w:p>
        </w:tc>
        <w:tc>
          <w:tcPr>
            <w:tcW w:w="794" w:type="dxa"/>
          </w:tcPr>
          <w:p w14:paraId="7D1B384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1 947</w:t>
            </w:r>
          </w:p>
        </w:tc>
        <w:tc>
          <w:tcPr>
            <w:tcW w:w="794" w:type="dxa"/>
          </w:tcPr>
          <w:p w14:paraId="184A2D6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1 994</w:t>
            </w:r>
          </w:p>
        </w:tc>
        <w:tc>
          <w:tcPr>
            <w:tcW w:w="794" w:type="dxa"/>
          </w:tcPr>
          <w:p w14:paraId="70BD3C0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2 017</w:t>
            </w:r>
          </w:p>
        </w:tc>
        <w:tc>
          <w:tcPr>
            <w:tcW w:w="794" w:type="dxa"/>
          </w:tcPr>
          <w:p w14:paraId="26B4064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2 063</w:t>
            </w:r>
          </w:p>
        </w:tc>
      </w:tr>
      <w:tr w:rsidR="008D6F13" w14:paraId="1ADED809"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CBE96B5" w14:textId="77777777" w:rsidR="008D6F13" w:rsidRDefault="008D6F13" w:rsidP="0031078F">
            <w:r>
              <w:t>Borrowings</w:t>
            </w:r>
            <w:r>
              <w:rPr>
                <w:vertAlign w:val="superscript"/>
              </w:rPr>
              <w:t xml:space="preserve"> (c)</w:t>
            </w:r>
          </w:p>
        </w:tc>
        <w:tc>
          <w:tcPr>
            <w:tcW w:w="794" w:type="dxa"/>
          </w:tcPr>
          <w:p w14:paraId="26A8798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116 567</w:t>
            </w:r>
          </w:p>
        </w:tc>
        <w:tc>
          <w:tcPr>
            <w:tcW w:w="794" w:type="dxa"/>
          </w:tcPr>
          <w:p w14:paraId="284B908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125 493</w:t>
            </w:r>
          </w:p>
        </w:tc>
        <w:tc>
          <w:tcPr>
            <w:tcW w:w="794" w:type="dxa"/>
          </w:tcPr>
          <w:p w14:paraId="75F46C5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143 828</w:t>
            </w:r>
          </w:p>
        </w:tc>
        <w:tc>
          <w:tcPr>
            <w:tcW w:w="794" w:type="dxa"/>
          </w:tcPr>
          <w:p w14:paraId="3CEE76D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168 975</w:t>
            </w:r>
          </w:p>
        </w:tc>
        <w:tc>
          <w:tcPr>
            <w:tcW w:w="794" w:type="dxa"/>
          </w:tcPr>
          <w:p w14:paraId="2351F98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192 357</w:t>
            </w:r>
          </w:p>
        </w:tc>
      </w:tr>
      <w:tr w:rsidR="008D6F13" w14:paraId="2E9EA19D"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2128DE2" w14:textId="77777777" w:rsidR="008D6F13" w:rsidRDefault="008D6F13" w:rsidP="0031078F">
            <w:r>
              <w:t>Employee benefits</w:t>
            </w:r>
          </w:p>
        </w:tc>
        <w:tc>
          <w:tcPr>
            <w:tcW w:w="794" w:type="dxa"/>
          </w:tcPr>
          <w:p w14:paraId="4CDA154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124</w:t>
            </w:r>
          </w:p>
        </w:tc>
        <w:tc>
          <w:tcPr>
            <w:tcW w:w="794" w:type="dxa"/>
          </w:tcPr>
          <w:p w14:paraId="656F407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113</w:t>
            </w:r>
          </w:p>
        </w:tc>
        <w:tc>
          <w:tcPr>
            <w:tcW w:w="794" w:type="dxa"/>
          </w:tcPr>
          <w:p w14:paraId="780A441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116</w:t>
            </w:r>
          </w:p>
        </w:tc>
        <w:tc>
          <w:tcPr>
            <w:tcW w:w="794" w:type="dxa"/>
          </w:tcPr>
          <w:p w14:paraId="3CE22AA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116</w:t>
            </w:r>
          </w:p>
        </w:tc>
        <w:tc>
          <w:tcPr>
            <w:tcW w:w="794" w:type="dxa"/>
          </w:tcPr>
          <w:p w14:paraId="4B8B007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117</w:t>
            </w:r>
          </w:p>
        </w:tc>
      </w:tr>
      <w:tr w:rsidR="008D6F13" w14:paraId="5E1B9FF7"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16AAD496" w14:textId="77777777" w:rsidR="008D6F13" w:rsidRDefault="008D6F13" w:rsidP="0031078F">
            <w:r>
              <w:t>Other provisions</w:t>
            </w:r>
          </w:p>
        </w:tc>
        <w:tc>
          <w:tcPr>
            <w:tcW w:w="794" w:type="dxa"/>
            <w:tcBorders>
              <w:bottom w:val="single" w:sz="6" w:space="0" w:color="auto"/>
            </w:tcBorders>
          </w:tcPr>
          <w:p w14:paraId="32AA3C1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51 243</w:t>
            </w:r>
          </w:p>
        </w:tc>
        <w:tc>
          <w:tcPr>
            <w:tcW w:w="794" w:type="dxa"/>
            <w:tcBorders>
              <w:bottom w:val="single" w:sz="6" w:space="0" w:color="auto"/>
            </w:tcBorders>
          </w:tcPr>
          <w:p w14:paraId="47CFD74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51 567</w:t>
            </w:r>
          </w:p>
        </w:tc>
        <w:tc>
          <w:tcPr>
            <w:tcW w:w="794" w:type="dxa"/>
            <w:tcBorders>
              <w:bottom w:val="single" w:sz="6" w:space="0" w:color="auto"/>
            </w:tcBorders>
          </w:tcPr>
          <w:p w14:paraId="0B83B7D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55 374</w:t>
            </w:r>
          </w:p>
        </w:tc>
        <w:tc>
          <w:tcPr>
            <w:tcW w:w="794" w:type="dxa"/>
            <w:tcBorders>
              <w:bottom w:val="single" w:sz="6" w:space="0" w:color="auto"/>
            </w:tcBorders>
          </w:tcPr>
          <w:p w14:paraId="573040D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59 147</w:t>
            </w:r>
          </w:p>
        </w:tc>
        <w:tc>
          <w:tcPr>
            <w:tcW w:w="794" w:type="dxa"/>
            <w:tcBorders>
              <w:bottom w:val="single" w:sz="6" w:space="0" w:color="auto"/>
            </w:tcBorders>
          </w:tcPr>
          <w:p w14:paraId="713374F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63 016</w:t>
            </w:r>
          </w:p>
        </w:tc>
      </w:tr>
      <w:tr w:rsidR="008D6F13" w14:paraId="652A13FA"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64D4BE64" w14:textId="77777777" w:rsidR="008D6F13" w:rsidRDefault="008D6F13" w:rsidP="0031078F">
            <w:r>
              <w:rPr>
                <w:b/>
              </w:rPr>
              <w:t>Total liabilities</w:t>
            </w:r>
          </w:p>
        </w:tc>
        <w:tc>
          <w:tcPr>
            <w:tcW w:w="794" w:type="dxa"/>
            <w:tcBorders>
              <w:top w:val="single" w:sz="6" w:space="0" w:color="auto"/>
              <w:bottom w:val="single" w:sz="6" w:space="0" w:color="auto"/>
            </w:tcBorders>
          </w:tcPr>
          <w:p w14:paraId="5098DF3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170 863</w:t>
            </w:r>
          </w:p>
        </w:tc>
        <w:tc>
          <w:tcPr>
            <w:tcW w:w="794" w:type="dxa"/>
            <w:tcBorders>
              <w:top w:val="single" w:sz="6" w:space="0" w:color="auto"/>
              <w:bottom w:val="single" w:sz="6" w:space="0" w:color="auto"/>
            </w:tcBorders>
          </w:tcPr>
          <w:p w14:paraId="13B909F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179 410</w:t>
            </w:r>
          </w:p>
        </w:tc>
        <w:tc>
          <w:tcPr>
            <w:tcW w:w="794" w:type="dxa"/>
            <w:tcBorders>
              <w:top w:val="single" w:sz="6" w:space="0" w:color="auto"/>
              <w:bottom w:val="single" w:sz="6" w:space="0" w:color="auto"/>
            </w:tcBorders>
          </w:tcPr>
          <w:p w14:paraId="3CC11F2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201 597</w:t>
            </w:r>
          </w:p>
        </w:tc>
        <w:tc>
          <w:tcPr>
            <w:tcW w:w="794" w:type="dxa"/>
            <w:tcBorders>
              <w:top w:val="single" w:sz="6" w:space="0" w:color="auto"/>
              <w:bottom w:val="single" w:sz="6" w:space="0" w:color="auto"/>
            </w:tcBorders>
          </w:tcPr>
          <w:p w14:paraId="57D4F8C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230 569</w:t>
            </w:r>
          </w:p>
        </w:tc>
        <w:tc>
          <w:tcPr>
            <w:tcW w:w="794" w:type="dxa"/>
            <w:tcBorders>
              <w:top w:val="single" w:sz="6" w:space="0" w:color="auto"/>
              <w:bottom w:val="single" w:sz="6" w:space="0" w:color="auto"/>
            </w:tcBorders>
          </w:tcPr>
          <w:p w14:paraId="2057D8E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257 892</w:t>
            </w:r>
          </w:p>
        </w:tc>
      </w:tr>
      <w:tr w:rsidR="008D6F13" w14:paraId="3E17166C"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1A4D3EC8" w14:textId="77777777" w:rsidR="008D6F13" w:rsidRDefault="008D6F13" w:rsidP="0031078F">
            <w:r>
              <w:rPr>
                <w:b/>
              </w:rPr>
              <w:t>Net assets</w:t>
            </w:r>
            <w:r>
              <w:rPr>
                <w:b/>
                <w:vertAlign w:val="superscript"/>
              </w:rPr>
              <w:t xml:space="preserve"> (d) </w:t>
            </w:r>
          </w:p>
        </w:tc>
        <w:tc>
          <w:tcPr>
            <w:tcW w:w="794" w:type="dxa"/>
            <w:tcBorders>
              <w:top w:val="single" w:sz="6" w:space="0" w:color="auto"/>
              <w:bottom w:val="single" w:sz="12" w:space="0" w:color="auto"/>
            </w:tcBorders>
          </w:tcPr>
          <w:p w14:paraId="206E33C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(7 773)</w:t>
            </w:r>
          </w:p>
        </w:tc>
        <w:tc>
          <w:tcPr>
            <w:tcW w:w="794" w:type="dxa"/>
            <w:tcBorders>
              <w:top w:val="single" w:sz="6" w:space="0" w:color="auto"/>
              <w:bottom w:val="single" w:sz="12" w:space="0" w:color="auto"/>
            </w:tcBorders>
          </w:tcPr>
          <w:p w14:paraId="3EC551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(7 958)</w:t>
            </w:r>
          </w:p>
        </w:tc>
        <w:tc>
          <w:tcPr>
            <w:tcW w:w="794" w:type="dxa"/>
            <w:tcBorders>
              <w:top w:val="single" w:sz="6" w:space="0" w:color="auto"/>
              <w:bottom w:val="single" w:sz="12" w:space="0" w:color="auto"/>
            </w:tcBorders>
          </w:tcPr>
          <w:p w14:paraId="32C81D2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(10 105)</w:t>
            </w:r>
          </w:p>
        </w:tc>
        <w:tc>
          <w:tcPr>
            <w:tcW w:w="794" w:type="dxa"/>
            <w:tcBorders>
              <w:top w:val="single" w:sz="6" w:space="0" w:color="auto"/>
              <w:bottom w:val="single" w:sz="12" w:space="0" w:color="auto"/>
            </w:tcBorders>
          </w:tcPr>
          <w:p w14:paraId="4213AAB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(12 675)</w:t>
            </w:r>
          </w:p>
        </w:tc>
        <w:tc>
          <w:tcPr>
            <w:tcW w:w="794" w:type="dxa"/>
            <w:tcBorders>
              <w:top w:val="single" w:sz="6" w:space="0" w:color="auto"/>
              <w:bottom w:val="single" w:sz="12" w:space="0" w:color="auto"/>
            </w:tcBorders>
          </w:tcPr>
          <w:p w14:paraId="07896C9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(14 625)</w:t>
            </w:r>
          </w:p>
        </w:tc>
      </w:tr>
      <w:tr w:rsidR="008D6F13" w14:paraId="63DBF795"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16C410F7" w14:textId="77777777" w:rsidR="008D6F13" w:rsidRDefault="008D6F13" w:rsidP="0031078F">
            <w:r>
              <w:t>Accumulated surplus/(deficit)</w:t>
            </w:r>
          </w:p>
        </w:tc>
        <w:tc>
          <w:tcPr>
            <w:tcW w:w="794" w:type="dxa"/>
            <w:tcBorders>
              <w:top w:val="single" w:sz="6" w:space="0" w:color="auto"/>
            </w:tcBorders>
          </w:tcPr>
          <w:p w14:paraId="7ACBA48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(7 840)</w:t>
            </w:r>
          </w:p>
        </w:tc>
        <w:tc>
          <w:tcPr>
            <w:tcW w:w="794" w:type="dxa"/>
            <w:tcBorders>
              <w:top w:val="single" w:sz="6" w:space="0" w:color="auto"/>
            </w:tcBorders>
          </w:tcPr>
          <w:p w14:paraId="7172BB5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(8 023)</w:t>
            </w:r>
          </w:p>
        </w:tc>
        <w:tc>
          <w:tcPr>
            <w:tcW w:w="794" w:type="dxa"/>
            <w:tcBorders>
              <w:top w:val="single" w:sz="6" w:space="0" w:color="auto"/>
            </w:tcBorders>
          </w:tcPr>
          <w:p w14:paraId="598A91C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(10 169)</w:t>
            </w:r>
          </w:p>
        </w:tc>
        <w:tc>
          <w:tcPr>
            <w:tcW w:w="794" w:type="dxa"/>
            <w:tcBorders>
              <w:top w:val="single" w:sz="6" w:space="0" w:color="auto"/>
            </w:tcBorders>
          </w:tcPr>
          <w:p w14:paraId="3408A6D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(12 738)</w:t>
            </w:r>
          </w:p>
        </w:tc>
        <w:tc>
          <w:tcPr>
            <w:tcW w:w="794" w:type="dxa"/>
            <w:tcBorders>
              <w:top w:val="single" w:sz="6" w:space="0" w:color="auto"/>
            </w:tcBorders>
          </w:tcPr>
          <w:p w14:paraId="4AF63F0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(14 687)</w:t>
            </w:r>
          </w:p>
        </w:tc>
      </w:tr>
      <w:tr w:rsidR="008D6F13" w14:paraId="14BE97C2"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08B5F064" w14:textId="77777777" w:rsidR="008D6F13" w:rsidRDefault="008D6F13" w:rsidP="0031078F">
            <w:r>
              <w:t>Reserves</w:t>
            </w:r>
          </w:p>
        </w:tc>
        <w:tc>
          <w:tcPr>
            <w:tcW w:w="794" w:type="dxa"/>
            <w:tcBorders>
              <w:bottom w:val="single" w:sz="6" w:space="0" w:color="auto"/>
            </w:tcBorders>
          </w:tcPr>
          <w:p w14:paraId="46D3D6F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67</w:t>
            </w:r>
          </w:p>
        </w:tc>
        <w:tc>
          <w:tcPr>
            <w:tcW w:w="794" w:type="dxa"/>
            <w:tcBorders>
              <w:bottom w:val="single" w:sz="6" w:space="0" w:color="auto"/>
            </w:tcBorders>
          </w:tcPr>
          <w:p w14:paraId="47EA82C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65</w:t>
            </w:r>
          </w:p>
        </w:tc>
        <w:tc>
          <w:tcPr>
            <w:tcW w:w="794" w:type="dxa"/>
            <w:tcBorders>
              <w:bottom w:val="single" w:sz="6" w:space="0" w:color="auto"/>
            </w:tcBorders>
          </w:tcPr>
          <w:p w14:paraId="0AA78C8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64</w:t>
            </w:r>
          </w:p>
        </w:tc>
        <w:tc>
          <w:tcPr>
            <w:tcW w:w="794" w:type="dxa"/>
            <w:tcBorders>
              <w:bottom w:val="single" w:sz="6" w:space="0" w:color="auto"/>
            </w:tcBorders>
          </w:tcPr>
          <w:p w14:paraId="58C692B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63</w:t>
            </w:r>
          </w:p>
        </w:tc>
        <w:tc>
          <w:tcPr>
            <w:tcW w:w="794" w:type="dxa"/>
            <w:tcBorders>
              <w:bottom w:val="single" w:sz="6" w:space="0" w:color="auto"/>
            </w:tcBorders>
          </w:tcPr>
          <w:p w14:paraId="54F6A25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62</w:t>
            </w:r>
          </w:p>
        </w:tc>
      </w:tr>
      <w:tr w:rsidR="008D6F13" w14:paraId="7680D02C"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6ED0B122" w14:textId="77777777" w:rsidR="008D6F13" w:rsidRDefault="008D6F13" w:rsidP="0031078F">
            <w:r>
              <w:rPr>
                <w:b/>
              </w:rPr>
              <w:t>Net worth</w:t>
            </w:r>
            <w:r>
              <w:rPr>
                <w:b/>
                <w:vertAlign w:val="superscript"/>
              </w:rPr>
              <w:t xml:space="preserve"> (d) </w:t>
            </w:r>
          </w:p>
        </w:tc>
        <w:tc>
          <w:tcPr>
            <w:tcW w:w="794" w:type="dxa"/>
            <w:tcBorders>
              <w:top w:val="single" w:sz="6" w:space="0" w:color="auto"/>
              <w:bottom w:val="single" w:sz="12" w:space="0" w:color="auto"/>
            </w:tcBorders>
          </w:tcPr>
          <w:p w14:paraId="5728666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(7 773)</w:t>
            </w:r>
          </w:p>
        </w:tc>
        <w:tc>
          <w:tcPr>
            <w:tcW w:w="794" w:type="dxa"/>
            <w:tcBorders>
              <w:top w:val="single" w:sz="6" w:space="0" w:color="auto"/>
              <w:bottom w:val="single" w:sz="12" w:space="0" w:color="auto"/>
            </w:tcBorders>
          </w:tcPr>
          <w:p w14:paraId="43EC68F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(7 958)</w:t>
            </w:r>
          </w:p>
        </w:tc>
        <w:tc>
          <w:tcPr>
            <w:tcW w:w="794" w:type="dxa"/>
            <w:tcBorders>
              <w:top w:val="single" w:sz="6" w:space="0" w:color="auto"/>
              <w:bottom w:val="single" w:sz="12" w:space="0" w:color="auto"/>
            </w:tcBorders>
          </w:tcPr>
          <w:p w14:paraId="5F846BE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(10 105)</w:t>
            </w:r>
          </w:p>
        </w:tc>
        <w:tc>
          <w:tcPr>
            <w:tcW w:w="794" w:type="dxa"/>
            <w:tcBorders>
              <w:top w:val="single" w:sz="6" w:space="0" w:color="auto"/>
              <w:bottom w:val="single" w:sz="12" w:space="0" w:color="auto"/>
            </w:tcBorders>
          </w:tcPr>
          <w:p w14:paraId="762C6D6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(12 675)</w:t>
            </w:r>
          </w:p>
        </w:tc>
        <w:tc>
          <w:tcPr>
            <w:tcW w:w="794" w:type="dxa"/>
            <w:tcBorders>
              <w:top w:val="single" w:sz="6" w:space="0" w:color="auto"/>
              <w:bottom w:val="single" w:sz="12" w:space="0" w:color="auto"/>
            </w:tcBorders>
          </w:tcPr>
          <w:p w14:paraId="216D3B1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(14 625)</w:t>
            </w:r>
          </w:p>
        </w:tc>
      </w:tr>
      <w:tr w:rsidR="008D6F13" w14:paraId="7F7EE88C" w14:textId="77777777" w:rsidTr="0031078F">
        <w:trPr>
          <w:trHeight w:hRule="exact" w:val="113"/>
        </w:trPr>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46BF1AA0" w14:textId="77777777" w:rsidR="008D6F13" w:rsidRDefault="008D6F13" w:rsidP="0031078F"/>
        </w:tc>
        <w:tc>
          <w:tcPr>
            <w:tcW w:w="794" w:type="dxa"/>
            <w:tcBorders>
              <w:top w:val="single" w:sz="6" w:space="0" w:color="auto"/>
            </w:tcBorders>
          </w:tcPr>
          <w:p w14:paraId="2C6D42A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6A36C1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676A39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06FC89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B6EAA1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10873CAA"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2AC40AA" w14:textId="77777777" w:rsidR="008D6F13" w:rsidRDefault="008D6F13" w:rsidP="0031078F">
            <w:r>
              <w:rPr>
                <w:b/>
              </w:rPr>
              <w:t>FISCAL AGGREGATES</w:t>
            </w:r>
          </w:p>
        </w:tc>
        <w:tc>
          <w:tcPr>
            <w:tcW w:w="794" w:type="dxa"/>
          </w:tcPr>
          <w:p w14:paraId="653992B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CBDA7C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2DB6E5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723E33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6D1250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444B8F37"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F2F108A" w14:textId="77777777" w:rsidR="008D6F13" w:rsidRDefault="008D6F13" w:rsidP="0031078F">
            <w:r>
              <w:t>Net financial worth</w:t>
            </w:r>
          </w:p>
        </w:tc>
        <w:tc>
          <w:tcPr>
            <w:tcW w:w="794" w:type="dxa"/>
          </w:tcPr>
          <w:p w14:paraId="3B9A3C4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(12 596)</w:t>
            </w:r>
          </w:p>
        </w:tc>
        <w:tc>
          <w:tcPr>
            <w:tcW w:w="794" w:type="dxa"/>
          </w:tcPr>
          <w:p w14:paraId="27062CF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(12 809)</w:t>
            </w:r>
          </w:p>
        </w:tc>
        <w:tc>
          <w:tcPr>
            <w:tcW w:w="794" w:type="dxa"/>
          </w:tcPr>
          <w:p w14:paraId="32F868D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(15 797)</w:t>
            </w:r>
          </w:p>
        </w:tc>
        <w:tc>
          <w:tcPr>
            <w:tcW w:w="794" w:type="dxa"/>
          </w:tcPr>
          <w:p w14:paraId="7EDA907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(19 231)</w:t>
            </w:r>
          </w:p>
        </w:tc>
        <w:tc>
          <w:tcPr>
            <w:tcW w:w="794" w:type="dxa"/>
          </w:tcPr>
          <w:p w14:paraId="21E4097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(21 807)</w:t>
            </w:r>
          </w:p>
        </w:tc>
      </w:tr>
      <w:tr w:rsidR="008D6F13" w14:paraId="27118E63"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1C21649" w14:textId="77777777" w:rsidR="008D6F13" w:rsidRDefault="008D6F13" w:rsidP="0031078F">
            <w:r>
              <w:t>Net financial liabilities</w:t>
            </w:r>
          </w:p>
        </w:tc>
        <w:tc>
          <w:tcPr>
            <w:tcW w:w="794" w:type="dxa"/>
          </w:tcPr>
          <w:p w14:paraId="2DDDB82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12 596</w:t>
            </w:r>
          </w:p>
        </w:tc>
        <w:tc>
          <w:tcPr>
            <w:tcW w:w="794" w:type="dxa"/>
          </w:tcPr>
          <w:p w14:paraId="2DEF5F0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12 809</w:t>
            </w:r>
          </w:p>
        </w:tc>
        <w:tc>
          <w:tcPr>
            <w:tcW w:w="794" w:type="dxa"/>
          </w:tcPr>
          <w:p w14:paraId="531D70B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15 797</w:t>
            </w:r>
          </w:p>
        </w:tc>
        <w:tc>
          <w:tcPr>
            <w:tcW w:w="794" w:type="dxa"/>
          </w:tcPr>
          <w:p w14:paraId="2B7A599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19 231</w:t>
            </w:r>
          </w:p>
        </w:tc>
        <w:tc>
          <w:tcPr>
            <w:tcW w:w="794" w:type="dxa"/>
          </w:tcPr>
          <w:p w14:paraId="0FCC2E1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21 807</w:t>
            </w:r>
          </w:p>
        </w:tc>
      </w:tr>
      <w:tr w:rsidR="008D6F13" w14:paraId="00939CA3"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79037DD" w14:textId="77777777" w:rsidR="008D6F13" w:rsidRDefault="008D6F13" w:rsidP="0031078F">
            <w:r>
              <w:t>Net debt</w:t>
            </w:r>
          </w:p>
        </w:tc>
        <w:tc>
          <w:tcPr>
            <w:tcW w:w="794" w:type="dxa"/>
          </w:tcPr>
          <w:p w14:paraId="22BC199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(39 238)</w:t>
            </w:r>
          </w:p>
        </w:tc>
        <w:tc>
          <w:tcPr>
            <w:tcW w:w="794" w:type="dxa"/>
          </w:tcPr>
          <w:p w14:paraId="252D81F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(39 034)</w:t>
            </w:r>
          </w:p>
        </w:tc>
        <w:tc>
          <w:tcPr>
            <w:tcW w:w="794" w:type="dxa"/>
          </w:tcPr>
          <w:p w14:paraId="5DDF42E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(39 865)</w:t>
            </w:r>
          </w:p>
        </w:tc>
        <w:tc>
          <w:tcPr>
            <w:tcW w:w="794" w:type="dxa"/>
          </w:tcPr>
          <w:p w14:paraId="5916B33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(40 171)</w:t>
            </w:r>
          </w:p>
        </w:tc>
        <w:tc>
          <w:tcPr>
            <w:tcW w:w="794" w:type="dxa"/>
          </w:tcPr>
          <w:p w14:paraId="56E7401E" w14:textId="0FD88819" w:rsidR="008D6F13" w:rsidRDefault="008D6F13" w:rsidP="0031078F">
            <w:pPr>
              <w:cnfStyle w:val="000000000000" w:firstRow="0" w:lastRow="0" w:firstColumn="0" w:lastColumn="0" w:oddVBand="0" w:evenVBand="0" w:oddHBand="0" w:evenHBand="0" w:firstRowFirstColumn="0" w:firstRowLastColumn="0" w:lastRowFirstColumn="0" w:lastRowLastColumn="0"/>
            </w:pPr>
            <w:r>
              <w:t>(41 450)</w:t>
            </w:r>
          </w:p>
        </w:tc>
      </w:tr>
    </w:tbl>
    <w:p w14:paraId="39ECD59C" w14:textId="77777777" w:rsidR="008D6F13" w:rsidRPr="00921F69" w:rsidRDefault="008D6F13" w:rsidP="008D6F13">
      <w:pPr>
        <w:pStyle w:val="Note"/>
        <w:ind w:left="0" w:firstLine="0"/>
        <w:rPr>
          <w:rFonts w:cstheme="majorHAnsi"/>
        </w:rPr>
      </w:pPr>
      <w:r w:rsidRPr="00921F69">
        <w:rPr>
          <w:rFonts w:cstheme="majorHAnsi"/>
        </w:rPr>
        <w:t>Notes:</w:t>
      </w:r>
    </w:p>
    <w:p w14:paraId="4DCB8495" w14:textId="77777777" w:rsidR="008D6F13" w:rsidRPr="00921F69" w:rsidRDefault="008D6F13" w:rsidP="008D6F13">
      <w:pPr>
        <w:pStyle w:val="Note"/>
        <w:rPr>
          <w:rFonts w:cstheme="majorHAnsi"/>
        </w:rPr>
      </w:pPr>
      <w:r w:rsidRPr="00921F69">
        <w:rPr>
          <w:rFonts w:cstheme="majorHAnsi"/>
        </w:rPr>
        <w:t>(a)</w:t>
      </w:r>
      <w:r w:rsidRPr="00921F69">
        <w:rPr>
          <w:rFonts w:cstheme="majorHAnsi"/>
        </w:rPr>
        <w:tab/>
        <w:t xml:space="preserve">Balances represent actual opening balances </w:t>
      </w:r>
      <w:proofErr w:type="gramStart"/>
      <w:r w:rsidRPr="00921F69">
        <w:rPr>
          <w:rFonts w:cstheme="majorHAnsi"/>
        </w:rPr>
        <w:t>at</w:t>
      </w:r>
      <w:proofErr w:type="gramEnd"/>
      <w:r w:rsidRPr="00921F69">
        <w:rPr>
          <w:rFonts w:cstheme="majorHAnsi"/>
        </w:rPr>
        <w:t xml:space="preserve"> 1 July 20</w:t>
      </w:r>
      <w:r>
        <w:rPr>
          <w:rFonts w:cstheme="majorHAnsi"/>
        </w:rPr>
        <w:t>21</w:t>
      </w:r>
      <w:r w:rsidRPr="00921F69">
        <w:rPr>
          <w:rFonts w:cstheme="majorHAnsi"/>
        </w:rPr>
        <w:t xml:space="preserve"> plus 20</w:t>
      </w:r>
      <w:r>
        <w:rPr>
          <w:rFonts w:cstheme="majorHAnsi"/>
        </w:rPr>
        <w:t>21</w:t>
      </w:r>
      <w:r w:rsidRPr="00921F69">
        <w:rPr>
          <w:rFonts w:cstheme="majorHAnsi"/>
        </w:rPr>
        <w:t>-2</w:t>
      </w:r>
      <w:r>
        <w:rPr>
          <w:rFonts w:cstheme="majorHAnsi"/>
        </w:rPr>
        <w:t>2</w:t>
      </w:r>
      <w:r w:rsidRPr="00921F69">
        <w:rPr>
          <w:rFonts w:cstheme="majorHAnsi"/>
        </w:rPr>
        <w:t xml:space="preserve"> budgeted movements.</w:t>
      </w:r>
    </w:p>
    <w:p w14:paraId="13AA354D" w14:textId="77777777" w:rsidR="008D6F13" w:rsidRPr="00921F69" w:rsidRDefault="008D6F13" w:rsidP="008D6F13">
      <w:pPr>
        <w:pStyle w:val="Note"/>
        <w:rPr>
          <w:rFonts w:cstheme="majorHAnsi"/>
        </w:rPr>
      </w:pPr>
      <w:r w:rsidRPr="00921F69">
        <w:rPr>
          <w:rFonts w:cstheme="majorHAnsi"/>
        </w:rPr>
        <w:t>(b)</w:t>
      </w:r>
      <w:r w:rsidRPr="00921F69">
        <w:rPr>
          <w:rFonts w:cstheme="majorHAnsi"/>
        </w:rPr>
        <w:tab/>
        <w:t>Loans receivable from the non-financial public sector are at amortised cost.</w:t>
      </w:r>
    </w:p>
    <w:p w14:paraId="03CB9767" w14:textId="77777777" w:rsidR="008D6F13" w:rsidRPr="00921F69" w:rsidRDefault="008D6F13" w:rsidP="008D6F13">
      <w:pPr>
        <w:pStyle w:val="Note"/>
        <w:rPr>
          <w:rFonts w:cstheme="majorHAnsi"/>
        </w:rPr>
      </w:pPr>
      <w:r w:rsidRPr="00921F69">
        <w:rPr>
          <w:rFonts w:cstheme="majorHAnsi"/>
        </w:rPr>
        <w:t>(c)</w:t>
      </w:r>
      <w:r w:rsidRPr="00921F69">
        <w:rPr>
          <w:rFonts w:cstheme="majorHAnsi"/>
        </w:rPr>
        <w:tab/>
        <w:t>Borrowings with the private sector are at market value.</w:t>
      </w:r>
    </w:p>
    <w:p w14:paraId="347C0862" w14:textId="77777777" w:rsidR="008D6F13" w:rsidRPr="00921F69" w:rsidRDefault="008D6F13" w:rsidP="008D6F13">
      <w:pPr>
        <w:pStyle w:val="Note"/>
        <w:rPr>
          <w:rFonts w:cstheme="majorHAnsi"/>
        </w:rPr>
      </w:pPr>
      <w:r w:rsidRPr="00921F69">
        <w:rPr>
          <w:rFonts w:cstheme="majorHAnsi"/>
        </w:rPr>
        <w:t>(d)</w:t>
      </w:r>
      <w:r w:rsidRPr="00921F69">
        <w:rPr>
          <w:rFonts w:cstheme="majorHAnsi"/>
        </w:rPr>
        <w:tab/>
      </w:r>
      <w:r w:rsidRPr="00B14C53">
        <w:t>Treasury Corporation of Victoria</w:t>
      </w:r>
      <w:r>
        <w:t>’</w:t>
      </w:r>
      <w:r w:rsidRPr="00B14C53">
        <w:t>s external loan liabilities are at mark-to-market value</w:t>
      </w:r>
      <w:r>
        <w:t>,</w:t>
      </w:r>
      <w:r w:rsidRPr="00B14C53">
        <w:t xml:space="preserve"> while the corresponding assets, that is lending to the non-financial public sector, </w:t>
      </w:r>
      <w:r>
        <w:t xml:space="preserve">are at </w:t>
      </w:r>
      <w:r w:rsidRPr="00B14C53">
        <w:t>historical value.</w:t>
      </w:r>
    </w:p>
    <w:p w14:paraId="155A79C3" w14:textId="77777777" w:rsidR="008D6F13" w:rsidRPr="00921F69" w:rsidRDefault="008D6F13" w:rsidP="008D6F13">
      <w:pPr>
        <w:rPr>
          <w:rFonts w:asciiTheme="majorHAnsi" w:hAnsiTheme="majorHAnsi" w:cstheme="majorHAnsi"/>
        </w:rPr>
      </w:pPr>
    </w:p>
    <w:p w14:paraId="4AFDDF5E" w14:textId="77777777" w:rsidR="008D6F13" w:rsidRDefault="008D6F13" w:rsidP="008D6F13">
      <w:pPr>
        <w:keepLines w:val="0"/>
        <w:rPr>
          <w:rFonts w:asciiTheme="majorHAnsi" w:hAnsiTheme="majorHAnsi" w:cstheme="majorHAnsi"/>
          <w:b/>
          <w:sz w:val="20"/>
        </w:rPr>
      </w:pPr>
      <w:r>
        <w:rPr>
          <w:rFonts w:cstheme="majorHAnsi"/>
        </w:rPr>
        <w:br w:type="page"/>
      </w:r>
    </w:p>
    <w:p w14:paraId="086EF577" w14:textId="012305CD" w:rsidR="008D6F13" w:rsidRPr="00A06E1B" w:rsidRDefault="008D6F13" w:rsidP="008D6F13">
      <w:pPr>
        <w:pStyle w:val="TableHeading"/>
        <w:rPr>
          <w:rFonts w:cstheme="majorHAnsi"/>
        </w:rPr>
      </w:pPr>
      <w:r w:rsidRPr="00921F69">
        <w:rPr>
          <w:rFonts w:cstheme="majorHAnsi"/>
        </w:rPr>
        <w:lastRenderedPageBreak/>
        <w:t>Table 5.13</w:t>
      </w:r>
      <w:r w:rsidR="007F1FE4">
        <w:rPr>
          <w:rFonts w:cstheme="majorHAnsi"/>
        </w:rPr>
        <w:t>:</w:t>
      </w:r>
      <w:r w:rsidRPr="00921F69">
        <w:rPr>
          <w:rFonts w:cstheme="majorHAnsi"/>
        </w:rPr>
        <w:tab/>
        <w:t xml:space="preserve">Public financial corporations sector cash flow statement </w:t>
      </w:r>
      <w:r w:rsidRPr="00921F69">
        <w:rPr>
          <w:rFonts w:cstheme="majorHAnsi"/>
        </w:rPr>
        <w:br/>
        <w:t>for the financial year ended 30 June</w:t>
      </w:r>
      <w:r w:rsidRPr="00921F69">
        <w:rPr>
          <w:rFonts w:cstheme="majorHAnsi"/>
        </w:rPr>
        <w:tab/>
        <w:t>($ million)</w:t>
      </w:r>
    </w:p>
    <w:tbl>
      <w:tblPr>
        <w:tblStyle w:val="DTFTableNumeric"/>
        <w:tblW w:w="7710" w:type="dxa"/>
        <w:tblLayout w:type="fixed"/>
        <w:tblLook w:val="06A0" w:firstRow="1" w:lastRow="0" w:firstColumn="1" w:lastColumn="0" w:noHBand="1" w:noVBand="1"/>
      </w:tblPr>
      <w:tblGrid>
        <w:gridCol w:w="3969"/>
        <w:gridCol w:w="105"/>
        <w:gridCol w:w="643"/>
        <w:gridCol w:w="748"/>
        <w:gridCol w:w="748"/>
        <w:gridCol w:w="748"/>
        <w:gridCol w:w="749"/>
      </w:tblGrid>
      <w:tr w:rsidR="008D6F13" w:rsidRPr="00B976DB" w14:paraId="788B799E"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Pr>
          <w:p w14:paraId="23CB8151" w14:textId="69860480" w:rsidR="008D6F13" w:rsidRPr="00B976DB" w:rsidRDefault="008D6F13" w:rsidP="0031078F">
            <w:pPr>
              <w:rPr>
                <w:sz w:val="16"/>
                <w:szCs w:val="16"/>
              </w:rPr>
            </w:pPr>
          </w:p>
        </w:tc>
        <w:tc>
          <w:tcPr>
            <w:tcW w:w="748" w:type="dxa"/>
            <w:gridSpan w:val="2"/>
          </w:tcPr>
          <w:p w14:paraId="512CC4E9" w14:textId="77777777" w:rsidR="008D6F13" w:rsidRPr="00B976DB" w:rsidRDefault="008D6F13" w:rsidP="0031078F">
            <w:pPr>
              <w:cnfStyle w:val="100000000000" w:firstRow="1" w:lastRow="0" w:firstColumn="0" w:lastColumn="0" w:oddVBand="0" w:evenVBand="0" w:oddHBand="0" w:evenHBand="0" w:firstRowFirstColumn="0" w:firstRowLastColumn="0" w:lastRowFirstColumn="0" w:lastRowLastColumn="0"/>
              <w:rPr>
                <w:sz w:val="16"/>
                <w:szCs w:val="16"/>
              </w:rPr>
            </w:pPr>
            <w:r w:rsidRPr="00B976DB">
              <w:rPr>
                <w:sz w:val="16"/>
                <w:szCs w:val="16"/>
              </w:rPr>
              <w:t>2021</w:t>
            </w:r>
            <w:r w:rsidRPr="00B976DB">
              <w:rPr>
                <w:sz w:val="16"/>
                <w:szCs w:val="16"/>
              </w:rPr>
              <w:noBreakHyphen/>
              <w:t>22</w:t>
            </w:r>
            <w:r w:rsidRPr="00B976DB">
              <w:rPr>
                <w:sz w:val="16"/>
                <w:szCs w:val="16"/>
              </w:rPr>
              <w:br/>
              <w:t>budget</w:t>
            </w:r>
          </w:p>
        </w:tc>
        <w:tc>
          <w:tcPr>
            <w:tcW w:w="748" w:type="dxa"/>
          </w:tcPr>
          <w:p w14:paraId="3D8AF93C" w14:textId="77777777" w:rsidR="008D6F13" w:rsidRPr="00B976DB" w:rsidRDefault="008D6F13" w:rsidP="0031078F">
            <w:pPr>
              <w:cnfStyle w:val="100000000000" w:firstRow="1" w:lastRow="0" w:firstColumn="0" w:lastColumn="0" w:oddVBand="0" w:evenVBand="0" w:oddHBand="0" w:evenHBand="0" w:firstRowFirstColumn="0" w:firstRowLastColumn="0" w:lastRowFirstColumn="0" w:lastRowLastColumn="0"/>
              <w:rPr>
                <w:sz w:val="16"/>
                <w:szCs w:val="16"/>
              </w:rPr>
            </w:pPr>
            <w:r w:rsidRPr="00B976DB">
              <w:rPr>
                <w:sz w:val="16"/>
                <w:szCs w:val="16"/>
              </w:rPr>
              <w:t>2021</w:t>
            </w:r>
            <w:r w:rsidRPr="00B976DB">
              <w:rPr>
                <w:sz w:val="16"/>
                <w:szCs w:val="16"/>
              </w:rPr>
              <w:noBreakHyphen/>
              <w:t>22</w:t>
            </w:r>
            <w:r w:rsidRPr="00B976DB">
              <w:rPr>
                <w:sz w:val="16"/>
                <w:szCs w:val="16"/>
              </w:rPr>
              <w:br/>
              <w:t>revised</w:t>
            </w:r>
          </w:p>
        </w:tc>
        <w:tc>
          <w:tcPr>
            <w:tcW w:w="748" w:type="dxa"/>
          </w:tcPr>
          <w:p w14:paraId="17883D6E" w14:textId="77777777" w:rsidR="008D6F13" w:rsidRPr="00B976DB" w:rsidRDefault="008D6F13" w:rsidP="0031078F">
            <w:pPr>
              <w:cnfStyle w:val="100000000000" w:firstRow="1" w:lastRow="0" w:firstColumn="0" w:lastColumn="0" w:oddVBand="0" w:evenVBand="0" w:oddHBand="0" w:evenHBand="0" w:firstRowFirstColumn="0" w:firstRowLastColumn="0" w:lastRowFirstColumn="0" w:lastRowLastColumn="0"/>
              <w:rPr>
                <w:sz w:val="16"/>
                <w:szCs w:val="16"/>
              </w:rPr>
            </w:pPr>
            <w:r w:rsidRPr="00B976DB">
              <w:rPr>
                <w:sz w:val="16"/>
                <w:szCs w:val="16"/>
              </w:rPr>
              <w:t>2022</w:t>
            </w:r>
            <w:r w:rsidRPr="00B976DB">
              <w:rPr>
                <w:sz w:val="16"/>
                <w:szCs w:val="16"/>
              </w:rPr>
              <w:noBreakHyphen/>
              <w:t>23</w:t>
            </w:r>
            <w:r w:rsidRPr="00B976DB">
              <w:rPr>
                <w:sz w:val="16"/>
                <w:szCs w:val="16"/>
              </w:rPr>
              <w:br/>
              <w:t>estimate</w:t>
            </w:r>
          </w:p>
        </w:tc>
        <w:tc>
          <w:tcPr>
            <w:tcW w:w="748" w:type="dxa"/>
          </w:tcPr>
          <w:p w14:paraId="60A95523" w14:textId="77777777" w:rsidR="008D6F13" w:rsidRPr="00B976DB" w:rsidRDefault="008D6F13" w:rsidP="0031078F">
            <w:pPr>
              <w:cnfStyle w:val="100000000000" w:firstRow="1" w:lastRow="0" w:firstColumn="0" w:lastColumn="0" w:oddVBand="0" w:evenVBand="0" w:oddHBand="0" w:evenHBand="0" w:firstRowFirstColumn="0" w:firstRowLastColumn="0" w:lastRowFirstColumn="0" w:lastRowLastColumn="0"/>
              <w:rPr>
                <w:sz w:val="16"/>
                <w:szCs w:val="16"/>
              </w:rPr>
            </w:pPr>
            <w:r w:rsidRPr="00B976DB">
              <w:rPr>
                <w:sz w:val="16"/>
                <w:szCs w:val="16"/>
              </w:rPr>
              <w:t>2023</w:t>
            </w:r>
            <w:r w:rsidRPr="00B976DB">
              <w:rPr>
                <w:sz w:val="16"/>
                <w:szCs w:val="16"/>
              </w:rPr>
              <w:noBreakHyphen/>
              <w:t>24</w:t>
            </w:r>
            <w:r w:rsidRPr="00B976DB">
              <w:rPr>
                <w:sz w:val="16"/>
                <w:szCs w:val="16"/>
              </w:rPr>
              <w:br/>
              <w:t>estimate</w:t>
            </w:r>
          </w:p>
        </w:tc>
        <w:tc>
          <w:tcPr>
            <w:tcW w:w="749" w:type="dxa"/>
          </w:tcPr>
          <w:p w14:paraId="5B34180C" w14:textId="77777777" w:rsidR="008D6F13" w:rsidRPr="00B976DB" w:rsidRDefault="008D6F13" w:rsidP="0031078F">
            <w:pPr>
              <w:cnfStyle w:val="100000000000" w:firstRow="1" w:lastRow="0" w:firstColumn="0" w:lastColumn="0" w:oddVBand="0" w:evenVBand="0" w:oddHBand="0" w:evenHBand="0" w:firstRowFirstColumn="0" w:firstRowLastColumn="0" w:lastRowFirstColumn="0" w:lastRowLastColumn="0"/>
              <w:rPr>
                <w:sz w:val="16"/>
                <w:szCs w:val="16"/>
              </w:rPr>
            </w:pPr>
            <w:r w:rsidRPr="00B976DB">
              <w:rPr>
                <w:sz w:val="16"/>
                <w:szCs w:val="16"/>
              </w:rPr>
              <w:t>2024</w:t>
            </w:r>
            <w:r w:rsidRPr="00B976DB">
              <w:rPr>
                <w:sz w:val="16"/>
                <w:szCs w:val="16"/>
              </w:rPr>
              <w:noBreakHyphen/>
              <w:t>25</w:t>
            </w:r>
            <w:r w:rsidRPr="00B976DB">
              <w:rPr>
                <w:sz w:val="16"/>
                <w:szCs w:val="16"/>
              </w:rPr>
              <w:br/>
              <w:t>estimate</w:t>
            </w:r>
          </w:p>
        </w:tc>
      </w:tr>
      <w:tr w:rsidR="008D6F13" w:rsidRPr="00B976DB" w14:paraId="5459DE72" w14:textId="77777777" w:rsidTr="0031078F">
        <w:tc>
          <w:tcPr>
            <w:cnfStyle w:val="001000000000" w:firstRow="0" w:lastRow="0" w:firstColumn="1" w:lastColumn="0" w:oddVBand="0" w:evenVBand="0" w:oddHBand="0" w:evenHBand="0" w:firstRowFirstColumn="0" w:firstRowLastColumn="0" w:lastRowFirstColumn="0" w:lastRowLastColumn="0"/>
            <w:tcW w:w="3969" w:type="dxa"/>
          </w:tcPr>
          <w:p w14:paraId="19C5ACDE" w14:textId="77777777" w:rsidR="008D6F13" w:rsidRPr="00B976DB" w:rsidRDefault="008D6F13" w:rsidP="0031078F">
            <w:pPr>
              <w:rPr>
                <w:sz w:val="16"/>
                <w:szCs w:val="16"/>
              </w:rPr>
            </w:pPr>
            <w:r w:rsidRPr="00B976DB">
              <w:rPr>
                <w:b/>
                <w:sz w:val="16"/>
                <w:szCs w:val="16"/>
              </w:rPr>
              <w:t>Cash flows from operating activities</w:t>
            </w:r>
          </w:p>
        </w:tc>
        <w:tc>
          <w:tcPr>
            <w:tcW w:w="748" w:type="dxa"/>
            <w:gridSpan w:val="2"/>
          </w:tcPr>
          <w:p w14:paraId="4F858DE6"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48" w:type="dxa"/>
          </w:tcPr>
          <w:p w14:paraId="51A194CF"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48" w:type="dxa"/>
          </w:tcPr>
          <w:p w14:paraId="3ED6A463"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48" w:type="dxa"/>
          </w:tcPr>
          <w:p w14:paraId="4B6D45FA"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49" w:type="dxa"/>
          </w:tcPr>
          <w:p w14:paraId="3A2263C2"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r>
      <w:tr w:rsidR="008D6F13" w:rsidRPr="00B976DB" w14:paraId="14FAEA0D" w14:textId="77777777" w:rsidTr="0031078F">
        <w:tc>
          <w:tcPr>
            <w:cnfStyle w:val="001000000000" w:firstRow="0" w:lastRow="0" w:firstColumn="1" w:lastColumn="0" w:oddVBand="0" w:evenVBand="0" w:oddHBand="0" w:evenHBand="0" w:firstRowFirstColumn="0" w:firstRowLastColumn="0" w:lastRowFirstColumn="0" w:lastRowLastColumn="0"/>
            <w:tcW w:w="3969" w:type="dxa"/>
          </w:tcPr>
          <w:p w14:paraId="16B79482" w14:textId="77777777" w:rsidR="008D6F13" w:rsidRPr="00B976DB" w:rsidRDefault="008D6F13" w:rsidP="0031078F">
            <w:pPr>
              <w:rPr>
                <w:sz w:val="16"/>
                <w:szCs w:val="16"/>
              </w:rPr>
            </w:pPr>
            <w:r w:rsidRPr="00B976DB">
              <w:rPr>
                <w:b/>
                <w:sz w:val="16"/>
                <w:szCs w:val="16"/>
              </w:rPr>
              <w:t>Receipts</w:t>
            </w:r>
          </w:p>
        </w:tc>
        <w:tc>
          <w:tcPr>
            <w:tcW w:w="748" w:type="dxa"/>
            <w:gridSpan w:val="2"/>
          </w:tcPr>
          <w:p w14:paraId="1BC8F195"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48" w:type="dxa"/>
          </w:tcPr>
          <w:p w14:paraId="06E89702"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48" w:type="dxa"/>
          </w:tcPr>
          <w:p w14:paraId="23F5CBD8"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48" w:type="dxa"/>
          </w:tcPr>
          <w:p w14:paraId="2799E613"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49" w:type="dxa"/>
          </w:tcPr>
          <w:p w14:paraId="561C411D"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r>
      <w:tr w:rsidR="008D6F13" w:rsidRPr="00B976DB" w14:paraId="743B7079" w14:textId="77777777" w:rsidTr="0031078F">
        <w:tc>
          <w:tcPr>
            <w:cnfStyle w:val="001000000000" w:firstRow="0" w:lastRow="0" w:firstColumn="1" w:lastColumn="0" w:oddVBand="0" w:evenVBand="0" w:oddHBand="0" w:evenHBand="0" w:firstRowFirstColumn="0" w:firstRowLastColumn="0" w:lastRowFirstColumn="0" w:lastRowLastColumn="0"/>
            <w:tcW w:w="3969" w:type="dxa"/>
          </w:tcPr>
          <w:p w14:paraId="78F1B981" w14:textId="77777777" w:rsidR="008D6F13" w:rsidRPr="00B976DB" w:rsidRDefault="008D6F13" w:rsidP="0031078F">
            <w:pPr>
              <w:rPr>
                <w:sz w:val="16"/>
                <w:szCs w:val="16"/>
              </w:rPr>
            </w:pPr>
            <w:r w:rsidRPr="00B976DB">
              <w:rPr>
                <w:sz w:val="16"/>
                <w:szCs w:val="16"/>
              </w:rPr>
              <w:t>Grants</w:t>
            </w:r>
          </w:p>
        </w:tc>
        <w:tc>
          <w:tcPr>
            <w:tcW w:w="748" w:type="dxa"/>
            <w:gridSpan w:val="2"/>
          </w:tcPr>
          <w:p w14:paraId="6C668053"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200</w:t>
            </w:r>
          </w:p>
        </w:tc>
        <w:tc>
          <w:tcPr>
            <w:tcW w:w="748" w:type="dxa"/>
          </w:tcPr>
          <w:p w14:paraId="3355D0BC"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196</w:t>
            </w:r>
          </w:p>
        </w:tc>
        <w:tc>
          <w:tcPr>
            <w:tcW w:w="748" w:type="dxa"/>
          </w:tcPr>
          <w:p w14:paraId="7E359B61"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200</w:t>
            </w:r>
          </w:p>
        </w:tc>
        <w:tc>
          <w:tcPr>
            <w:tcW w:w="748" w:type="dxa"/>
          </w:tcPr>
          <w:p w14:paraId="6996C555"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200</w:t>
            </w:r>
          </w:p>
        </w:tc>
        <w:tc>
          <w:tcPr>
            <w:tcW w:w="749" w:type="dxa"/>
          </w:tcPr>
          <w:p w14:paraId="581D39B3"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200</w:t>
            </w:r>
          </w:p>
        </w:tc>
      </w:tr>
      <w:tr w:rsidR="008D6F13" w:rsidRPr="00B976DB" w14:paraId="2859B188" w14:textId="77777777" w:rsidTr="0031078F">
        <w:tc>
          <w:tcPr>
            <w:cnfStyle w:val="001000000000" w:firstRow="0" w:lastRow="0" w:firstColumn="1" w:lastColumn="0" w:oddVBand="0" w:evenVBand="0" w:oddHBand="0" w:evenHBand="0" w:firstRowFirstColumn="0" w:firstRowLastColumn="0" w:lastRowFirstColumn="0" w:lastRowLastColumn="0"/>
            <w:tcW w:w="3969" w:type="dxa"/>
          </w:tcPr>
          <w:p w14:paraId="2756DA1B" w14:textId="77777777" w:rsidR="008D6F13" w:rsidRPr="00B976DB" w:rsidRDefault="008D6F13" w:rsidP="0031078F">
            <w:pPr>
              <w:rPr>
                <w:sz w:val="16"/>
                <w:szCs w:val="16"/>
              </w:rPr>
            </w:pPr>
            <w:r w:rsidRPr="00B976DB">
              <w:rPr>
                <w:sz w:val="16"/>
                <w:szCs w:val="16"/>
              </w:rPr>
              <w:t>Sales of goods and services</w:t>
            </w:r>
            <w:r w:rsidRPr="00B976DB">
              <w:rPr>
                <w:sz w:val="16"/>
                <w:szCs w:val="16"/>
                <w:vertAlign w:val="superscript"/>
              </w:rPr>
              <w:t xml:space="preserve"> (a)</w:t>
            </w:r>
          </w:p>
        </w:tc>
        <w:tc>
          <w:tcPr>
            <w:tcW w:w="748" w:type="dxa"/>
            <w:gridSpan w:val="2"/>
          </w:tcPr>
          <w:p w14:paraId="49F9F2EF"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5 991</w:t>
            </w:r>
          </w:p>
        </w:tc>
        <w:tc>
          <w:tcPr>
            <w:tcW w:w="748" w:type="dxa"/>
          </w:tcPr>
          <w:p w14:paraId="14E98C59"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6 267</w:t>
            </w:r>
          </w:p>
        </w:tc>
        <w:tc>
          <w:tcPr>
            <w:tcW w:w="748" w:type="dxa"/>
          </w:tcPr>
          <w:p w14:paraId="5EB9FDC9"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6 329</w:t>
            </w:r>
          </w:p>
        </w:tc>
        <w:tc>
          <w:tcPr>
            <w:tcW w:w="748" w:type="dxa"/>
          </w:tcPr>
          <w:p w14:paraId="2049DE7D"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6 647</w:t>
            </w:r>
          </w:p>
        </w:tc>
        <w:tc>
          <w:tcPr>
            <w:tcW w:w="749" w:type="dxa"/>
          </w:tcPr>
          <w:p w14:paraId="4CE92C6A"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6 959</w:t>
            </w:r>
          </w:p>
        </w:tc>
      </w:tr>
      <w:tr w:rsidR="008D6F13" w:rsidRPr="00B976DB" w14:paraId="181D4BB5" w14:textId="77777777" w:rsidTr="0031078F">
        <w:tc>
          <w:tcPr>
            <w:cnfStyle w:val="001000000000" w:firstRow="0" w:lastRow="0" w:firstColumn="1" w:lastColumn="0" w:oddVBand="0" w:evenVBand="0" w:oddHBand="0" w:evenHBand="0" w:firstRowFirstColumn="0" w:firstRowLastColumn="0" w:lastRowFirstColumn="0" w:lastRowLastColumn="0"/>
            <w:tcW w:w="3969" w:type="dxa"/>
          </w:tcPr>
          <w:p w14:paraId="13FC6BC7" w14:textId="77777777" w:rsidR="008D6F13" w:rsidRPr="00B976DB" w:rsidRDefault="008D6F13" w:rsidP="0031078F">
            <w:pPr>
              <w:rPr>
                <w:sz w:val="16"/>
                <w:szCs w:val="16"/>
              </w:rPr>
            </w:pPr>
            <w:r w:rsidRPr="00B976DB">
              <w:rPr>
                <w:sz w:val="16"/>
                <w:szCs w:val="16"/>
              </w:rPr>
              <w:t>Interest received</w:t>
            </w:r>
          </w:p>
        </w:tc>
        <w:tc>
          <w:tcPr>
            <w:tcW w:w="748" w:type="dxa"/>
            <w:gridSpan w:val="2"/>
          </w:tcPr>
          <w:p w14:paraId="55BF5BB4"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2 188</w:t>
            </w:r>
          </w:p>
        </w:tc>
        <w:tc>
          <w:tcPr>
            <w:tcW w:w="748" w:type="dxa"/>
          </w:tcPr>
          <w:p w14:paraId="292DDAE3"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2 358</w:t>
            </w:r>
          </w:p>
        </w:tc>
        <w:tc>
          <w:tcPr>
            <w:tcW w:w="748" w:type="dxa"/>
          </w:tcPr>
          <w:p w14:paraId="5F330FC7"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3 043</w:t>
            </w:r>
          </w:p>
        </w:tc>
        <w:tc>
          <w:tcPr>
            <w:tcW w:w="748" w:type="dxa"/>
          </w:tcPr>
          <w:p w14:paraId="44F132EA"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3 753</w:t>
            </w:r>
          </w:p>
        </w:tc>
        <w:tc>
          <w:tcPr>
            <w:tcW w:w="749" w:type="dxa"/>
          </w:tcPr>
          <w:p w14:paraId="743B0AE1"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4 609</w:t>
            </w:r>
          </w:p>
        </w:tc>
      </w:tr>
      <w:tr w:rsidR="008D6F13" w:rsidRPr="00B976DB" w14:paraId="3A0C55F1" w14:textId="77777777" w:rsidTr="0031078F">
        <w:tc>
          <w:tcPr>
            <w:cnfStyle w:val="001000000000" w:firstRow="0" w:lastRow="0" w:firstColumn="1" w:lastColumn="0" w:oddVBand="0" w:evenVBand="0" w:oddHBand="0" w:evenHBand="0" w:firstRowFirstColumn="0" w:firstRowLastColumn="0" w:lastRowFirstColumn="0" w:lastRowLastColumn="0"/>
            <w:tcW w:w="3969" w:type="dxa"/>
          </w:tcPr>
          <w:p w14:paraId="36EE1CDF" w14:textId="77777777" w:rsidR="008D6F13" w:rsidRPr="00B976DB" w:rsidRDefault="008D6F13" w:rsidP="0031078F">
            <w:pPr>
              <w:rPr>
                <w:sz w:val="16"/>
                <w:szCs w:val="16"/>
              </w:rPr>
            </w:pPr>
            <w:r w:rsidRPr="00B976DB">
              <w:rPr>
                <w:sz w:val="16"/>
                <w:szCs w:val="16"/>
              </w:rPr>
              <w:t>Dividend receipts</w:t>
            </w:r>
          </w:p>
        </w:tc>
        <w:tc>
          <w:tcPr>
            <w:tcW w:w="748" w:type="dxa"/>
            <w:gridSpan w:val="2"/>
          </w:tcPr>
          <w:p w14:paraId="67D660BD"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1 433</w:t>
            </w:r>
          </w:p>
        </w:tc>
        <w:tc>
          <w:tcPr>
            <w:tcW w:w="748" w:type="dxa"/>
          </w:tcPr>
          <w:p w14:paraId="264A28AD"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1 619</w:t>
            </w:r>
          </w:p>
        </w:tc>
        <w:tc>
          <w:tcPr>
            <w:tcW w:w="748" w:type="dxa"/>
          </w:tcPr>
          <w:p w14:paraId="06072B8D"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1 629</w:t>
            </w:r>
          </w:p>
        </w:tc>
        <w:tc>
          <w:tcPr>
            <w:tcW w:w="748" w:type="dxa"/>
          </w:tcPr>
          <w:p w14:paraId="5C1E6443"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1 632</w:t>
            </w:r>
          </w:p>
        </w:tc>
        <w:tc>
          <w:tcPr>
            <w:tcW w:w="749" w:type="dxa"/>
          </w:tcPr>
          <w:p w14:paraId="14F94658"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2 041</w:t>
            </w:r>
          </w:p>
        </w:tc>
      </w:tr>
      <w:tr w:rsidR="008D6F13" w:rsidRPr="00B976DB" w14:paraId="7CC19137" w14:textId="77777777" w:rsidTr="0031078F">
        <w:tc>
          <w:tcPr>
            <w:cnfStyle w:val="001000000000" w:firstRow="0" w:lastRow="0" w:firstColumn="1" w:lastColumn="0" w:oddVBand="0" w:evenVBand="0" w:oddHBand="0" w:evenHBand="0" w:firstRowFirstColumn="0" w:firstRowLastColumn="0" w:lastRowFirstColumn="0" w:lastRowLastColumn="0"/>
            <w:tcW w:w="3969" w:type="dxa"/>
            <w:tcBorders>
              <w:bottom w:val="single" w:sz="6" w:space="0" w:color="auto"/>
            </w:tcBorders>
          </w:tcPr>
          <w:p w14:paraId="0649CC55" w14:textId="77777777" w:rsidR="008D6F13" w:rsidRPr="00B976DB" w:rsidRDefault="008D6F13" w:rsidP="0031078F">
            <w:pPr>
              <w:rPr>
                <w:sz w:val="16"/>
                <w:szCs w:val="16"/>
              </w:rPr>
            </w:pPr>
            <w:r w:rsidRPr="00B976DB">
              <w:rPr>
                <w:sz w:val="16"/>
                <w:szCs w:val="16"/>
              </w:rPr>
              <w:t>Other receipts</w:t>
            </w:r>
          </w:p>
        </w:tc>
        <w:tc>
          <w:tcPr>
            <w:tcW w:w="748" w:type="dxa"/>
            <w:gridSpan w:val="2"/>
            <w:tcBorders>
              <w:bottom w:val="single" w:sz="6" w:space="0" w:color="auto"/>
            </w:tcBorders>
          </w:tcPr>
          <w:p w14:paraId="58307AD2"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69</w:t>
            </w:r>
          </w:p>
        </w:tc>
        <w:tc>
          <w:tcPr>
            <w:tcW w:w="748" w:type="dxa"/>
            <w:tcBorders>
              <w:bottom w:val="single" w:sz="6" w:space="0" w:color="auto"/>
            </w:tcBorders>
          </w:tcPr>
          <w:p w14:paraId="56E4AEFE"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121</w:t>
            </w:r>
          </w:p>
        </w:tc>
        <w:tc>
          <w:tcPr>
            <w:tcW w:w="748" w:type="dxa"/>
            <w:tcBorders>
              <w:bottom w:val="single" w:sz="6" w:space="0" w:color="auto"/>
            </w:tcBorders>
          </w:tcPr>
          <w:p w14:paraId="1E1A24E9"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52</w:t>
            </w:r>
          </w:p>
        </w:tc>
        <w:tc>
          <w:tcPr>
            <w:tcW w:w="748" w:type="dxa"/>
            <w:tcBorders>
              <w:bottom w:val="single" w:sz="6" w:space="0" w:color="auto"/>
            </w:tcBorders>
          </w:tcPr>
          <w:p w14:paraId="6C06C1EE"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36</w:t>
            </w:r>
          </w:p>
        </w:tc>
        <w:tc>
          <w:tcPr>
            <w:tcW w:w="749" w:type="dxa"/>
            <w:tcBorders>
              <w:bottom w:val="single" w:sz="6" w:space="0" w:color="auto"/>
            </w:tcBorders>
          </w:tcPr>
          <w:p w14:paraId="5A4AA5A5"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32</w:t>
            </w:r>
          </w:p>
        </w:tc>
      </w:tr>
      <w:tr w:rsidR="008D6F13" w:rsidRPr="00B976DB" w14:paraId="65F3EB1F" w14:textId="77777777" w:rsidTr="0031078F">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tcBorders>
          </w:tcPr>
          <w:p w14:paraId="28ECE8DD" w14:textId="77777777" w:rsidR="008D6F13" w:rsidRPr="00B976DB" w:rsidRDefault="008D6F13" w:rsidP="0031078F">
            <w:pPr>
              <w:rPr>
                <w:sz w:val="16"/>
                <w:szCs w:val="16"/>
              </w:rPr>
            </w:pPr>
            <w:r w:rsidRPr="00B976DB">
              <w:rPr>
                <w:b/>
                <w:sz w:val="16"/>
                <w:szCs w:val="16"/>
              </w:rPr>
              <w:t>Total receipts</w:t>
            </w:r>
          </w:p>
        </w:tc>
        <w:tc>
          <w:tcPr>
            <w:tcW w:w="748" w:type="dxa"/>
            <w:gridSpan w:val="2"/>
            <w:tcBorders>
              <w:top w:val="single" w:sz="6" w:space="0" w:color="auto"/>
            </w:tcBorders>
          </w:tcPr>
          <w:p w14:paraId="23AE1FC2"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9 881</w:t>
            </w:r>
          </w:p>
        </w:tc>
        <w:tc>
          <w:tcPr>
            <w:tcW w:w="748" w:type="dxa"/>
            <w:tcBorders>
              <w:top w:val="single" w:sz="6" w:space="0" w:color="auto"/>
            </w:tcBorders>
          </w:tcPr>
          <w:p w14:paraId="6A05152A"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10 560</w:t>
            </w:r>
          </w:p>
        </w:tc>
        <w:tc>
          <w:tcPr>
            <w:tcW w:w="748" w:type="dxa"/>
            <w:tcBorders>
              <w:top w:val="single" w:sz="6" w:space="0" w:color="auto"/>
            </w:tcBorders>
          </w:tcPr>
          <w:p w14:paraId="6009D53B"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11 253</w:t>
            </w:r>
          </w:p>
        </w:tc>
        <w:tc>
          <w:tcPr>
            <w:tcW w:w="748" w:type="dxa"/>
            <w:tcBorders>
              <w:top w:val="single" w:sz="6" w:space="0" w:color="auto"/>
            </w:tcBorders>
          </w:tcPr>
          <w:p w14:paraId="744624A1"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12 269</w:t>
            </w:r>
          </w:p>
        </w:tc>
        <w:tc>
          <w:tcPr>
            <w:tcW w:w="749" w:type="dxa"/>
            <w:tcBorders>
              <w:top w:val="single" w:sz="6" w:space="0" w:color="auto"/>
            </w:tcBorders>
          </w:tcPr>
          <w:p w14:paraId="41F8196B"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13 841</w:t>
            </w:r>
          </w:p>
        </w:tc>
      </w:tr>
      <w:tr w:rsidR="008D6F13" w:rsidRPr="00B976DB" w14:paraId="03BD4B50" w14:textId="77777777" w:rsidTr="0031078F">
        <w:tc>
          <w:tcPr>
            <w:cnfStyle w:val="001000000000" w:firstRow="0" w:lastRow="0" w:firstColumn="1" w:lastColumn="0" w:oddVBand="0" w:evenVBand="0" w:oddHBand="0" w:evenHBand="0" w:firstRowFirstColumn="0" w:firstRowLastColumn="0" w:lastRowFirstColumn="0" w:lastRowLastColumn="0"/>
            <w:tcW w:w="3969" w:type="dxa"/>
          </w:tcPr>
          <w:p w14:paraId="598FE884" w14:textId="77777777" w:rsidR="008D6F13" w:rsidRPr="00B976DB" w:rsidRDefault="008D6F13" w:rsidP="0031078F">
            <w:pPr>
              <w:rPr>
                <w:sz w:val="16"/>
                <w:szCs w:val="16"/>
              </w:rPr>
            </w:pPr>
            <w:r w:rsidRPr="00B976DB">
              <w:rPr>
                <w:b/>
                <w:sz w:val="16"/>
                <w:szCs w:val="16"/>
              </w:rPr>
              <w:t>Payments</w:t>
            </w:r>
          </w:p>
        </w:tc>
        <w:tc>
          <w:tcPr>
            <w:tcW w:w="748" w:type="dxa"/>
            <w:gridSpan w:val="2"/>
          </w:tcPr>
          <w:p w14:paraId="00D7EB25"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48" w:type="dxa"/>
          </w:tcPr>
          <w:p w14:paraId="7664A016"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48" w:type="dxa"/>
          </w:tcPr>
          <w:p w14:paraId="0D5E6E4C"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48" w:type="dxa"/>
          </w:tcPr>
          <w:p w14:paraId="7ABA13D3"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49" w:type="dxa"/>
          </w:tcPr>
          <w:p w14:paraId="4F978B06"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r>
      <w:tr w:rsidR="008D6F13" w:rsidRPr="00B976DB" w14:paraId="74796AF2" w14:textId="77777777" w:rsidTr="0031078F">
        <w:tc>
          <w:tcPr>
            <w:cnfStyle w:val="001000000000" w:firstRow="0" w:lastRow="0" w:firstColumn="1" w:lastColumn="0" w:oddVBand="0" w:evenVBand="0" w:oddHBand="0" w:evenHBand="0" w:firstRowFirstColumn="0" w:firstRowLastColumn="0" w:lastRowFirstColumn="0" w:lastRowLastColumn="0"/>
            <w:tcW w:w="3969" w:type="dxa"/>
          </w:tcPr>
          <w:p w14:paraId="0FFEDF48" w14:textId="77777777" w:rsidR="008D6F13" w:rsidRPr="00B976DB" w:rsidRDefault="008D6F13" w:rsidP="0031078F">
            <w:pPr>
              <w:rPr>
                <w:sz w:val="16"/>
                <w:szCs w:val="16"/>
              </w:rPr>
            </w:pPr>
            <w:r w:rsidRPr="00B976DB">
              <w:rPr>
                <w:sz w:val="16"/>
                <w:szCs w:val="16"/>
              </w:rPr>
              <w:t>Payments for employees</w:t>
            </w:r>
          </w:p>
        </w:tc>
        <w:tc>
          <w:tcPr>
            <w:tcW w:w="748" w:type="dxa"/>
            <w:gridSpan w:val="2"/>
          </w:tcPr>
          <w:p w14:paraId="3FC88EDE"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(432)</w:t>
            </w:r>
          </w:p>
        </w:tc>
        <w:tc>
          <w:tcPr>
            <w:tcW w:w="748" w:type="dxa"/>
          </w:tcPr>
          <w:p w14:paraId="0C1DBFF4"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(489)</w:t>
            </w:r>
          </w:p>
        </w:tc>
        <w:tc>
          <w:tcPr>
            <w:tcW w:w="748" w:type="dxa"/>
          </w:tcPr>
          <w:p w14:paraId="6C59BD4B"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(479)</w:t>
            </w:r>
          </w:p>
        </w:tc>
        <w:tc>
          <w:tcPr>
            <w:tcW w:w="748" w:type="dxa"/>
          </w:tcPr>
          <w:p w14:paraId="49BFD54A"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(496)</w:t>
            </w:r>
          </w:p>
        </w:tc>
        <w:tc>
          <w:tcPr>
            <w:tcW w:w="749" w:type="dxa"/>
          </w:tcPr>
          <w:p w14:paraId="5F665937"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(507)</w:t>
            </w:r>
          </w:p>
        </w:tc>
      </w:tr>
      <w:tr w:rsidR="008D6F13" w:rsidRPr="00B976DB" w14:paraId="69467008" w14:textId="77777777" w:rsidTr="0031078F">
        <w:tc>
          <w:tcPr>
            <w:cnfStyle w:val="001000000000" w:firstRow="0" w:lastRow="0" w:firstColumn="1" w:lastColumn="0" w:oddVBand="0" w:evenVBand="0" w:oddHBand="0" w:evenHBand="0" w:firstRowFirstColumn="0" w:firstRowLastColumn="0" w:lastRowFirstColumn="0" w:lastRowLastColumn="0"/>
            <w:tcW w:w="3969" w:type="dxa"/>
          </w:tcPr>
          <w:p w14:paraId="7108A931" w14:textId="77777777" w:rsidR="008D6F13" w:rsidRPr="00B976DB" w:rsidRDefault="008D6F13" w:rsidP="0031078F">
            <w:pPr>
              <w:rPr>
                <w:sz w:val="16"/>
                <w:szCs w:val="16"/>
              </w:rPr>
            </w:pPr>
            <w:r w:rsidRPr="00B976DB">
              <w:rPr>
                <w:sz w:val="16"/>
                <w:szCs w:val="16"/>
              </w:rPr>
              <w:t>Superannuation</w:t>
            </w:r>
          </w:p>
        </w:tc>
        <w:tc>
          <w:tcPr>
            <w:tcW w:w="748" w:type="dxa"/>
            <w:gridSpan w:val="2"/>
          </w:tcPr>
          <w:p w14:paraId="744FB090"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(37)</w:t>
            </w:r>
          </w:p>
        </w:tc>
        <w:tc>
          <w:tcPr>
            <w:tcW w:w="748" w:type="dxa"/>
          </w:tcPr>
          <w:p w14:paraId="30357694"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(42)</w:t>
            </w:r>
          </w:p>
        </w:tc>
        <w:tc>
          <w:tcPr>
            <w:tcW w:w="748" w:type="dxa"/>
          </w:tcPr>
          <w:p w14:paraId="0E12E5C2"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(43)</w:t>
            </w:r>
          </w:p>
        </w:tc>
        <w:tc>
          <w:tcPr>
            <w:tcW w:w="748" w:type="dxa"/>
          </w:tcPr>
          <w:p w14:paraId="0604FCBA"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(45)</w:t>
            </w:r>
          </w:p>
        </w:tc>
        <w:tc>
          <w:tcPr>
            <w:tcW w:w="749" w:type="dxa"/>
          </w:tcPr>
          <w:p w14:paraId="0860165C"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(47)</w:t>
            </w:r>
          </w:p>
        </w:tc>
      </w:tr>
      <w:tr w:rsidR="008D6F13" w:rsidRPr="00B976DB" w14:paraId="01C44A6E" w14:textId="77777777" w:rsidTr="0031078F">
        <w:tc>
          <w:tcPr>
            <w:cnfStyle w:val="001000000000" w:firstRow="0" w:lastRow="0" w:firstColumn="1" w:lastColumn="0" w:oddVBand="0" w:evenVBand="0" w:oddHBand="0" w:evenHBand="0" w:firstRowFirstColumn="0" w:firstRowLastColumn="0" w:lastRowFirstColumn="0" w:lastRowLastColumn="0"/>
            <w:tcW w:w="3969" w:type="dxa"/>
          </w:tcPr>
          <w:p w14:paraId="4E44CDFA" w14:textId="77777777" w:rsidR="008D6F13" w:rsidRPr="00B976DB" w:rsidRDefault="008D6F13" w:rsidP="0031078F">
            <w:pPr>
              <w:rPr>
                <w:sz w:val="16"/>
                <w:szCs w:val="16"/>
              </w:rPr>
            </w:pPr>
            <w:r w:rsidRPr="00B976DB">
              <w:rPr>
                <w:sz w:val="16"/>
                <w:szCs w:val="16"/>
              </w:rPr>
              <w:t>Interest paid</w:t>
            </w:r>
          </w:p>
        </w:tc>
        <w:tc>
          <w:tcPr>
            <w:tcW w:w="748" w:type="dxa"/>
            <w:gridSpan w:val="2"/>
          </w:tcPr>
          <w:p w14:paraId="409EDF50"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(2 089)</w:t>
            </w:r>
          </w:p>
        </w:tc>
        <w:tc>
          <w:tcPr>
            <w:tcW w:w="748" w:type="dxa"/>
          </w:tcPr>
          <w:p w14:paraId="29E9E4B1"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(2 327)</w:t>
            </w:r>
          </w:p>
        </w:tc>
        <w:tc>
          <w:tcPr>
            <w:tcW w:w="748" w:type="dxa"/>
          </w:tcPr>
          <w:p w14:paraId="0CF731F8"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(3 001)</w:t>
            </w:r>
          </w:p>
        </w:tc>
        <w:tc>
          <w:tcPr>
            <w:tcW w:w="748" w:type="dxa"/>
          </w:tcPr>
          <w:p w14:paraId="0244BE81"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(3 688)</w:t>
            </w:r>
          </w:p>
        </w:tc>
        <w:tc>
          <w:tcPr>
            <w:tcW w:w="749" w:type="dxa"/>
          </w:tcPr>
          <w:p w14:paraId="224D1250"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(4 490)</w:t>
            </w:r>
          </w:p>
        </w:tc>
      </w:tr>
      <w:tr w:rsidR="008D6F13" w:rsidRPr="00B976DB" w14:paraId="21D985A1" w14:textId="77777777" w:rsidTr="0031078F">
        <w:tc>
          <w:tcPr>
            <w:cnfStyle w:val="001000000000" w:firstRow="0" w:lastRow="0" w:firstColumn="1" w:lastColumn="0" w:oddVBand="0" w:evenVBand="0" w:oddHBand="0" w:evenHBand="0" w:firstRowFirstColumn="0" w:firstRowLastColumn="0" w:lastRowFirstColumn="0" w:lastRowLastColumn="0"/>
            <w:tcW w:w="3969" w:type="dxa"/>
          </w:tcPr>
          <w:p w14:paraId="62680D64" w14:textId="77777777" w:rsidR="008D6F13" w:rsidRPr="00B976DB" w:rsidRDefault="008D6F13" w:rsidP="0031078F">
            <w:pPr>
              <w:rPr>
                <w:sz w:val="16"/>
                <w:szCs w:val="16"/>
              </w:rPr>
            </w:pPr>
            <w:r w:rsidRPr="00B976DB">
              <w:rPr>
                <w:sz w:val="16"/>
                <w:szCs w:val="16"/>
              </w:rPr>
              <w:t>Grants and subsidies</w:t>
            </w:r>
          </w:p>
        </w:tc>
        <w:tc>
          <w:tcPr>
            <w:tcW w:w="748" w:type="dxa"/>
            <w:gridSpan w:val="2"/>
          </w:tcPr>
          <w:p w14:paraId="4CD68E58"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(754)</w:t>
            </w:r>
          </w:p>
        </w:tc>
        <w:tc>
          <w:tcPr>
            <w:tcW w:w="748" w:type="dxa"/>
          </w:tcPr>
          <w:p w14:paraId="5E1FAEB8"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(708)</w:t>
            </w:r>
          </w:p>
        </w:tc>
        <w:tc>
          <w:tcPr>
            <w:tcW w:w="748" w:type="dxa"/>
          </w:tcPr>
          <w:p w14:paraId="007EA024"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(689)</w:t>
            </w:r>
          </w:p>
        </w:tc>
        <w:tc>
          <w:tcPr>
            <w:tcW w:w="748" w:type="dxa"/>
          </w:tcPr>
          <w:p w14:paraId="14D229A5"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(957)</w:t>
            </w:r>
          </w:p>
        </w:tc>
        <w:tc>
          <w:tcPr>
            <w:tcW w:w="749" w:type="dxa"/>
          </w:tcPr>
          <w:p w14:paraId="5D946AFE"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(848)</w:t>
            </w:r>
          </w:p>
        </w:tc>
      </w:tr>
      <w:tr w:rsidR="008D6F13" w:rsidRPr="00B976DB" w14:paraId="45721F06" w14:textId="77777777" w:rsidTr="0031078F">
        <w:tc>
          <w:tcPr>
            <w:cnfStyle w:val="001000000000" w:firstRow="0" w:lastRow="0" w:firstColumn="1" w:lastColumn="0" w:oddVBand="0" w:evenVBand="0" w:oddHBand="0" w:evenHBand="0" w:firstRowFirstColumn="0" w:firstRowLastColumn="0" w:lastRowFirstColumn="0" w:lastRowLastColumn="0"/>
            <w:tcW w:w="3969" w:type="dxa"/>
          </w:tcPr>
          <w:p w14:paraId="30E82A23" w14:textId="77777777" w:rsidR="008D6F13" w:rsidRPr="00B976DB" w:rsidRDefault="008D6F13" w:rsidP="0031078F">
            <w:pPr>
              <w:rPr>
                <w:sz w:val="16"/>
                <w:szCs w:val="16"/>
              </w:rPr>
            </w:pPr>
            <w:r w:rsidRPr="00B976DB">
              <w:rPr>
                <w:sz w:val="16"/>
                <w:szCs w:val="16"/>
              </w:rPr>
              <w:t>Goods and services</w:t>
            </w:r>
            <w:r w:rsidRPr="00B976DB">
              <w:rPr>
                <w:sz w:val="16"/>
                <w:szCs w:val="16"/>
                <w:vertAlign w:val="superscript"/>
              </w:rPr>
              <w:t xml:space="preserve"> (a)</w:t>
            </w:r>
          </w:p>
        </w:tc>
        <w:tc>
          <w:tcPr>
            <w:tcW w:w="748" w:type="dxa"/>
            <w:gridSpan w:val="2"/>
          </w:tcPr>
          <w:p w14:paraId="55A5407A"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(6 368)</w:t>
            </w:r>
          </w:p>
        </w:tc>
        <w:tc>
          <w:tcPr>
            <w:tcW w:w="748" w:type="dxa"/>
          </w:tcPr>
          <w:p w14:paraId="3FA77843"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(6 920)</w:t>
            </w:r>
          </w:p>
        </w:tc>
        <w:tc>
          <w:tcPr>
            <w:tcW w:w="748" w:type="dxa"/>
          </w:tcPr>
          <w:p w14:paraId="16BD8A6B"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(6 585)</w:t>
            </w:r>
          </w:p>
        </w:tc>
        <w:tc>
          <w:tcPr>
            <w:tcW w:w="748" w:type="dxa"/>
          </w:tcPr>
          <w:p w14:paraId="0073E9D1"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(7 089)</w:t>
            </w:r>
          </w:p>
        </w:tc>
        <w:tc>
          <w:tcPr>
            <w:tcW w:w="749" w:type="dxa"/>
          </w:tcPr>
          <w:p w14:paraId="79DD9A37"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(7 487)</w:t>
            </w:r>
          </w:p>
        </w:tc>
      </w:tr>
      <w:tr w:rsidR="008D6F13" w:rsidRPr="00B976DB" w14:paraId="4D228ACE" w14:textId="77777777" w:rsidTr="0031078F">
        <w:tc>
          <w:tcPr>
            <w:cnfStyle w:val="001000000000" w:firstRow="0" w:lastRow="0" w:firstColumn="1" w:lastColumn="0" w:oddVBand="0" w:evenVBand="0" w:oddHBand="0" w:evenHBand="0" w:firstRowFirstColumn="0" w:firstRowLastColumn="0" w:lastRowFirstColumn="0" w:lastRowLastColumn="0"/>
            <w:tcW w:w="3969" w:type="dxa"/>
            <w:tcBorders>
              <w:bottom w:val="single" w:sz="6" w:space="0" w:color="auto"/>
            </w:tcBorders>
          </w:tcPr>
          <w:p w14:paraId="461D15E7" w14:textId="77777777" w:rsidR="008D6F13" w:rsidRPr="00B976DB" w:rsidRDefault="008D6F13" w:rsidP="0031078F">
            <w:pPr>
              <w:rPr>
                <w:sz w:val="16"/>
                <w:szCs w:val="16"/>
              </w:rPr>
            </w:pPr>
            <w:r w:rsidRPr="00B976DB">
              <w:rPr>
                <w:sz w:val="16"/>
                <w:szCs w:val="16"/>
              </w:rPr>
              <w:t>Other payments</w:t>
            </w:r>
          </w:p>
        </w:tc>
        <w:tc>
          <w:tcPr>
            <w:tcW w:w="748" w:type="dxa"/>
            <w:gridSpan w:val="2"/>
            <w:tcBorders>
              <w:bottom w:val="single" w:sz="6" w:space="0" w:color="auto"/>
            </w:tcBorders>
          </w:tcPr>
          <w:p w14:paraId="64DE07E5"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(6)</w:t>
            </w:r>
          </w:p>
        </w:tc>
        <w:tc>
          <w:tcPr>
            <w:tcW w:w="748" w:type="dxa"/>
            <w:tcBorders>
              <w:bottom w:val="single" w:sz="6" w:space="0" w:color="auto"/>
            </w:tcBorders>
          </w:tcPr>
          <w:p w14:paraId="34E1D93F"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(5)</w:t>
            </w:r>
          </w:p>
        </w:tc>
        <w:tc>
          <w:tcPr>
            <w:tcW w:w="748" w:type="dxa"/>
            <w:tcBorders>
              <w:bottom w:val="single" w:sz="6" w:space="0" w:color="auto"/>
            </w:tcBorders>
          </w:tcPr>
          <w:p w14:paraId="575825CB"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(8)</w:t>
            </w:r>
          </w:p>
        </w:tc>
        <w:tc>
          <w:tcPr>
            <w:tcW w:w="748" w:type="dxa"/>
            <w:tcBorders>
              <w:bottom w:val="single" w:sz="6" w:space="0" w:color="auto"/>
            </w:tcBorders>
          </w:tcPr>
          <w:p w14:paraId="6BAEC9C4"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(9)</w:t>
            </w:r>
          </w:p>
        </w:tc>
        <w:tc>
          <w:tcPr>
            <w:tcW w:w="749" w:type="dxa"/>
            <w:tcBorders>
              <w:bottom w:val="single" w:sz="6" w:space="0" w:color="auto"/>
            </w:tcBorders>
          </w:tcPr>
          <w:p w14:paraId="2B7F490F"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(9)</w:t>
            </w:r>
          </w:p>
        </w:tc>
      </w:tr>
      <w:tr w:rsidR="008D6F13" w:rsidRPr="00B976DB" w14:paraId="64567C85" w14:textId="77777777" w:rsidTr="0031078F">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6" w:space="0" w:color="auto"/>
            </w:tcBorders>
          </w:tcPr>
          <w:p w14:paraId="4133F02E" w14:textId="77777777" w:rsidR="008D6F13" w:rsidRPr="00B976DB" w:rsidRDefault="008D6F13" w:rsidP="0031078F">
            <w:pPr>
              <w:rPr>
                <w:sz w:val="16"/>
                <w:szCs w:val="16"/>
              </w:rPr>
            </w:pPr>
            <w:r w:rsidRPr="00B976DB">
              <w:rPr>
                <w:b/>
                <w:sz w:val="16"/>
                <w:szCs w:val="16"/>
              </w:rPr>
              <w:t>Total payments</w:t>
            </w:r>
          </w:p>
        </w:tc>
        <w:tc>
          <w:tcPr>
            <w:tcW w:w="748" w:type="dxa"/>
            <w:gridSpan w:val="2"/>
            <w:tcBorders>
              <w:top w:val="single" w:sz="6" w:space="0" w:color="auto"/>
              <w:bottom w:val="single" w:sz="6" w:space="0" w:color="auto"/>
            </w:tcBorders>
          </w:tcPr>
          <w:p w14:paraId="0091EB68"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(9 686)</w:t>
            </w:r>
          </w:p>
        </w:tc>
        <w:tc>
          <w:tcPr>
            <w:tcW w:w="748" w:type="dxa"/>
            <w:tcBorders>
              <w:top w:val="single" w:sz="6" w:space="0" w:color="auto"/>
              <w:bottom w:val="single" w:sz="6" w:space="0" w:color="auto"/>
            </w:tcBorders>
          </w:tcPr>
          <w:p w14:paraId="7900AE53"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(10 492)</w:t>
            </w:r>
          </w:p>
        </w:tc>
        <w:tc>
          <w:tcPr>
            <w:tcW w:w="748" w:type="dxa"/>
            <w:tcBorders>
              <w:top w:val="single" w:sz="6" w:space="0" w:color="auto"/>
              <w:bottom w:val="single" w:sz="6" w:space="0" w:color="auto"/>
            </w:tcBorders>
          </w:tcPr>
          <w:p w14:paraId="2A2C932D"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(10 806)</w:t>
            </w:r>
          </w:p>
        </w:tc>
        <w:tc>
          <w:tcPr>
            <w:tcW w:w="748" w:type="dxa"/>
            <w:tcBorders>
              <w:top w:val="single" w:sz="6" w:space="0" w:color="auto"/>
              <w:bottom w:val="single" w:sz="6" w:space="0" w:color="auto"/>
            </w:tcBorders>
          </w:tcPr>
          <w:p w14:paraId="0B16EF75"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(12 284)</w:t>
            </w:r>
          </w:p>
        </w:tc>
        <w:tc>
          <w:tcPr>
            <w:tcW w:w="749" w:type="dxa"/>
            <w:tcBorders>
              <w:top w:val="single" w:sz="6" w:space="0" w:color="auto"/>
              <w:bottom w:val="single" w:sz="6" w:space="0" w:color="auto"/>
            </w:tcBorders>
          </w:tcPr>
          <w:p w14:paraId="09ED0145"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(13 388)</w:t>
            </w:r>
          </w:p>
        </w:tc>
      </w:tr>
      <w:tr w:rsidR="008D6F13" w:rsidRPr="00B976DB" w14:paraId="609FB347" w14:textId="77777777" w:rsidTr="0031078F">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tcBorders>
          </w:tcPr>
          <w:p w14:paraId="64F3ECF4" w14:textId="77777777" w:rsidR="008D6F13" w:rsidRPr="00B976DB" w:rsidRDefault="008D6F13" w:rsidP="0031078F">
            <w:pPr>
              <w:rPr>
                <w:sz w:val="16"/>
                <w:szCs w:val="16"/>
              </w:rPr>
            </w:pPr>
            <w:r w:rsidRPr="00B976DB">
              <w:rPr>
                <w:b/>
                <w:sz w:val="16"/>
                <w:szCs w:val="16"/>
              </w:rPr>
              <w:t>Net cash flows from operating activities</w:t>
            </w:r>
          </w:p>
        </w:tc>
        <w:tc>
          <w:tcPr>
            <w:tcW w:w="748" w:type="dxa"/>
            <w:gridSpan w:val="2"/>
            <w:tcBorders>
              <w:top w:val="single" w:sz="6" w:space="0" w:color="auto"/>
            </w:tcBorders>
          </w:tcPr>
          <w:p w14:paraId="7CD64965"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195</w:t>
            </w:r>
          </w:p>
        </w:tc>
        <w:tc>
          <w:tcPr>
            <w:tcW w:w="748" w:type="dxa"/>
            <w:tcBorders>
              <w:top w:val="single" w:sz="6" w:space="0" w:color="auto"/>
            </w:tcBorders>
          </w:tcPr>
          <w:p w14:paraId="43CA9217"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68</w:t>
            </w:r>
          </w:p>
        </w:tc>
        <w:tc>
          <w:tcPr>
            <w:tcW w:w="748" w:type="dxa"/>
            <w:tcBorders>
              <w:top w:val="single" w:sz="6" w:space="0" w:color="auto"/>
            </w:tcBorders>
          </w:tcPr>
          <w:p w14:paraId="4D53537F"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448</w:t>
            </w:r>
          </w:p>
        </w:tc>
        <w:tc>
          <w:tcPr>
            <w:tcW w:w="748" w:type="dxa"/>
            <w:tcBorders>
              <w:top w:val="single" w:sz="6" w:space="0" w:color="auto"/>
            </w:tcBorders>
          </w:tcPr>
          <w:p w14:paraId="10B7127F"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(15)</w:t>
            </w:r>
          </w:p>
        </w:tc>
        <w:tc>
          <w:tcPr>
            <w:tcW w:w="749" w:type="dxa"/>
            <w:tcBorders>
              <w:top w:val="single" w:sz="6" w:space="0" w:color="auto"/>
            </w:tcBorders>
          </w:tcPr>
          <w:p w14:paraId="5A4D4011"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453</w:t>
            </w:r>
          </w:p>
        </w:tc>
      </w:tr>
      <w:tr w:rsidR="008D6F13" w:rsidRPr="00B976DB" w14:paraId="171D7712" w14:textId="77777777" w:rsidTr="0031078F">
        <w:tc>
          <w:tcPr>
            <w:cnfStyle w:val="001000000000" w:firstRow="0" w:lastRow="0" w:firstColumn="1" w:lastColumn="0" w:oddVBand="0" w:evenVBand="0" w:oddHBand="0" w:evenHBand="0" w:firstRowFirstColumn="0" w:firstRowLastColumn="0" w:lastRowFirstColumn="0" w:lastRowLastColumn="0"/>
            <w:tcW w:w="3969" w:type="dxa"/>
          </w:tcPr>
          <w:p w14:paraId="69AD823B" w14:textId="77777777" w:rsidR="008D6F13" w:rsidRPr="00B976DB" w:rsidRDefault="008D6F13" w:rsidP="0031078F">
            <w:pPr>
              <w:rPr>
                <w:sz w:val="16"/>
                <w:szCs w:val="16"/>
              </w:rPr>
            </w:pPr>
            <w:r w:rsidRPr="00B976DB">
              <w:rPr>
                <w:b/>
                <w:sz w:val="16"/>
                <w:szCs w:val="16"/>
              </w:rPr>
              <w:t>Cash flows from investing activities</w:t>
            </w:r>
          </w:p>
        </w:tc>
        <w:tc>
          <w:tcPr>
            <w:tcW w:w="748" w:type="dxa"/>
            <w:gridSpan w:val="2"/>
          </w:tcPr>
          <w:p w14:paraId="406A10AA"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48" w:type="dxa"/>
          </w:tcPr>
          <w:p w14:paraId="400E0D91"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48" w:type="dxa"/>
          </w:tcPr>
          <w:p w14:paraId="762B5C46"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48" w:type="dxa"/>
          </w:tcPr>
          <w:p w14:paraId="787FD925"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49" w:type="dxa"/>
          </w:tcPr>
          <w:p w14:paraId="5BBA5A0C"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r>
      <w:tr w:rsidR="008D6F13" w:rsidRPr="00B976DB" w14:paraId="5F4A72E8" w14:textId="77777777" w:rsidTr="0031078F">
        <w:tc>
          <w:tcPr>
            <w:cnfStyle w:val="001000000000" w:firstRow="0" w:lastRow="0" w:firstColumn="1" w:lastColumn="0" w:oddVBand="0" w:evenVBand="0" w:oddHBand="0" w:evenHBand="0" w:firstRowFirstColumn="0" w:firstRowLastColumn="0" w:lastRowFirstColumn="0" w:lastRowLastColumn="0"/>
            <w:tcW w:w="3969" w:type="dxa"/>
          </w:tcPr>
          <w:p w14:paraId="606DB8EA" w14:textId="77777777" w:rsidR="008D6F13" w:rsidRPr="00B976DB" w:rsidRDefault="008D6F13" w:rsidP="0031078F">
            <w:pPr>
              <w:rPr>
                <w:sz w:val="16"/>
                <w:szCs w:val="16"/>
              </w:rPr>
            </w:pPr>
            <w:r w:rsidRPr="00B976DB">
              <w:rPr>
                <w:b/>
                <w:sz w:val="16"/>
                <w:szCs w:val="16"/>
              </w:rPr>
              <w:t>Cash flows from investments in non</w:t>
            </w:r>
            <w:r w:rsidRPr="00B976DB">
              <w:rPr>
                <w:b/>
                <w:sz w:val="16"/>
                <w:szCs w:val="16"/>
              </w:rPr>
              <w:noBreakHyphen/>
              <w:t>financial assets</w:t>
            </w:r>
          </w:p>
        </w:tc>
        <w:tc>
          <w:tcPr>
            <w:tcW w:w="748" w:type="dxa"/>
            <w:gridSpan w:val="2"/>
          </w:tcPr>
          <w:p w14:paraId="6C5BDEDE"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48" w:type="dxa"/>
          </w:tcPr>
          <w:p w14:paraId="1B81E023"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48" w:type="dxa"/>
          </w:tcPr>
          <w:p w14:paraId="6080715C"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48" w:type="dxa"/>
          </w:tcPr>
          <w:p w14:paraId="3A89BDAC"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49" w:type="dxa"/>
          </w:tcPr>
          <w:p w14:paraId="513E54DD"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r>
      <w:tr w:rsidR="008D6F13" w:rsidRPr="00B976DB" w14:paraId="46D226A4" w14:textId="77777777" w:rsidTr="0031078F">
        <w:tc>
          <w:tcPr>
            <w:cnfStyle w:val="001000000000" w:firstRow="0" w:lastRow="0" w:firstColumn="1" w:lastColumn="0" w:oddVBand="0" w:evenVBand="0" w:oddHBand="0" w:evenHBand="0" w:firstRowFirstColumn="0" w:firstRowLastColumn="0" w:lastRowFirstColumn="0" w:lastRowLastColumn="0"/>
            <w:tcW w:w="3969" w:type="dxa"/>
          </w:tcPr>
          <w:p w14:paraId="46271934" w14:textId="77777777" w:rsidR="008D6F13" w:rsidRPr="00B976DB" w:rsidRDefault="008D6F13" w:rsidP="0031078F">
            <w:pPr>
              <w:rPr>
                <w:sz w:val="16"/>
                <w:szCs w:val="16"/>
              </w:rPr>
            </w:pPr>
            <w:r w:rsidRPr="00B976DB">
              <w:rPr>
                <w:sz w:val="16"/>
                <w:szCs w:val="16"/>
              </w:rPr>
              <w:t>Purchases of non</w:t>
            </w:r>
            <w:r w:rsidRPr="00B976DB">
              <w:rPr>
                <w:sz w:val="16"/>
                <w:szCs w:val="16"/>
              </w:rPr>
              <w:noBreakHyphen/>
              <w:t>financial assets</w:t>
            </w:r>
          </w:p>
        </w:tc>
        <w:tc>
          <w:tcPr>
            <w:tcW w:w="748" w:type="dxa"/>
            <w:gridSpan w:val="2"/>
          </w:tcPr>
          <w:p w14:paraId="64FEC172"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(177)</w:t>
            </w:r>
          </w:p>
        </w:tc>
        <w:tc>
          <w:tcPr>
            <w:tcW w:w="748" w:type="dxa"/>
          </w:tcPr>
          <w:p w14:paraId="1C501F4A"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(264)</w:t>
            </w:r>
          </w:p>
        </w:tc>
        <w:tc>
          <w:tcPr>
            <w:tcW w:w="748" w:type="dxa"/>
          </w:tcPr>
          <w:p w14:paraId="48CD0A70"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(133)</w:t>
            </w:r>
          </w:p>
        </w:tc>
        <w:tc>
          <w:tcPr>
            <w:tcW w:w="748" w:type="dxa"/>
          </w:tcPr>
          <w:p w14:paraId="7D163922"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(90)</w:t>
            </w:r>
          </w:p>
        </w:tc>
        <w:tc>
          <w:tcPr>
            <w:tcW w:w="749" w:type="dxa"/>
          </w:tcPr>
          <w:p w14:paraId="589AD45F"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(89)</w:t>
            </w:r>
          </w:p>
        </w:tc>
      </w:tr>
      <w:tr w:rsidR="008D6F13" w:rsidRPr="00B976DB" w14:paraId="2C58E42E" w14:textId="77777777" w:rsidTr="0031078F">
        <w:tc>
          <w:tcPr>
            <w:cnfStyle w:val="001000000000" w:firstRow="0" w:lastRow="0" w:firstColumn="1" w:lastColumn="0" w:oddVBand="0" w:evenVBand="0" w:oddHBand="0" w:evenHBand="0" w:firstRowFirstColumn="0" w:firstRowLastColumn="0" w:lastRowFirstColumn="0" w:lastRowLastColumn="0"/>
            <w:tcW w:w="3969" w:type="dxa"/>
            <w:tcBorders>
              <w:bottom w:val="single" w:sz="6" w:space="0" w:color="auto"/>
            </w:tcBorders>
          </w:tcPr>
          <w:p w14:paraId="07212B29" w14:textId="77777777" w:rsidR="008D6F13" w:rsidRPr="00B976DB" w:rsidRDefault="008D6F13" w:rsidP="0031078F">
            <w:pPr>
              <w:rPr>
                <w:sz w:val="16"/>
                <w:szCs w:val="16"/>
              </w:rPr>
            </w:pPr>
            <w:r w:rsidRPr="00B976DB">
              <w:rPr>
                <w:sz w:val="16"/>
                <w:szCs w:val="16"/>
              </w:rPr>
              <w:t>Sales of non</w:t>
            </w:r>
            <w:r w:rsidRPr="00B976DB">
              <w:rPr>
                <w:sz w:val="16"/>
                <w:szCs w:val="16"/>
              </w:rPr>
              <w:noBreakHyphen/>
              <w:t>financial assets</w:t>
            </w:r>
          </w:p>
        </w:tc>
        <w:tc>
          <w:tcPr>
            <w:tcW w:w="748" w:type="dxa"/>
            <w:gridSpan w:val="2"/>
            <w:tcBorders>
              <w:bottom w:val="single" w:sz="6" w:space="0" w:color="auto"/>
            </w:tcBorders>
          </w:tcPr>
          <w:p w14:paraId="1E81859C"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w:t>
            </w:r>
          </w:p>
        </w:tc>
        <w:tc>
          <w:tcPr>
            <w:tcW w:w="748" w:type="dxa"/>
            <w:tcBorders>
              <w:bottom w:val="single" w:sz="6" w:space="0" w:color="auto"/>
            </w:tcBorders>
          </w:tcPr>
          <w:p w14:paraId="69EF709C"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w:t>
            </w:r>
          </w:p>
        </w:tc>
        <w:tc>
          <w:tcPr>
            <w:tcW w:w="748" w:type="dxa"/>
            <w:tcBorders>
              <w:bottom w:val="single" w:sz="6" w:space="0" w:color="auto"/>
            </w:tcBorders>
          </w:tcPr>
          <w:p w14:paraId="21C000B1"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w:t>
            </w:r>
          </w:p>
        </w:tc>
        <w:tc>
          <w:tcPr>
            <w:tcW w:w="748" w:type="dxa"/>
            <w:tcBorders>
              <w:bottom w:val="single" w:sz="6" w:space="0" w:color="auto"/>
            </w:tcBorders>
          </w:tcPr>
          <w:p w14:paraId="5DE74EFB"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(1)</w:t>
            </w:r>
          </w:p>
        </w:tc>
        <w:tc>
          <w:tcPr>
            <w:tcW w:w="749" w:type="dxa"/>
            <w:tcBorders>
              <w:bottom w:val="single" w:sz="6" w:space="0" w:color="auto"/>
            </w:tcBorders>
          </w:tcPr>
          <w:p w14:paraId="0DCDD45E"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(1)</w:t>
            </w:r>
          </w:p>
        </w:tc>
      </w:tr>
      <w:tr w:rsidR="008D6F13" w:rsidRPr="00B976DB" w14:paraId="161BBD63" w14:textId="77777777" w:rsidTr="0031078F">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tcBorders>
          </w:tcPr>
          <w:p w14:paraId="69367DDE" w14:textId="77777777" w:rsidR="008D6F13" w:rsidRPr="00B976DB" w:rsidRDefault="008D6F13" w:rsidP="0031078F">
            <w:pPr>
              <w:rPr>
                <w:sz w:val="16"/>
                <w:szCs w:val="16"/>
              </w:rPr>
            </w:pPr>
            <w:r w:rsidRPr="00B976DB">
              <w:rPr>
                <w:b/>
                <w:sz w:val="16"/>
                <w:szCs w:val="16"/>
              </w:rPr>
              <w:t>Net cash flows from investments in non</w:t>
            </w:r>
            <w:r w:rsidRPr="00B976DB">
              <w:rPr>
                <w:b/>
                <w:sz w:val="16"/>
                <w:szCs w:val="16"/>
              </w:rPr>
              <w:noBreakHyphen/>
              <w:t>financial assets</w:t>
            </w:r>
          </w:p>
        </w:tc>
        <w:tc>
          <w:tcPr>
            <w:tcW w:w="748" w:type="dxa"/>
            <w:gridSpan w:val="2"/>
            <w:tcBorders>
              <w:top w:val="single" w:sz="6" w:space="0" w:color="auto"/>
            </w:tcBorders>
          </w:tcPr>
          <w:p w14:paraId="6A87A096"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(177)</w:t>
            </w:r>
          </w:p>
        </w:tc>
        <w:tc>
          <w:tcPr>
            <w:tcW w:w="748" w:type="dxa"/>
            <w:tcBorders>
              <w:top w:val="single" w:sz="6" w:space="0" w:color="auto"/>
            </w:tcBorders>
          </w:tcPr>
          <w:p w14:paraId="70288CC1"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(264)</w:t>
            </w:r>
          </w:p>
        </w:tc>
        <w:tc>
          <w:tcPr>
            <w:tcW w:w="748" w:type="dxa"/>
            <w:tcBorders>
              <w:top w:val="single" w:sz="6" w:space="0" w:color="auto"/>
            </w:tcBorders>
          </w:tcPr>
          <w:p w14:paraId="5EACC864"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(133)</w:t>
            </w:r>
          </w:p>
        </w:tc>
        <w:tc>
          <w:tcPr>
            <w:tcW w:w="748" w:type="dxa"/>
            <w:tcBorders>
              <w:top w:val="single" w:sz="6" w:space="0" w:color="auto"/>
            </w:tcBorders>
          </w:tcPr>
          <w:p w14:paraId="25907CF8"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(91)</w:t>
            </w:r>
          </w:p>
        </w:tc>
        <w:tc>
          <w:tcPr>
            <w:tcW w:w="749" w:type="dxa"/>
            <w:tcBorders>
              <w:top w:val="single" w:sz="6" w:space="0" w:color="auto"/>
            </w:tcBorders>
          </w:tcPr>
          <w:p w14:paraId="33170B5D"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(90)</w:t>
            </w:r>
          </w:p>
        </w:tc>
      </w:tr>
      <w:tr w:rsidR="008D6F13" w:rsidRPr="00B976DB" w14:paraId="31F1B011" w14:textId="77777777" w:rsidTr="0031078F">
        <w:tc>
          <w:tcPr>
            <w:cnfStyle w:val="001000000000" w:firstRow="0" w:lastRow="0" w:firstColumn="1" w:lastColumn="0" w:oddVBand="0" w:evenVBand="0" w:oddHBand="0" w:evenHBand="0" w:firstRowFirstColumn="0" w:firstRowLastColumn="0" w:lastRowFirstColumn="0" w:lastRowLastColumn="0"/>
            <w:tcW w:w="3969" w:type="dxa"/>
            <w:tcBorders>
              <w:bottom w:val="single" w:sz="6" w:space="0" w:color="auto"/>
            </w:tcBorders>
          </w:tcPr>
          <w:p w14:paraId="413D4732" w14:textId="77777777" w:rsidR="008D6F13" w:rsidRPr="00B976DB" w:rsidRDefault="008D6F13" w:rsidP="0031078F">
            <w:pPr>
              <w:rPr>
                <w:sz w:val="16"/>
                <w:szCs w:val="16"/>
              </w:rPr>
            </w:pPr>
            <w:r w:rsidRPr="00B976DB">
              <w:rPr>
                <w:sz w:val="16"/>
                <w:szCs w:val="16"/>
              </w:rPr>
              <w:t>Net cash flows from investments in financial assets for policy purposes</w:t>
            </w:r>
          </w:p>
        </w:tc>
        <w:tc>
          <w:tcPr>
            <w:tcW w:w="748" w:type="dxa"/>
            <w:gridSpan w:val="2"/>
            <w:tcBorders>
              <w:bottom w:val="single" w:sz="6" w:space="0" w:color="auto"/>
            </w:tcBorders>
          </w:tcPr>
          <w:p w14:paraId="66E126E6"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w:t>
            </w:r>
          </w:p>
        </w:tc>
        <w:tc>
          <w:tcPr>
            <w:tcW w:w="748" w:type="dxa"/>
            <w:tcBorders>
              <w:bottom w:val="single" w:sz="6" w:space="0" w:color="auto"/>
            </w:tcBorders>
          </w:tcPr>
          <w:p w14:paraId="669E284F"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6</w:t>
            </w:r>
          </w:p>
        </w:tc>
        <w:tc>
          <w:tcPr>
            <w:tcW w:w="748" w:type="dxa"/>
            <w:tcBorders>
              <w:bottom w:val="single" w:sz="6" w:space="0" w:color="auto"/>
            </w:tcBorders>
          </w:tcPr>
          <w:p w14:paraId="5C7D47F9"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14</w:t>
            </w:r>
          </w:p>
        </w:tc>
        <w:tc>
          <w:tcPr>
            <w:tcW w:w="748" w:type="dxa"/>
            <w:tcBorders>
              <w:bottom w:val="single" w:sz="6" w:space="0" w:color="auto"/>
            </w:tcBorders>
          </w:tcPr>
          <w:p w14:paraId="4D3EFD2A"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13</w:t>
            </w:r>
          </w:p>
        </w:tc>
        <w:tc>
          <w:tcPr>
            <w:tcW w:w="749" w:type="dxa"/>
            <w:tcBorders>
              <w:bottom w:val="single" w:sz="6" w:space="0" w:color="auto"/>
            </w:tcBorders>
          </w:tcPr>
          <w:p w14:paraId="048308B5"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14</w:t>
            </w:r>
          </w:p>
        </w:tc>
      </w:tr>
      <w:tr w:rsidR="008D6F13" w:rsidRPr="00B976DB" w14:paraId="6BEC18B3" w14:textId="77777777" w:rsidTr="0031078F">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tcBorders>
          </w:tcPr>
          <w:p w14:paraId="1FFC4B61" w14:textId="77777777" w:rsidR="008D6F13" w:rsidRPr="00B976DB" w:rsidRDefault="008D6F13" w:rsidP="0031078F">
            <w:pPr>
              <w:rPr>
                <w:sz w:val="16"/>
                <w:szCs w:val="16"/>
              </w:rPr>
            </w:pPr>
            <w:r w:rsidRPr="00B976DB">
              <w:rPr>
                <w:b/>
                <w:sz w:val="16"/>
                <w:szCs w:val="16"/>
              </w:rPr>
              <w:t>Subtotal</w:t>
            </w:r>
          </w:p>
        </w:tc>
        <w:tc>
          <w:tcPr>
            <w:tcW w:w="748" w:type="dxa"/>
            <w:gridSpan w:val="2"/>
            <w:tcBorders>
              <w:top w:val="single" w:sz="6" w:space="0" w:color="auto"/>
            </w:tcBorders>
          </w:tcPr>
          <w:p w14:paraId="2CE47B7E"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(177)</w:t>
            </w:r>
          </w:p>
        </w:tc>
        <w:tc>
          <w:tcPr>
            <w:tcW w:w="748" w:type="dxa"/>
            <w:tcBorders>
              <w:top w:val="single" w:sz="6" w:space="0" w:color="auto"/>
            </w:tcBorders>
          </w:tcPr>
          <w:p w14:paraId="54624D8A"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(259)</w:t>
            </w:r>
          </w:p>
        </w:tc>
        <w:tc>
          <w:tcPr>
            <w:tcW w:w="748" w:type="dxa"/>
            <w:tcBorders>
              <w:top w:val="single" w:sz="6" w:space="0" w:color="auto"/>
            </w:tcBorders>
          </w:tcPr>
          <w:p w14:paraId="5A458CE2"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(119)</w:t>
            </w:r>
          </w:p>
        </w:tc>
        <w:tc>
          <w:tcPr>
            <w:tcW w:w="748" w:type="dxa"/>
            <w:tcBorders>
              <w:top w:val="single" w:sz="6" w:space="0" w:color="auto"/>
            </w:tcBorders>
          </w:tcPr>
          <w:p w14:paraId="393AAD91"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(78)</w:t>
            </w:r>
          </w:p>
        </w:tc>
        <w:tc>
          <w:tcPr>
            <w:tcW w:w="749" w:type="dxa"/>
            <w:tcBorders>
              <w:top w:val="single" w:sz="6" w:space="0" w:color="auto"/>
            </w:tcBorders>
          </w:tcPr>
          <w:p w14:paraId="1B2169FF"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(76)</w:t>
            </w:r>
          </w:p>
        </w:tc>
      </w:tr>
      <w:tr w:rsidR="008D6F13" w:rsidRPr="00B976DB" w14:paraId="591A59D4" w14:textId="77777777" w:rsidTr="0031078F">
        <w:tc>
          <w:tcPr>
            <w:cnfStyle w:val="001000000000" w:firstRow="0" w:lastRow="0" w:firstColumn="1" w:lastColumn="0" w:oddVBand="0" w:evenVBand="0" w:oddHBand="0" w:evenHBand="0" w:firstRowFirstColumn="0" w:firstRowLastColumn="0" w:lastRowFirstColumn="0" w:lastRowLastColumn="0"/>
            <w:tcW w:w="3969" w:type="dxa"/>
            <w:tcBorders>
              <w:bottom w:val="single" w:sz="6" w:space="0" w:color="auto"/>
            </w:tcBorders>
          </w:tcPr>
          <w:p w14:paraId="5B7C8CA7" w14:textId="77777777" w:rsidR="008D6F13" w:rsidRPr="00B976DB" w:rsidRDefault="008D6F13" w:rsidP="0031078F">
            <w:pPr>
              <w:rPr>
                <w:sz w:val="16"/>
                <w:szCs w:val="16"/>
              </w:rPr>
            </w:pPr>
            <w:r w:rsidRPr="00B976DB">
              <w:rPr>
                <w:sz w:val="16"/>
                <w:szCs w:val="16"/>
              </w:rPr>
              <w:t>Net cash flows from investment in financial assets for liquidity management purposes</w:t>
            </w:r>
          </w:p>
        </w:tc>
        <w:tc>
          <w:tcPr>
            <w:tcW w:w="748" w:type="dxa"/>
            <w:gridSpan w:val="2"/>
            <w:tcBorders>
              <w:bottom w:val="single" w:sz="6" w:space="0" w:color="auto"/>
            </w:tcBorders>
          </w:tcPr>
          <w:p w14:paraId="542CC5CC"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(25 593)</w:t>
            </w:r>
          </w:p>
        </w:tc>
        <w:tc>
          <w:tcPr>
            <w:tcW w:w="748" w:type="dxa"/>
            <w:tcBorders>
              <w:bottom w:val="single" w:sz="6" w:space="0" w:color="auto"/>
            </w:tcBorders>
          </w:tcPr>
          <w:p w14:paraId="54AD08DC"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(36 810)</w:t>
            </w:r>
          </w:p>
        </w:tc>
        <w:tc>
          <w:tcPr>
            <w:tcW w:w="748" w:type="dxa"/>
            <w:tcBorders>
              <w:bottom w:val="single" w:sz="6" w:space="0" w:color="auto"/>
            </w:tcBorders>
          </w:tcPr>
          <w:p w14:paraId="0D39D364"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(18 427)</w:t>
            </w:r>
          </w:p>
        </w:tc>
        <w:tc>
          <w:tcPr>
            <w:tcW w:w="748" w:type="dxa"/>
            <w:tcBorders>
              <w:bottom w:val="single" w:sz="6" w:space="0" w:color="auto"/>
            </w:tcBorders>
          </w:tcPr>
          <w:p w14:paraId="7E6F5347"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(24 908)</w:t>
            </w:r>
          </w:p>
        </w:tc>
        <w:tc>
          <w:tcPr>
            <w:tcW w:w="749" w:type="dxa"/>
            <w:tcBorders>
              <w:bottom w:val="single" w:sz="6" w:space="0" w:color="auto"/>
            </w:tcBorders>
          </w:tcPr>
          <w:p w14:paraId="0FDAD497"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(23 468)</w:t>
            </w:r>
          </w:p>
        </w:tc>
      </w:tr>
      <w:tr w:rsidR="008D6F13" w:rsidRPr="00B976DB" w14:paraId="6F1529EA" w14:textId="77777777" w:rsidTr="0031078F">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tcBorders>
          </w:tcPr>
          <w:p w14:paraId="62F503F6" w14:textId="77777777" w:rsidR="008D6F13" w:rsidRPr="00B976DB" w:rsidRDefault="008D6F13" w:rsidP="0031078F">
            <w:pPr>
              <w:rPr>
                <w:sz w:val="16"/>
                <w:szCs w:val="16"/>
              </w:rPr>
            </w:pPr>
            <w:r w:rsidRPr="00B976DB">
              <w:rPr>
                <w:b/>
                <w:sz w:val="16"/>
                <w:szCs w:val="16"/>
              </w:rPr>
              <w:t>Net cash flows from investing activities</w:t>
            </w:r>
          </w:p>
        </w:tc>
        <w:tc>
          <w:tcPr>
            <w:tcW w:w="748" w:type="dxa"/>
            <w:gridSpan w:val="2"/>
            <w:tcBorders>
              <w:top w:val="single" w:sz="6" w:space="0" w:color="auto"/>
            </w:tcBorders>
          </w:tcPr>
          <w:p w14:paraId="6CA5EE6C"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(25 770)</w:t>
            </w:r>
          </w:p>
        </w:tc>
        <w:tc>
          <w:tcPr>
            <w:tcW w:w="748" w:type="dxa"/>
            <w:tcBorders>
              <w:top w:val="single" w:sz="6" w:space="0" w:color="auto"/>
            </w:tcBorders>
          </w:tcPr>
          <w:p w14:paraId="34B8A151"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(37 069)</w:t>
            </w:r>
          </w:p>
        </w:tc>
        <w:tc>
          <w:tcPr>
            <w:tcW w:w="748" w:type="dxa"/>
            <w:tcBorders>
              <w:top w:val="single" w:sz="6" w:space="0" w:color="auto"/>
            </w:tcBorders>
          </w:tcPr>
          <w:p w14:paraId="2A117279"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(18 546)</w:t>
            </w:r>
          </w:p>
        </w:tc>
        <w:tc>
          <w:tcPr>
            <w:tcW w:w="748" w:type="dxa"/>
            <w:tcBorders>
              <w:top w:val="single" w:sz="6" w:space="0" w:color="auto"/>
            </w:tcBorders>
          </w:tcPr>
          <w:p w14:paraId="7A6161D2"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(24 986)</w:t>
            </w:r>
          </w:p>
        </w:tc>
        <w:tc>
          <w:tcPr>
            <w:tcW w:w="749" w:type="dxa"/>
            <w:tcBorders>
              <w:top w:val="single" w:sz="6" w:space="0" w:color="auto"/>
            </w:tcBorders>
          </w:tcPr>
          <w:p w14:paraId="04F2BBA4"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(23 544)</w:t>
            </w:r>
          </w:p>
        </w:tc>
      </w:tr>
      <w:tr w:rsidR="008D6F13" w:rsidRPr="00B976DB" w14:paraId="47708103" w14:textId="77777777" w:rsidTr="0031078F">
        <w:tc>
          <w:tcPr>
            <w:cnfStyle w:val="001000000000" w:firstRow="0" w:lastRow="0" w:firstColumn="1" w:lastColumn="0" w:oddVBand="0" w:evenVBand="0" w:oddHBand="0" w:evenHBand="0" w:firstRowFirstColumn="0" w:firstRowLastColumn="0" w:lastRowFirstColumn="0" w:lastRowLastColumn="0"/>
            <w:tcW w:w="3969" w:type="dxa"/>
          </w:tcPr>
          <w:p w14:paraId="19F5DDB6" w14:textId="77777777" w:rsidR="008D6F13" w:rsidRPr="00B976DB" w:rsidRDefault="008D6F13" w:rsidP="0031078F">
            <w:pPr>
              <w:rPr>
                <w:sz w:val="16"/>
                <w:szCs w:val="16"/>
              </w:rPr>
            </w:pPr>
            <w:r w:rsidRPr="00B976DB">
              <w:rPr>
                <w:b/>
                <w:sz w:val="16"/>
                <w:szCs w:val="16"/>
              </w:rPr>
              <w:t>Cash flows from financing activities</w:t>
            </w:r>
          </w:p>
        </w:tc>
        <w:tc>
          <w:tcPr>
            <w:tcW w:w="748" w:type="dxa"/>
            <w:gridSpan w:val="2"/>
          </w:tcPr>
          <w:p w14:paraId="08475195"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48" w:type="dxa"/>
          </w:tcPr>
          <w:p w14:paraId="33117907"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48" w:type="dxa"/>
          </w:tcPr>
          <w:p w14:paraId="405CC85A"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48" w:type="dxa"/>
          </w:tcPr>
          <w:p w14:paraId="427EF11F"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49" w:type="dxa"/>
          </w:tcPr>
          <w:p w14:paraId="1AF51698"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r>
      <w:tr w:rsidR="008D6F13" w:rsidRPr="00B976DB" w14:paraId="5234FC79" w14:textId="77777777" w:rsidTr="0031078F">
        <w:tc>
          <w:tcPr>
            <w:cnfStyle w:val="001000000000" w:firstRow="0" w:lastRow="0" w:firstColumn="1" w:lastColumn="0" w:oddVBand="0" w:evenVBand="0" w:oddHBand="0" w:evenHBand="0" w:firstRowFirstColumn="0" w:firstRowLastColumn="0" w:lastRowFirstColumn="0" w:lastRowLastColumn="0"/>
            <w:tcW w:w="3969" w:type="dxa"/>
          </w:tcPr>
          <w:p w14:paraId="421227FB" w14:textId="77777777" w:rsidR="008D6F13" w:rsidRPr="00B976DB" w:rsidRDefault="008D6F13" w:rsidP="0031078F">
            <w:pPr>
              <w:rPr>
                <w:sz w:val="16"/>
                <w:szCs w:val="16"/>
              </w:rPr>
            </w:pPr>
            <w:r w:rsidRPr="00B976DB">
              <w:rPr>
                <w:sz w:val="16"/>
                <w:szCs w:val="16"/>
              </w:rPr>
              <w:t>Advances received (net)</w:t>
            </w:r>
          </w:p>
        </w:tc>
        <w:tc>
          <w:tcPr>
            <w:tcW w:w="748" w:type="dxa"/>
            <w:gridSpan w:val="2"/>
          </w:tcPr>
          <w:p w14:paraId="4D94A47F"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(1)</w:t>
            </w:r>
          </w:p>
        </w:tc>
        <w:tc>
          <w:tcPr>
            <w:tcW w:w="748" w:type="dxa"/>
          </w:tcPr>
          <w:p w14:paraId="5A776D95"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(11)</w:t>
            </w:r>
          </w:p>
        </w:tc>
        <w:tc>
          <w:tcPr>
            <w:tcW w:w="748" w:type="dxa"/>
          </w:tcPr>
          <w:p w14:paraId="32B3D7FA"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(1)</w:t>
            </w:r>
          </w:p>
        </w:tc>
        <w:tc>
          <w:tcPr>
            <w:tcW w:w="748" w:type="dxa"/>
          </w:tcPr>
          <w:p w14:paraId="38716C69"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(1)</w:t>
            </w:r>
          </w:p>
        </w:tc>
        <w:tc>
          <w:tcPr>
            <w:tcW w:w="749" w:type="dxa"/>
          </w:tcPr>
          <w:p w14:paraId="7258C2C5"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(2)</w:t>
            </w:r>
          </w:p>
        </w:tc>
      </w:tr>
      <w:tr w:rsidR="008D6F13" w:rsidRPr="00B976DB" w14:paraId="7719FB1A" w14:textId="77777777" w:rsidTr="0031078F">
        <w:tc>
          <w:tcPr>
            <w:cnfStyle w:val="001000000000" w:firstRow="0" w:lastRow="0" w:firstColumn="1" w:lastColumn="0" w:oddVBand="0" w:evenVBand="0" w:oddHBand="0" w:evenHBand="0" w:firstRowFirstColumn="0" w:firstRowLastColumn="0" w:lastRowFirstColumn="0" w:lastRowLastColumn="0"/>
            <w:tcW w:w="3969" w:type="dxa"/>
          </w:tcPr>
          <w:p w14:paraId="55C68001" w14:textId="77777777" w:rsidR="008D6F13" w:rsidRPr="00B976DB" w:rsidRDefault="008D6F13" w:rsidP="0031078F">
            <w:pPr>
              <w:rPr>
                <w:sz w:val="16"/>
                <w:szCs w:val="16"/>
              </w:rPr>
            </w:pPr>
            <w:r w:rsidRPr="00B976DB">
              <w:rPr>
                <w:sz w:val="16"/>
                <w:szCs w:val="16"/>
              </w:rPr>
              <w:t>Net borrowings</w:t>
            </w:r>
          </w:p>
        </w:tc>
        <w:tc>
          <w:tcPr>
            <w:tcW w:w="748" w:type="dxa"/>
            <w:gridSpan w:val="2"/>
          </w:tcPr>
          <w:p w14:paraId="3B297C3B"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25 776</w:t>
            </w:r>
          </w:p>
        </w:tc>
        <w:tc>
          <w:tcPr>
            <w:tcW w:w="748" w:type="dxa"/>
          </w:tcPr>
          <w:p w14:paraId="418FC36B"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34 961</w:t>
            </w:r>
          </w:p>
        </w:tc>
        <w:tc>
          <w:tcPr>
            <w:tcW w:w="748" w:type="dxa"/>
          </w:tcPr>
          <w:p w14:paraId="4348AD7F"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18 444</w:t>
            </w:r>
          </w:p>
        </w:tc>
        <w:tc>
          <w:tcPr>
            <w:tcW w:w="748" w:type="dxa"/>
          </w:tcPr>
          <w:p w14:paraId="5634C1DE"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25 257</w:t>
            </w:r>
          </w:p>
        </w:tc>
        <w:tc>
          <w:tcPr>
            <w:tcW w:w="749" w:type="dxa"/>
          </w:tcPr>
          <w:p w14:paraId="40FE4E98"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23 490</w:t>
            </w:r>
          </w:p>
        </w:tc>
      </w:tr>
      <w:tr w:rsidR="008D6F13" w:rsidRPr="00B976DB" w14:paraId="5463F660" w14:textId="77777777" w:rsidTr="0031078F">
        <w:tc>
          <w:tcPr>
            <w:cnfStyle w:val="001000000000" w:firstRow="0" w:lastRow="0" w:firstColumn="1" w:lastColumn="0" w:oddVBand="0" w:evenVBand="0" w:oddHBand="0" w:evenHBand="0" w:firstRowFirstColumn="0" w:firstRowLastColumn="0" w:lastRowFirstColumn="0" w:lastRowLastColumn="0"/>
            <w:tcW w:w="3969" w:type="dxa"/>
          </w:tcPr>
          <w:p w14:paraId="3AC30523" w14:textId="77777777" w:rsidR="008D6F13" w:rsidRPr="00B976DB" w:rsidRDefault="008D6F13" w:rsidP="0031078F">
            <w:pPr>
              <w:rPr>
                <w:sz w:val="16"/>
                <w:szCs w:val="16"/>
              </w:rPr>
            </w:pPr>
            <w:r w:rsidRPr="00B976DB">
              <w:rPr>
                <w:sz w:val="16"/>
                <w:szCs w:val="16"/>
              </w:rPr>
              <w:t>Deposits received (net)</w:t>
            </w:r>
          </w:p>
        </w:tc>
        <w:tc>
          <w:tcPr>
            <w:tcW w:w="748" w:type="dxa"/>
            <w:gridSpan w:val="2"/>
          </w:tcPr>
          <w:p w14:paraId="66A8F0BF"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(43)</w:t>
            </w:r>
          </w:p>
        </w:tc>
        <w:tc>
          <w:tcPr>
            <w:tcW w:w="748" w:type="dxa"/>
          </w:tcPr>
          <w:p w14:paraId="7A28B1D7"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(5)</w:t>
            </w:r>
          </w:p>
        </w:tc>
        <w:tc>
          <w:tcPr>
            <w:tcW w:w="748" w:type="dxa"/>
          </w:tcPr>
          <w:p w14:paraId="063B78E0"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(2)</w:t>
            </w:r>
          </w:p>
        </w:tc>
        <w:tc>
          <w:tcPr>
            <w:tcW w:w="748" w:type="dxa"/>
          </w:tcPr>
          <w:p w14:paraId="3298CEEA"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30</w:t>
            </w:r>
          </w:p>
        </w:tc>
        <w:tc>
          <w:tcPr>
            <w:tcW w:w="749" w:type="dxa"/>
          </w:tcPr>
          <w:p w14:paraId="2B46C0EC"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26</w:t>
            </w:r>
          </w:p>
        </w:tc>
      </w:tr>
      <w:tr w:rsidR="008D6F13" w:rsidRPr="00B976DB" w14:paraId="430F0AC5" w14:textId="77777777" w:rsidTr="0031078F">
        <w:tc>
          <w:tcPr>
            <w:cnfStyle w:val="001000000000" w:firstRow="0" w:lastRow="0" w:firstColumn="1" w:lastColumn="0" w:oddVBand="0" w:evenVBand="0" w:oddHBand="0" w:evenHBand="0" w:firstRowFirstColumn="0" w:firstRowLastColumn="0" w:lastRowFirstColumn="0" w:lastRowLastColumn="0"/>
            <w:tcW w:w="3969" w:type="dxa"/>
            <w:tcBorders>
              <w:bottom w:val="single" w:sz="6" w:space="0" w:color="auto"/>
            </w:tcBorders>
          </w:tcPr>
          <w:p w14:paraId="19EF9625" w14:textId="77777777" w:rsidR="008D6F13" w:rsidRPr="00B976DB" w:rsidRDefault="008D6F13" w:rsidP="0031078F">
            <w:pPr>
              <w:rPr>
                <w:sz w:val="16"/>
                <w:szCs w:val="16"/>
              </w:rPr>
            </w:pPr>
            <w:r w:rsidRPr="00B976DB">
              <w:rPr>
                <w:sz w:val="16"/>
                <w:szCs w:val="16"/>
              </w:rPr>
              <w:t>Other financing (net)</w:t>
            </w:r>
          </w:p>
        </w:tc>
        <w:tc>
          <w:tcPr>
            <w:tcW w:w="748" w:type="dxa"/>
            <w:gridSpan w:val="2"/>
            <w:tcBorders>
              <w:bottom w:val="single" w:sz="6" w:space="0" w:color="auto"/>
            </w:tcBorders>
          </w:tcPr>
          <w:p w14:paraId="175FD80B"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(131)</w:t>
            </w:r>
          </w:p>
        </w:tc>
        <w:tc>
          <w:tcPr>
            <w:tcW w:w="748" w:type="dxa"/>
            <w:tcBorders>
              <w:bottom w:val="single" w:sz="6" w:space="0" w:color="auto"/>
            </w:tcBorders>
          </w:tcPr>
          <w:p w14:paraId="52EFE63A"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(138)</w:t>
            </w:r>
          </w:p>
        </w:tc>
        <w:tc>
          <w:tcPr>
            <w:tcW w:w="748" w:type="dxa"/>
            <w:tcBorders>
              <w:bottom w:val="single" w:sz="6" w:space="0" w:color="auto"/>
            </w:tcBorders>
          </w:tcPr>
          <w:p w14:paraId="58601CCE"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(61)</w:t>
            </w:r>
          </w:p>
        </w:tc>
        <w:tc>
          <w:tcPr>
            <w:tcW w:w="748" w:type="dxa"/>
            <w:tcBorders>
              <w:bottom w:val="single" w:sz="6" w:space="0" w:color="auto"/>
            </w:tcBorders>
          </w:tcPr>
          <w:p w14:paraId="7A3DED97"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(68)</w:t>
            </w:r>
          </w:p>
        </w:tc>
        <w:tc>
          <w:tcPr>
            <w:tcW w:w="749" w:type="dxa"/>
            <w:tcBorders>
              <w:bottom w:val="single" w:sz="6" w:space="0" w:color="auto"/>
            </w:tcBorders>
          </w:tcPr>
          <w:p w14:paraId="34D0A321"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(80)</w:t>
            </w:r>
          </w:p>
        </w:tc>
      </w:tr>
      <w:tr w:rsidR="008D6F13" w:rsidRPr="00B976DB" w14:paraId="78938758" w14:textId="77777777" w:rsidTr="0031078F">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6" w:space="0" w:color="auto"/>
            </w:tcBorders>
          </w:tcPr>
          <w:p w14:paraId="331D02FB" w14:textId="77777777" w:rsidR="008D6F13" w:rsidRPr="00B976DB" w:rsidRDefault="008D6F13" w:rsidP="0031078F">
            <w:pPr>
              <w:rPr>
                <w:sz w:val="16"/>
                <w:szCs w:val="16"/>
              </w:rPr>
            </w:pPr>
            <w:r w:rsidRPr="00B976DB">
              <w:rPr>
                <w:b/>
                <w:sz w:val="16"/>
                <w:szCs w:val="16"/>
              </w:rPr>
              <w:t>Net cash flows from financing activities</w:t>
            </w:r>
          </w:p>
        </w:tc>
        <w:tc>
          <w:tcPr>
            <w:tcW w:w="748" w:type="dxa"/>
            <w:gridSpan w:val="2"/>
            <w:tcBorders>
              <w:top w:val="single" w:sz="6" w:space="0" w:color="auto"/>
              <w:bottom w:val="single" w:sz="6" w:space="0" w:color="auto"/>
            </w:tcBorders>
          </w:tcPr>
          <w:p w14:paraId="7B0821BC"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25 600</w:t>
            </w:r>
          </w:p>
        </w:tc>
        <w:tc>
          <w:tcPr>
            <w:tcW w:w="748" w:type="dxa"/>
            <w:tcBorders>
              <w:top w:val="single" w:sz="6" w:space="0" w:color="auto"/>
              <w:bottom w:val="single" w:sz="6" w:space="0" w:color="auto"/>
            </w:tcBorders>
          </w:tcPr>
          <w:p w14:paraId="02031F3D"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34 807</w:t>
            </w:r>
          </w:p>
        </w:tc>
        <w:tc>
          <w:tcPr>
            <w:tcW w:w="748" w:type="dxa"/>
            <w:tcBorders>
              <w:top w:val="single" w:sz="6" w:space="0" w:color="auto"/>
              <w:bottom w:val="single" w:sz="6" w:space="0" w:color="auto"/>
            </w:tcBorders>
          </w:tcPr>
          <w:p w14:paraId="4CD2170A"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18 380</w:t>
            </w:r>
          </w:p>
        </w:tc>
        <w:tc>
          <w:tcPr>
            <w:tcW w:w="748" w:type="dxa"/>
            <w:tcBorders>
              <w:top w:val="single" w:sz="6" w:space="0" w:color="auto"/>
              <w:bottom w:val="single" w:sz="6" w:space="0" w:color="auto"/>
            </w:tcBorders>
          </w:tcPr>
          <w:p w14:paraId="32CAB719"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25 217</w:t>
            </w:r>
          </w:p>
        </w:tc>
        <w:tc>
          <w:tcPr>
            <w:tcW w:w="749" w:type="dxa"/>
            <w:tcBorders>
              <w:top w:val="single" w:sz="6" w:space="0" w:color="auto"/>
              <w:bottom w:val="single" w:sz="6" w:space="0" w:color="auto"/>
            </w:tcBorders>
          </w:tcPr>
          <w:p w14:paraId="25DF0A1B"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23 435</w:t>
            </w:r>
          </w:p>
        </w:tc>
      </w:tr>
      <w:tr w:rsidR="008D6F13" w:rsidRPr="00B976DB" w14:paraId="00BAC40A" w14:textId="77777777" w:rsidTr="0031078F">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tcBorders>
          </w:tcPr>
          <w:p w14:paraId="4EBC3D7E" w14:textId="77777777" w:rsidR="008D6F13" w:rsidRPr="00B976DB" w:rsidRDefault="008D6F13" w:rsidP="0031078F">
            <w:pPr>
              <w:rPr>
                <w:sz w:val="16"/>
                <w:szCs w:val="16"/>
              </w:rPr>
            </w:pPr>
            <w:r w:rsidRPr="00B976DB">
              <w:rPr>
                <w:b/>
                <w:sz w:val="16"/>
                <w:szCs w:val="16"/>
              </w:rPr>
              <w:t>Net increase/(decrease) in cash and cash equivalents</w:t>
            </w:r>
          </w:p>
        </w:tc>
        <w:tc>
          <w:tcPr>
            <w:tcW w:w="748" w:type="dxa"/>
            <w:gridSpan w:val="2"/>
            <w:tcBorders>
              <w:top w:val="single" w:sz="6" w:space="0" w:color="auto"/>
            </w:tcBorders>
          </w:tcPr>
          <w:p w14:paraId="268FF4CD"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25</w:t>
            </w:r>
          </w:p>
        </w:tc>
        <w:tc>
          <w:tcPr>
            <w:tcW w:w="748" w:type="dxa"/>
            <w:tcBorders>
              <w:top w:val="single" w:sz="6" w:space="0" w:color="auto"/>
            </w:tcBorders>
          </w:tcPr>
          <w:p w14:paraId="7BAF10C5"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(2 194)</w:t>
            </w:r>
          </w:p>
        </w:tc>
        <w:tc>
          <w:tcPr>
            <w:tcW w:w="748" w:type="dxa"/>
            <w:tcBorders>
              <w:top w:val="single" w:sz="6" w:space="0" w:color="auto"/>
            </w:tcBorders>
          </w:tcPr>
          <w:p w14:paraId="06234D88"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281</w:t>
            </w:r>
          </w:p>
        </w:tc>
        <w:tc>
          <w:tcPr>
            <w:tcW w:w="748" w:type="dxa"/>
            <w:tcBorders>
              <w:top w:val="single" w:sz="6" w:space="0" w:color="auto"/>
            </w:tcBorders>
          </w:tcPr>
          <w:p w14:paraId="1362068B"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216</w:t>
            </w:r>
          </w:p>
        </w:tc>
        <w:tc>
          <w:tcPr>
            <w:tcW w:w="749" w:type="dxa"/>
            <w:tcBorders>
              <w:top w:val="single" w:sz="6" w:space="0" w:color="auto"/>
            </w:tcBorders>
          </w:tcPr>
          <w:p w14:paraId="32A1B573"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343</w:t>
            </w:r>
          </w:p>
        </w:tc>
      </w:tr>
      <w:tr w:rsidR="008D6F13" w:rsidRPr="00B976DB" w14:paraId="0BA9B422" w14:textId="77777777" w:rsidTr="0031078F">
        <w:tc>
          <w:tcPr>
            <w:cnfStyle w:val="001000000000" w:firstRow="0" w:lastRow="0" w:firstColumn="1" w:lastColumn="0" w:oddVBand="0" w:evenVBand="0" w:oddHBand="0" w:evenHBand="0" w:firstRowFirstColumn="0" w:firstRowLastColumn="0" w:lastRowFirstColumn="0" w:lastRowLastColumn="0"/>
            <w:tcW w:w="4074" w:type="dxa"/>
            <w:gridSpan w:val="2"/>
            <w:tcBorders>
              <w:bottom w:val="single" w:sz="6" w:space="0" w:color="auto"/>
            </w:tcBorders>
          </w:tcPr>
          <w:p w14:paraId="17FF5D25" w14:textId="77777777" w:rsidR="008D6F13" w:rsidRPr="00B976DB" w:rsidRDefault="008D6F13" w:rsidP="0031078F">
            <w:pPr>
              <w:rPr>
                <w:sz w:val="16"/>
                <w:szCs w:val="16"/>
              </w:rPr>
            </w:pPr>
            <w:r w:rsidRPr="00B976DB">
              <w:rPr>
                <w:sz w:val="16"/>
                <w:szCs w:val="16"/>
              </w:rPr>
              <w:t>Cash and cash equivalents at beginning of reporting period</w:t>
            </w:r>
            <w:r w:rsidRPr="00B976DB">
              <w:rPr>
                <w:sz w:val="16"/>
                <w:szCs w:val="16"/>
                <w:vertAlign w:val="superscript"/>
              </w:rPr>
              <w:t xml:space="preserve"> (b)</w:t>
            </w:r>
          </w:p>
        </w:tc>
        <w:tc>
          <w:tcPr>
            <w:tcW w:w="643" w:type="dxa"/>
            <w:tcBorders>
              <w:bottom w:val="single" w:sz="6" w:space="0" w:color="auto"/>
            </w:tcBorders>
          </w:tcPr>
          <w:p w14:paraId="3AA5200C"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7 875</w:t>
            </w:r>
          </w:p>
        </w:tc>
        <w:tc>
          <w:tcPr>
            <w:tcW w:w="748" w:type="dxa"/>
            <w:tcBorders>
              <w:bottom w:val="single" w:sz="6" w:space="0" w:color="auto"/>
            </w:tcBorders>
          </w:tcPr>
          <w:p w14:paraId="6BCB35E6"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7 875</w:t>
            </w:r>
          </w:p>
        </w:tc>
        <w:tc>
          <w:tcPr>
            <w:tcW w:w="748" w:type="dxa"/>
            <w:tcBorders>
              <w:bottom w:val="single" w:sz="6" w:space="0" w:color="auto"/>
            </w:tcBorders>
          </w:tcPr>
          <w:p w14:paraId="6DDFB04A"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5 681</w:t>
            </w:r>
          </w:p>
        </w:tc>
        <w:tc>
          <w:tcPr>
            <w:tcW w:w="748" w:type="dxa"/>
            <w:tcBorders>
              <w:bottom w:val="single" w:sz="6" w:space="0" w:color="auto"/>
            </w:tcBorders>
          </w:tcPr>
          <w:p w14:paraId="397AEAEA"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5 963</w:t>
            </w:r>
          </w:p>
        </w:tc>
        <w:tc>
          <w:tcPr>
            <w:tcW w:w="749" w:type="dxa"/>
            <w:tcBorders>
              <w:bottom w:val="single" w:sz="6" w:space="0" w:color="auto"/>
            </w:tcBorders>
          </w:tcPr>
          <w:p w14:paraId="3B92D95E"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6 179</w:t>
            </w:r>
          </w:p>
        </w:tc>
      </w:tr>
      <w:tr w:rsidR="008D6F13" w:rsidRPr="00B976DB" w14:paraId="3D634D55" w14:textId="77777777" w:rsidTr="0031078F">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6" w:space="0" w:color="auto"/>
            </w:tcBorders>
          </w:tcPr>
          <w:p w14:paraId="08702CAF" w14:textId="77777777" w:rsidR="008D6F13" w:rsidRPr="00B976DB" w:rsidRDefault="008D6F13" w:rsidP="0031078F">
            <w:pPr>
              <w:rPr>
                <w:sz w:val="16"/>
                <w:szCs w:val="16"/>
              </w:rPr>
            </w:pPr>
            <w:r w:rsidRPr="00B976DB">
              <w:rPr>
                <w:b/>
                <w:sz w:val="16"/>
                <w:szCs w:val="16"/>
              </w:rPr>
              <w:t>Cash and cash equivalents at end of reporting period</w:t>
            </w:r>
            <w:r w:rsidRPr="00B976DB">
              <w:rPr>
                <w:b/>
                <w:sz w:val="16"/>
                <w:szCs w:val="16"/>
                <w:vertAlign w:val="superscript"/>
              </w:rPr>
              <w:t xml:space="preserve"> (b)</w:t>
            </w:r>
          </w:p>
        </w:tc>
        <w:tc>
          <w:tcPr>
            <w:tcW w:w="748" w:type="dxa"/>
            <w:gridSpan w:val="2"/>
            <w:tcBorders>
              <w:top w:val="single" w:sz="6" w:space="0" w:color="auto"/>
              <w:bottom w:val="single" w:sz="6" w:space="0" w:color="auto"/>
            </w:tcBorders>
          </w:tcPr>
          <w:p w14:paraId="526EEF1E"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7 901</w:t>
            </w:r>
          </w:p>
        </w:tc>
        <w:tc>
          <w:tcPr>
            <w:tcW w:w="748" w:type="dxa"/>
            <w:tcBorders>
              <w:top w:val="single" w:sz="6" w:space="0" w:color="auto"/>
              <w:bottom w:val="single" w:sz="6" w:space="0" w:color="auto"/>
            </w:tcBorders>
          </w:tcPr>
          <w:p w14:paraId="04D83EEC"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5 681</w:t>
            </w:r>
          </w:p>
        </w:tc>
        <w:tc>
          <w:tcPr>
            <w:tcW w:w="748" w:type="dxa"/>
            <w:tcBorders>
              <w:top w:val="single" w:sz="6" w:space="0" w:color="auto"/>
              <w:bottom w:val="single" w:sz="6" w:space="0" w:color="auto"/>
            </w:tcBorders>
          </w:tcPr>
          <w:p w14:paraId="76F2A239"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5 963</w:t>
            </w:r>
          </w:p>
        </w:tc>
        <w:tc>
          <w:tcPr>
            <w:tcW w:w="748" w:type="dxa"/>
            <w:tcBorders>
              <w:top w:val="single" w:sz="6" w:space="0" w:color="auto"/>
              <w:bottom w:val="single" w:sz="6" w:space="0" w:color="auto"/>
            </w:tcBorders>
          </w:tcPr>
          <w:p w14:paraId="55465147"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6 179</w:t>
            </w:r>
          </w:p>
        </w:tc>
        <w:tc>
          <w:tcPr>
            <w:tcW w:w="749" w:type="dxa"/>
            <w:tcBorders>
              <w:top w:val="single" w:sz="6" w:space="0" w:color="auto"/>
              <w:bottom w:val="single" w:sz="6" w:space="0" w:color="auto"/>
            </w:tcBorders>
          </w:tcPr>
          <w:p w14:paraId="05A8F247"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6 522</w:t>
            </w:r>
          </w:p>
        </w:tc>
      </w:tr>
      <w:tr w:rsidR="008D6F13" w:rsidRPr="00B976DB" w14:paraId="689493AF" w14:textId="77777777" w:rsidTr="0031078F">
        <w:trPr>
          <w:trHeight w:hRule="exact" w:val="113"/>
        </w:trPr>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tcBorders>
          </w:tcPr>
          <w:p w14:paraId="259A90EB" w14:textId="77777777" w:rsidR="008D6F13" w:rsidRPr="00B976DB" w:rsidRDefault="008D6F13" w:rsidP="0031078F">
            <w:pPr>
              <w:rPr>
                <w:sz w:val="16"/>
                <w:szCs w:val="16"/>
              </w:rPr>
            </w:pPr>
          </w:p>
        </w:tc>
        <w:tc>
          <w:tcPr>
            <w:tcW w:w="748" w:type="dxa"/>
            <w:gridSpan w:val="2"/>
            <w:tcBorders>
              <w:top w:val="single" w:sz="6" w:space="0" w:color="auto"/>
            </w:tcBorders>
          </w:tcPr>
          <w:p w14:paraId="35B65573"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48" w:type="dxa"/>
            <w:tcBorders>
              <w:top w:val="single" w:sz="6" w:space="0" w:color="auto"/>
            </w:tcBorders>
          </w:tcPr>
          <w:p w14:paraId="2EF8DA98"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48" w:type="dxa"/>
            <w:tcBorders>
              <w:top w:val="single" w:sz="6" w:space="0" w:color="auto"/>
            </w:tcBorders>
          </w:tcPr>
          <w:p w14:paraId="1BE6CD71"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48" w:type="dxa"/>
            <w:tcBorders>
              <w:top w:val="single" w:sz="6" w:space="0" w:color="auto"/>
            </w:tcBorders>
          </w:tcPr>
          <w:p w14:paraId="006421D3"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49" w:type="dxa"/>
            <w:tcBorders>
              <w:top w:val="single" w:sz="6" w:space="0" w:color="auto"/>
            </w:tcBorders>
          </w:tcPr>
          <w:p w14:paraId="1C7250DB"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r>
      <w:tr w:rsidR="008D6F13" w:rsidRPr="00B976DB" w14:paraId="4614232F" w14:textId="77777777" w:rsidTr="0031078F">
        <w:tc>
          <w:tcPr>
            <w:cnfStyle w:val="001000000000" w:firstRow="0" w:lastRow="0" w:firstColumn="1" w:lastColumn="0" w:oddVBand="0" w:evenVBand="0" w:oddHBand="0" w:evenHBand="0" w:firstRowFirstColumn="0" w:firstRowLastColumn="0" w:lastRowFirstColumn="0" w:lastRowLastColumn="0"/>
            <w:tcW w:w="3969" w:type="dxa"/>
          </w:tcPr>
          <w:p w14:paraId="26F29CA8" w14:textId="77777777" w:rsidR="008D6F13" w:rsidRPr="00B976DB" w:rsidRDefault="008D6F13" w:rsidP="0031078F">
            <w:pPr>
              <w:rPr>
                <w:sz w:val="16"/>
                <w:szCs w:val="16"/>
              </w:rPr>
            </w:pPr>
            <w:r w:rsidRPr="00B976DB">
              <w:rPr>
                <w:b/>
                <w:sz w:val="16"/>
                <w:szCs w:val="16"/>
              </w:rPr>
              <w:t>FISCAL AGGREGATES</w:t>
            </w:r>
          </w:p>
        </w:tc>
        <w:tc>
          <w:tcPr>
            <w:tcW w:w="748" w:type="dxa"/>
            <w:gridSpan w:val="2"/>
          </w:tcPr>
          <w:p w14:paraId="4470AB14"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48" w:type="dxa"/>
          </w:tcPr>
          <w:p w14:paraId="315FF422"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48" w:type="dxa"/>
          </w:tcPr>
          <w:p w14:paraId="49259C56"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48" w:type="dxa"/>
          </w:tcPr>
          <w:p w14:paraId="42EB5CDE"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49" w:type="dxa"/>
          </w:tcPr>
          <w:p w14:paraId="5A569161"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r>
      <w:tr w:rsidR="008D6F13" w:rsidRPr="00B976DB" w14:paraId="4D2BCA4F" w14:textId="77777777" w:rsidTr="0031078F">
        <w:tc>
          <w:tcPr>
            <w:cnfStyle w:val="001000000000" w:firstRow="0" w:lastRow="0" w:firstColumn="1" w:lastColumn="0" w:oddVBand="0" w:evenVBand="0" w:oddHBand="0" w:evenHBand="0" w:firstRowFirstColumn="0" w:firstRowLastColumn="0" w:lastRowFirstColumn="0" w:lastRowLastColumn="0"/>
            <w:tcW w:w="3969" w:type="dxa"/>
          </w:tcPr>
          <w:p w14:paraId="0D969FF6" w14:textId="77777777" w:rsidR="008D6F13" w:rsidRPr="00B976DB" w:rsidRDefault="008D6F13" w:rsidP="0031078F">
            <w:pPr>
              <w:rPr>
                <w:sz w:val="16"/>
                <w:szCs w:val="16"/>
              </w:rPr>
            </w:pPr>
            <w:r w:rsidRPr="00B976DB">
              <w:rPr>
                <w:sz w:val="16"/>
                <w:szCs w:val="16"/>
              </w:rPr>
              <w:t>Net cash flows from operating activities</w:t>
            </w:r>
          </w:p>
        </w:tc>
        <w:tc>
          <w:tcPr>
            <w:tcW w:w="748" w:type="dxa"/>
            <w:gridSpan w:val="2"/>
          </w:tcPr>
          <w:p w14:paraId="66836AB2"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195</w:t>
            </w:r>
          </w:p>
        </w:tc>
        <w:tc>
          <w:tcPr>
            <w:tcW w:w="748" w:type="dxa"/>
          </w:tcPr>
          <w:p w14:paraId="5AA10FB2"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68</w:t>
            </w:r>
          </w:p>
        </w:tc>
        <w:tc>
          <w:tcPr>
            <w:tcW w:w="748" w:type="dxa"/>
          </w:tcPr>
          <w:p w14:paraId="6FE4021E"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448</w:t>
            </w:r>
          </w:p>
        </w:tc>
        <w:tc>
          <w:tcPr>
            <w:tcW w:w="748" w:type="dxa"/>
          </w:tcPr>
          <w:p w14:paraId="19322CAA"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(15)</w:t>
            </w:r>
          </w:p>
        </w:tc>
        <w:tc>
          <w:tcPr>
            <w:tcW w:w="749" w:type="dxa"/>
          </w:tcPr>
          <w:p w14:paraId="34E841A9"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453</w:t>
            </w:r>
          </w:p>
        </w:tc>
      </w:tr>
      <w:tr w:rsidR="008D6F13" w:rsidRPr="00B976DB" w14:paraId="36FFF567" w14:textId="77777777" w:rsidTr="0031078F">
        <w:tc>
          <w:tcPr>
            <w:cnfStyle w:val="001000000000" w:firstRow="0" w:lastRow="0" w:firstColumn="1" w:lastColumn="0" w:oddVBand="0" w:evenVBand="0" w:oddHBand="0" w:evenHBand="0" w:firstRowFirstColumn="0" w:firstRowLastColumn="0" w:lastRowFirstColumn="0" w:lastRowLastColumn="0"/>
            <w:tcW w:w="3969" w:type="dxa"/>
          </w:tcPr>
          <w:p w14:paraId="23FD1157" w14:textId="77777777" w:rsidR="008D6F13" w:rsidRPr="00B976DB" w:rsidRDefault="008D6F13" w:rsidP="0031078F">
            <w:pPr>
              <w:rPr>
                <w:sz w:val="16"/>
                <w:szCs w:val="16"/>
              </w:rPr>
            </w:pPr>
            <w:r w:rsidRPr="00B976DB">
              <w:rPr>
                <w:sz w:val="16"/>
                <w:szCs w:val="16"/>
              </w:rPr>
              <w:t>Dividends paid</w:t>
            </w:r>
          </w:p>
        </w:tc>
        <w:tc>
          <w:tcPr>
            <w:tcW w:w="748" w:type="dxa"/>
            <w:gridSpan w:val="2"/>
          </w:tcPr>
          <w:p w14:paraId="3E8F0BE0"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(131)</w:t>
            </w:r>
          </w:p>
        </w:tc>
        <w:tc>
          <w:tcPr>
            <w:tcW w:w="748" w:type="dxa"/>
          </w:tcPr>
          <w:p w14:paraId="10C75EFA"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(138)</w:t>
            </w:r>
          </w:p>
        </w:tc>
        <w:tc>
          <w:tcPr>
            <w:tcW w:w="748" w:type="dxa"/>
          </w:tcPr>
          <w:p w14:paraId="4B93650D"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(61)</w:t>
            </w:r>
          </w:p>
        </w:tc>
        <w:tc>
          <w:tcPr>
            <w:tcW w:w="748" w:type="dxa"/>
          </w:tcPr>
          <w:p w14:paraId="70988175"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(68)</w:t>
            </w:r>
          </w:p>
        </w:tc>
        <w:tc>
          <w:tcPr>
            <w:tcW w:w="749" w:type="dxa"/>
          </w:tcPr>
          <w:p w14:paraId="25AB4843"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(80)</w:t>
            </w:r>
          </w:p>
        </w:tc>
      </w:tr>
      <w:tr w:rsidR="008D6F13" w:rsidRPr="00B976DB" w14:paraId="3316068F" w14:textId="77777777" w:rsidTr="0031078F">
        <w:tc>
          <w:tcPr>
            <w:cnfStyle w:val="001000000000" w:firstRow="0" w:lastRow="0" w:firstColumn="1" w:lastColumn="0" w:oddVBand="0" w:evenVBand="0" w:oddHBand="0" w:evenHBand="0" w:firstRowFirstColumn="0" w:firstRowLastColumn="0" w:lastRowFirstColumn="0" w:lastRowLastColumn="0"/>
            <w:tcW w:w="3969" w:type="dxa"/>
            <w:tcBorders>
              <w:bottom w:val="single" w:sz="6" w:space="0" w:color="auto"/>
            </w:tcBorders>
          </w:tcPr>
          <w:p w14:paraId="147639B3" w14:textId="77777777" w:rsidR="008D6F13" w:rsidRPr="00B976DB" w:rsidRDefault="008D6F13" w:rsidP="0031078F">
            <w:pPr>
              <w:rPr>
                <w:sz w:val="16"/>
                <w:szCs w:val="16"/>
              </w:rPr>
            </w:pPr>
            <w:r w:rsidRPr="00B976DB">
              <w:rPr>
                <w:sz w:val="16"/>
                <w:szCs w:val="16"/>
              </w:rPr>
              <w:t>Net cash flows from investments in non</w:t>
            </w:r>
            <w:r w:rsidRPr="00B976DB">
              <w:rPr>
                <w:sz w:val="16"/>
                <w:szCs w:val="16"/>
              </w:rPr>
              <w:noBreakHyphen/>
              <w:t>financial assets</w:t>
            </w:r>
          </w:p>
        </w:tc>
        <w:tc>
          <w:tcPr>
            <w:tcW w:w="748" w:type="dxa"/>
            <w:gridSpan w:val="2"/>
            <w:tcBorders>
              <w:bottom w:val="single" w:sz="6" w:space="0" w:color="auto"/>
            </w:tcBorders>
          </w:tcPr>
          <w:p w14:paraId="1690543B"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(177)</w:t>
            </w:r>
          </w:p>
        </w:tc>
        <w:tc>
          <w:tcPr>
            <w:tcW w:w="748" w:type="dxa"/>
            <w:tcBorders>
              <w:bottom w:val="single" w:sz="6" w:space="0" w:color="auto"/>
            </w:tcBorders>
          </w:tcPr>
          <w:p w14:paraId="39FC2ADC"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(264)</w:t>
            </w:r>
          </w:p>
        </w:tc>
        <w:tc>
          <w:tcPr>
            <w:tcW w:w="748" w:type="dxa"/>
            <w:tcBorders>
              <w:bottom w:val="single" w:sz="6" w:space="0" w:color="auto"/>
            </w:tcBorders>
          </w:tcPr>
          <w:p w14:paraId="1A050215"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(133)</w:t>
            </w:r>
          </w:p>
        </w:tc>
        <w:tc>
          <w:tcPr>
            <w:tcW w:w="748" w:type="dxa"/>
            <w:tcBorders>
              <w:bottom w:val="single" w:sz="6" w:space="0" w:color="auto"/>
            </w:tcBorders>
          </w:tcPr>
          <w:p w14:paraId="4D2D9008"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(91)</w:t>
            </w:r>
          </w:p>
        </w:tc>
        <w:tc>
          <w:tcPr>
            <w:tcW w:w="749" w:type="dxa"/>
            <w:tcBorders>
              <w:bottom w:val="single" w:sz="6" w:space="0" w:color="auto"/>
            </w:tcBorders>
          </w:tcPr>
          <w:p w14:paraId="67FB69C8"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sz w:val="16"/>
                <w:szCs w:val="16"/>
              </w:rPr>
              <w:t>(90)</w:t>
            </w:r>
          </w:p>
        </w:tc>
      </w:tr>
      <w:tr w:rsidR="008D6F13" w:rsidRPr="00B976DB" w14:paraId="6531000D" w14:textId="77777777" w:rsidTr="0031078F">
        <w:tc>
          <w:tcPr>
            <w:cnfStyle w:val="001000000000" w:firstRow="0" w:lastRow="0" w:firstColumn="1" w:lastColumn="0" w:oddVBand="0" w:evenVBand="0" w:oddHBand="0" w:evenHBand="0" w:firstRowFirstColumn="0" w:firstRowLastColumn="0" w:lastRowFirstColumn="0" w:lastRowLastColumn="0"/>
            <w:tcW w:w="3969" w:type="dxa"/>
          </w:tcPr>
          <w:p w14:paraId="6F065AD0" w14:textId="77777777" w:rsidR="008D6F13" w:rsidRPr="00B976DB" w:rsidRDefault="008D6F13" w:rsidP="0031078F">
            <w:pPr>
              <w:rPr>
                <w:sz w:val="16"/>
                <w:szCs w:val="16"/>
              </w:rPr>
            </w:pPr>
            <w:r w:rsidRPr="00B976DB">
              <w:rPr>
                <w:b/>
                <w:sz w:val="16"/>
                <w:szCs w:val="16"/>
              </w:rPr>
              <w:t>Cash surplus/(deficit)</w:t>
            </w:r>
          </w:p>
        </w:tc>
        <w:tc>
          <w:tcPr>
            <w:tcW w:w="748" w:type="dxa"/>
            <w:gridSpan w:val="2"/>
          </w:tcPr>
          <w:p w14:paraId="61D6C69C"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(113)</w:t>
            </w:r>
          </w:p>
        </w:tc>
        <w:tc>
          <w:tcPr>
            <w:tcW w:w="748" w:type="dxa"/>
          </w:tcPr>
          <w:p w14:paraId="078E41FE"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(334)</w:t>
            </w:r>
          </w:p>
        </w:tc>
        <w:tc>
          <w:tcPr>
            <w:tcW w:w="748" w:type="dxa"/>
          </w:tcPr>
          <w:p w14:paraId="77864F4A"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254</w:t>
            </w:r>
          </w:p>
        </w:tc>
        <w:tc>
          <w:tcPr>
            <w:tcW w:w="748" w:type="dxa"/>
          </w:tcPr>
          <w:p w14:paraId="769CB58D" w14:textId="77777777"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(174)</w:t>
            </w:r>
          </w:p>
        </w:tc>
        <w:tc>
          <w:tcPr>
            <w:tcW w:w="749" w:type="dxa"/>
          </w:tcPr>
          <w:p w14:paraId="74EDE32C" w14:textId="5E226B94" w:rsidR="008D6F13" w:rsidRPr="00B976DB"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B976DB">
              <w:rPr>
                <w:b/>
                <w:sz w:val="16"/>
                <w:szCs w:val="16"/>
              </w:rPr>
              <w:t>283</w:t>
            </w:r>
          </w:p>
        </w:tc>
      </w:tr>
    </w:tbl>
    <w:p w14:paraId="23DBD04F" w14:textId="77777777" w:rsidR="008D6F13" w:rsidRPr="00921F69" w:rsidRDefault="008D6F13" w:rsidP="008D6F13">
      <w:pPr>
        <w:pStyle w:val="Note"/>
        <w:ind w:left="0" w:firstLine="0"/>
        <w:rPr>
          <w:rFonts w:cstheme="majorHAnsi"/>
        </w:rPr>
      </w:pPr>
      <w:r w:rsidRPr="00921F69">
        <w:rPr>
          <w:rFonts w:cstheme="majorHAnsi"/>
        </w:rPr>
        <w:t>Notes:</w:t>
      </w:r>
    </w:p>
    <w:p w14:paraId="42D33B85" w14:textId="77777777" w:rsidR="008D6F13" w:rsidRPr="00921F69" w:rsidRDefault="008D6F13" w:rsidP="008D6F13">
      <w:pPr>
        <w:pStyle w:val="Note"/>
        <w:rPr>
          <w:rFonts w:cstheme="majorHAnsi"/>
        </w:rPr>
      </w:pPr>
      <w:r w:rsidRPr="00921F69">
        <w:rPr>
          <w:rFonts w:cstheme="majorHAnsi"/>
        </w:rPr>
        <w:t>(a)</w:t>
      </w:r>
      <w:r w:rsidRPr="00921F69">
        <w:rPr>
          <w:rFonts w:cstheme="majorHAnsi"/>
        </w:rPr>
        <w:tab/>
        <w:t>Inclusive of goods and services tax.</w:t>
      </w:r>
    </w:p>
    <w:p w14:paraId="3C9F2878" w14:textId="77777777" w:rsidR="008D6F13" w:rsidRPr="00921F69" w:rsidRDefault="008D6F13" w:rsidP="008D6F13">
      <w:pPr>
        <w:pStyle w:val="Note"/>
        <w:rPr>
          <w:rFonts w:cstheme="majorHAnsi"/>
        </w:rPr>
      </w:pPr>
      <w:r w:rsidRPr="00921F69">
        <w:rPr>
          <w:rFonts w:cstheme="majorHAnsi"/>
        </w:rPr>
        <w:t>(b)</w:t>
      </w:r>
      <w:r w:rsidRPr="00921F69">
        <w:rPr>
          <w:rFonts w:cstheme="majorHAnsi"/>
        </w:rPr>
        <w:tab/>
      </w:r>
      <w:r w:rsidRPr="006E5ED7">
        <w:rPr>
          <w:rFonts w:cstheme="majorHAnsi"/>
          <w:i w:val="0"/>
          <w:iCs/>
        </w:rPr>
        <w:t>2021-22 Budget</w:t>
      </w:r>
      <w:r w:rsidRPr="00921F69">
        <w:rPr>
          <w:rFonts w:cstheme="majorHAnsi"/>
        </w:rPr>
        <w:t xml:space="preserve"> figures have been restated to represent actual opening balances </w:t>
      </w:r>
      <w:proofErr w:type="gramStart"/>
      <w:r w:rsidRPr="00921F69">
        <w:rPr>
          <w:rFonts w:cstheme="majorHAnsi"/>
        </w:rPr>
        <w:t>at</w:t>
      </w:r>
      <w:proofErr w:type="gramEnd"/>
      <w:r w:rsidRPr="00921F69">
        <w:rPr>
          <w:rFonts w:cstheme="majorHAnsi"/>
        </w:rPr>
        <w:t xml:space="preserve"> 1 July 20</w:t>
      </w:r>
      <w:r>
        <w:rPr>
          <w:rFonts w:cstheme="majorHAnsi"/>
        </w:rPr>
        <w:t>21</w:t>
      </w:r>
      <w:r w:rsidRPr="00921F69">
        <w:rPr>
          <w:rFonts w:cstheme="majorHAnsi"/>
        </w:rPr>
        <w:t>.</w:t>
      </w:r>
    </w:p>
    <w:p w14:paraId="40E0648D" w14:textId="77777777" w:rsidR="008D6F13" w:rsidRDefault="008D6F13" w:rsidP="008D6F13">
      <w:pPr>
        <w:keepLines w:val="0"/>
        <w:rPr>
          <w:rFonts w:asciiTheme="majorHAnsi" w:hAnsiTheme="majorHAnsi" w:cstheme="majorHAnsi"/>
          <w:b/>
          <w:sz w:val="20"/>
        </w:rPr>
      </w:pPr>
      <w:r>
        <w:rPr>
          <w:rFonts w:cstheme="majorHAnsi"/>
        </w:rPr>
        <w:br w:type="page"/>
      </w:r>
    </w:p>
    <w:p w14:paraId="7B7E50B5" w14:textId="37A23DA0" w:rsidR="008D6F13" w:rsidRPr="002F6C0D" w:rsidRDefault="008D6F13" w:rsidP="008D6F13">
      <w:pPr>
        <w:pStyle w:val="TableHeading"/>
        <w:rPr>
          <w:rFonts w:cstheme="majorHAnsi"/>
        </w:rPr>
      </w:pPr>
      <w:r w:rsidRPr="00921F69">
        <w:rPr>
          <w:rFonts w:cstheme="majorHAnsi"/>
        </w:rPr>
        <w:lastRenderedPageBreak/>
        <w:t>Table 5.14</w:t>
      </w:r>
      <w:r w:rsidR="007F1FE4">
        <w:rPr>
          <w:rFonts w:cstheme="majorHAnsi"/>
        </w:rPr>
        <w:t>:</w:t>
      </w:r>
      <w:r w:rsidRPr="00921F69">
        <w:rPr>
          <w:rFonts w:cstheme="majorHAnsi"/>
        </w:rPr>
        <w:tab/>
        <w:t xml:space="preserve">Public financial corporations sector statement of changes in equity </w:t>
      </w:r>
      <w:r w:rsidRPr="00921F69">
        <w:rPr>
          <w:rFonts w:cstheme="majorHAnsi"/>
        </w:rPr>
        <w:br/>
        <w:t>for the financial year ended 30 June</w:t>
      </w:r>
      <w:r w:rsidRPr="00921F69">
        <w:rPr>
          <w:rFonts w:cstheme="majorHAnsi"/>
        </w:rPr>
        <w:tab/>
        <w:t>($ million)</w:t>
      </w:r>
    </w:p>
    <w:tbl>
      <w:tblPr>
        <w:tblStyle w:val="DTFTableNumeric"/>
        <w:tblW w:w="7710" w:type="dxa"/>
        <w:tblLayout w:type="fixed"/>
        <w:tblLook w:val="06A0" w:firstRow="1" w:lastRow="0" w:firstColumn="1" w:lastColumn="0" w:noHBand="1" w:noVBand="1"/>
      </w:tblPr>
      <w:tblGrid>
        <w:gridCol w:w="2786"/>
        <w:gridCol w:w="191"/>
        <w:gridCol w:w="887"/>
        <w:gridCol w:w="1050"/>
        <w:gridCol w:w="1329"/>
        <w:gridCol w:w="742"/>
        <w:gridCol w:w="725"/>
      </w:tblGrid>
      <w:tr w:rsidR="007F3DE0" w14:paraId="2FBE9CE9" w14:textId="77777777" w:rsidTr="007F3D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86" w:type="dxa"/>
          </w:tcPr>
          <w:p w14:paraId="37EB27A4" w14:textId="23FD9C8C" w:rsidR="008D6F13" w:rsidRDefault="008D6F13" w:rsidP="0031078F"/>
        </w:tc>
        <w:tc>
          <w:tcPr>
            <w:tcW w:w="1078" w:type="dxa"/>
            <w:gridSpan w:val="2"/>
          </w:tcPr>
          <w:p w14:paraId="535C8A08"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rPr>
                <w:i w:val="0"/>
                <w:sz w:val="16"/>
              </w:rPr>
            </w:pPr>
            <w:r>
              <w:rPr>
                <w:sz w:val="16"/>
              </w:rPr>
              <w:t>Accumulated surplus/</w:t>
            </w:r>
          </w:p>
          <w:p w14:paraId="20282B60"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rPr>
                <w:sz w:val="16"/>
              </w:rPr>
              <w:t>(deficit)</w:t>
            </w:r>
          </w:p>
        </w:tc>
        <w:tc>
          <w:tcPr>
            <w:tcW w:w="1050" w:type="dxa"/>
          </w:tcPr>
          <w:p w14:paraId="4014CCE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rPr>
                <w:sz w:val="16"/>
              </w:rPr>
              <w:t>Contributions by owners</w:t>
            </w:r>
          </w:p>
        </w:tc>
        <w:tc>
          <w:tcPr>
            <w:tcW w:w="1329" w:type="dxa"/>
          </w:tcPr>
          <w:p w14:paraId="7904A6C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rPr>
                <w:sz w:val="16"/>
              </w:rPr>
              <w:t>Non</w:t>
            </w:r>
            <w:r>
              <w:rPr>
                <w:sz w:val="16"/>
              </w:rPr>
              <w:noBreakHyphen/>
              <w:t>financial assets revaluation surplus</w:t>
            </w:r>
          </w:p>
        </w:tc>
        <w:tc>
          <w:tcPr>
            <w:tcW w:w="742" w:type="dxa"/>
          </w:tcPr>
          <w:p w14:paraId="427E4435"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rPr>
                <w:sz w:val="16"/>
              </w:rPr>
              <w:t>Other reserves</w:t>
            </w:r>
          </w:p>
        </w:tc>
        <w:tc>
          <w:tcPr>
            <w:tcW w:w="725" w:type="dxa"/>
          </w:tcPr>
          <w:p w14:paraId="010B761B"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rPr>
                <w:sz w:val="16"/>
              </w:rPr>
              <w:t>Total</w:t>
            </w:r>
          </w:p>
        </w:tc>
      </w:tr>
      <w:tr w:rsidR="008D6F13" w14:paraId="5B4EED3B" w14:textId="77777777" w:rsidTr="007F3DE0">
        <w:tc>
          <w:tcPr>
            <w:cnfStyle w:val="001000000000" w:firstRow="0" w:lastRow="0" w:firstColumn="1" w:lastColumn="0" w:oddVBand="0" w:evenVBand="0" w:oddHBand="0" w:evenHBand="0" w:firstRowFirstColumn="0" w:firstRowLastColumn="0" w:lastRowFirstColumn="0" w:lastRowLastColumn="0"/>
            <w:tcW w:w="2977" w:type="dxa"/>
            <w:gridSpan w:val="2"/>
          </w:tcPr>
          <w:p w14:paraId="3E966BD7" w14:textId="77777777" w:rsidR="008D6F13" w:rsidRDefault="008D6F13" w:rsidP="0031078F">
            <w:r>
              <w:rPr>
                <w:b/>
                <w:sz w:val="16"/>
              </w:rPr>
              <w:t>2021</w:t>
            </w:r>
            <w:r>
              <w:rPr>
                <w:b/>
                <w:sz w:val="16"/>
              </w:rPr>
              <w:noBreakHyphen/>
              <w:t>22 budget</w:t>
            </w:r>
            <w:r>
              <w:rPr>
                <w:b/>
                <w:sz w:val="16"/>
                <w:vertAlign w:val="superscript"/>
              </w:rPr>
              <w:t xml:space="preserve"> (a)</w:t>
            </w:r>
          </w:p>
        </w:tc>
        <w:tc>
          <w:tcPr>
            <w:tcW w:w="887" w:type="dxa"/>
          </w:tcPr>
          <w:p w14:paraId="2BB3EA3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050" w:type="dxa"/>
          </w:tcPr>
          <w:p w14:paraId="302E012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329" w:type="dxa"/>
          </w:tcPr>
          <w:p w14:paraId="6FEDEFB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42" w:type="dxa"/>
          </w:tcPr>
          <w:p w14:paraId="1612C13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25" w:type="dxa"/>
          </w:tcPr>
          <w:p w14:paraId="688BEEA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746E670D" w14:textId="77777777" w:rsidTr="007F3DE0">
        <w:tc>
          <w:tcPr>
            <w:cnfStyle w:val="001000000000" w:firstRow="0" w:lastRow="0" w:firstColumn="1" w:lastColumn="0" w:oddVBand="0" w:evenVBand="0" w:oddHBand="0" w:evenHBand="0" w:firstRowFirstColumn="0" w:firstRowLastColumn="0" w:lastRowFirstColumn="0" w:lastRowLastColumn="0"/>
            <w:tcW w:w="2977" w:type="dxa"/>
            <w:gridSpan w:val="2"/>
          </w:tcPr>
          <w:p w14:paraId="7DEFE099" w14:textId="77777777" w:rsidR="008D6F13" w:rsidRDefault="008D6F13" w:rsidP="0031078F">
            <w:r>
              <w:rPr>
                <w:sz w:val="16"/>
              </w:rPr>
              <w:t xml:space="preserve">Balance </w:t>
            </w:r>
            <w:proofErr w:type="gramStart"/>
            <w:r>
              <w:rPr>
                <w:sz w:val="16"/>
              </w:rPr>
              <w:t>at</w:t>
            </w:r>
            <w:proofErr w:type="gramEnd"/>
            <w:r>
              <w:rPr>
                <w:sz w:val="16"/>
              </w:rPr>
              <w:t xml:space="preserve"> 1 July 2021</w:t>
            </w:r>
          </w:p>
        </w:tc>
        <w:tc>
          <w:tcPr>
            <w:tcW w:w="887" w:type="dxa"/>
          </w:tcPr>
          <w:p w14:paraId="76884A8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(5 505)</w:t>
            </w:r>
          </w:p>
        </w:tc>
        <w:tc>
          <w:tcPr>
            <w:tcW w:w="1050" w:type="dxa"/>
          </w:tcPr>
          <w:p w14:paraId="65A14F4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15</w:t>
            </w:r>
          </w:p>
        </w:tc>
        <w:tc>
          <w:tcPr>
            <w:tcW w:w="1329" w:type="dxa"/>
          </w:tcPr>
          <w:p w14:paraId="786A3B7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7</w:t>
            </w:r>
          </w:p>
        </w:tc>
        <w:tc>
          <w:tcPr>
            <w:tcW w:w="742" w:type="dxa"/>
          </w:tcPr>
          <w:p w14:paraId="1E782FA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45</w:t>
            </w:r>
          </w:p>
        </w:tc>
        <w:tc>
          <w:tcPr>
            <w:tcW w:w="725" w:type="dxa"/>
          </w:tcPr>
          <w:p w14:paraId="03C9EBF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(5 438)</w:t>
            </w:r>
          </w:p>
        </w:tc>
      </w:tr>
      <w:tr w:rsidR="008D6F13" w14:paraId="1ECA75B1" w14:textId="77777777" w:rsidTr="007F3DE0">
        <w:tc>
          <w:tcPr>
            <w:cnfStyle w:val="001000000000" w:firstRow="0" w:lastRow="0" w:firstColumn="1" w:lastColumn="0" w:oddVBand="0" w:evenVBand="0" w:oddHBand="0" w:evenHBand="0" w:firstRowFirstColumn="0" w:firstRowLastColumn="0" w:lastRowFirstColumn="0" w:lastRowLastColumn="0"/>
            <w:tcW w:w="2977" w:type="dxa"/>
            <w:gridSpan w:val="2"/>
          </w:tcPr>
          <w:p w14:paraId="4A745562" w14:textId="77777777" w:rsidR="008D6F13" w:rsidRDefault="008D6F13" w:rsidP="0031078F">
            <w:r>
              <w:rPr>
                <w:sz w:val="16"/>
              </w:rPr>
              <w:t>Net result for the year</w:t>
            </w:r>
          </w:p>
        </w:tc>
        <w:tc>
          <w:tcPr>
            <w:tcW w:w="887" w:type="dxa"/>
          </w:tcPr>
          <w:p w14:paraId="6BFC6D9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(2 203)</w:t>
            </w:r>
          </w:p>
        </w:tc>
        <w:tc>
          <w:tcPr>
            <w:tcW w:w="1050" w:type="dxa"/>
          </w:tcPr>
          <w:p w14:paraId="4E04FD4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1329" w:type="dxa"/>
          </w:tcPr>
          <w:p w14:paraId="3075EC0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42" w:type="dxa"/>
          </w:tcPr>
          <w:p w14:paraId="36EBC05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25" w:type="dxa"/>
          </w:tcPr>
          <w:p w14:paraId="0D3E017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(2 203)</w:t>
            </w:r>
          </w:p>
        </w:tc>
      </w:tr>
      <w:tr w:rsidR="008D6F13" w14:paraId="7E24D46C" w14:textId="77777777" w:rsidTr="007F3DE0">
        <w:tc>
          <w:tcPr>
            <w:cnfStyle w:val="001000000000" w:firstRow="0" w:lastRow="0" w:firstColumn="1" w:lastColumn="0" w:oddVBand="0" w:evenVBand="0" w:oddHBand="0" w:evenHBand="0" w:firstRowFirstColumn="0" w:firstRowLastColumn="0" w:lastRowFirstColumn="0" w:lastRowLastColumn="0"/>
            <w:tcW w:w="2977" w:type="dxa"/>
            <w:gridSpan w:val="2"/>
          </w:tcPr>
          <w:p w14:paraId="5811C3C4" w14:textId="77777777" w:rsidR="008D6F13" w:rsidRDefault="008D6F13" w:rsidP="0031078F">
            <w:r>
              <w:rPr>
                <w:sz w:val="16"/>
              </w:rPr>
              <w:t>Other comprehensive income for the year</w:t>
            </w:r>
          </w:p>
        </w:tc>
        <w:tc>
          <w:tcPr>
            <w:tcW w:w="887" w:type="dxa"/>
          </w:tcPr>
          <w:p w14:paraId="3C90267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w:t>
            </w:r>
          </w:p>
        </w:tc>
        <w:tc>
          <w:tcPr>
            <w:tcW w:w="1050" w:type="dxa"/>
          </w:tcPr>
          <w:p w14:paraId="011FC10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w:t>
            </w:r>
          </w:p>
        </w:tc>
        <w:tc>
          <w:tcPr>
            <w:tcW w:w="1329" w:type="dxa"/>
          </w:tcPr>
          <w:p w14:paraId="3A3BF1D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w:t>
            </w:r>
          </w:p>
        </w:tc>
        <w:tc>
          <w:tcPr>
            <w:tcW w:w="742" w:type="dxa"/>
          </w:tcPr>
          <w:p w14:paraId="28B8D07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w:t>
            </w:r>
          </w:p>
        </w:tc>
        <w:tc>
          <w:tcPr>
            <w:tcW w:w="725" w:type="dxa"/>
          </w:tcPr>
          <w:p w14:paraId="55216B7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w:t>
            </w:r>
          </w:p>
        </w:tc>
      </w:tr>
      <w:tr w:rsidR="008D6F13" w14:paraId="00ACEC96" w14:textId="77777777" w:rsidTr="007F3DE0">
        <w:tc>
          <w:tcPr>
            <w:cnfStyle w:val="001000000000" w:firstRow="0" w:lastRow="0" w:firstColumn="1" w:lastColumn="0" w:oddVBand="0" w:evenVBand="0" w:oddHBand="0" w:evenHBand="0" w:firstRowFirstColumn="0" w:firstRowLastColumn="0" w:lastRowFirstColumn="0" w:lastRowLastColumn="0"/>
            <w:tcW w:w="2977" w:type="dxa"/>
            <w:gridSpan w:val="2"/>
          </w:tcPr>
          <w:p w14:paraId="65F640C6" w14:textId="77777777" w:rsidR="008D6F13" w:rsidRDefault="008D6F13" w:rsidP="0031078F">
            <w:r>
              <w:rPr>
                <w:sz w:val="16"/>
              </w:rPr>
              <w:t>Dividends paid</w:t>
            </w:r>
          </w:p>
        </w:tc>
        <w:tc>
          <w:tcPr>
            <w:tcW w:w="887" w:type="dxa"/>
          </w:tcPr>
          <w:p w14:paraId="331FCA6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(131)</w:t>
            </w:r>
          </w:p>
        </w:tc>
        <w:tc>
          <w:tcPr>
            <w:tcW w:w="1050" w:type="dxa"/>
          </w:tcPr>
          <w:p w14:paraId="65A5203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1329" w:type="dxa"/>
          </w:tcPr>
          <w:p w14:paraId="0AD1EAC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42" w:type="dxa"/>
          </w:tcPr>
          <w:p w14:paraId="32286D0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25" w:type="dxa"/>
          </w:tcPr>
          <w:p w14:paraId="53EB306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(131)</w:t>
            </w:r>
          </w:p>
        </w:tc>
      </w:tr>
      <w:tr w:rsidR="008D6F13" w14:paraId="1693B118" w14:textId="77777777" w:rsidTr="007F3DE0">
        <w:tc>
          <w:tcPr>
            <w:cnfStyle w:val="001000000000" w:firstRow="0" w:lastRow="0" w:firstColumn="1" w:lastColumn="0" w:oddVBand="0" w:evenVBand="0" w:oddHBand="0" w:evenHBand="0" w:firstRowFirstColumn="0" w:firstRowLastColumn="0" w:lastRowFirstColumn="0" w:lastRowLastColumn="0"/>
            <w:tcW w:w="2977" w:type="dxa"/>
            <w:gridSpan w:val="2"/>
            <w:tcBorders>
              <w:top w:val="single" w:sz="6" w:space="0" w:color="auto"/>
              <w:bottom w:val="single" w:sz="6" w:space="0" w:color="auto"/>
            </w:tcBorders>
          </w:tcPr>
          <w:p w14:paraId="04FCF210" w14:textId="77777777" w:rsidR="008D6F13" w:rsidRDefault="008D6F13" w:rsidP="0031078F">
            <w:r>
              <w:rPr>
                <w:b/>
                <w:sz w:val="16"/>
              </w:rPr>
              <w:t xml:space="preserve">Total equity as </w:t>
            </w:r>
            <w:proofErr w:type="gramStart"/>
            <w:r>
              <w:rPr>
                <w:b/>
                <w:sz w:val="16"/>
              </w:rPr>
              <w:t>at</w:t>
            </w:r>
            <w:proofErr w:type="gramEnd"/>
            <w:r>
              <w:rPr>
                <w:b/>
                <w:sz w:val="16"/>
              </w:rPr>
              <w:t xml:space="preserve"> 30 June 2022</w:t>
            </w:r>
          </w:p>
        </w:tc>
        <w:tc>
          <w:tcPr>
            <w:tcW w:w="887" w:type="dxa"/>
            <w:tcBorders>
              <w:top w:val="single" w:sz="6" w:space="0" w:color="auto"/>
              <w:bottom w:val="single" w:sz="6" w:space="0" w:color="auto"/>
            </w:tcBorders>
          </w:tcPr>
          <w:p w14:paraId="76DF12C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(7 840)</w:t>
            </w:r>
          </w:p>
        </w:tc>
        <w:tc>
          <w:tcPr>
            <w:tcW w:w="1050" w:type="dxa"/>
            <w:tcBorders>
              <w:top w:val="single" w:sz="6" w:space="0" w:color="auto"/>
              <w:bottom w:val="single" w:sz="6" w:space="0" w:color="auto"/>
            </w:tcBorders>
          </w:tcPr>
          <w:p w14:paraId="66E1104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15</w:t>
            </w:r>
          </w:p>
        </w:tc>
        <w:tc>
          <w:tcPr>
            <w:tcW w:w="1329" w:type="dxa"/>
            <w:tcBorders>
              <w:top w:val="single" w:sz="6" w:space="0" w:color="auto"/>
              <w:bottom w:val="single" w:sz="6" w:space="0" w:color="auto"/>
            </w:tcBorders>
          </w:tcPr>
          <w:p w14:paraId="633A719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7</w:t>
            </w:r>
          </w:p>
        </w:tc>
        <w:tc>
          <w:tcPr>
            <w:tcW w:w="742" w:type="dxa"/>
            <w:tcBorders>
              <w:top w:val="single" w:sz="6" w:space="0" w:color="auto"/>
              <w:bottom w:val="single" w:sz="6" w:space="0" w:color="auto"/>
            </w:tcBorders>
          </w:tcPr>
          <w:p w14:paraId="5424D37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45</w:t>
            </w:r>
          </w:p>
        </w:tc>
        <w:tc>
          <w:tcPr>
            <w:tcW w:w="725" w:type="dxa"/>
            <w:tcBorders>
              <w:top w:val="single" w:sz="6" w:space="0" w:color="auto"/>
              <w:bottom w:val="single" w:sz="6" w:space="0" w:color="auto"/>
            </w:tcBorders>
          </w:tcPr>
          <w:p w14:paraId="23D0A69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(7 773)</w:t>
            </w:r>
          </w:p>
        </w:tc>
      </w:tr>
      <w:tr w:rsidR="008D6F13" w14:paraId="4DB7AB1A" w14:textId="77777777" w:rsidTr="007F3DE0">
        <w:tc>
          <w:tcPr>
            <w:cnfStyle w:val="001000000000" w:firstRow="0" w:lastRow="0" w:firstColumn="1" w:lastColumn="0" w:oddVBand="0" w:evenVBand="0" w:oddHBand="0" w:evenHBand="0" w:firstRowFirstColumn="0" w:firstRowLastColumn="0" w:lastRowFirstColumn="0" w:lastRowLastColumn="0"/>
            <w:tcW w:w="2977" w:type="dxa"/>
            <w:gridSpan w:val="2"/>
            <w:tcBorders>
              <w:top w:val="single" w:sz="6" w:space="0" w:color="auto"/>
            </w:tcBorders>
          </w:tcPr>
          <w:p w14:paraId="3AFDAF13" w14:textId="77777777" w:rsidR="008D6F13" w:rsidRDefault="008D6F13" w:rsidP="0031078F">
            <w:r>
              <w:rPr>
                <w:b/>
                <w:sz w:val="16"/>
              </w:rPr>
              <w:t>2021</w:t>
            </w:r>
            <w:r>
              <w:rPr>
                <w:b/>
                <w:sz w:val="16"/>
              </w:rPr>
              <w:noBreakHyphen/>
              <w:t>22 revised</w:t>
            </w:r>
          </w:p>
        </w:tc>
        <w:tc>
          <w:tcPr>
            <w:tcW w:w="887" w:type="dxa"/>
            <w:tcBorders>
              <w:top w:val="single" w:sz="6" w:space="0" w:color="auto"/>
            </w:tcBorders>
          </w:tcPr>
          <w:p w14:paraId="31323F1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050" w:type="dxa"/>
            <w:tcBorders>
              <w:top w:val="single" w:sz="6" w:space="0" w:color="auto"/>
            </w:tcBorders>
          </w:tcPr>
          <w:p w14:paraId="6FAA873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329" w:type="dxa"/>
            <w:tcBorders>
              <w:top w:val="single" w:sz="6" w:space="0" w:color="auto"/>
            </w:tcBorders>
          </w:tcPr>
          <w:p w14:paraId="7C11C4C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42" w:type="dxa"/>
            <w:tcBorders>
              <w:top w:val="single" w:sz="6" w:space="0" w:color="auto"/>
            </w:tcBorders>
          </w:tcPr>
          <w:p w14:paraId="50B7264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25" w:type="dxa"/>
            <w:tcBorders>
              <w:top w:val="single" w:sz="6" w:space="0" w:color="auto"/>
            </w:tcBorders>
          </w:tcPr>
          <w:p w14:paraId="1D43D10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2D7757EE" w14:textId="77777777" w:rsidTr="007F3DE0">
        <w:tc>
          <w:tcPr>
            <w:cnfStyle w:val="001000000000" w:firstRow="0" w:lastRow="0" w:firstColumn="1" w:lastColumn="0" w:oddVBand="0" w:evenVBand="0" w:oddHBand="0" w:evenHBand="0" w:firstRowFirstColumn="0" w:firstRowLastColumn="0" w:lastRowFirstColumn="0" w:lastRowLastColumn="0"/>
            <w:tcW w:w="2977" w:type="dxa"/>
            <w:gridSpan w:val="2"/>
          </w:tcPr>
          <w:p w14:paraId="1A2BD3F2" w14:textId="77777777" w:rsidR="008D6F13" w:rsidRDefault="008D6F13" w:rsidP="0031078F">
            <w:r>
              <w:rPr>
                <w:sz w:val="16"/>
              </w:rPr>
              <w:t xml:space="preserve">Balance </w:t>
            </w:r>
            <w:proofErr w:type="gramStart"/>
            <w:r>
              <w:rPr>
                <w:sz w:val="16"/>
              </w:rPr>
              <w:t>at</w:t>
            </w:r>
            <w:proofErr w:type="gramEnd"/>
            <w:r>
              <w:rPr>
                <w:sz w:val="16"/>
              </w:rPr>
              <w:t xml:space="preserve"> 1 July 2021</w:t>
            </w:r>
          </w:p>
        </w:tc>
        <w:tc>
          <w:tcPr>
            <w:tcW w:w="887" w:type="dxa"/>
          </w:tcPr>
          <w:p w14:paraId="1E6EBA0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(5 505)</w:t>
            </w:r>
          </w:p>
        </w:tc>
        <w:tc>
          <w:tcPr>
            <w:tcW w:w="1050" w:type="dxa"/>
          </w:tcPr>
          <w:p w14:paraId="18E3E44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15</w:t>
            </w:r>
          </w:p>
        </w:tc>
        <w:tc>
          <w:tcPr>
            <w:tcW w:w="1329" w:type="dxa"/>
          </w:tcPr>
          <w:p w14:paraId="79B95F0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7</w:t>
            </w:r>
          </w:p>
        </w:tc>
        <w:tc>
          <w:tcPr>
            <w:tcW w:w="742" w:type="dxa"/>
          </w:tcPr>
          <w:p w14:paraId="57800E5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45</w:t>
            </w:r>
          </w:p>
        </w:tc>
        <w:tc>
          <w:tcPr>
            <w:tcW w:w="725" w:type="dxa"/>
          </w:tcPr>
          <w:p w14:paraId="66B4499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(5 438)</w:t>
            </w:r>
          </w:p>
        </w:tc>
      </w:tr>
      <w:tr w:rsidR="008D6F13" w14:paraId="7996AE2D" w14:textId="77777777" w:rsidTr="007F3DE0">
        <w:tc>
          <w:tcPr>
            <w:cnfStyle w:val="001000000000" w:firstRow="0" w:lastRow="0" w:firstColumn="1" w:lastColumn="0" w:oddVBand="0" w:evenVBand="0" w:oddHBand="0" w:evenHBand="0" w:firstRowFirstColumn="0" w:firstRowLastColumn="0" w:lastRowFirstColumn="0" w:lastRowLastColumn="0"/>
            <w:tcW w:w="2977" w:type="dxa"/>
            <w:gridSpan w:val="2"/>
          </w:tcPr>
          <w:p w14:paraId="567522E5" w14:textId="77777777" w:rsidR="008D6F13" w:rsidRDefault="008D6F13" w:rsidP="0031078F">
            <w:r>
              <w:rPr>
                <w:sz w:val="16"/>
              </w:rPr>
              <w:t>Net result for the year</w:t>
            </w:r>
          </w:p>
        </w:tc>
        <w:tc>
          <w:tcPr>
            <w:tcW w:w="887" w:type="dxa"/>
          </w:tcPr>
          <w:p w14:paraId="66C8986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(2 382)</w:t>
            </w:r>
          </w:p>
        </w:tc>
        <w:tc>
          <w:tcPr>
            <w:tcW w:w="1050" w:type="dxa"/>
          </w:tcPr>
          <w:p w14:paraId="388CD41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1329" w:type="dxa"/>
          </w:tcPr>
          <w:p w14:paraId="0DB109D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42" w:type="dxa"/>
          </w:tcPr>
          <w:p w14:paraId="5BD3394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25" w:type="dxa"/>
          </w:tcPr>
          <w:p w14:paraId="514906C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(2 382)</w:t>
            </w:r>
          </w:p>
        </w:tc>
      </w:tr>
      <w:tr w:rsidR="008D6F13" w14:paraId="5BD52C93" w14:textId="77777777" w:rsidTr="007F3DE0">
        <w:tc>
          <w:tcPr>
            <w:cnfStyle w:val="001000000000" w:firstRow="0" w:lastRow="0" w:firstColumn="1" w:lastColumn="0" w:oddVBand="0" w:evenVBand="0" w:oddHBand="0" w:evenHBand="0" w:firstRowFirstColumn="0" w:firstRowLastColumn="0" w:lastRowFirstColumn="0" w:lastRowLastColumn="0"/>
            <w:tcW w:w="2977" w:type="dxa"/>
            <w:gridSpan w:val="2"/>
          </w:tcPr>
          <w:p w14:paraId="24A4EE08" w14:textId="77777777" w:rsidR="008D6F13" w:rsidRDefault="008D6F13" w:rsidP="0031078F">
            <w:r>
              <w:rPr>
                <w:sz w:val="16"/>
              </w:rPr>
              <w:t>Other comprehensive income for the year</w:t>
            </w:r>
          </w:p>
        </w:tc>
        <w:tc>
          <w:tcPr>
            <w:tcW w:w="887" w:type="dxa"/>
          </w:tcPr>
          <w:p w14:paraId="664C822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w:t>
            </w:r>
          </w:p>
        </w:tc>
        <w:tc>
          <w:tcPr>
            <w:tcW w:w="1050" w:type="dxa"/>
          </w:tcPr>
          <w:p w14:paraId="2029AC1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w:t>
            </w:r>
          </w:p>
        </w:tc>
        <w:tc>
          <w:tcPr>
            <w:tcW w:w="1329" w:type="dxa"/>
          </w:tcPr>
          <w:p w14:paraId="79BBE8B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w:t>
            </w:r>
          </w:p>
        </w:tc>
        <w:tc>
          <w:tcPr>
            <w:tcW w:w="742" w:type="dxa"/>
          </w:tcPr>
          <w:p w14:paraId="38DB7FB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w:t>
            </w:r>
          </w:p>
        </w:tc>
        <w:tc>
          <w:tcPr>
            <w:tcW w:w="725" w:type="dxa"/>
          </w:tcPr>
          <w:p w14:paraId="57BF2AA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w:t>
            </w:r>
          </w:p>
        </w:tc>
      </w:tr>
      <w:tr w:rsidR="008D6F13" w14:paraId="1DB91237" w14:textId="77777777" w:rsidTr="007F3DE0">
        <w:tc>
          <w:tcPr>
            <w:cnfStyle w:val="001000000000" w:firstRow="0" w:lastRow="0" w:firstColumn="1" w:lastColumn="0" w:oddVBand="0" w:evenVBand="0" w:oddHBand="0" w:evenHBand="0" w:firstRowFirstColumn="0" w:firstRowLastColumn="0" w:lastRowFirstColumn="0" w:lastRowLastColumn="0"/>
            <w:tcW w:w="2977" w:type="dxa"/>
            <w:gridSpan w:val="2"/>
          </w:tcPr>
          <w:p w14:paraId="1C1BFBAA" w14:textId="77777777" w:rsidR="008D6F13" w:rsidRDefault="008D6F13" w:rsidP="0031078F">
            <w:r>
              <w:rPr>
                <w:sz w:val="16"/>
              </w:rPr>
              <w:t>Dividends paid</w:t>
            </w:r>
          </w:p>
        </w:tc>
        <w:tc>
          <w:tcPr>
            <w:tcW w:w="887" w:type="dxa"/>
          </w:tcPr>
          <w:p w14:paraId="789270B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(138)</w:t>
            </w:r>
          </w:p>
        </w:tc>
        <w:tc>
          <w:tcPr>
            <w:tcW w:w="1050" w:type="dxa"/>
          </w:tcPr>
          <w:p w14:paraId="24F9F82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1329" w:type="dxa"/>
          </w:tcPr>
          <w:p w14:paraId="24B2303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42" w:type="dxa"/>
          </w:tcPr>
          <w:p w14:paraId="62F04FF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25" w:type="dxa"/>
          </w:tcPr>
          <w:p w14:paraId="3839D54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(138)</w:t>
            </w:r>
          </w:p>
        </w:tc>
      </w:tr>
      <w:tr w:rsidR="008D6F13" w14:paraId="6C61983C" w14:textId="77777777" w:rsidTr="007F3DE0">
        <w:tc>
          <w:tcPr>
            <w:cnfStyle w:val="001000000000" w:firstRow="0" w:lastRow="0" w:firstColumn="1" w:lastColumn="0" w:oddVBand="0" w:evenVBand="0" w:oddHBand="0" w:evenHBand="0" w:firstRowFirstColumn="0" w:firstRowLastColumn="0" w:lastRowFirstColumn="0" w:lastRowLastColumn="0"/>
            <w:tcW w:w="2977" w:type="dxa"/>
            <w:gridSpan w:val="2"/>
            <w:tcBorders>
              <w:top w:val="single" w:sz="6" w:space="0" w:color="auto"/>
              <w:bottom w:val="single" w:sz="6" w:space="0" w:color="auto"/>
            </w:tcBorders>
          </w:tcPr>
          <w:p w14:paraId="5FFC8BA4" w14:textId="77777777" w:rsidR="008D6F13" w:rsidRDefault="008D6F13" w:rsidP="0031078F">
            <w:r>
              <w:rPr>
                <w:b/>
                <w:sz w:val="16"/>
              </w:rPr>
              <w:t xml:space="preserve">Total equity as </w:t>
            </w:r>
            <w:proofErr w:type="gramStart"/>
            <w:r>
              <w:rPr>
                <w:b/>
                <w:sz w:val="16"/>
              </w:rPr>
              <w:t>at</w:t>
            </w:r>
            <w:proofErr w:type="gramEnd"/>
            <w:r>
              <w:rPr>
                <w:b/>
                <w:sz w:val="16"/>
              </w:rPr>
              <w:t xml:space="preserve"> 30 June 2022</w:t>
            </w:r>
          </w:p>
        </w:tc>
        <w:tc>
          <w:tcPr>
            <w:tcW w:w="887" w:type="dxa"/>
            <w:tcBorders>
              <w:top w:val="single" w:sz="6" w:space="0" w:color="auto"/>
              <w:bottom w:val="single" w:sz="6" w:space="0" w:color="auto"/>
            </w:tcBorders>
          </w:tcPr>
          <w:p w14:paraId="7685ED3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(8 023)</w:t>
            </w:r>
          </w:p>
        </w:tc>
        <w:tc>
          <w:tcPr>
            <w:tcW w:w="1050" w:type="dxa"/>
            <w:tcBorders>
              <w:top w:val="single" w:sz="6" w:space="0" w:color="auto"/>
              <w:bottom w:val="single" w:sz="6" w:space="0" w:color="auto"/>
            </w:tcBorders>
          </w:tcPr>
          <w:p w14:paraId="0AEB352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15</w:t>
            </w:r>
          </w:p>
        </w:tc>
        <w:tc>
          <w:tcPr>
            <w:tcW w:w="1329" w:type="dxa"/>
            <w:tcBorders>
              <w:top w:val="single" w:sz="6" w:space="0" w:color="auto"/>
              <w:bottom w:val="single" w:sz="6" w:space="0" w:color="auto"/>
            </w:tcBorders>
          </w:tcPr>
          <w:p w14:paraId="7C61B8C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7</w:t>
            </w:r>
          </w:p>
        </w:tc>
        <w:tc>
          <w:tcPr>
            <w:tcW w:w="742" w:type="dxa"/>
            <w:tcBorders>
              <w:top w:val="single" w:sz="6" w:space="0" w:color="auto"/>
              <w:bottom w:val="single" w:sz="6" w:space="0" w:color="auto"/>
            </w:tcBorders>
          </w:tcPr>
          <w:p w14:paraId="4BF9C3C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43</w:t>
            </w:r>
          </w:p>
        </w:tc>
        <w:tc>
          <w:tcPr>
            <w:tcW w:w="725" w:type="dxa"/>
            <w:tcBorders>
              <w:top w:val="single" w:sz="6" w:space="0" w:color="auto"/>
              <w:bottom w:val="single" w:sz="6" w:space="0" w:color="auto"/>
            </w:tcBorders>
          </w:tcPr>
          <w:p w14:paraId="47D90A0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(7 958)</w:t>
            </w:r>
          </w:p>
        </w:tc>
      </w:tr>
      <w:tr w:rsidR="008D6F13" w14:paraId="1CE2CB2D" w14:textId="77777777" w:rsidTr="007F3DE0">
        <w:tc>
          <w:tcPr>
            <w:cnfStyle w:val="001000000000" w:firstRow="0" w:lastRow="0" w:firstColumn="1" w:lastColumn="0" w:oddVBand="0" w:evenVBand="0" w:oddHBand="0" w:evenHBand="0" w:firstRowFirstColumn="0" w:firstRowLastColumn="0" w:lastRowFirstColumn="0" w:lastRowLastColumn="0"/>
            <w:tcW w:w="2977" w:type="dxa"/>
            <w:gridSpan w:val="2"/>
            <w:tcBorders>
              <w:top w:val="single" w:sz="6" w:space="0" w:color="auto"/>
            </w:tcBorders>
          </w:tcPr>
          <w:p w14:paraId="771A27C3" w14:textId="77777777" w:rsidR="008D6F13" w:rsidRDefault="008D6F13" w:rsidP="0031078F">
            <w:r>
              <w:rPr>
                <w:b/>
                <w:sz w:val="16"/>
              </w:rPr>
              <w:t>2022</w:t>
            </w:r>
            <w:r>
              <w:rPr>
                <w:b/>
                <w:sz w:val="16"/>
              </w:rPr>
              <w:noBreakHyphen/>
              <w:t>23 estimate</w:t>
            </w:r>
          </w:p>
        </w:tc>
        <w:tc>
          <w:tcPr>
            <w:tcW w:w="887" w:type="dxa"/>
            <w:tcBorders>
              <w:top w:val="single" w:sz="6" w:space="0" w:color="auto"/>
            </w:tcBorders>
          </w:tcPr>
          <w:p w14:paraId="4174485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050" w:type="dxa"/>
            <w:tcBorders>
              <w:top w:val="single" w:sz="6" w:space="0" w:color="auto"/>
            </w:tcBorders>
          </w:tcPr>
          <w:p w14:paraId="25073B9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329" w:type="dxa"/>
            <w:tcBorders>
              <w:top w:val="single" w:sz="6" w:space="0" w:color="auto"/>
            </w:tcBorders>
          </w:tcPr>
          <w:p w14:paraId="21860CD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42" w:type="dxa"/>
            <w:tcBorders>
              <w:top w:val="single" w:sz="6" w:space="0" w:color="auto"/>
            </w:tcBorders>
          </w:tcPr>
          <w:p w14:paraId="2EA746A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25" w:type="dxa"/>
            <w:tcBorders>
              <w:top w:val="single" w:sz="6" w:space="0" w:color="auto"/>
            </w:tcBorders>
          </w:tcPr>
          <w:p w14:paraId="624F725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786C949D" w14:textId="77777777" w:rsidTr="007F3DE0">
        <w:tc>
          <w:tcPr>
            <w:cnfStyle w:val="001000000000" w:firstRow="0" w:lastRow="0" w:firstColumn="1" w:lastColumn="0" w:oddVBand="0" w:evenVBand="0" w:oddHBand="0" w:evenHBand="0" w:firstRowFirstColumn="0" w:firstRowLastColumn="0" w:lastRowFirstColumn="0" w:lastRowLastColumn="0"/>
            <w:tcW w:w="2977" w:type="dxa"/>
            <w:gridSpan w:val="2"/>
          </w:tcPr>
          <w:p w14:paraId="43994714" w14:textId="77777777" w:rsidR="008D6F13" w:rsidRDefault="008D6F13" w:rsidP="0031078F">
            <w:r>
              <w:rPr>
                <w:sz w:val="16"/>
              </w:rPr>
              <w:t xml:space="preserve">Balance </w:t>
            </w:r>
            <w:proofErr w:type="gramStart"/>
            <w:r>
              <w:rPr>
                <w:sz w:val="16"/>
              </w:rPr>
              <w:t>at</w:t>
            </w:r>
            <w:proofErr w:type="gramEnd"/>
            <w:r>
              <w:rPr>
                <w:sz w:val="16"/>
              </w:rPr>
              <w:t xml:space="preserve"> 1 July 2022</w:t>
            </w:r>
          </w:p>
        </w:tc>
        <w:tc>
          <w:tcPr>
            <w:tcW w:w="887" w:type="dxa"/>
          </w:tcPr>
          <w:p w14:paraId="6A4899E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(8 023)</w:t>
            </w:r>
          </w:p>
        </w:tc>
        <w:tc>
          <w:tcPr>
            <w:tcW w:w="1050" w:type="dxa"/>
          </w:tcPr>
          <w:p w14:paraId="7E45831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15</w:t>
            </w:r>
          </w:p>
        </w:tc>
        <w:tc>
          <w:tcPr>
            <w:tcW w:w="1329" w:type="dxa"/>
          </w:tcPr>
          <w:p w14:paraId="4BC213F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7</w:t>
            </w:r>
          </w:p>
        </w:tc>
        <w:tc>
          <w:tcPr>
            <w:tcW w:w="742" w:type="dxa"/>
          </w:tcPr>
          <w:p w14:paraId="6F83ECA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43</w:t>
            </w:r>
          </w:p>
        </w:tc>
        <w:tc>
          <w:tcPr>
            <w:tcW w:w="725" w:type="dxa"/>
          </w:tcPr>
          <w:p w14:paraId="33199B6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(7 958)</w:t>
            </w:r>
          </w:p>
        </w:tc>
      </w:tr>
      <w:tr w:rsidR="008D6F13" w14:paraId="3F686B04" w14:textId="77777777" w:rsidTr="007F3DE0">
        <w:tc>
          <w:tcPr>
            <w:cnfStyle w:val="001000000000" w:firstRow="0" w:lastRow="0" w:firstColumn="1" w:lastColumn="0" w:oddVBand="0" w:evenVBand="0" w:oddHBand="0" w:evenHBand="0" w:firstRowFirstColumn="0" w:firstRowLastColumn="0" w:lastRowFirstColumn="0" w:lastRowLastColumn="0"/>
            <w:tcW w:w="2977" w:type="dxa"/>
            <w:gridSpan w:val="2"/>
          </w:tcPr>
          <w:p w14:paraId="788E3A13" w14:textId="77777777" w:rsidR="008D6F13" w:rsidRDefault="008D6F13" w:rsidP="0031078F">
            <w:r>
              <w:rPr>
                <w:sz w:val="16"/>
              </w:rPr>
              <w:t>Net result for the year</w:t>
            </w:r>
          </w:p>
        </w:tc>
        <w:tc>
          <w:tcPr>
            <w:tcW w:w="887" w:type="dxa"/>
          </w:tcPr>
          <w:p w14:paraId="0356F29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(2 099)</w:t>
            </w:r>
          </w:p>
        </w:tc>
        <w:tc>
          <w:tcPr>
            <w:tcW w:w="1050" w:type="dxa"/>
          </w:tcPr>
          <w:p w14:paraId="39A5AFA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1329" w:type="dxa"/>
          </w:tcPr>
          <w:p w14:paraId="244F510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42" w:type="dxa"/>
          </w:tcPr>
          <w:p w14:paraId="11E3A94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25" w:type="dxa"/>
          </w:tcPr>
          <w:p w14:paraId="65E28DD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(2 099)</w:t>
            </w:r>
          </w:p>
        </w:tc>
      </w:tr>
      <w:tr w:rsidR="008D6F13" w14:paraId="75D9DC16" w14:textId="77777777" w:rsidTr="007F3DE0">
        <w:tc>
          <w:tcPr>
            <w:cnfStyle w:val="001000000000" w:firstRow="0" w:lastRow="0" w:firstColumn="1" w:lastColumn="0" w:oddVBand="0" w:evenVBand="0" w:oddHBand="0" w:evenHBand="0" w:firstRowFirstColumn="0" w:firstRowLastColumn="0" w:lastRowFirstColumn="0" w:lastRowLastColumn="0"/>
            <w:tcW w:w="2977" w:type="dxa"/>
            <w:gridSpan w:val="2"/>
          </w:tcPr>
          <w:p w14:paraId="23DE403D" w14:textId="77777777" w:rsidR="008D6F13" w:rsidRDefault="008D6F13" w:rsidP="0031078F">
            <w:r>
              <w:rPr>
                <w:sz w:val="16"/>
              </w:rPr>
              <w:t>Other comprehensive income for the year</w:t>
            </w:r>
          </w:p>
        </w:tc>
        <w:tc>
          <w:tcPr>
            <w:tcW w:w="887" w:type="dxa"/>
          </w:tcPr>
          <w:p w14:paraId="2053181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14</w:t>
            </w:r>
          </w:p>
        </w:tc>
        <w:tc>
          <w:tcPr>
            <w:tcW w:w="1050" w:type="dxa"/>
          </w:tcPr>
          <w:p w14:paraId="2ECFD91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w:t>
            </w:r>
          </w:p>
        </w:tc>
        <w:tc>
          <w:tcPr>
            <w:tcW w:w="1329" w:type="dxa"/>
          </w:tcPr>
          <w:p w14:paraId="76C8EE3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w:t>
            </w:r>
          </w:p>
        </w:tc>
        <w:tc>
          <w:tcPr>
            <w:tcW w:w="742" w:type="dxa"/>
          </w:tcPr>
          <w:p w14:paraId="1566EB0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w:t>
            </w:r>
          </w:p>
        </w:tc>
        <w:tc>
          <w:tcPr>
            <w:tcW w:w="725" w:type="dxa"/>
          </w:tcPr>
          <w:p w14:paraId="28523C2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13</w:t>
            </w:r>
          </w:p>
        </w:tc>
      </w:tr>
      <w:tr w:rsidR="008D6F13" w14:paraId="5C1917B0" w14:textId="77777777" w:rsidTr="007F3DE0">
        <w:tc>
          <w:tcPr>
            <w:cnfStyle w:val="001000000000" w:firstRow="0" w:lastRow="0" w:firstColumn="1" w:lastColumn="0" w:oddVBand="0" w:evenVBand="0" w:oddHBand="0" w:evenHBand="0" w:firstRowFirstColumn="0" w:firstRowLastColumn="0" w:lastRowFirstColumn="0" w:lastRowLastColumn="0"/>
            <w:tcW w:w="2977" w:type="dxa"/>
            <w:gridSpan w:val="2"/>
          </w:tcPr>
          <w:p w14:paraId="41DD1BDF" w14:textId="77777777" w:rsidR="008D6F13" w:rsidRDefault="008D6F13" w:rsidP="0031078F">
            <w:r>
              <w:rPr>
                <w:sz w:val="16"/>
              </w:rPr>
              <w:t>Dividends paid</w:t>
            </w:r>
          </w:p>
        </w:tc>
        <w:tc>
          <w:tcPr>
            <w:tcW w:w="887" w:type="dxa"/>
          </w:tcPr>
          <w:p w14:paraId="5A8318C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(61)</w:t>
            </w:r>
          </w:p>
        </w:tc>
        <w:tc>
          <w:tcPr>
            <w:tcW w:w="1050" w:type="dxa"/>
          </w:tcPr>
          <w:p w14:paraId="725B1B5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1329" w:type="dxa"/>
          </w:tcPr>
          <w:p w14:paraId="2C3461D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42" w:type="dxa"/>
          </w:tcPr>
          <w:p w14:paraId="70999C5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25" w:type="dxa"/>
          </w:tcPr>
          <w:p w14:paraId="500E9FE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(61)</w:t>
            </w:r>
          </w:p>
        </w:tc>
      </w:tr>
      <w:tr w:rsidR="008D6F13" w14:paraId="6B7BBD61" w14:textId="77777777" w:rsidTr="007F3DE0">
        <w:tc>
          <w:tcPr>
            <w:cnfStyle w:val="001000000000" w:firstRow="0" w:lastRow="0" w:firstColumn="1" w:lastColumn="0" w:oddVBand="0" w:evenVBand="0" w:oddHBand="0" w:evenHBand="0" w:firstRowFirstColumn="0" w:firstRowLastColumn="0" w:lastRowFirstColumn="0" w:lastRowLastColumn="0"/>
            <w:tcW w:w="2977" w:type="dxa"/>
            <w:gridSpan w:val="2"/>
            <w:tcBorders>
              <w:top w:val="single" w:sz="6" w:space="0" w:color="auto"/>
              <w:bottom w:val="single" w:sz="6" w:space="0" w:color="auto"/>
            </w:tcBorders>
          </w:tcPr>
          <w:p w14:paraId="49AEB2AC" w14:textId="77777777" w:rsidR="008D6F13" w:rsidRDefault="008D6F13" w:rsidP="0031078F">
            <w:r>
              <w:rPr>
                <w:b/>
                <w:sz w:val="16"/>
              </w:rPr>
              <w:t xml:space="preserve">Total equity as </w:t>
            </w:r>
            <w:proofErr w:type="gramStart"/>
            <w:r>
              <w:rPr>
                <w:b/>
                <w:sz w:val="16"/>
              </w:rPr>
              <w:t>at</w:t>
            </w:r>
            <w:proofErr w:type="gramEnd"/>
            <w:r>
              <w:rPr>
                <w:b/>
                <w:sz w:val="16"/>
              </w:rPr>
              <w:t xml:space="preserve"> 30 June 2023</w:t>
            </w:r>
          </w:p>
        </w:tc>
        <w:tc>
          <w:tcPr>
            <w:tcW w:w="887" w:type="dxa"/>
            <w:tcBorders>
              <w:top w:val="single" w:sz="6" w:space="0" w:color="auto"/>
              <w:bottom w:val="single" w:sz="6" w:space="0" w:color="auto"/>
            </w:tcBorders>
          </w:tcPr>
          <w:p w14:paraId="4E09545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(10 169)</w:t>
            </w:r>
          </w:p>
        </w:tc>
        <w:tc>
          <w:tcPr>
            <w:tcW w:w="1050" w:type="dxa"/>
            <w:tcBorders>
              <w:top w:val="single" w:sz="6" w:space="0" w:color="auto"/>
              <w:bottom w:val="single" w:sz="6" w:space="0" w:color="auto"/>
            </w:tcBorders>
          </w:tcPr>
          <w:p w14:paraId="56F6527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15</w:t>
            </w:r>
          </w:p>
        </w:tc>
        <w:tc>
          <w:tcPr>
            <w:tcW w:w="1329" w:type="dxa"/>
            <w:tcBorders>
              <w:top w:val="single" w:sz="6" w:space="0" w:color="auto"/>
              <w:bottom w:val="single" w:sz="6" w:space="0" w:color="auto"/>
            </w:tcBorders>
          </w:tcPr>
          <w:p w14:paraId="42C79C6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7</w:t>
            </w:r>
          </w:p>
        </w:tc>
        <w:tc>
          <w:tcPr>
            <w:tcW w:w="742" w:type="dxa"/>
            <w:tcBorders>
              <w:top w:val="single" w:sz="6" w:space="0" w:color="auto"/>
              <w:bottom w:val="single" w:sz="6" w:space="0" w:color="auto"/>
            </w:tcBorders>
          </w:tcPr>
          <w:p w14:paraId="7EC7826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42</w:t>
            </w:r>
          </w:p>
        </w:tc>
        <w:tc>
          <w:tcPr>
            <w:tcW w:w="725" w:type="dxa"/>
            <w:tcBorders>
              <w:top w:val="single" w:sz="6" w:space="0" w:color="auto"/>
              <w:bottom w:val="single" w:sz="6" w:space="0" w:color="auto"/>
            </w:tcBorders>
          </w:tcPr>
          <w:p w14:paraId="46E21CE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(10 105)</w:t>
            </w:r>
          </w:p>
        </w:tc>
      </w:tr>
      <w:tr w:rsidR="008D6F13" w14:paraId="0EB5F254" w14:textId="77777777" w:rsidTr="007F3DE0">
        <w:tc>
          <w:tcPr>
            <w:cnfStyle w:val="001000000000" w:firstRow="0" w:lastRow="0" w:firstColumn="1" w:lastColumn="0" w:oddVBand="0" w:evenVBand="0" w:oddHBand="0" w:evenHBand="0" w:firstRowFirstColumn="0" w:firstRowLastColumn="0" w:lastRowFirstColumn="0" w:lastRowLastColumn="0"/>
            <w:tcW w:w="2977" w:type="dxa"/>
            <w:gridSpan w:val="2"/>
            <w:tcBorders>
              <w:top w:val="single" w:sz="6" w:space="0" w:color="auto"/>
            </w:tcBorders>
          </w:tcPr>
          <w:p w14:paraId="051D2EEC" w14:textId="77777777" w:rsidR="008D6F13" w:rsidRDefault="008D6F13" w:rsidP="0031078F">
            <w:r>
              <w:rPr>
                <w:b/>
                <w:sz w:val="16"/>
              </w:rPr>
              <w:t>2023</w:t>
            </w:r>
            <w:r>
              <w:rPr>
                <w:b/>
                <w:sz w:val="16"/>
              </w:rPr>
              <w:noBreakHyphen/>
              <w:t>24 estimate</w:t>
            </w:r>
          </w:p>
        </w:tc>
        <w:tc>
          <w:tcPr>
            <w:tcW w:w="887" w:type="dxa"/>
            <w:tcBorders>
              <w:top w:val="single" w:sz="6" w:space="0" w:color="auto"/>
            </w:tcBorders>
          </w:tcPr>
          <w:p w14:paraId="4B9DD0C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050" w:type="dxa"/>
            <w:tcBorders>
              <w:top w:val="single" w:sz="6" w:space="0" w:color="auto"/>
            </w:tcBorders>
          </w:tcPr>
          <w:p w14:paraId="006023B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329" w:type="dxa"/>
            <w:tcBorders>
              <w:top w:val="single" w:sz="6" w:space="0" w:color="auto"/>
            </w:tcBorders>
          </w:tcPr>
          <w:p w14:paraId="0347C64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42" w:type="dxa"/>
            <w:tcBorders>
              <w:top w:val="single" w:sz="6" w:space="0" w:color="auto"/>
            </w:tcBorders>
          </w:tcPr>
          <w:p w14:paraId="738E699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25" w:type="dxa"/>
            <w:tcBorders>
              <w:top w:val="single" w:sz="6" w:space="0" w:color="auto"/>
            </w:tcBorders>
          </w:tcPr>
          <w:p w14:paraId="3976696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1D472F61" w14:textId="77777777" w:rsidTr="007F3DE0">
        <w:tc>
          <w:tcPr>
            <w:cnfStyle w:val="001000000000" w:firstRow="0" w:lastRow="0" w:firstColumn="1" w:lastColumn="0" w:oddVBand="0" w:evenVBand="0" w:oddHBand="0" w:evenHBand="0" w:firstRowFirstColumn="0" w:firstRowLastColumn="0" w:lastRowFirstColumn="0" w:lastRowLastColumn="0"/>
            <w:tcW w:w="2977" w:type="dxa"/>
            <w:gridSpan w:val="2"/>
          </w:tcPr>
          <w:p w14:paraId="751E418D" w14:textId="77777777" w:rsidR="008D6F13" w:rsidRDefault="008D6F13" w:rsidP="0031078F">
            <w:r>
              <w:rPr>
                <w:sz w:val="16"/>
              </w:rPr>
              <w:t xml:space="preserve">Balance </w:t>
            </w:r>
            <w:proofErr w:type="gramStart"/>
            <w:r>
              <w:rPr>
                <w:sz w:val="16"/>
              </w:rPr>
              <w:t>at</w:t>
            </w:r>
            <w:proofErr w:type="gramEnd"/>
            <w:r>
              <w:rPr>
                <w:sz w:val="16"/>
              </w:rPr>
              <w:t xml:space="preserve"> 1 July 2023</w:t>
            </w:r>
          </w:p>
        </w:tc>
        <w:tc>
          <w:tcPr>
            <w:tcW w:w="887" w:type="dxa"/>
          </w:tcPr>
          <w:p w14:paraId="24C5B18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(10 169)</w:t>
            </w:r>
          </w:p>
        </w:tc>
        <w:tc>
          <w:tcPr>
            <w:tcW w:w="1050" w:type="dxa"/>
          </w:tcPr>
          <w:p w14:paraId="4F38C39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15</w:t>
            </w:r>
          </w:p>
        </w:tc>
        <w:tc>
          <w:tcPr>
            <w:tcW w:w="1329" w:type="dxa"/>
          </w:tcPr>
          <w:p w14:paraId="4FB4442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7</w:t>
            </w:r>
          </w:p>
        </w:tc>
        <w:tc>
          <w:tcPr>
            <w:tcW w:w="742" w:type="dxa"/>
          </w:tcPr>
          <w:p w14:paraId="51A6A2B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42</w:t>
            </w:r>
          </w:p>
        </w:tc>
        <w:tc>
          <w:tcPr>
            <w:tcW w:w="725" w:type="dxa"/>
          </w:tcPr>
          <w:p w14:paraId="00BE3D6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(10 105)</w:t>
            </w:r>
          </w:p>
        </w:tc>
      </w:tr>
      <w:tr w:rsidR="008D6F13" w14:paraId="2C2E1E4C" w14:textId="77777777" w:rsidTr="007F3DE0">
        <w:tc>
          <w:tcPr>
            <w:cnfStyle w:val="001000000000" w:firstRow="0" w:lastRow="0" w:firstColumn="1" w:lastColumn="0" w:oddVBand="0" w:evenVBand="0" w:oddHBand="0" w:evenHBand="0" w:firstRowFirstColumn="0" w:firstRowLastColumn="0" w:lastRowFirstColumn="0" w:lastRowLastColumn="0"/>
            <w:tcW w:w="2977" w:type="dxa"/>
            <w:gridSpan w:val="2"/>
          </w:tcPr>
          <w:p w14:paraId="4EF1593B" w14:textId="77777777" w:rsidR="008D6F13" w:rsidRDefault="008D6F13" w:rsidP="0031078F">
            <w:r>
              <w:rPr>
                <w:sz w:val="16"/>
              </w:rPr>
              <w:t>Net result for the year</w:t>
            </w:r>
          </w:p>
        </w:tc>
        <w:tc>
          <w:tcPr>
            <w:tcW w:w="887" w:type="dxa"/>
          </w:tcPr>
          <w:p w14:paraId="1BF90C3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(2 514)</w:t>
            </w:r>
          </w:p>
        </w:tc>
        <w:tc>
          <w:tcPr>
            <w:tcW w:w="1050" w:type="dxa"/>
          </w:tcPr>
          <w:p w14:paraId="3C5702D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1329" w:type="dxa"/>
          </w:tcPr>
          <w:p w14:paraId="71157A1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42" w:type="dxa"/>
          </w:tcPr>
          <w:p w14:paraId="5FF9280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25" w:type="dxa"/>
          </w:tcPr>
          <w:p w14:paraId="7481A1E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(2 514)</w:t>
            </w:r>
          </w:p>
        </w:tc>
      </w:tr>
      <w:tr w:rsidR="008D6F13" w14:paraId="0FB51C5B" w14:textId="77777777" w:rsidTr="007F3DE0">
        <w:tc>
          <w:tcPr>
            <w:cnfStyle w:val="001000000000" w:firstRow="0" w:lastRow="0" w:firstColumn="1" w:lastColumn="0" w:oddVBand="0" w:evenVBand="0" w:oddHBand="0" w:evenHBand="0" w:firstRowFirstColumn="0" w:firstRowLastColumn="0" w:lastRowFirstColumn="0" w:lastRowLastColumn="0"/>
            <w:tcW w:w="2977" w:type="dxa"/>
            <w:gridSpan w:val="2"/>
          </w:tcPr>
          <w:p w14:paraId="004D26C0" w14:textId="77777777" w:rsidR="008D6F13" w:rsidRDefault="008D6F13" w:rsidP="0031078F">
            <w:r>
              <w:rPr>
                <w:sz w:val="16"/>
              </w:rPr>
              <w:t>Other comprehensive income for the year</w:t>
            </w:r>
          </w:p>
        </w:tc>
        <w:tc>
          <w:tcPr>
            <w:tcW w:w="887" w:type="dxa"/>
          </w:tcPr>
          <w:p w14:paraId="2AD43EC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13</w:t>
            </w:r>
          </w:p>
        </w:tc>
        <w:tc>
          <w:tcPr>
            <w:tcW w:w="1050" w:type="dxa"/>
          </w:tcPr>
          <w:p w14:paraId="2B787C5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w:t>
            </w:r>
          </w:p>
        </w:tc>
        <w:tc>
          <w:tcPr>
            <w:tcW w:w="1329" w:type="dxa"/>
          </w:tcPr>
          <w:p w14:paraId="48479C2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w:t>
            </w:r>
          </w:p>
        </w:tc>
        <w:tc>
          <w:tcPr>
            <w:tcW w:w="742" w:type="dxa"/>
          </w:tcPr>
          <w:p w14:paraId="7E3E6FF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w:t>
            </w:r>
          </w:p>
        </w:tc>
        <w:tc>
          <w:tcPr>
            <w:tcW w:w="725" w:type="dxa"/>
          </w:tcPr>
          <w:p w14:paraId="3C5B255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12</w:t>
            </w:r>
          </w:p>
        </w:tc>
      </w:tr>
      <w:tr w:rsidR="008D6F13" w14:paraId="0C28779A" w14:textId="77777777" w:rsidTr="007F3DE0">
        <w:tc>
          <w:tcPr>
            <w:cnfStyle w:val="001000000000" w:firstRow="0" w:lastRow="0" w:firstColumn="1" w:lastColumn="0" w:oddVBand="0" w:evenVBand="0" w:oddHBand="0" w:evenHBand="0" w:firstRowFirstColumn="0" w:firstRowLastColumn="0" w:lastRowFirstColumn="0" w:lastRowLastColumn="0"/>
            <w:tcW w:w="2977" w:type="dxa"/>
            <w:gridSpan w:val="2"/>
          </w:tcPr>
          <w:p w14:paraId="320D920C" w14:textId="77777777" w:rsidR="008D6F13" w:rsidRDefault="008D6F13" w:rsidP="0031078F">
            <w:r>
              <w:rPr>
                <w:sz w:val="16"/>
              </w:rPr>
              <w:t>Dividends paid</w:t>
            </w:r>
          </w:p>
        </w:tc>
        <w:tc>
          <w:tcPr>
            <w:tcW w:w="887" w:type="dxa"/>
          </w:tcPr>
          <w:p w14:paraId="4DA898A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(68)</w:t>
            </w:r>
          </w:p>
        </w:tc>
        <w:tc>
          <w:tcPr>
            <w:tcW w:w="1050" w:type="dxa"/>
          </w:tcPr>
          <w:p w14:paraId="57F5CEC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1329" w:type="dxa"/>
          </w:tcPr>
          <w:p w14:paraId="0C0BAA4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42" w:type="dxa"/>
          </w:tcPr>
          <w:p w14:paraId="368F24E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25" w:type="dxa"/>
          </w:tcPr>
          <w:p w14:paraId="2C88837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(68)</w:t>
            </w:r>
          </w:p>
        </w:tc>
      </w:tr>
      <w:tr w:rsidR="008D6F13" w14:paraId="04A34943" w14:textId="77777777" w:rsidTr="007F3DE0">
        <w:tc>
          <w:tcPr>
            <w:cnfStyle w:val="001000000000" w:firstRow="0" w:lastRow="0" w:firstColumn="1" w:lastColumn="0" w:oddVBand="0" w:evenVBand="0" w:oddHBand="0" w:evenHBand="0" w:firstRowFirstColumn="0" w:firstRowLastColumn="0" w:lastRowFirstColumn="0" w:lastRowLastColumn="0"/>
            <w:tcW w:w="2977" w:type="dxa"/>
            <w:gridSpan w:val="2"/>
            <w:tcBorders>
              <w:top w:val="single" w:sz="6" w:space="0" w:color="auto"/>
              <w:bottom w:val="single" w:sz="6" w:space="0" w:color="auto"/>
            </w:tcBorders>
          </w:tcPr>
          <w:p w14:paraId="0780FCBB" w14:textId="77777777" w:rsidR="008D6F13" w:rsidRDefault="008D6F13" w:rsidP="0031078F">
            <w:r>
              <w:rPr>
                <w:b/>
                <w:sz w:val="16"/>
              </w:rPr>
              <w:t xml:space="preserve">Total equity as </w:t>
            </w:r>
            <w:proofErr w:type="gramStart"/>
            <w:r>
              <w:rPr>
                <w:b/>
                <w:sz w:val="16"/>
              </w:rPr>
              <w:t>at</w:t>
            </w:r>
            <w:proofErr w:type="gramEnd"/>
            <w:r>
              <w:rPr>
                <w:b/>
                <w:sz w:val="16"/>
              </w:rPr>
              <w:t xml:space="preserve"> 30 June 2024</w:t>
            </w:r>
          </w:p>
        </w:tc>
        <w:tc>
          <w:tcPr>
            <w:tcW w:w="887" w:type="dxa"/>
            <w:tcBorders>
              <w:top w:val="single" w:sz="6" w:space="0" w:color="auto"/>
              <w:bottom w:val="single" w:sz="6" w:space="0" w:color="auto"/>
            </w:tcBorders>
          </w:tcPr>
          <w:p w14:paraId="7A6C44B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(12 738)</w:t>
            </w:r>
          </w:p>
        </w:tc>
        <w:tc>
          <w:tcPr>
            <w:tcW w:w="1050" w:type="dxa"/>
            <w:tcBorders>
              <w:top w:val="single" w:sz="6" w:space="0" w:color="auto"/>
              <w:bottom w:val="single" w:sz="6" w:space="0" w:color="auto"/>
            </w:tcBorders>
          </w:tcPr>
          <w:p w14:paraId="2695BFF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15</w:t>
            </w:r>
          </w:p>
        </w:tc>
        <w:tc>
          <w:tcPr>
            <w:tcW w:w="1329" w:type="dxa"/>
            <w:tcBorders>
              <w:top w:val="single" w:sz="6" w:space="0" w:color="auto"/>
              <w:bottom w:val="single" w:sz="6" w:space="0" w:color="auto"/>
            </w:tcBorders>
          </w:tcPr>
          <w:p w14:paraId="59F2D85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7</w:t>
            </w:r>
          </w:p>
        </w:tc>
        <w:tc>
          <w:tcPr>
            <w:tcW w:w="742" w:type="dxa"/>
            <w:tcBorders>
              <w:top w:val="single" w:sz="6" w:space="0" w:color="auto"/>
              <w:bottom w:val="single" w:sz="6" w:space="0" w:color="auto"/>
            </w:tcBorders>
          </w:tcPr>
          <w:p w14:paraId="5463ACB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41</w:t>
            </w:r>
          </w:p>
        </w:tc>
        <w:tc>
          <w:tcPr>
            <w:tcW w:w="725" w:type="dxa"/>
            <w:tcBorders>
              <w:top w:val="single" w:sz="6" w:space="0" w:color="auto"/>
              <w:bottom w:val="single" w:sz="6" w:space="0" w:color="auto"/>
            </w:tcBorders>
          </w:tcPr>
          <w:p w14:paraId="0EE50FF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(12 675)</w:t>
            </w:r>
          </w:p>
        </w:tc>
      </w:tr>
      <w:tr w:rsidR="008D6F13" w14:paraId="28A5135E" w14:textId="77777777" w:rsidTr="007F3DE0">
        <w:tc>
          <w:tcPr>
            <w:cnfStyle w:val="001000000000" w:firstRow="0" w:lastRow="0" w:firstColumn="1" w:lastColumn="0" w:oddVBand="0" w:evenVBand="0" w:oddHBand="0" w:evenHBand="0" w:firstRowFirstColumn="0" w:firstRowLastColumn="0" w:lastRowFirstColumn="0" w:lastRowLastColumn="0"/>
            <w:tcW w:w="2977" w:type="dxa"/>
            <w:gridSpan w:val="2"/>
            <w:tcBorders>
              <w:top w:val="single" w:sz="6" w:space="0" w:color="auto"/>
            </w:tcBorders>
          </w:tcPr>
          <w:p w14:paraId="073E357B" w14:textId="77777777" w:rsidR="008D6F13" w:rsidRDefault="008D6F13" w:rsidP="0031078F">
            <w:r>
              <w:rPr>
                <w:b/>
                <w:sz w:val="16"/>
              </w:rPr>
              <w:t>2024</w:t>
            </w:r>
            <w:r>
              <w:rPr>
                <w:b/>
                <w:sz w:val="16"/>
              </w:rPr>
              <w:noBreakHyphen/>
              <w:t>25 estimate</w:t>
            </w:r>
          </w:p>
        </w:tc>
        <w:tc>
          <w:tcPr>
            <w:tcW w:w="887" w:type="dxa"/>
            <w:tcBorders>
              <w:top w:val="single" w:sz="6" w:space="0" w:color="auto"/>
            </w:tcBorders>
          </w:tcPr>
          <w:p w14:paraId="7896749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050" w:type="dxa"/>
            <w:tcBorders>
              <w:top w:val="single" w:sz="6" w:space="0" w:color="auto"/>
            </w:tcBorders>
          </w:tcPr>
          <w:p w14:paraId="3F04AF6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329" w:type="dxa"/>
            <w:tcBorders>
              <w:top w:val="single" w:sz="6" w:space="0" w:color="auto"/>
            </w:tcBorders>
          </w:tcPr>
          <w:p w14:paraId="31CB0DA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42" w:type="dxa"/>
            <w:tcBorders>
              <w:top w:val="single" w:sz="6" w:space="0" w:color="auto"/>
            </w:tcBorders>
          </w:tcPr>
          <w:p w14:paraId="55D8128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25" w:type="dxa"/>
            <w:tcBorders>
              <w:top w:val="single" w:sz="6" w:space="0" w:color="auto"/>
            </w:tcBorders>
          </w:tcPr>
          <w:p w14:paraId="5D4B310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7F3E6CF0" w14:textId="77777777" w:rsidTr="007F3DE0">
        <w:tc>
          <w:tcPr>
            <w:cnfStyle w:val="001000000000" w:firstRow="0" w:lastRow="0" w:firstColumn="1" w:lastColumn="0" w:oddVBand="0" w:evenVBand="0" w:oddHBand="0" w:evenHBand="0" w:firstRowFirstColumn="0" w:firstRowLastColumn="0" w:lastRowFirstColumn="0" w:lastRowLastColumn="0"/>
            <w:tcW w:w="2977" w:type="dxa"/>
            <w:gridSpan w:val="2"/>
          </w:tcPr>
          <w:p w14:paraId="5FE4C29B" w14:textId="77777777" w:rsidR="008D6F13" w:rsidRDefault="008D6F13" w:rsidP="0031078F">
            <w:r>
              <w:rPr>
                <w:sz w:val="16"/>
              </w:rPr>
              <w:t xml:space="preserve">Balance </w:t>
            </w:r>
            <w:proofErr w:type="gramStart"/>
            <w:r>
              <w:rPr>
                <w:sz w:val="16"/>
              </w:rPr>
              <w:t>at</w:t>
            </w:r>
            <w:proofErr w:type="gramEnd"/>
            <w:r>
              <w:rPr>
                <w:sz w:val="16"/>
              </w:rPr>
              <w:t xml:space="preserve"> 1 July 2024</w:t>
            </w:r>
          </w:p>
        </w:tc>
        <w:tc>
          <w:tcPr>
            <w:tcW w:w="887" w:type="dxa"/>
          </w:tcPr>
          <w:p w14:paraId="660A9CC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(12 738)</w:t>
            </w:r>
          </w:p>
        </w:tc>
        <w:tc>
          <w:tcPr>
            <w:tcW w:w="1050" w:type="dxa"/>
          </w:tcPr>
          <w:p w14:paraId="402CA04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15</w:t>
            </w:r>
          </w:p>
        </w:tc>
        <w:tc>
          <w:tcPr>
            <w:tcW w:w="1329" w:type="dxa"/>
          </w:tcPr>
          <w:p w14:paraId="0B0CDF6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7</w:t>
            </w:r>
          </w:p>
        </w:tc>
        <w:tc>
          <w:tcPr>
            <w:tcW w:w="742" w:type="dxa"/>
          </w:tcPr>
          <w:p w14:paraId="07E2C9E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41</w:t>
            </w:r>
          </w:p>
        </w:tc>
        <w:tc>
          <w:tcPr>
            <w:tcW w:w="725" w:type="dxa"/>
          </w:tcPr>
          <w:p w14:paraId="2267B2A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(12 675)</w:t>
            </w:r>
          </w:p>
        </w:tc>
      </w:tr>
      <w:tr w:rsidR="008D6F13" w14:paraId="6DC5F5B0" w14:textId="77777777" w:rsidTr="007F3DE0">
        <w:tc>
          <w:tcPr>
            <w:cnfStyle w:val="001000000000" w:firstRow="0" w:lastRow="0" w:firstColumn="1" w:lastColumn="0" w:oddVBand="0" w:evenVBand="0" w:oddHBand="0" w:evenHBand="0" w:firstRowFirstColumn="0" w:firstRowLastColumn="0" w:lastRowFirstColumn="0" w:lastRowLastColumn="0"/>
            <w:tcW w:w="2977" w:type="dxa"/>
            <w:gridSpan w:val="2"/>
          </w:tcPr>
          <w:p w14:paraId="18E62814" w14:textId="77777777" w:rsidR="008D6F13" w:rsidRDefault="008D6F13" w:rsidP="0031078F">
            <w:r>
              <w:rPr>
                <w:sz w:val="16"/>
              </w:rPr>
              <w:t>Net result for the year</w:t>
            </w:r>
          </w:p>
        </w:tc>
        <w:tc>
          <w:tcPr>
            <w:tcW w:w="887" w:type="dxa"/>
          </w:tcPr>
          <w:p w14:paraId="509C488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(1 883)</w:t>
            </w:r>
          </w:p>
        </w:tc>
        <w:tc>
          <w:tcPr>
            <w:tcW w:w="1050" w:type="dxa"/>
          </w:tcPr>
          <w:p w14:paraId="169744E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1329" w:type="dxa"/>
          </w:tcPr>
          <w:p w14:paraId="443B0DF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42" w:type="dxa"/>
          </w:tcPr>
          <w:p w14:paraId="2892769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25" w:type="dxa"/>
          </w:tcPr>
          <w:p w14:paraId="15DD81B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(1 883)</w:t>
            </w:r>
          </w:p>
        </w:tc>
      </w:tr>
      <w:tr w:rsidR="008D6F13" w14:paraId="033345DF" w14:textId="77777777" w:rsidTr="007F3DE0">
        <w:tc>
          <w:tcPr>
            <w:cnfStyle w:val="001000000000" w:firstRow="0" w:lastRow="0" w:firstColumn="1" w:lastColumn="0" w:oddVBand="0" w:evenVBand="0" w:oddHBand="0" w:evenHBand="0" w:firstRowFirstColumn="0" w:firstRowLastColumn="0" w:lastRowFirstColumn="0" w:lastRowLastColumn="0"/>
            <w:tcW w:w="2977" w:type="dxa"/>
            <w:gridSpan w:val="2"/>
            <w:tcBorders>
              <w:bottom w:val="nil"/>
            </w:tcBorders>
          </w:tcPr>
          <w:p w14:paraId="5E6F4138" w14:textId="77777777" w:rsidR="008D6F13" w:rsidRDefault="008D6F13" w:rsidP="0031078F">
            <w:r>
              <w:rPr>
                <w:sz w:val="16"/>
              </w:rPr>
              <w:t>Other comprehensive income for the year</w:t>
            </w:r>
          </w:p>
        </w:tc>
        <w:tc>
          <w:tcPr>
            <w:tcW w:w="887" w:type="dxa"/>
            <w:tcBorders>
              <w:bottom w:val="nil"/>
            </w:tcBorders>
          </w:tcPr>
          <w:p w14:paraId="6D25EAE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13</w:t>
            </w:r>
          </w:p>
        </w:tc>
        <w:tc>
          <w:tcPr>
            <w:tcW w:w="1050" w:type="dxa"/>
            <w:tcBorders>
              <w:bottom w:val="nil"/>
            </w:tcBorders>
          </w:tcPr>
          <w:p w14:paraId="62B2109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w:t>
            </w:r>
          </w:p>
        </w:tc>
        <w:tc>
          <w:tcPr>
            <w:tcW w:w="1329" w:type="dxa"/>
            <w:tcBorders>
              <w:bottom w:val="nil"/>
            </w:tcBorders>
          </w:tcPr>
          <w:p w14:paraId="643334D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w:t>
            </w:r>
          </w:p>
        </w:tc>
        <w:tc>
          <w:tcPr>
            <w:tcW w:w="742" w:type="dxa"/>
            <w:tcBorders>
              <w:bottom w:val="nil"/>
            </w:tcBorders>
          </w:tcPr>
          <w:p w14:paraId="1B7E061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w:t>
            </w:r>
          </w:p>
        </w:tc>
        <w:tc>
          <w:tcPr>
            <w:tcW w:w="725" w:type="dxa"/>
            <w:tcBorders>
              <w:bottom w:val="nil"/>
            </w:tcBorders>
          </w:tcPr>
          <w:p w14:paraId="4CBCD48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12</w:t>
            </w:r>
          </w:p>
        </w:tc>
      </w:tr>
      <w:tr w:rsidR="008D6F13" w14:paraId="7994A454" w14:textId="77777777" w:rsidTr="007F3DE0">
        <w:tc>
          <w:tcPr>
            <w:cnfStyle w:val="001000000000" w:firstRow="0" w:lastRow="0" w:firstColumn="1" w:lastColumn="0" w:oddVBand="0" w:evenVBand="0" w:oddHBand="0" w:evenHBand="0" w:firstRowFirstColumn="0" w:firstRowLastColumn="0" w:lastRowFirstColumn="0" w:lastRowLastColumn="0"/>
            <w:tcW w:w="2977" w:type="dxa"/>
            <w:gridSpan w:val="2"/>
            <w:tcBorders>
              <w:bottom w:val="single" w:sz="4" w:space="0" w:color="auto"/>
            </w:tcBorders>
          </w:tcPr>
          <w:p w14:paraId="610C4045" w14:textId="77777777" w:rsidR="008D6F13" w:rsidRDefault="008D6F13" w:rsidP="0031078F">
            <w:r>
              <w:rPr>
                <w:sz w:val="16"/>
              </w:rPr>
              <w:t>Dividends paid</w:t>
            </w:r>
          </w:p>
        </w:tc>
        <w:tc>
          <w:tcPr>
            <w:tcW w:w="887" w:type="dxa"/>
            <w:tcBorders>
              <w:bottom w:val="single" w:sz="4" w:space="0" w:color="auto"/>
            </w:tcBorders>
          </w:tcPr>
          <w:p w14:paraId="2E0A831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(80)</w:t>
            </w:r>
          </w:p>
        </w:tc>
        <w:tc>
          <w:tcPr>
            <w:tcW w:w="1050" w:type="dxa"/>
            <w:tcBorders>
              <w:bottom w:val="single" w:sz="4" w:space="0" w:color="auto"/>
            </w:tcBorders>
          </w:tcPr>
          <w:p w14:paraId="6454DD8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1329" w:type="dxa"/>
            <w:tcBorders>
              <w:bottom w:val="single" w:sz="4" w:space="0" w:color="auto"/>
            </w:tcBorders>
          </w:tcPr>
          <w:p w14:paraId="26C376C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42" w:type="dxa"/>
            <w:tcBorders>
              <w:bottom w:val="single" w:sz="4" w:space="0" w:color="auto"/>
            </w:tcBorders>
          </w:tcPr>
          <w:p w14:paraId="33AFCDD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25" w:type="dxa"/>
            <w:tcBorders>
              <w:bottom w:val="single" w:sz="4" w:space="0" w:color="auto"/>
            </w:tcBorders>
          </w:tcPr>
          <w:p w14:paraId="7A78710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sz w:val="16"/>
              </w:rPr>
              <w:t>(80)</w:t>
            </w:r>
          </w:p>
        </w:tc>
      </w:tr>
      <w:tr w:rsidR="008D6F13" w14:paraId="2010037B" w14:textId="77777777" w:rsidTr="007F3DE0">
        <w:tc>
          <w:tcPr>
            <w:cnfStyle w:val="001000000000" w:firstRow="0" w:lastRow="0" w:firstColumn="1" w:lastColumn="0" w:oddVBand="0" w:evenVBand="0" w:oddHBand="0" w:evenHBand="0" w:firstRowFirstColumn="0" w:firstRowLastColumn="0" w:lastRowFirstColumn="0" w:lastRowLastColumn="0"/>
            <w:tcW w:w="2977" w:type="dxa"/>
            <w:gridSpan w:val="2"/>
            <w:tcBorders>
              <w:top w:val="single" w:sz="4" w:space="0" w:color="auto"/>
            </w:tcBorders>
          </w:tcPr>
          <w:p w14:paraId="567130B6" w14:textId="77777777" w:rsidR="008D6F13" w:rsidRDefault="008D6F13" w:rsidP="0031078F">
            <w:r>
              <w:rPr>
                <w:b/>
                <w:sz w:val="16"/>
              </w:rPr>
              <w:t xml:space="preserve">Total equity as </w:t>
            </w:r>
            <w:proofErr w:type="gramStart"/>
            <w:r>
              <w:rPr>
                <w:b/>
                <w:sz w:val="16"/>
              </w:rPr>
              <w:t>at</w:t>
            </w:r>
            <w:proofErr w:type="gramEnd"/>
            <w:r>
              <w:rPr>
                <w:b/>
                <w:sz w:val="16"/>
              </w:rPr>
              <w:t xml:space="preserve"> 30 June 2025</w:t>
            </w:r>
          </w:p>
        </w:tc>
        <w:tc>
          <w:tcPr>
            <w:tcW w:w="887" w:type="dxa"/>
            <w:tcBorders>
              <w:top w:val="single" w:sz="4" w:space="0" w:color="auto"/>
            </w:tcBorders>
          </w:tcPr>
          <w:p w14:paraId="4F669C3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(14 687)</w:t>
            </w:r>
          </w:p>
        </w:tc>
        <w:tc>
          <w:tcPr>
            <w:tcW w:w="1050" w:type="dxa"/>
            <w:tcBorders>
              <w:top w:val="single" w:sz="4" w:space="0" w:color="auto"/>
            </w:tcBorders>
          </w:tcPr>
          <w:p w14:paraId="2E84E67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15</w:t>
            </w:r>
          </w:p>
        </w:tc>
        <w:tc>
          <w:tcPr>
            <w:tcW w:w="1329" w:type="dxa"/>
            <w:tcBorders>
              <w:top w:val="single" w:sz="4" w:space="0" w:color="auto"/>
            </w:tcBorders>
          </w:tcPr>
          <w:p w14:paraId="3B8A4B4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7</w:t>
            </w:r>
          </w:p>
        </w:tc>
        <w:tc>
          <w:tcPr>
            <w:tcW w:w="742" w:type="dxa"/>
            <w:tcBorders>
              <w:top w:val="single" w:sz="4" w:space="0" w:color="auto"/>
            </w:tcBorders>
          </w:tcPr>
          <w:p w14:paraId="4377D4A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40</w:t>
            </w:r>
          </w:p>
        </w:tc>
        <w:tc>
          <w:tcPr>
            <w:tcW w:w="725" w:type="dxa"/>
            <w:tcBorders>
              <w:top w:val="single" w:sz="4" w:space="0" w:color="auto"/>
            </w:tcBorders>
          </w:tcPr>
          <w:p w14:paraId="6725613B" w14:textId="7BA5D58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sz w:val="16"/>
              </w:rPr>
              <w:t>(14 625)</w:t>
            </w:r>
          </w:p>
        </w:tc>
      </w:tr>
    </w:tbl>
    <w:p w14:paraId="21624081" w14:textId="77777777" w:rsidR="008D6F13" w:rsidRPr="00921F69" w:rsidRDefault="008D6F13" w:rsidP="008D6F13">
      <w:pPr>
        <w:pStyle w:val="Note"/>
        <w:ind w:left="0" w:firstLine="0"/>
        <w:rPr>
          <w:rFonts w:cstheme="majorHAnsi"/>
        </w:rPr>
      </w:pPr>
      <w:r w:rsidRPr="00921F69">
        <w:rPr>
          <w:rFonts w:cstheme="majorHAnsi"/>
        </w:rPr>
        <w:t>Note:</w:t>
      </w:r>
    </w:p>
    <w:p w14:paraId="51515EE4" w14:textId="77777777" w:rsidR="008D6F13" w:rsidRPr="00921F69" w:rsidRDefault="008D6F13" w:rsidP="008D6F13">
      <w:pPr>
        <w:pStyle w:val="Note"/>
        <w:rPr>
          <w:rFonts w:cstheme="majorHAnsi"/>
        </w:rPr>
      </w:pPr>
      <w:r w:rsidRPr="00921F69">
        <w:rPr>
          <w:rFonts w:cstheme="majorHAnsi"/>
        </w:rPr>
        <w:t>(a)</w:t>
      </w:r>
      <w:r w:rsidRPr="00921F69">
        <w:rPr>
          <w:rFonts w:cstheme="majorHAnsi"/>
        </w:rPr>
        <w:tab/>
        <w:t xml:space="preserve">Balances represent actual opening balances </w:t>
      </w:r>
      <w:proofErr w:type="gramStart"/>
      <w:r w:rsidRPr="00921F69">
        <w:rPr>
          <w:rFonts w:cstheme="majorHAnsi"/>
        </w:rPr>
        <w:t>at</w:t>
      </w:r>
      <w:proofErr w:type="gramEnd"/>
      <w:r w:rsidRPr="00921F69">
        <w:rPr>
          <w:rFonts w:cstheme="majorHAnsi"/>
        </w:rPr>
        <w:t xml:space="preserve"> 1 July 20</w:t>
      </w:r>
      <w:r>
        <w:rPr>
          <w:rFonts w:cstheme="majorHAnsi"/>
        </w:rPr>
        <w:t>21</w:t>
      </w:r>
      <w:r w:rsidRPr="00921F69">
        <w:rPr>
          <w:rFonts w:cstheme="majorHAnsi"/>
        </w:rPr>
        <w:t xml:space="preserve"> plus 20</w:t>
      </w:r>
      <w:r>
        <w:rPr>
          <w:rFonts w:cstheme="majorHAnsi"/>
        </w:rPr>
        <w:t>21</w:t>
      </w:r>
      <w:r w:rsidRPr="00921F69">
        <w:rPr>
          <w:rFonts w:cstheme="majorHAnsi"/>
        </w:rPr>
        <w:t>-2</w:t>
      </w:r>
      <w:r>
        <w:rPr>
          <w:rFonts w:cstheme="majorHAnsi"/>
        </w:rPr>
        <w:t>2</w:t>
      </w:r>
      <w:r w:rsidRPr="00921F69">
        <w:rPr>
          <w:rFonts w:cstheme="majorHAnsi"/>
        </w:rPr>
        <w:t xml:space="preserve"> budgeted movements.</w:t>
      </w:r>
    </w:p>
    <w:p w14:paraId="39B23C5A" w14:textId="77777777" w:rsidR="008D6F13" w:rsidRDefault="008D6F13" w:rsidP="008D6F13">
      <w:pPr>
        <w:rPr>
          <w:rFonts w:asciiTheme="majorHAnsi" w:hAnsiTheme="majorHAnsi" w:cstheme="majorHAnsi"/>
        </w:rPr>
      </w:pPr>
    </w:p>
    <w:p w14:paraId="05C21547" w14:textId="77777777" w:rsidR="008D6F13" w:rsidRPr="00921F69" w:rsidRDefault="008D6F13" w:rsidP="008D6F13">
      <w:pPr>
        <w:rPr>
          <w:rFonts w:asciiTheme="majorHAnsi" w:hAnsiTheme="majorHAnsi" w:cstheme="majorHAnsi"/>
        </w:rPr>
      </w:pPr>
    </w:p>
    <w:p w14:paraId="01B6EA56" w14:textId="77777777" w:rsidR="008D6F13" w:rsidRDefault="008D6F13" w:rsidP="008D6F13">
      <w:pPr>
        <w:keepLines w:val="0"/>
        <w:rPr>
          <w:rFonts w:asciiTheme="majorHAnsi" w:hAnsiTheme="majorHAnsi" w:cstheme="majorHAnsi"/>
          <w:b/>
          <w:sz w:val="20"/>
        </w:rPr>
      </w:pPr>
      <w:r>
        <w:rPr>
          <w:rFonts w:cstheme="majorHAnsi"/>
        </w:rPr>
        <w:br w:type="page"/>
      </w:r>
    </w:p>
    <w:p w14:paraId="614898CB" w14:textId="6622E6C9" w:rsidR="008D6F13" w:rsidRPr="00921F69" w:rsidRDefault="008D6F13" w:rsidP="008D6F13">
      <w:pPr>
        <w:pStyle w:val="TableHeading"/>
        <w:rPr>
          <w:rFonts w:cstheme="majorHAnsi"/>
        </w:rPr>
      </w:pPr>
      <w:r w:rsidRPr="00921F69">
        <w:rPr>
          <w:rFonts w:cstheme="majorHAnsi"/>
        </w:rPr>
        <w:lastRenderedPageBreak/>
        <w:t>Table 5.15</w:t>
      </w:r>
      <w:r w:rsidR="007F1FE4">
        <w:rPr>
          <w:rFonts w:cstheme="majorHAnsi"/>
        </w:rPr>
        <w:t>:</w:t>
      </w:r>
      <w:r w:rsidRPr="00921F69">
        <w:rPr>
          <w:rFonts w:cstheme="majorHAnsi"/>
        </w:rPr>
        <w:tab/>
        <w:t xml:space="preserve">Net acquisition of non-financial assets – </w:t>
      </w:r>
      <w:r w:rsidRPr="00921F69">
        <w:rPr>
          <w:rFonts w:cstheme="majorHAnsi"/>
        </w:rPr>
        <w:br/>
        <w:t xml:space="preserve">public financial </w:t>
      </w:r>
      <w:proofErr w:type="gramStart"/>
      <w:r w:rsidRPr="00921F69">
        <w:rPr>
          <w:rFonts w:cstheme="majorHAnsi"/>
        </w:rPr>
        <w:t>corporations</w:t>
      </w:r>
      <w:proofErr w:type="gramEnd"/>
      <w:r w:rsidRPr="00921F69">
        <w:rPr>
          <w:rFonts w:cstheme="majorHAnsi"/>
        </w:rPr>
        <w:t xml:space="preserve"> sector</w:t>
      </w:r>
      <w:r w:rsidRPr="00921F69">
        <w:rPr>
          <w:rFonts w:cstheme="majorHAnsi"/>
        </w:rPr>
        <w:tab/>
        <w:t>($ million)</w:t>
      </w:r>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1BFDCFBE"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391A7C64" w14:textId="396DE4D0" w:rsidR="008D6F13" w:rsidRDefault="008D6F13" w:rsidP="0031078F"/>
        </w:tc>
        <w:tc>
          <w:tcPr>
            <w:tcW w:w="794" w:type="dxa"/>
          </w:tcPr>
          <w:p w14:paraId="4822CE3C"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7A4EBFB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3A1CD8B8"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7FB2E893"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0D915886"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736AA00F"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nil"/>
            </w:tcBorders>
          </w:tcPr>
          <w:p w14:paraId="7317754D" w14:textId="77777777" w:rsidR="008D6F13" w:rsidRDefault="008D6F13" w:rsidP="0031078F">
            <w:r>
              <w:t>Purchases of non</w:t>
            </w:r>
            <w:r>
              <w:noBreakHyphen/>
              <w:t>financial assets less sale of non</w:t>
            </w:r>
            <w:r>
              <w:noBreakHyphen/>
              <w:t>financial asset (including change in inventories)</w:t>
            </w:r>
          </w:p>
        </w:tc>
        <w:tc>
          <w:tcPr>
            <w:tcW w:w="794" w:type="dxa"/>
            <w:tcBorders>
              <w:bottom w:val="nil"/>
            </w:tcBorders>
          </w:tcPr>
          <w:p w14:paraId="65FBFD8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177</w:t>
            </w:r>
          </w:p>
        </w:tc>
        <w:tc>
          <w:tcPr>
            <w:tcW w:w="794" w:type="dxa"/>
            <w:tcBorders>
              <w:bottom w:val="nil"/>
            </w:tcBorders>
          </w:tcPr>
          <w:p w14:paraId="0F3A66A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264</w:t>
            </w:r>
          </w:p>
        </w:tc>
        <w:tc>
          <w:tcPr>
            <w:tcW w:w="794" w:type="dxa"/>
            <w:tcBorders>
              <w:bottom w:val="nil"/>
            </w:tcBorders>
          </w:tcPr>
          <w:p w14:paraId="4E8023F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133</w:t>
            </w:r>
          </w:p>
        </w:tc>
        <w:tc>
          <w:tcPr>
            <w:tcW w:w="794" w:type="dxa"/>
            <w:tcBorders>
              <w:bottom w:val="nil"/>
            </w:tcBorders>
          </w:tcPr>
          <w:p w14:paraId="24F1007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91</w:t>
            </w:r>
          </w:p>
        </w:tc>
        <w:tc>
          <w:tcPr>
            <w:tcW w:w="794" w:type="dxa"/>
            <w:tcBorders>
              <w:bottom w:val="nil"/>
            </w:tcBorders>
          </w:tcPr>
          <w:p w14:paraId="4CABBC7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90</w:t>
            </w:r>
          </w:p>
        </w:tc>
      </w:tr>
      <w:tr w:rsidR="008D6F13" w14:paraId="15F1BC90"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4" w:space="0" w:color="auto"/>
            </w:tcBorders>
          </w:tcPr>
          <w:p w14:paraId="5C8B566F" w14:textId="77777777" w:rsidR="008D6F13" w:rsidRDefault="008D6F13" w:rsidP="0031078F">
            <w:r>
              <w:t>Less: Depreciation and amortisation</w:t>
            </w:r>
          </w:p>
        </w:tc>
        <w:tc>
          <w:tcPr>
            <w:tcW w:w="794" w:type="dxa"/>
            <w:tcBorders>
              <w:bottom w:val="single" w:sz="4" w:space="0" w:color="auto"/>
            </w:tcBorders>
          </w:tcPr>
          <w:p w14:paraId="687FCB3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(103)</w:t>
            </w:r>
          </w:p>
        </w:tc>
        <w:tc>
          <w:tcPr>
            <w:tcW w:w="794" w:type="dxa"/>
            <w:tcBorders>
              <w:bottom w:val="single" w:sz="4" w:space="0" w:color="auto"/>
            </w:tcBorders>
          </w:tcPr>
          <w:p w14:paraId="09A5117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(81)</w:t>
            </w:r>
          </w:p>
        </w:tc>
        <w:tc>
          <w:tcPr>
            <w:tcW w:w="794" w:type="dxa"/>
            <w:tcBorders>
              <w:bottom w:val="single" w:sz="4" w:space="0" w:color="auto"/>
            </w:tcBorders>
          </w:tcPr>
          <w:p w14:paraId="1C9B08E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(92)</w:t>
            </w:r>
          </w:p>
        </w:tc>
        <w:tc>
          <w:tcPr>
            <w:tcW w:w="794" w:type="dxa"/>
            <w:tcBorders>
              <w:bottom w:val="single" w:sz="4" w:space="0" w:color="auto"/>
            </w:tcBorders>
          </w:tcPr>
          <w:p w14:paraId="02B21CA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(91)</w:t>
            </w:r>
          </w:p>
        </w:tc>
        <w:tc>
          <w:tcPr>
            <w:tcW w:w="794" w:type="dxa"/>
            <w:tcBorders>
              <w:bottom w:val="single" w:sz="4" w:space="0" w:color="auto"/>
            </w:tcBorders>
          </w:tcPr>
          <w:p w14:paraId="0602011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(92)</w:t>
            </w:r>
          </w:p>
        </w:tc>
      </w:tr>
      <w:tr w:rsidR="008D6F13" w14:paraId="4539E8CB"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4" w:space="0" w:color="auto"/>
            </w:tcBorders>
          </w:tcPr>
          <w:p w14:paraId="75DB908E" w14:textId="77777777" w:rsidR="008D6F13" w:rsidRDefault="008D6F13" w:rsidP="0031078F">
            <w:r>
              <w:rPr>
                <w:b/>
              </w:rPr>
              <w:t>Total net acquisition of non</w:t>
            </w:r>
            <w:r>
              <w:rPr>
                <w:b/>
              </w:rPr>
              <w:noBreakHyphen/>
              <w:t>financial assets from transactions</w:t>
            </w:r>
          </w:p>
        </w:tc>
        <w:tc>
          <w:tcPr>
            <w:tcW w:w="794" w:type="dxa"/>
            <w:tcBorders>
              <w:top w:val="single" w:sz="4" w:space="0" w:color="auto"/>
            </w:tcBorders>
          </w:tcPr>
          <w:p w14:paraId="034587A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74</w:t>
            </w:r>
          </w:p>
        </w:tc>
        <w:tc>
          <w:tcPr>
            <w:tcW w:w="794" w:type="dxa"/>
            <w:tcBorders>
              <w:top w:val="single" w:sz="4" w:space="0" w:color="auto"/>
            </w:tcBorders>
          </w:tcPr>
          <w:p w14:paraId="1D717DF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183</w:t>
            </w:r>
          </w:p>
        </w:tc>
        <w:tc>
          <w:tcPr>
            <w:tcW w:w="794" w:type="dxa"/>
            <w:tcBorders>
              <w:top w:val="single" w:sz="4" w:space="0" w:color="auto"/>
            </w:tcBorders>
          </w:tcPr>
          <w:p w14:paraId="25FA28F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41</w:t>
            </w:r>
          </w:p>
        </w:tc>
        <w:tc>
          <w:tcPr>
            <w:tcW w:w="794" w:type="dxa"/>
            <w:tcBorders>
              <w:top w:val="single" w:sz="4" w:space="0" w:color="auto"/>
            </w:tcBorders>
          </w:tcPr>
          <w:p w14:paraId="0902CAC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4" w:space="0" w:color="auto"/>
            </w:tcBorders>
          </w:tcPr>
          <w:p w14:paraId="4B2AD4FE" w14:textId="63972B88"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w:t>
            </w:r>
          </w:p>
        </w:tc>
      </w:tr>
    </w:tbl>
    <w:p w14:paraId="59A48963" w14:textId="77777777" w:rsidR="008D6F13" w:rsidRPr="00921F69" w:rsidRDefault="008D6F13" w:rsidP="008D6F13">
      <w:pPr>
        <w:rPr>
          <w:rFonts w:asciiTheme="majorHAnsi" w:hAnsiTheme="majorHAnsi" w:cstheme="majorHAnsi"/>
        </w:rPr>
      </w:pPr>
    </w:p>
    <w:p w14:paraId="18378C69" w14:textId="77777777" w:rsidR="008D6F13" w:rsidRDefault="008D6F13" w:rsidP="008D6F13">
      <w:pPr>
        <w:keepLines w:val="0"/>
        <w:rPr>
          <w:rFonts w:asciiTheme="majorHAnsi" w:hAnsiTheme="majorHAnsi" w:cstheme="majorHAnsi"/>
          <w:b/>
          <w:sz w:val="20"/>
        </w:rPr>
      </w:pPr>
      <w:r>
        <w:rPr>
          <w:rFonts w:cstheme="majorHAnsi"/>
        </w:rPr>
        <w:br w:type="page"/>
      </w:r>
    </w:p>
    <w:p w14:paraId="26124BC6" w14:textId="63FC9325" w:rsidR="008D6F13" w:rsidRPr="00921F69" w:rsidRDefault="008D6F13" w:rsidP="008D6F13">
      <w:pPr>
        <w:pStyle w:val="TableHeading"/>
      </w:pPr>
      <w:r w:rsidRPr="00921F69">
        <w:lastRenderedPageBreak/>
        <w:t>Table 5.16</w:t>
      </w:r>
      <w:r w:rsidR="007F1FE4">
        <w:t>:</w:t>
      </w:r>
      <w:r w:rsidRPr="00921F69">
        <w:tab/>
        <w:t xml:space="preserve">State of Victoria comprehensive operating statement </w:t>
      </w:r>
      <w:r w:rsidRPr="00921F69">
        <w:br/>
        <w:t>for the financial year ended 30 June</w:t>
      </w:r>
      <w:r w:rsidRPr="00921F69">
        <w:tab/>
        <w:t>($ million)</w:t>
      </w:r>
    </w:p>
    <w:tbl>
      <w:tblPr>
        <w:tblStyle w:val="DTFTableNumeric"/>
        <w:tblW w:w="7710" w:type="dxa"/>
        <w:tblLayout w:type="fixed"/>
        <w:tblLook w:val="06A0" w:firstRow="1" w:lastRow="0" w:firstColumn="1" w:lastColumn="0" w:noHBand="1" w:noVBand="1"/>
      </w:tblPr>
      <w:tblGrid>
        <w:gridCol w:w="3920"/>
        <w:gridCol w:w="684"/>
        <w:gridCol w:w="776"/>
        <w:gridCol w:w="777"/>
        <w:gridCol w:w="776"/>
        <w:gridCol w:w="777"/>
      </w:tblGrid>
      <w:tr w:rsidR="008D6F13" w:rsidRPr="002C0A3F" w14:paraId="7B65CC4B"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20" w:type="dxa"/>
          </w:tcPr>
          <w:p w14:paraId="26F1A42D" w14:textId="2BC97429" w:rsidR="008D6F13" w:rsidRPr="002C0A3F" w:rsidRDefault="008D6F13" w:rsidP="0031078F">
            <w:pPr>
              <w:rPr>
                <w:sz w:val="16"/>
                <w:szCs w:val="16"/>
              </w:rPr>
            </w:pPr>
          </w:p>
        </w:tc>
        <w:tc>
          <w:tcPr>
            <w:tcW w:w="684" w:type="dxa"/>
          </w:tcPr>
          <w:p w14:paraId="1F34237F" w14:textId="77777777" w:rsidR="008D6F13" w:rsidRPr="002C0A3F" w:rsidRDefault="008D6F13" w:rsidP="0031078F">
            <w:pPr>
              <w:cnfStyle w:val="100000000000" w:firstRow="1" w:lastRow="0" w:firstColumn="0" w:lastColumn="0" w:oddVBand="0" w:evenVBand="0" w:oddHBand="0" w:evenHBand="0" w:firstRowFirstColumn="0" w:firstRowLastColumn="0" w:lastRowFirstColumn="0" w:lastRowLastColumn="0"/>
              <w:rPr>
                <w:sz w:val="16"/>
                <w:szCs w:val="16"/>
              </w:rPr>
            </w:pPr>
            <w:r w:rsidRPr="002C0A3F">
              <w:rPr>
                <w:sz w:val="16"/>
                <w:szCs w:val="16"/>
              </w:rPr>
              <w:t>2021</w:t>
            </w:r>
            <w:r w:rsidRPr="002C0A3F">
              <w:rPr>
                <w:sz w:val="16"/>
                <w:szCs w:val="16"/>
              </w:rPr>
              <w:noBreakHyphen/>
              <w:t>22</w:t>
            </w:r>
            <w:r w:rsidRPr="002C0A3F">
              <w:rPr>
                <w:sz w:val="16"/>
                <w:szCs w:val="16"/>
              </w:rPr>
              <w:br/>
              <w:t>budget</w:t>
            </w:r>
          </w:p>
        </w:tc>
        <w:tc>
          <w:tcPr>
            <w:tcW w:w="776" w:type="dxa"/>
          </w:tcPr>
          <w:p w14:paraId="2E428E1D" w14:textId="77777777" w:rsidR="008D6F13" w:rsidRPr="002C0A3F" w:rsidRDefault="008D6F13" w:rsidP="0031078F">
            <w:pPr>
              <w:cnfStyle w:val="100000000000" w:firstRow="1" w:lastRow="0" w:firstColumn="0" w:lastColumn="0" w:oddVBand="0" w:evenVBand="0" w:oddHBand="0" w:evenHBand="0" w:firstRowFirstColumn="0" w:firstRowLastColumn="0" w:lastRowFirstColumn="0" w:lastRowLastColumn="0"/>
              <w:rPr>
                <w:sz w:val="16"/>
                <w:szCs w:val="16"/>
              </w:rPr>
            </w:pPr>
            <w:r w:rsidRPr="002C0A3F">
              <w:rPr>
                <w:sz w:val="16"/>
                <w:szCs w:val="16"/>
              </w:rPr>
              <w:t>2021</w:t>
            </w:r>
            <w:r w:rsidRPr="002C0A3F">
              <w:rPr>
                <w:sz w:val="16"/>
                <w:szCs w:val="16"/>
              </w:rPr>
              <w:noBreakHyphen/>
              <w:t>22</w:t>
            </w:r>
            <w:r w:rsidRPr="002C0A3F">
              <w:rPr>
                <w:sz w:val="16"/>
                <w:szCs w:val="16"/>
              </w:rPr>
              <w:br/>
              <w:t>revised</w:t>
            </w:r>
          </w:p>
        </w:tc>
        <w:tc>
          <w:tcPr>
            <w:tcW w:w="777" w:type="dxa"/>
          </w:tcPr>
          <w:p w14:paraId="4A52B33E" w14:textId="77777777" w:rsidR="008D6F13" w:rsidRPr="002C0A3F" w:rsidRDefault="008D6F13" w:rsidP="0031078F">
            <w:pPr>
              <w:cnfStyle w:val="100000000000" w:firstRow="1" w:lastRow="0" w:firstColumn="0" w:lastColumn="0" w:oddVBand="0" w:evenVBand="0" w:oddHBand="0" w:evenHBand="0" w:firstRowFirstColumn="0" w:firstRowLastColumn="0" w:lastRowFirstColumn="0" w:lastRowLastColumn="0"/>
              <w:rPr>
                <w:sz w:val="16"/>
                <w:szCs w:val="16"/>
              </w:rPr>
            </w:pPr>
            <w:r w:rsidRPr="002C0A3F">
              <w:rPr>
                <w:sz w:val="16"/>
                <w:szCs w:val="16"/>
              </w:rPr>
              <w:t>2022</w:t>
            </w:r>
            <w:r w:rsidRPr="002C0A3F">
              <w:rPr>
                <w:sz w:val="16"/>
                <w:szCs w:val="16"/>
              </w:rPr>
              <w:noBreakHyphen/>
              <w:t>23</w:t>
            </w:r>
            <w:r w:rsidRPr="002C0A3F">
              <w:rPr>
                <w:sz w:val="16"/>
                <w:szCs w:val="16"/>
              </w:rPr>
              <w:br/>
              <w:t>estimate</w:t>
            </w:r>
          </w:p>
        </w:tc>
        <w:tc>
          <w:tcPr>
            <w:tcW w:w="776" w:type="dxa"/>
          </w:tcPr>
          <w:p w14:paraId="61B34104" w14:textId="77777777" w:rsidR="008D6F13" w:rsidRPr="002C0A3F" w:rsidRDefault="008D6F13" w:rsidP="0031078F">
            <w:pPr>
              <w:cnfStyle w:val="100000000000" w:firstRow="1" w:lastRow="0" w:firstColumn="0" w:lastColumn="0" w:oddVBand="0" w:evenVBand="0" w:oddHBand="0" w:evenHBand="0" w:firstRowFirstColumn="0" w:firstRowLastColumn="0" w:lastRowFirstColumn="0" w:lastRowLastColumn="0"/>
              <w:rPr>
                <w:sz w:val="16"/>
                <w:szCs w:val="16"/>
              </w:rPr>
            </w:pPr>
            <w:r w:rsidRPr="002C0A3F">
              <w:rPr>
                <w:sz w:val="16"/>
                <w:szCs w:val="16"/>
              </w:rPr>
              <w:t>2023</w:t>
            </w:r>
            <w:r w:rsidRPr="002C0A3F">
              <w:rPr>
                <w:sz w:val="16"/>
                <w:szCs w:val="16"/>
              </w:rPr>
              <w:noBreakHyphen/>
              <w:t>24</w:t>
            </w:r>
            <w:r w:rsidRPr="002C0A3F">
              <w:rPr>
                <w:sz w:val="16"/>
                <w:szCs w:val="16"/>
              </w:rPr>
              <w:br/>
              <w:t>estimate</w:t>
            </w:r>
          </w:p>
        </w:tc>
        <w:tc>
          <w:tcPr>
            <w:tcW w:w="777" w:type="dxa"/>
          </w:tcPr>
          <w:p w14:paraId="34D21B15" w14:textId="77777777" w:rsidR="008D6F13" w:rsidRPr="002C0A3F" w:rsidRDefault="008D6F13" w:rsidP="0031078F">
            <w:pPr>
              <w:cnfStyle w:val="100000000000" w:firstRow="1" w:lastRow="0" w:firstColumn="0" w:lastColumn="0" w:oddVBand="0" w:evenVBand="0" w:oddHBand="0" w:evenHBand="0" w:firstRowFirstColumn="0" w:firstRowLastColumn="0" w:lastRowFirstColumn="0" w:lastRowLastColumn="0"/>
              <w:rPr>
                <w:sz w:val="16"/>
                <w:szCs w:val="16"/>
              </w:rPr>
            </w:pPr>
            <w:r w:rsidRPr="002C0A3F">
              <w:rPr>
                <w:sz w:val="16"/>
                <w:szCs w:val="16"/>
              </w:rPr>
              <w:t>2024</w:t>
            </w:r>
            <w:r w:rsidRPr="002C0A3F">
              <w:rPr>
                <w:sz w:val="16"/>
                <w:szCs w:val="16"/>
              </w:rPr>
              <w:noBreakHyphen/>
              <w:t>25</w:t>
            </w:r>
            <w:r w:rsidRPr="002C0A3F">
              <w:rPr>
                <w:sz w:val="16"/>
                <w:szCs w:val="16"/>
              </w:rPr>
              <w:br/>
              <w:t>estimate</w:t>
            </w:r>
          </w:p>
        </w:tc>
      </w:tr>
      <w:tr w:rsidR="008D6F13" w:rsidRPr="002C0A3F" w14:paraId="1FA0D177" w14:textId="77777777" w:rsidTr="0031078F">
        <w:tc>
          <w:tcPr>
            <w:cnfStyle w:val="001000000000" w:firstRow="0" w:lastRow="0" w:firstColumn="1" w:lastColumn="0" w:oddVBand="0" w:evenVBand="0" w:oddHBand="0" w:evenHBand="0" w:firstRowFirstColumn="0" w:firstRowLastColumn="0" w:lastRowFirstColumn="0" w:lastRowLastColumn="0"/>
            <w:tcW w:w="3920" w:type="dxa"/>
          </w:tcPr>
          <w:p w14:paraId="0B5B4705" w14:textId="77777777" w:rsidR="008D6F13" w:rsidRPr="002C0A3F" w:rsidRDefault="008D6F13" w:rsidP="0031078F">
            <w:pPr>
              <w:rPr>
                <w:sz w:val="16"/>
                <w:szCs w:val="16"/>
              </w:rPr>
            </w:pPr>
            <w:r w:rsidRPr="002C0A3F">
              <w:rPr>
                <w:b/>
                <w:sz w:val="16"/>
                <w:szCs w:val="16"/>
              </w:rPr>
              <w:t>Revenue and income from transactions</w:t>
            </w:r>
          </w:p>
        </w:tc>
        <w:tc>
          <w:tcPr>
            <w:tcW w:w="684" w:type="dxa"/>
          </w:tcPr>
          <w:p w14:paraId="47C04257"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76" w:type="dxa"/>
          </w:tcPr>
          <w:p w14:paraId="35BDCDEF"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4D922ADB"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76" w:type="dxa"/>
          </w:tcPr>
          <w:p w14:paraId="7B82F603"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6A24C4DA"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r>
      <w:tr w:rsidR="008D6F13" w:rsidRPr="002C0A3F" w14:paraId="209C7EA6" w14:textId="77777777" w:rsidTr="0031078F">
        <w:tc>
          <w:tcPr>
            <w:cnfStyle w:val="001000000000" w:firstRow="0" w:lastRow="0" w:firstColumn="1" w:lastColumn="0" w:oddVBand="0" w:evenVBand="0" w:oddHBand="0" w:evenHBand="0" w:firstRowFirstColumn="0" w:firstRowLastColumn="0" w:lastRowFirstColumn="0" w:lastRowLastColumn="0"/>
            <w:tcW w:w="3920" w:type="dxa"/>
          </w:tcPr>
          <w:p w14:paraId="779075C7" w14:textId="77777777" w:rsidR="008D6F13" w:rsidRPr="002C0A3F" w:rsidRDefault="008D6F13" w:rsidP="0031078F">
            <w:pPr>
              <w:rPr>
                <w:sz w:val="16"/>
                <w:szCs w:val="16"/>
              </w:rPr>
            </w:pPr>
            <w:r w:rsidRPr="002C0A3F">
              <w:rPr>
                <w:sz w:val="16"/>
                <w:szCs w:val="16"/>
              </w:rPr>
              <w:t>Taxation</w:t>
            </w:r>
          </w:p>
        </w:tc>
        <w:tc>
          <w:tcPr>
            <w:tcW w:w="684" w:type="dxa"/>
          </w:tcPr>
          <w:p w14:paraId="7C03524B"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26 110</w:t>
            </w:r>
          </w:p>
        </w:tc>
        <w:tc>
          <w:tcPr>
            <w:tcW w:w="776" w:type="dxa"/>
          </w:tcPr>
          <w:p w14:paraId="267902F4"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26 526</w:t>
            </w:r>
          </w:p>
        </w:tc>
        <w:tc>
          <w:tcPr>
            <w:tcW w:w="777" w:type="dxa"/>
          </w:tcPr>
          <w:p w14:paraId="0B73204A"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28 978</w:t>
            </w:r>
          </w:p>
        </w:tc>
        <w:tc>
          <w:tcPr>
            <w:tcW w:w="776" w:type="dxa"/>
          </w:tcPr>
          <w:p w14:paraId="5AAA5B99"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30 518</w:t>
            </w:r>
          </w:p>
        </w:tc>
        <w:tc>
          <w:tcPr>
            <w:tcW w:w="777" w:type="dxa"/>
          </w:tcPr>
          <w:p w14:paraId="5488D692"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31 939</w:t>
            </w:r>
          </w:p>
        </w:tc>
      </w:tr>
      <w:tr w:rsidR="008D6F13" w:rsidRPr="002C0A3F" w14:paraId="5D4A89F1" w14:textId="77777777" w:rsidTr="0031078F">
        <w:tc>
          <w:tcPr>
            <w:cnfStyle w:val="001000000000" w:firstRow="0" w:lastRow="0" w:firstColumn="1" w:lastColumn="0" w:oddVBand="0" w:evenVBand="0" w:oddHBand="0" w:evenHBand="0" w:firstRowFirstColumn="0" w:firstRowLastColumn="0" w:lastRowFirstColumn="0" w:lastRowLastColumn="0"/>
            <w:tcW w:w="3920" w:type="dxa"/>
          </w:tcPr>
          <w:p w14:paraId="2EB37774" w14:textId="77777777" w:rsidR="008D6F13" w:rsidRPr="002C0A3F" w:rsidRDefault="008D6F13" w:rsidP="0031078F">
            <w:pPr>
              <w:rPr>
                <w:sz w:val="16"/>
                <w:szCs w:val="16"/>
              </w:rPr>
            </w:pPr>
            <w:r w:rsidRPr="002C0A3F">
              <w:rPr>
                <w:sz w:val="16"/>
                <w:szCs w:val="16"/>
              </w:rPr>
              <w:t>Interest income</w:t>
            </w:r>
          </w:p>
        </w:tc>
        <w:tc>
          <w:tcPr>
            <w:tcW w:w="684" w:type="dxa"/>
          </w:tcPr>
          <w:p w14:paraId="35FA6C1E"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251</w:t>
            </w:r>
          </w:p>
        </w:tc>
        <w:tc>
          <w:tcPr>
            <w:tcW w:w="776" w:type="dxa"/>
          </w:tcPr>
          <w:p w14:paraId="63127F9B"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275</w:t>
            </w:r>
          </w:p>
        </w:tc>
        <w:tc>
          <w:tcPr>
            <w:tcW w:w="777" w:type="dxa"/>
          </w:tcPr>
          <w:p w14:paraId="57B64CCD"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284</w:t>
            </w:r>
          </w:p>
        </w:tc>
        <w:tc>
          <w:tcPr>
            <w:tcW w:w="776" w:type="dxa"/>
          </w:tcPr>
          <w:p w14:paraId="07AD391B"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302</w:t>
            </w:r>
          </w:p>
        </w:tc>
        <w:tc>
          <w:tcPr>
            <w:tcW w:w="777" w:type="dxa"/>
          </w:tcPr>
          <w:p w14:paraId="1B74721D"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362</w:t>
            </w:r>
          </w:p>
        </w:tc>
      </w:tr>
      <w:tr w:rsidR="008D6F13" w:rsidRPr="002C0A3F" w14:paraId="76407632" w14:textId="77777777" w:rsidTr="0031078F">
        <w:tc>
          <w:tcPr>
            <w:cnfStyle w:val="001000000000" w:firstRow="0" w:lastRow="0" w:firstColumn="1" w:lastColumn="0" w:oddVBand="0" w:evenVBand="0" w:oddHBand="0" w:evenHBand="0" w:firstRowFirstColumn="0" w:firstRowLastColumn="0" w:lastRowFirstColumn="0" w:lastRowLastColumn="0"/>
            <w:tcW w:w="3920" w:type="dxa"/>
          </w:tcPr>
          <w:p w14:paraId="0F9AC05D" w14:textId="77777777" w:rsidR="008D6F13" w:rsidRPr="002C0A3F" w:rsidRDefault="008D6F13" w:rsidP="0031078F">
            <w:pPr>
              <w:rPr>
                <w:sz w:val="16"/>
                <w:szCs w:val="16"/>
              </w:rPr>
            </w:pPr>
            <w:r w:rsidRPr="002C0A3F">
              <w:rPr>
                <w:sz w:val="16"/>
                <w:szCs w:val="16"/>
              </w:rPr>
              <w:t>Dividend income</w:t>
            </w:r>
          </w:p>
        </w:tc>
        <w:tc>
          <w:tcPr>
            <w:tcW w:w="684" w:type="dxa"/>
          </w:tcPr>
          <w:p w14:paraId="3ED27325"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1 578</w:t>
            </w:r>
          </w:p>
        </w:tc>
        <w:tc>
          <w:tcPr>
            <w:tcW w:w="776" w:type="dxa"/>
          </w:tcPr>
          <w:p w14:paraId="2A983799"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1 761</w:t>
            </w:r>
          </w:p>
        </w:tc>
        <w:tc>
          <w:tcPr>
            <w:tcW w:w="777" w:type="dxa"/>
          </w:tcPr>
          <w:p w14:paraId="2C99A44D"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1 784</w:t>
            </w:r>
          </w:p>
        </w:tc>
        <w:tc>
          <w:tcPr>
            <w:tcW w:w="776" w:type="dxa"/>
          </w:tcPr>
          <w:p w14:paraId="1D40EEE6"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1 795</w:t>
            </w:r>
          </w:p>
        </w:tc>
        <w:tc>
          <w:tcPr>
            <w:tcW w:w="777" w:type="dxa"/>
          </w:tcPr>
          <w:p w14:paraId="5F19A79F"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2 212</w:t>
            </w:r>
          </w:p>
        </w:tc>
      </w:tr>
      <w:tr w:rsidR="008D6F13" w:rsidRPr="002C0A3F" w14:paraId="79250B91" w14:textId="77777777" w:rsidTr="0031078F">
        <w:tc>
          <w:tcPr>
            <w:cnfStyle w:val="001000000000" w:firstRow="0" w:lastRow="0" w:firstColumn="1" w:lastColumn="0" w:oddVBand="0" w:evenVBand="0" w:oddHBand="0" w:evenHBand="0" w:firstRowFirstColumn="0" w:firstRowLastColumn="0" w:lastRowFirstColumn="0" w:lastRowLastColumn="0"/>
            <w:tcW w:w="3920" w:type="dxa"/>
          </w:tcPr>
          <w:p w14:paraId="22034A89" w14:textId="77777777" w:rsidR="008D6F13" w:rsidRPr="002C0A3F" w:rsidRDefault="008D6F13" w:rsidP="0031078F">
            <w:pPr>
              <w:rPr>
                <w:sz w:val="16"/>
                <w:szCs w:val="16"/>
              </w:rPr>
            </w:pPr>
            <w:r w:rsidRPr="002C0A3F">
              <w:rPr>
                <w:sz w:val="16"/>
                <w:szCs w:val="16"/>
              </w:rPr>
              <w:t>Sales of goods and services</w:t>
            </w:r>
          </w:p>
        </w:tc>
        <w:tc>
          <w:tcPr>
            <w:tcW w:w="684" w:type="dxa"/>
          </w:tcPr>
          <w:p w14:paraId="734F32AC"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16 936</w:t>
            </w:r>
          </w:p>
        </w:tc>
        <w:tc>
          <w:tcPr>
            <w:tcW w:w="776" w:type="dxa"/>
          </w:tcPr>
          <w:p w14:paraId="4057E692"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16 555</w:t>
            </w:r>
          </w:p>
        </w:tc>
        <w:tc>
          <w:tcPr>
            <w:tcW w:w="777" w:type="dxa"/>
          </w:tcPr>
          <w:p w14:paraId="07355312"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17 905</w:t>
            </w:r>
          </w:p>
        </w:tc>
        <w:tc>
          <w:tcPr>
            <w:tcW w:w="776" w:type="dxa"/>
          </w:tcPr>
          <w:p w14:paraId="23C09FD3"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18 412</w:t>
            </w:r>
          </w:p>
        </w:tc>
        <w:tc>
          <w:tcPr>
            <w:tcW w:w="777" w:type="dxa"/>
          </w:tcPr>
          <w:p w14:paraId="2FC023AA"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18 861</w:t>
            </w:r>
          </w:p>
        </w:tc>
      </w:tr>
      <w:tr w:rsidR="008D6F13" w:rsidRPr="002C0A3F" w14:paraId="1DF14DF1" w14:textId="77777777" w:rsidTr="0031078F">
        <w:tc>
          <w:tcPr>
            <w:cnfStyle w:val="001000000000" w:firstRow="0" w:lastRow="0" w:firstColumn="1" w:lastColumn="0" w:oddVBand="0" w:evenVBand="0" w:oddHBand="0" w:evenHBand="0" w:firstRowFirstColumn="0" w:firstRowLastColumn="0" w:lastRowFirstColumn="0" w:lastRowLastColumn="0"/>
            <w:tcW w:w="3920" w:type="dxa"/>
          </w:tcPr>
          <w:p w14:paraId="1D39BF93" w14:textId="77777777" w:rsidR="008D6F13" w:rsidRPr="002C0A3F" w:rsidRDefault="008D6F13" w:rsidP="0031078F">
            <w:pPr>
              <w:rPr>
                <w:sz w:val="16"/>
                <w:szCs w:val="16"/>
              </w:rPr>
            </w:pPr>
            <w:r w:rsidRPr="002C0A3F">
              <w:rPr>
                <w:sz w:val="16"/>
                <w:szCs w:val="16"/>
              </w:rPr>
              <w:t>Grants</w:t>
            </w:r>
          </w:p>
        </w:tc>
        <w:tc>
          <w:tcPr>
            <w:tcW w:w="684" w:type="dxa"/>
          </w:tcPr>
          <w:p w14:paraId="4B7734A8"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36 008</w:t>
            </w:r>
          </w:p>
        </w:tc>
        <w:tc>
          <w:tcPr>
            <w:tcW w:w="776" w:type="dxa"/>
          </w:tcPr>
          <w:p w14:paraId="372BEB19"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39 708</w:t>
            </w:r>
          </w:p>
        </w:tc>
        <w:tc>
          <w:tcPr>
            <w:tcW w:w="777" w:type="dxa"/>
          </w:tcPr>
          <w:p w14:paraId="2AE6DE4C"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38 512</w:t>
            </w:r>
          </w:p>
        </w:tc>
        <w:tc>
          <w:tcPr>
            <w:tcW w:w="776" w:type="dxa"/>
          </w:tcPr>
          <w:p w14:paraId="75EAD6A2"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39 008</w:t>
            </w:r>
          </w:p>
        </w:tc>
        <w:tc>
          <w:tcPr>
            <w:tcW w:w="777" w:type="dxa"/>
          </w:tcPr>
          <w:p w14:paraId="4D38FA90"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40 491</w:t>
            </w:r>
          </w:p>
        </w:tc>
      </w:tr>
      <w:tr w:rsidR="008D6F13" w:rsidRPr="002C0A3F" w14:paraId="75912D58" w14:textId="77777777" w:rsidTr="0031078F">
        <w:tc>
          <w:tcPr>
            <w:cnfStyle w:val="001000000000" w:firstRow="0" w:lastRow="0" w:firstColumn="1" w:lastColumn="0" w:oddVBand="0" w:evenVBand="0" w:oddHBand="0" w:evenHBand="0" w:firstRowFirstColumn="0" w:firstRowLastColumn="0" w:lastRowFirstColumn="0" w:lastRowLastColumn="0"/>
            <w:tcW w:w="3920" w:type="dxa"/>
            <w:tcBorders>
              <w:bottom w:val="single" w:sz="6" w:space="0" w:color="auto"/>
            </w:tcBorders>
          </w:tcPr>
          <w:p w14:paraId="4D47D20B" w14:textId="77777777" w:rsidR="008D6F13" w:rsidRPr="002C0A3F" w:rsidRDefault="008D6F13" w:rsidP="0031078F">
            <w:pPr>
              <w:rPr>
                <w:sz w:val="16"/>
                <w:szCs w:val="16"/>
              </w:rPr>
            </w:pPr>
            <w:r w:rsidRPr="002C0A3F">
              <w:rPr>
                <w:sz w:val="16"/>
                <w:szCs w:val="16"/>
              </w:rPr>
              <w:t>Other revenue and income</w:t>
            </w:r>
          </w:p>
        </w:tc>
        <w:tc>
          <w:tcPr>
            <w:tcW w:w="684" w:type="dxa"/>
            <w:tcBorders>
              <w:bottom w:val="single" w:sz="6" w:space="0" w:color="auto"/>
            </w:tcBorders>
          </w:tcPr>
          <w:p w14:paraId="5751D260"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4 220</w:t>
            </w:r>
          </w:p>
        </w:tc>
        <w:tc>
          <w:tcPr>
            <w:tcW w:w="776" w:type="dxa"/>
            <w:tcBorders>
              <w:bottom w:val="single" w:sz="6" w:space="0" w:color="auto"/>
            </w:tcBorders>
          </w:tcPr>
          <w:p w14:paraId="790099AB"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3 994</w:t>
            </w:r>
          </w:p>
        </w:tc>
        <w:tc>
          <w:tcPr>
            <w:tcW w:w="777" w:type="dxa"/>
            <w:tcBorders>
              <w:bottom w:val="single" w:sz="6" w:space="0" w:color="auto"/>
            </w:tcBorders>
          </w:tcPr>
          <w:p w14:paraId="27142B6F"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4 128</w:t>
            </w:r>
          </w:p>
        </w:tc>
        <w:tc>
          <w:tcPr>
            <w:tcW w:w="776" w:type="dxa"/>
            <w:tcBorders>
              <w:bottom w:val="single" w:sz="6" w:space="0" w:color="auto"/>
            </w:tcBorders>
          </w:tcPr>
          <w:p w14:paraId="4BD313F8"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3 834</w:t>
            </w:r>
          </w:p>
        </w:tc>
        <w:tc>
          <w:tcPr>
            <w:tcW w:w="777" w:type="dxa"/>
            <w:tcBorders>
              <w:bottom w:val="single" w:sz="6" w:space="0" w:color="auto"/>
            </w:tcBorders>
          </w:tcPr>
          <w:p w14:paraId="7BB1F857"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4 052</w:t>
            </w:r>
          </w:p>
        </w:tc>
      </w:tr>
      <w:tr w:rsidR="008D6F13" w:rsidRPr="002C0A3F" w14:paraId="43D7C4C6" w14:textId="77777777" w:rsidTr="0031078F">
        <w:tc>
          <w:tcPr>
            <w:cnfStyle w:val="001000000000" w:firstRow="0" w:lastRow="0" w:firstColumn="1" w:lastColumn="0" w:oddVBand="0" w:evenVBand="0" w:oddHBand="0" w:evenHBand="0" w:firstRowFirstColumn="0" w:firstRowLastColumn="0" w:lastRowFirstColumn="0" w:lastRowLastColumn="0"/>
            <w:tcW w:w="3920" w:type="dxa"/>
            <w:tcBorders>
              <w:top w:val="single" w:sz="6" w:space="0" w:color="auto"/>
            </w:tcBorders>
          </w:tcPr>
          <w:p w14:paraId="5D858007" w14:textId="77777777" w:rsidR="008D6F13" w:rsidRPr="002C0A3F" w:rsidRDefault="008D6F13" w:rsidP="0031078F">
            <w:pPr>
              <w:rPr>
                <w:sz w:val="16"/>
                <w:szCs w:val="16"/>
              </w:rPr>
            </w:pPr>
            <w:r w:rsidRPr="002C0A3F">
              <w:rPr>
                <w:b/>
                <w:sz w:val="16"/>
                <w:szCs w:val="16"/>
              </w:rPr>
              <w:t>Total revenue and income from transactions</w:t>
            </w:r>
          </w:p>
        </w:tc>
        <w:tc>
          <w:tcPr>
            <w:tcW w:w="684" w:type="dxa"/>
            <w:tcBorders>
              <w:top w:val="single" w:sz="6" w:space="0" w:color="auto"/>
            </w:tcBorders>
          </w:tcPr>
          <w:p w14:paraId="658D7E82"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85 102</w:t>
            </w:r>
          </w:p>
        </w:tc>
        <w:tc>
          <w:tcPr>
            <w:tcW w:w="776" w:type="dxa"/>
            <w:tcBorders>
              <w:top w:val="single" w:sz="6" w:space="0" w:color="auto"/>
            </w:tcBorders>
          </w:tcPr>
          <w:p w14:paraId="003B25A2"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88 820</w:t>
            </w:r>
          </w:p>
        </w:tc>
        <w:tc>
          <w:tcPr>
            <w:tcW w:w="777" w:type="dxa"/>
            <w:tcBorders>
              <w:top w:val="single" w:sz="6" w:space="0" w:color="auto"/>
            </w:tcBorders>
          </w:tcPr>
          <w:p w14:paraId="781F7A9C"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91 590</w:t>
            </w:r>
          </w:p>
        </w:tc>
        <w:tc>
          <w:tcPr>
            <w:tcW w:w="776" w:type="dxa"/>
            <w:tcBorders>
              <w:top w:val="single" w:sz="6" w:space="0" w:color="auto"/>
            </w:tcBorders>
          </w:tcPr>
          <w:p w14:paraId="6AAFACCE"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93 869</w:t>
            </w:r>
          </w:p>
        </w:tc>
        <w:tc>
          <w:tcPr>
            <w:tcW w:w="777" w:type="dxa"/>
            <w:tcBorders>
              <w:top w:val="single" w:sz="6" w:space="0" w:color="auto"/>
            </w:tcBorders>
          </w:tcPr>
          <w:p w14:paraId="708545E8"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97 918</w:t>
            </w:r>
          </w:p>
        </w:tc>
      </w:tr>
      <w:tr w:rsidR="008D6F13" w:rsidRPr="002C0A3F" w14:paraId="3CDE52BA" w14:textId="77777777" w:rsidTr="0031078F">
        <w:tc>
          <w:tcPr>
            <w:cnfStyle w:val="001000000000" w:firstRow="0" w:lastRow="0" w:firstColumn="1" w:lastColumn="0" w:oddVBand="0" w:evenVBand="0" w:oddHBand="0" w:evenHBand="0" w:firstRowFirstColumn="0" w:firstRowLastColumn="0" w:lastRowFirstColumn="0" w:lastRowLastColumn="0"/>
            <w:tcW w:w="3920" w:type="dxa"/>
          </w:tcPr>
          <w:p w14:paraId="47A4C48F" w14:textId="77777777" w:rsidR="008D6F13" w:rsidRPr="002C0A3F" w:rsidRDefault="008D6F13" w:rsidP="0031078F">
            <w:pPr>
              <w:rPr>
                <w:sz w:val="16"/>
                <w:szCs w:val="16"/>
              </w:rPr>
            </w:pPr>
            <w:r w:rsidRPr="002C0A3F">
              <w:rPr>
                <w:b/>
                <w:sz w:val="16"/>
                <w:szCs w:val="16"/>
              </w:rPr>
              <w:t>Expenses from transactions</w:t>
            </w:r>
          </w:p>
        </w:tc>
        <w:tc>
          <w:tcPr>
            <w:tcW w:w="684" w:type="dxa"/>
          </w:tcPr>
          <w:p w14:paraId="1715799E"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76" w:type="dxa"/>
          </w:tcPr>
          <w:p w14:paraId="2DE769CE"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21D2E1A6"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76" w:type="dxa"/>
          </w:tcPr>
          <w:p w14:paraId="322760AB"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2BB43EEA"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r>
      <w:tr w:rsidR="008D6F13" w:rsidRPr="002C0A3F" w14:paraId="4BE4DB1E" w14:textId="77777777" w:rsidTr="0031078F">
        <w:tc>
          <w:tcPr>
            <w:cnfStyle w:val="001000000000" w:firstRow="0" w:lastRow="0" w:firstColumn="1" w:lastColumn="0" w:oddVBand="0" w:evenVBand="0" w:oddHBand="0" w:evenHBand="0" w:firstRowFirstColumn="0" w:firstRowLastColumn="0" w:lastRowFirstColumn="0" w:lastRowLastColumn="0"/>
            <w:tcW w:w="3920" w:type="dxa"/>
          </w:tcPr>
          <w:p w14:paraId="38187A7E" w14:textId="77777777" w:rsidR="008D6F13" w:rsidRPr="002C0A3F" w:rsidRDefault="008D6F13" w:rsidP="0031078F">
            <w:pPr>
              <w:rPr>
                <w:sz w:val="16"/>
                <w:szCs w:val="16"/>
              </w:rPr>
            </w:pPr>
            <w:r w:rsidRPr="002C0A3F">
              <w:rPr>
                <w:sz w:val="16"/>
                <w:szCs w:val="16"/>
              </w:rPr>
              <w:t>Employee expenses</w:t>
            </w:r>
          </w:p>
        </w:tc>
        <w:tc>
          <w:tcPr>
            <w:tcW w:w="684" w:type="dxa"/>
          </w:tcPr>
          <w:p w14:paraId="1E201435"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33 122</w:t>
            </w:r>
          </w:p>
        </w:tc>
        <w:tc>
          <w:tcPr>
            <w:tcW w:w="776" w:type="dxa"/>
          </w:tcPr>
          <w:p w14:paraId="4FB40653"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34 257</w:t>
            </w:r>
          </w:p>
        </w:tc>
        <w:tc>
          <w:tcPr>
            <w:tcW w:w="777" w:type="dxa"/>
          </w:tcPr>
          <w:p w14:paraId="48638C86"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34 558</w:t>
            </w:r>
          </w:p>
        </w:tc>
        <w:tc>
          <w:tcPr>
            <w:tcW w:w="776" w:type="dxa"/>
          </w:tcPr>
          <w:p w14:paraId="2E12B983"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35 345</w:t>
            </w:r>
          </w:p>
        </w:tc>
        <w:tc>
          <w:tcPr>
            <w:tcW w:w="777" w:type="dxa"/>
          </w:tcPr>
          <w:p w14:paraId="1F639F59"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36 132</w:t>
            </w:r>
          </w:p>
        </w:tc>
      </w:tr>
      <w:tr w:rsidR="008D6F13" w:rsidRPr="002C0A3F" w14:paraId="416CEFB8" w14:textId="77777777" w:rsidTr="0031078F">
        <w:tc>
          <w:tcPr>
            <w:cnfStyle w:val="001000000000" w:firstRow="0" w:lastRow="0" w:firstColumn="1" w:lastColumn="0" w:oddVBand="0" w:evenVBand="0" w:oddHBand="0" w:evenHBand="0" w:firstRowFirstColumn="0" w:firstRowLastColumn="0" w:lastRowFirstColumn="0" w:lastRowLastColumn="0"/>
            <w:tcW w:w="3920" w:type="dxa"/>
          </w:tcPr>
          <w:p w14:paraId="25B6FA2C" w14:textId="77777777" w:rsidR="008D6F13" w:rsidRPr="002C0A3F" w:rsidRDefault="008D6F13" w:rsidP="0031078F">
            <w:pPr>
              <w:rPr>
                <w:sz w:val="16"/>
                <w:szCs w:val="16"/>
              </w:rPr>
            </w:pPr>
            <w:r w:rsidRPr="002C0A3F">
              <w:rPr>
                <w:sz w:val="16"/>
                <w:szCs w:val="16"/>
              </w:rPr>
              <w:t>Net superannuation interest expense</w:t>
            </w:r>
          </w:p>
        </w:tc>
        <w:tc>
          <w:tcPr>
            <w:tcW w:w="684" w:type="dxa"/>
          </w:tcPr>
          <w:p w14:paraId="77A82F84"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569</w:t>
            </w:r>
          </w:p>
        </w:tc>
        <w:tc>
          <w:tcPr>
            <w:tcW w:w="776" w:type="dxa"/>
          </w:tcPr>
          <w:p w14:paraId="0A33CA60"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485</w:t>
            </w:r>
          </w:p>
        </w:tc>
        <w:tc>
          <w:tcPr>
            <w:tcW w:w="777" w:type="dxa"/>
          </w:tcPr>
          <w:p w14:paraId="7FE77C3E"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454</w:t>
            </w:r>
          </w:p>
        </w:tc>
        <w:tc>
          <w:tcPr>
            <w:tcW w:w="776" w:type="dxa"/>
          </w:tcPr>
          <w:p w14:paraId="6E965FA4"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435</w:t>
            </w:r>
          </w:p>
        </w:tc>
        <w:tc>
          <w:tcPr>
            <w:tcW w:w="777" w:type="dxa"/>
          </w:tcPr>
          <w:p w14:paraId="19E00001"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418</w:t>
            </w:r>
          </w:p>
        </w:tc>
      </w:tr>
      <w:tr w:rsidR="008D6F13" w:rsidRPr="002C0A3F" w14:paraId="4778A297" w14:textId="77777777" w:rsidTr="0031078F">
        <w:tc>
          <w:tcPr>
            <w:cnfStyle w:val="001000000000" w:firstRow="0" w:lastRow="0" w:firstColumn="1" w:lastColumn="0" w:oddVBand="0" w:evenVBand="0" w:oddHBand="0" w:evenHBand="0" w:firstRowFirstColumn="0" w:firstRowLastColumn="0" w:lastRowFirstColumn="0" w:lastRowLastColumn="0"/>
            <w:tcW w:w="3920" w:type="dxa"/>
          </w:tcPr>
          <w:p w14:paraId="0B353905" w14:textId="77777777" w:rsidR="008D6F13" w:rsidRPr="002C0A3F" w:rsidRDefault="008D6F13" w:rsidP="0031078F">
            <w:pPr>
              <w:rPr>
                <w:sz w:val="16"/>
                <w:szCs w:val="16"/>
              </w:rPr>
            </w:pPr>
            <w:r w:rsidRPr="002C0A3F">
              <w:rPr>
                <w:sz w:val="16"/>
                <w:szCs w:val="16"/>
              </w:rPr>
              <w:t>Other superannuation</w:t>
            </w:r>
          </w:p>
        </w:tc>
        <w:tc>
          <w:tcPr>
            <w:tcW w:w="684" w:type="dxa"/>
          </w:tcPr>
          <w:p w14:paraId="13D919C2"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3 855</w:t>
            </w:r>
          </w:p>
        </w:tc>
        <w:tc>
          <w:tcPr>
            <w:tcW w:w="776" w:type="dxa"/>
          </w:tcPr>
          <w:p w14:paraId="0ABDF003"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3 810</w:t>
            </w:r>
          </w:p>
        </w:tc>
        <w:tc>
          <w:tcPr>
            <w:tcW w:w="777" w:type="dxa"/>
          </w:tcPr>
          <w:p w14:paraId="33AD4FF9"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3 852</w:t>
            </w:r>
          </w:p>
        </w:tc>
        <w:tc>
          <w:tcPr>
            <w:tcW w:w="776" w:type="dxa"/>
          </w:tcPr>
          <w:p w14:paraId="1AE1D5BB"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4 028</w:t>
            </w:r>
          </w:p>
        </w:tc>
        <w:tc>
          <w:tcPr>
            <w:tcW w:w="777" w:type="dxa"/>
          </w:tcPr>
          <w:p w14:paraId="64D12B57"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4 180</w:t>
            </w:r>
          </w:p>
        </w:tc>
      </w:tr>
      <w:tr w:rsidR="008D6F13" w:rsidRPr="002C0A3F" w14:paraId="389A8582" w14:textId="77777777" w:rsidTr="0031078F">
        <w:tc>
          <w:tcPr>
            <w:cnfStyle w:val="001000000000" w:firstRow="0" w:lastRow="0" w:firstColumn="1" w:lastColumn="0" w:oddVBand="0" w:evenVBand="0" w:oddHBand="0" w:evenHBand="0" w:firstRowFirstColumn="0" w:firstRowLastColumn="0" w:lastRowFirstColumn="0" w:lastRowLastColumn="0"/>
            <w:tcW w:w="3920" w:type="dxa"/>
          </w:tcPr>
          <w:p w14:paraId="7A02499A" w14:textId="77777777" w:rsidR="008D6F13" w:rsidRPr="002C0A3F" w:rsidRDefault="008D6F13" w:rsidP="0031078F">
            <w:pPr>
              <w:rPr>
                <w:sz w:val="16"/>
                <w:szCs w:val="16"/>
              </w:rPr>
            </w:pPr>
            <w:r w:rsidRPr="002C0A3F">
              <w:rPr>
                <w:sz w:val="16"/>
                <w:szCs w:val="16"/>
              </w:rPr>
              <w:t>Depreciation</w:t>
            </w:r>
          </w:p>
        </w:tc>
        <w:tc>
          <w:tcPr>
            <w:tcW w:w="684" w:type="dxa"/>
          </w:tcPr>
          <w:p w14:paraId="44CE957A"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7 277</w:t>
            </w:r>
          </w:p>
        </w:tc>
        <w:tc>
          <w:tcPr>
            <w:tcW w:w="776" w:type="dxa"/>
          </w:tcPr>
          <w:p w14:paraId="44493EF7"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7 193</w:t>
            </w:r>
          </w:p>
        </w:tc>
        <w:tc>
          <w:tcPr>
            <w:tcW w:w="777" w:type="dxa"/>
          </w:tcPr>
          <w:p w14:paraId="490154CF"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7 811</w:t>
            </w:r>
          </w:p>
        </w:tc>
        <w:tc>
          <w:tcPr>
            <w:tcW w:w="776" w:type="dxa"/>
          </w:tcPr>
          <w:p w14:paraId="531F6330"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9 493</w:t>
            </w:r>
          </w:p>
        </w:tc>
        <w:tc>
          <w:tcPr>
            <w:tcW w:w="777" w:type="dxa"/>
          </w:tcPr>
          <w:p w14:paraId="762D080B"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10 635</w:t>
            </w:r>
          </w:p>
        </w:tc>
      </w:tr>
      <w:tr w:rsidR="008D6F13" w:rsidRPr="002C0A3F" w14:paraId="550F42EF" w14:textId="77777777" w:rsidTr="0031078F">
        <w:tc>
          <w:tcPr>
            <w:cnfStyle w:val="001000000000" w:firstRow="0" w:lastRow="0" w:firstColumn="1" w:lastColumn="0" w:oddVBand="0" w:evenVBand="0" w:oddHBand="0" w:evenHBand="0" w:firstRowFirstColumn="0" w:firstRowLastColumn="0" w:lastRowFirstColumn="0" w:lastRowLastColumn="0"/>
            <w:tcW w:w="3920" w:type="dxa"/>
          </w:tcPr>
          <w:p w14:paraId="1B009B47" w14:textId="77777777" w:rsidR="008D6F13" w:rsidRPr="002C0A3F" w:rsidRDefault="008D6F13" w:rsidP="0031078F">
            <w:pPr>
              <w:rPr>
                <w:sz w:val="16"/>
                <w:szCs w:val="16"/>
              </w:rPr>
            </w:pPr>
            <w:r w:rsidRPr="002C0A3F">
              <w:rPr>
                <w:sz w:val="16"/>
                <w:szCs w:val="16"/>
              </w:rPr>
              <w:t>Interest expense</w:t>
            </w:r>
          </w:p>
        </w:tc>
        <w:tc>
          <w:tcPr>
            <w:tcW w:w="684" w:type="dxa"/>
          </w:tcPr>
          <w:p w14:paraId="0151BE7A"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3 430</w:t>
            </w:r>
          </w:p>
        </w:tc>
        <w:tc>
          <w:tcPr>
            <w:tcW w:w="776" w:type="dxa"/>
          </w:tcPr>
          <w:p w14:paraId="3804ECF8"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3 560</w:t>
            </w:r>
          </w:p>
        </w:tc>
        <w:tc>
          <w:tcPr>
            <w:tcW w:w="777" w:type="dxa"/>
          </w:tcPr>
          <w:p w14:paraId="3003A4BC"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4 167</w:t>
            </w:r>
          </w:p>
        </w:tc>
        <w:tc>
          <w:tcPr>
            <w:tcW w:w="776" w:type="dxa"/>
          </w:tcPr>
          <w:p w14:paraId="16D39FE9"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4 804</w:t>
            </w:r>
          </w:p>
        </w:tc>
        <w:tc>
          <w:tcPr>
            <w:tcW w:w="777" w:type="dxa"/>
          </w:tcPr>
          <w:p w14:paraId="4FAA586E"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5 596</w:t>
            </w:r>
          </w:p>
        </w:tc>
      </w:tr>
      <w:tr w:rsidR="008D6F13" w:rsidRPr="002C0A3F" w14:paraId="0343DCCF" w14:textId="77777777" w:rsidTr="0031078F">
        <w:tc>
          <w:tcPr>
            <w:cnfStyle w:val="001000000000" w:firstRow="0" w:lastRow="0" w:firstColumn="1" w:lastColumn="0" w:oddVBand="0" w:evenVBand="0" w:oddHBand="0" w:evenHBand="0" w:firstRowFirstColumn="0" w:firstRowLastColumn="0" w:lastRowFirstColumn="0" w:lastRowLastColumn="0"/>
            <w:tcW w:w="3920" w:type="dxa"/>
          </w:tcPr>
          <w:p w14:paraId="4587B5E6" w14:textId="77777777" w:rsidR="008D6F13" w:rsidRPr="002C0A3F" w:rsidRDefault="008D6F13" w:rsidP="0031078F">
            <w:pPr>
              <w:rPr>
                <w:sz w:val="16"/>
                <w:szCs w:val="16"/>
              </w:rPr>
            </w:pPr>
            <w:r w:rsidRPr="002C0A3F">
              <w:rPr>
                <w:sz w:val="16"/>
                <w:szCs w:val="16"/>
              </w:rPr>
              <w:t>Grant expense</w:t>
            </w:r>
          </w:p>
        </w:tc>
        <w:tc>
          <w:tcPr>
            <w:tcW w:w="684" w:type="dxa"/>
          </w:tcPr>
          <w:p w14:paraId="025A01B0"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15 260</w:t>
            </w:r>
          </w:p>
        </w:tc>
        <w:tc>
          <w:tcPr>
            <w:tcW w:w="776" w:type="dxa"/>
          </w:tcPr>
          <w:p w14:paraId="51FF7B34"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22 558</w:t>
            </w:r>
          </w:p>
        </w:tc>
        <w:tc>
          <w:tcPr>
            <w:tcW w:w="777" w:type="dxa"/>
          </w:tcPr>
          <w:p w14:paraId="5126518F"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14 040</w:t>
            </w:r>
          </w:p>
        </w:tc>
        <w:tc>
          <w:tcPr>
            <w:tcW w:w="776" w:type="dxa"/>
          </w:tcPr>
          <w:p w14:paraId="4613B95C"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13 617</w:t>
            </w:r>
          </w:p>
        </w:tc>
        <w:tc>
          <w:tcPr>
            <w:tcW w:w="777" w:type="dxa"/>
          </w:tcPr>
          <w:p w14:paraId="7DBAD32A"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13 329</w:t>
            </w:r>
          </w:p>
        </w:tc>
      </w:tr>
      <w:tr w:rsidR="008D6F13" w:rsidRPr="002C0A3F" w14:paraId="51F574CA" w14:textId="77777777" w:rsidTr="0031078F">
        <w:tc>
          <w:tcPr>
            <w:cnfStyle w:val="001000000000" w:firstRow="0" w:lastRow="0" w:firstColumn="1" w:lastColumn="0" w:oddVBand="0" w:evenVBand="0" w:oddHBand="0" w:evenHBand="0" w:firstRowFirstColumn="0" w:firstRowLastColumn="0" w:lastRowFirstColumn="0" w:lastRowLastColumn="0"/>
            <w:tcW w:w="3920" w:type="dxa"/>
          </w:tcPr>
          <w:p w14:paraId="5D7AB010" w14:textId="77777777" w:rsidR="008D6F13" w:rsidRPr="002C0A3F" w:rsidRDefault="008D6F13" w:rsidP="0031078F">
            <w:pPr>
              <w:rPr>
                <w:sz w:val="16"/>
                <w:szCs w:val="16"/>
              </w:rPr>
            </w:pPr>
            <w:r w:rsidRPr="002C0A3F">
              <w:rPr>
                <w:sz w:val="16"/>
                <w:szCs w:val="16"/>
              </w:rPr>
              <w:t>Other operating expenses</w:t>
            </w:r>
          </w:p>
        </w:tc>
        <w:tc>
          <w:tcPr>
            <w:tcW w:w="684" w:type="dxa"/>
          </w:tcPr>
          <w:p w14:paraId="46C13EDD"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38 981</w:t>
            </w:r>
          </w:p>
        </w:tc>
        <w:tc>
          <w:tcPr>
            <w:tcW w:w="776" w:type="dxa"/>
          </w:tcPr>
          <w:p w14:paraId="7E958816"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42 140</w:t>
            </w:r>
          </w:p>
        </w:tc>
        <w:tc>
          <w:tcPr>
            <w:tcW w:w="777" w:type="dxa"/>
          </w:tcPr>
          <w:p w14:paraId="4992B219"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37 834</w:t>
            </w:r>
          </w:p>
        </w:tc>
        <w:tc>
          <w:tcPr>
            <w:tcW w:w="776" w:type="dxa"/>
          </w:tcPr>
          <w:p w14:paraId="1BC73789"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37 674</w:t>
            </w:r>
          </w:p>
        </w:tc>
        <w:tc>
          <w:tcPr>
            <w:tcW w:w="777" w:type="dxa"/>
          </w:tcPr>
          <w:p w14:paraId="44AA3D10"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38 194</w:t>
            </w:r>
          </w:p>
        </w:tc>
      </w:tr>
      <w:tr w:rsidR="008D6F13" w:rsidRPr="002C0A3F" w14:paraId="67615A0D" w14:textId="77777777" w:rsidTr="0031078F">
        <w:tc>
          <w:tcPr>
            <w:cnfStyle w:val="001000000000" w:firstRow="0" w:lastRow="0" w:firstColumn="1" w:lastColumn="0" w:oddVBand="0" w:evenVBand="0" w:oddHBand="0" w:evenHBand="0" w:firstRowFirstColumn="0" w:firstRowLastColumn="0" w:lastRowFirstColumn="0" w:lastRowLastColumn="0"/>
            <w:tcW w:w="3920" w:type="dxa"/>
            <w:tcBorders>
              <w:top w:val="single" w:sz="6" w:space="0" w:color="auto"/>
              <w:bottom w:val="single" w:sz="6" w:space="0" w:color="auto"/>
            </w:tcBorders>
          </w:tcPr>
          <w:p w14:paraId="508E4B63" w14:textId="77777777" w:rsidR="008D6F13" w:rsidRPr="002C0A3F" w:rsidRDefault="008D6F13" w:rsidP="0031078F">
            <w:pPr>
              <w:rPr>
                <w:sz w:val="16"/>
                <w:szCs w:val="16"/>
              </w:rPr>
            </w:pPr>
            <w:r w:rsidRPr="002C0A3F">
              <w:rPr>
                <w:b/>
                <w:sz w:val="16"/>
                <w:szCs w:val="16"/>
              </w:rPr>
              <w:t>Total expenses from transactions</w:t>
            </w:r>
          </w:p>
        </w:tc>
        <w:tc>
          <w:tcPr>
            <w:tcW w:w="684" w:type="dxa"/>
            <w:tcBorders>
              <w:top w:val="single" w:sz="6" w:space="0" w:color="auto"/>
              <w:bottom w:val="single" w:sz="6" w:space="0" w:color="auto"/>
            </w:tcBorders>
          </w:tcPr>
          <w:p w14:paraId="7DEF0547"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102 494</w:t>
            </w:r>
          </w:p>
        </w:tc>
        <w:tc>
          <w:tcPr>
            <w:tcW w:w="776" w:type="dxa"/>
            <w:tcBorders>
              <w:top w:val="single" w:sz="6" w:space="0" w:color="auto"/>
              <w:bottom w:val="single" w:sz="6" w:space="0" w:color="auto"/>
            </w:tcBorders>
          </w:tcPr>
          <w:p w14:paraId="55AA7FB6"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114 003</w:t>
            </w:r>
          </w:p>
        </w:tc>
        <w:tc>
          <w:tcPr>
            <w:tcW w:w="777" w:type="dxa"/>
            <w:tcBorders>
              <w:top w:val="single" w:sz="6" w:space="0" w:color="auto"/>
              <w:bottom w:val="single" w:sz="6" w:space="0" w:color="auto"/>
            </w:tcBorders>
          </w:tcPr>
          <w:p w14:paraId="08F239F8"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102 717</w:t>
            </w:r>
          </w:p>
        </w:tc>
        <w:tc>
          <w:tcPr>
            <w:tcW w:w="776" w:type="dxa"/>
            <w:tcBorders>
              <w:top w:val="single" w:sz="6" w:space="0" w:color="auto"/>
              <w:bottom w:val="single" w:sz="6" w:space="0" w:color="auto"/>
            </w:tcBorders>
          </w:tcPr>
          <w:p w14:paraId="4FA69232"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105 396</w:t>
            </w:r>
          </w:p>
        </w:tc>
        <w:tc>
          <w:tcPr>
            <w:tcW w:w="777" w:type="dxa"/>
            <w:tcBorders>
              <w:top w:val="single" w:sz="6" w:space="0" w:color="auto"/>
              <w:bottom w:val="single" w:sz="6" w:space="0" w:color="auto"/>
            </w:tcBorders>
          </w:tcPr>
          <w:p w14:paraId="44435D5C"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108 483</w:t>
            </w:r>
          </w:p>
        </w:tc>
      </w:tr>
      <w:tr w:rsidR="008D6F13" w:rsidRPr="002C0A3F" w14:paraId="01F597BE" w14:textId="77777777" w:rsidTr="0031078F">
        <w:tc>
          <w:tcPr>
            <w:cnfStyle w:val="001000000000" w:firstRow="0" w:lastRow="0" w:firstColumn="1" w:lastColumn="0" w:oddVBand="0" w:evenVBand="0" w:oddHBand="0" w:evenHBand="0" w:firstRowFirstColumn="0" w:firstRowLastColumn="0" w:lastRowFirstColumn="0" w:lastRowLastColumn="0"/>
            <w:tcW w:w="3920" w:type="dxa"/>
            <w:tcBorders>
              <w:top w:val="single" w:sz="6" w:space="0" w:color="auto"/>
              <w:bottom w:val="single" w:sz="12" w:space="0" w:color="auto"/>
            </w:tcBorders>
          </w:tcPr>
          <w:p w14:paraId="1CC89771" w14:textId="77777777" w:rsidR="008D6F13" w:rsidRPr="002C0A3F" w:rsidRDefault="008D6F13" w:rsidP="0031078F">
            <w:pPr>
              <w:rPr>
                <w:sz w:val="16"/>
                <w:szCs w:val="16"/>
              </w:rPr>
            </w:pPr>
            <w:r w:rsidRPr="002C0A3F">
              <w:rPr>
                <w:b/>
                <w:sz w:val="16"/>
                <w:szCs w:val="16"/>
              </w:rPr>
              <w:t>Net result from transactions – net operating balance</w:t>
            </w:r>
          </w:p>
        </w:tc>
        <w:tc>
          <w:tcPr>
            <w:tcW w:w="684" w:type="dxa"/>
            <w:tcBorders>
              <w:top w:val="single" w:sz="6" w:space="0" w:color="auto"/>
              <w:bottom w:val="single" w:sz="12" w:space="0" w:color="auto"/>
            </w:tcBorders>
          </w:tcPr>
          <w:p w14:paraId="5666810C"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(17 392)</w:t>
            </w:r>
          </w:p>
        </w:tc>
        <w:tc>
          <w:tcPr>
            <w:tcW w:w="776" w:type="dxa"/>
            <w:tcBorders>
              <w:top w:val="single" w:sz="6" w:space="0" w:color="auto"/>
              <w:bottom w:val="single" w:sz="12" w:space="0" w:color="auto"/>
            </w:tcBorders>
          </w:tcPr>
          <w:p w14:paraId="35718FA3"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(25 183)</w:t>
            </w:r>
          </w:p>
        </w:tc>
        <w:tc>
          <w:tcPr>
            <w:tcW w:w="777" w:type="dxa"/>
            <w:tcBorders>
              <w:top w:val="single" w:sz="6" w:space="0" w:color="auto"/>
              <w:bottom w:val="single" w:sz="12" w:space="0" w:color="auto"/>
            </w:tcBorders>
          </w:tcPr>
          <w:p w14:paraId="60A037BB"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(11 127)</w:t>
            </w:r>
          </w:p>
        </w:tc>
        <w:tc>
          <w:tcPr>
            <w:tcW w:w="776" w:type="dxa"/>
            <w:tcBorders>
              <w:top w:val="single" w:sz="6" w:space="0" w:color="auto"/>
              <w:bottom w:val="single" w:sz="12" w:space="0" w:color="auto"/>
            </w:tcBorders>
          </w:tcPr>
          <w:p w14:paraId="7D86E0C3"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(11 527)</w:t>
            </w:r>
          </w:p>
        </w:tc>
        <w:tc>
          <w:tcPr>
            <w:tcW w:w="777" w:type="dxa"/>
            <w:tcBorders>
              <w:top w:val="single" w:sz="6" w:space="0" w:color="auto"/>
              <w:bottom w:val="single" w:sz="12" w:space="0" w:color="auto"/>
            </w:tcBorders>
          </w:tcPr>
          <w:p w14:paraId="3A69A542"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(10 566)</w:t>
            </w:r>
          </w:p>
        </w:tc>
      </w:tr>
      <w:tr w:rsidR="008D6F13" w:rsidRPr="002C0A3F" w14:paraId="59931D63" w14:textId="77777777" w:rsidTr="0031078F">
        <w:tc>
          <w:tcPr>
            <w:cnfStyle w:val="001000000000" w:firstRow="0" w:lastRow="0" w:firstColumn="1" w:lastColumn="0" w:oddVBand="0" w:evenVBand="0" w:oddHBand="0" w:evenHBand="0" w:firstRowFirstColumn="0" w:firstRowLastColumn="0" w:lastRowFirstColumn="0" w:lastRowLastColumn="0"/>
            <w:tcW w:w="3920" w:type="dxa"/>
            <w:tcBorders>
              <w:top w:val="single" w:sz="6" w:space="0" w:color="auto"/>
            </w:tcBorders>
          </w:tcPr>
          <w:p w14:paraId="45CB016E" w14:textId="77777777" w:rsidR="008D6F13" w:rsidRPr="002C0A3F" w:rsidRDefault="008D6F13" w:rsidP="0031078F">
            <w:pPr>
              <w:rPr>
                <w:sz w:val="16"/>
                <w:szCs w:val="16"/>
              </w:rPr>
            </w:pPr>
            <w:r w:rsidRPr="002C0A3F">
              <w:rPr>
                <w:b/>
                <w:sz w:val="16"/>
                <w:szCs w:val="16"/>
              </w:rPr>
              <w:t>Other economic flows included in net result</w:t>
            </w:r>
          </w:p>
        </w:tc>
        <w:tc>
          <w:tcPr>
            <w:tcW w:w="684" w:type="dxa"/>
            <w:tcBorders>
              <w:top w:val="single" w:sz="6" w:space="0" w:color="auto"/>
            </w:tcBorders>
          </w:tcPr>
          <w:p w14:paraId="1802B5A7"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76" w:type="dxa"/>
            <w:tcBorders>
              <w:top w:val="single" w:sz="6" w:space="0" w:color="auto"/>
            </w:tcBorders>
          </w:tcPr>
          <w:p w14:paraId="3AFF863C"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Borders>
              <w:top w:val="single" w:sz="6" w:space="0" w:color="auto"/>
            </w:tcBorders>
          </w:tcPr>
          <w:p w14:paraId="77CD78F8"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76" w:type="dxa"/>
            <w:tcBorders>
              <w:top w:val="single" w:sz="6" w:space="0" w:color="auto"/>
            </w:tcBorders>
          </w:tcPr>
          <w:p w14:paraId="20A6C5BF"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Borders>
              <w:top w:val="single" w:sz="6" w:space="0" w:color="auto"/>
            </w:tcBorders>
          </w:tcPr>
          <w:p w14:paraId="38FCE968"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r>
      <w:tr w:rsidR="008D6F13" w:rsidRPr="002C0A3F" w14:paraId="14D679F9" w14:textId="77777777" w:rsidTr="0031078F">
        <w:tc>
          <w:tcPr>
            <w:cnfStyle w:val="001000000000" w:firstRow="0" w:lastRow="0" w:firstColumn="1" w:lastColumn="0" w:oddVBand="0" w:evenVBand="0" w:oddHBand="0" w:evenHBand="0" w:firstRowFirstColumn="0" w:firstRowLastColumn="0" w:lastRowFirstColumn="0" w:lastRowLastColumn="0"/>
            <w:tcW w:w="3920" w:type="dxa"/>
          </w:tcPr>
          <w:p w14:paraId="7BDB3A4D" w14:textId="77777777" w:rsidR="008D6F13" w:rsidRPr="002C0A3F" w:rsidRDefault="008D6F13" w:rsidP="0031078F">
            <w:pPr>
              <w:rPr>
                <w:sz w:val="16"/>
                <w:szCs w:val="16"/>
              </w:rPr>
            </w:pPr>
            <w:r w:rsidRPr="002C0A3F">
              <w:rPr>
                <w:sz w:val="16"/>
                <w:szCs w:val="16"/>
              </w:rPr>
              <w:t>Net gain/(loss) on disposal of non</w:t>
            </w:r>
            <w:r w:rsidRPr="002C0A3F">
              <w:rPr>
                <w:sz w:val="16"/>
                <w:szCs w:val="16"/>
              </w:rPr>
              <w:noBreakHyphen/>
              <w:t>financial assets</w:t>
            </w:r>
          </w:p>
        </w:tc>
        <w:tc>
          <w:tcPr>
            <w:tcW w:w="684" w:type="dxa"/>
          </w:tcPr>
          <w:p w14:paraId="245885EC"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80</w:t>
            </w:r>
          </w:p>
        </w:tc>
        <w:tc>
          <w:tcPr>
            <w:tcW w:w="776" w:type="dxa"/>
          </w:tcPr>
          <w:p w14:paraId="73168294"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98</w:t>
            </w:r>
          </w:p>
        </w:tc>
        <w:tc>
          <w:tcPr>
            <w:tcW w:w="777" w:type="dxa"/>
          </w:tcPr>
          <w:p w14:paraId="419C4B6C"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98</w:t>
            </w:r>
          </w:p>
        </w:tc>
        <w:tc>
          <w:tcPr>
            <w:tcW w:w="776" w:type="dxa"/>
          </w:tcPr>
          <w:p w14:paraId="24063831"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470</w:t>
            </w:r>
          </w:p>
        </w:tc>
        <w:tc>
          <w:tcPr>
            <w:tcW w:w="777" w:type="dxa"/>
          </w:tcPr>
          <w:p w14:paraId="1DA66DFE"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62</w:t>
            </w:r>
          </w:p>
        </w:tc>
      </w:tr>
      <w:tr w:rsidR="008D6F13" w:rsidRPr="002C0A3F" w14:paraId="248D874A" w14:textId="77777777" w:rsidTr="0031078F">
        <w:tc>
          <w:tcPr>
            <w:cnfStyle w:val="001000000000" w:firstRow="0" w:lastRow="0" w:firstColumn="1" w:lastColumn="0" w:oddVBand="0" w:evenVBand="0" w:oddHBand="0" w:evenHBand="0" w:firstRowFirstColumn="0" w:firstRowLastColumn="0" w:lastRowFirstColumn="0" w:lastRowLastColumn="0"/>
            <w:tcW w:w="3920" w:type="dxa"/>
          </w:tcPr>
          <w:p w14:paraId="031210FD" w14:textId="77777777" w:rsidR="008D6F13" w:rsidRPr="002C0A3F" w:rsidRDefault="008D6F13" w:rsidP="0031078F">
            <w:pPr>
              <w:rPr>
                <w:sz w:val="16"/>
                <w:szCs w:val="16"/>
              </w:rPr>
            </w:pPr>
            <w:r w:rsidRPr="002C0A3F">
              <w:rPr>
                <w:sz w:val="16"/>
                <w:szCs w:val="16"/>
              </w:rPr>
              <w:t>Net gain/(loss) on financial assets or liabilities at</w:t>
            </w:r>
            <w:r>
              <w:rPr>
                <w:sz w:val="16"/>
                <w:szCs w:val="16"/>
              </w:rPr>
              <w:t xml:space="preserve"> f</w:t>
            </w:r>
            <w:r w:rsidRPr="002C0A3F">
              <w:rPr>
                <w:sz w:val="16"/>
                <w:szCs w:val="16"/>
              </w:rPr>
              <w:t>air value</w:t>
            </w:r>
          </w:p>
        </w:tc>
        <w:tc>
          <w:tcPr>
            <w:tcW w:w="684" w:type="dxa"/>
          </w:tcPr>
          <w:p w14:paraId="672270FB"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477</w:t>
            </w:r>
          </w:p>
        </w:tc>
        <w:tc>
          <w:tcPr>
            <w:tcW w:w="776" w:type="dxa"/>
          </w:tcPr>
          <w:p w14:paraId="2F553A6F"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140</w:t>
            </w:r>
          </w:p>
        </w:tc>
        <w:tc>
          <w:tcPr>
            <w:tcW w:w="777" w:type="dxa"/>
          </w:tcPr>
          <w:p w14:paraId="73AF785B"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482</w:t>
            </w:r>
          </w:p>
        </w:tc>
        <w:tc>
          <w:tcPr>
            <w:tcW w:w="776" w:type="dxa"/>
          </w:tcPr>
          <w:p w14:paraId="2DA93891"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388</w:t>
            </w:r>
          </w:p>
        </w:tc>
        <w:tc>
          <w:tcPr>
            <w:tcW w:w="777" w:type="dxa"/>
          </w:tcPr>
          <w:p w14:paraId="4FEBCFBE"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901</w:t>
            </w:r>
          </w:p>
        </w:tc>
      </w:tr>
      <w:tr w:rsidR="008D6F13" w:rsidRPr="002C0A3F" w14:paraId="6B853112" w14:textId="77777777" w:rsidTr="0031078F">
        <w:tc>
          <w:tcPr>
            <w:cnfStyle w:val="001000000000" w:firstRow="0" w:lastRow="0" w:firstColumn="1" w:lastColumn="0" w:oddVBand="0" w:evenVBand="0" w:oddHBand="0" w:evenHBand="0" w:firstRowFirstColumn="0" w:firstRowLastColumn="0" w:lastRowFirstColumn="0" w:lastRowLastColumn="0"/>
            <w:tcW w:w="3920" w:type="dxa"/>
            <w:tcBorders>
              <w:bottom w:val="single" w:sz="6" w:space="0" w:color="auto"/>
            </w:tcBorders>
          </w:tcPr>
          <w:p w14:paraId="648BDE7F" w14:textId="77777777" w:rsidR="008D6F13" w:rsidRPr="002C0A3F" w:rsidRDefault="008D6F13" w:rsidP="0031078F">
            <w:pPr>
              <w:rPr>
                <w:sz w:val="16"/>
                <w:szCs w:val="16"/>
              </w:rPr>
            </w:pPr>
            <w:r w:rsidRPr="002C0A3F">
              <w:rPr>
                <w:sz w:val="16"/>
                <w:szCs w:val="16"/>
              </w:rPr>
              <w:t>Other gains/(losses) from other economic flows</w:t>
            </w:r>
          </w:p>
        </w:tc>
        <w:tc>
          <w:tcPr>
            <w:tcW w:w="684" w:type="dxa"/>
            <w:tcBorders>
              <w:bottom w:val="single" w:sz="6" w:space="0" w:color="auto"/>
            </w:tcBorders>
          </w:tcPr>
          <w:p w14:paraId="64E3AC50"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498</w:t>
            </w:r>
          </w:p>
        </w:tc>
        <w:tc>
          <w:tcPr>
            <w:tcW w:w="776" w:type="dxa"/>
            <w:tcBorders>
              <w:bottom w:val="single" w:sz="6" w:space="0" w:color="auto"/>
            </w:tcBorders>
          </w:tcPr>
          <w:p w14:paraId="0D5674C6"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(387)</w:t>
            </w:r>
          </w:p>
        </w:tc>
        <w:tc>
          <w:tcPr>
            <w:tcW w:w="777" w:type="dxa"/>
            <w:tcBorders>
              <w:bottom w:val="single" w:sz="6" w:space="0" w:color="auto"/>
            </w:tcBorders>
          </w:tcPr>
          <w:p w14:paraId="48CA7F22"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391</w:t>
            </w:r>
          </w:p>
        </w:tc>
        <w:tc>
          <w:tcPr>
            <w:tcW w:w="776" w:type="dxa"/>
            <w:tcBorders>
              <w:bottom w:val="single" w:sz="6" w:space="0" w:color="auto"/>
            </w:tcBorders>
          </w:tcPr>
          <w:p w14:paraId="1B7C25D4"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725</w:t>
            </w:r>
          </w:p>
        </w:tc>
        <w:tc>
          <w:tcPr>
            <w:tcW w:w="777" w:type="dxa"/>
            <w:tcBorders>
              <w:bottom w:val="single" w:sz="6" w:space="0" w:color="auto"/>
            </w:tcBorders>
          </w:tcPr>
          <w:p w14:paraId="04C3EDC4"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827</w:t>
            </w:r>
          </w:p>
        </w:tc>
      </w:tr>
      <w:tr w:rsidR="008D6F13" w:rsidRPr="002C0A3F" w14:paraId="2D2D7453" w14:textId="77777777" w:rsidTr="0031078F">
        <w:tc>
          <w:tcPr>
            <w:cnfStyle w:val="001000000000" w:firstRow="0" w:lastRow="0" w:firstColumn="1" w:lastColumn="0" w:oddVBand="0" w:evenVBand="0" w:oddHBand="0" w:evenHBand="0" w:firstRowFirstColumn="0" w:firstRowLastColumn="0" w:lastRowFirstColumn="0" w:lastRowLastColumn="0"/>
            <w:tcW w:w="3920" w:type="dxa"/>
            <w:tcBorders>
              <w:top w:val="single" w:sz="6" w:space="0" w:color="auto"/>
              <w:bottom w:val="single" w:sz="6" w:space="0" w:color="auto"/>
            </w:tcBorders>
          </w:tcPr>
          <w:p w14:paraId="6FB87A92" w14:textId="77777777" w:rsidR="008D6F13" w:rsidRPr="002C0A3F" w:rsidRDefault="008D6F13" w:rsidP="0031078F">
            <w:pPr>
              <w:rPr>
                <w:sz w:val="16"/>
                <w:szCs w:val="16"/>
              </w:rPr>
            </w:pPr>
            <w:r w:rsidRPr="002C0A3F">
              <w:rPr>
                <w:b/>
                <w:sz w:val="16"/>
                <w:szCs w:val="16"/>
              </w:rPr>
              <w:t>Total other economic flows included in net result</w:t>
            </w:r>
          </w:p>
        </w:tc>
        <w:tc>
          <w:tcPr>
            <w:tcW w:w="684" w:type="dxa"/>
            <w:tcBorders>
              <w:top w:val="single" w:sz="6" w:space="0" w:color="auto"/>
              <w:bottom w:val="single" w:sz="6" w:space="0" w:color="auto"/>
            </w:tcBorders>
          </w:tcPr>
          <w:p w14:paraId="134316C6"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1 055</w:t>
            </w:r>
          </w:p>
        </w:tc>
        <w:tc>
          <w:tcPr>
            <w:tcW w:w="776" w:type="dxa"/>
            <w:tcBorders>
              <w:top w:val="single" w:sz="6" w:space="0" w:color="auto"/>
              <w:bottom w:val="single" w:sz="6" w:space="0" w:color="auto"/>
            </w:tcBorders>
          </w:tcPr>
          <w:p w14:paraId="0FCD546B"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(149)</w:t>
            </w:r>
          </w:p>
        </w:tc>
        <w:tc>
          <w:tcPr>
            <w:tcW w:w="777" w:type="dxa"/>
            <w:tcBorders>
              <w:top w:val="single" w:sz="6" w:space="0" w:color="auto"/>
              <w:bottom w:val="single" w:sz="6" w:space="0" w:color="auto"/>
            </w:tcBorders>
          </w:tcPr>
          <w:p w14:paraId="532C3FF9"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972</w:t>
            </w:r>
          </w:p>
        </w:tc>
        <w:tc>
          <w:tcPr>
            <w:tcW w:w="776" w:type="dxa"/>
            <w:tcBorders>
              <w:top w:val="single" w:sz="6" w:space="0" w:color="auto"/>
              <w:bottom w:val="single" w:sz="6" w:space="0" w:color="auto"/>
            </w:tcBorders>
          </w:tcPr>
          <w:p w14:paraId="639F08A6"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1 583</w:t>
            </w:r>
          </w:p>
        </w:tc>
        <w:tc>
          <w:tcPr>
            <w:tcW w:w="777" w:type="dxa"/>
            <w:tcBorders>
              <w:top w:val="single" w:sz="6" w:space="0" w:color="auto"/>
              <w:bottom w:val="single" w:sz="6" w:space="0" w:color="auto"/>
            </w:tcBorders>
          </w:tcPr>
          <w:p w14:paraId="671BB64C"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1 790</w:t>
            </w:r>
          </w:p>
        </w:tc>
      </w:tr>
      <w:tr w:rsidR="008D6F13" w:rsidRPr="002C0A3F" w14:paraId="0AB56D50" w14:textId="77777777" w:rsidTr="0031078F">
        <w:tc>
          <w:tcPr>
            <w:cnfStyle w:val="001000000000" w:firstRow="0" w:lastRow="0" w:firstColumn="1" w:lastColumn="0" w:oddVBand="0" w:evenVBand="0" w:oddHBand="0" w:evenHBand="0" w:firstRowFirstColumn="0" w:firstRowLastColumn="0" w:lastRowFirstColumn="0" w:lastRowLastColumn="0"/>
            <w:tcW w:w="3920" w:type="dxa"/>
            <w:tcBorders>
              <w:top w:val="single" w:sz="6" w:space="0" w:color="auto"/>
              <w:bottom w:val="single" w:sz="12" w:space="0" w:color="auto"/>
            </w:tcBorders>
          </w:tcPr>
          <w:p w14:paraId="43D47183" w14:textId="77777777" w:rsidR="008D6F13" w:rsidRPr="002C0A3F" w:rsidRDefault="008D6F13" w:rsidP="0031078F">
            <w:pPr>
              <w:rPr>
                <w:sz w:val="16"/>
                <w:szCs w:val="16"/>
              </w:rPr>
            </w:pPr>
            <w:r w:rsidRPr="002C0A3F">
              <w:rPr>
                <w:b/>
                <w:sz w:val="16"/>
                <w:szCs w:val="16"/>
              </w:rPr>
              <w:t>Net result</w:t>
            </w:r>
          </w:p>
        </w:tc>
        <w:tc>
          <w:tcPr>
            <w:tcW w:w="684" w:type="dxa"/>
            <w:tcBorders>
              <w:top w:val="single" w:sz="6" w:space="0" w:color="auto"/>
              <w:bottom w:val="single" w:sz="12" w:space="0" w:color="auto"/>
            </w:tcBorders>
          </w:tcPr>
          <w:p w14:paraId="481394DE"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(16 337)</w:t>
            </w:r>
          </w:p>
        </w:tc>
        <w:tc>
          <w:tcPr>
            <w:tcW w:w="776" w:type="dxa"/>
            <w:tcBorders>
              <w:top w:val="single" w:sz="6" w:space="0" w:color="auto"/>
              <w:bottom w:val="single" w:sz="12" w:space="0" w:color="auto"/>
            </w:tcBorders>
          </w:tcPr>
          <w:p w14:paraId="3242E02A"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(25 332)</w:t>
            </w:r>
          </w:p>
        </w:tc>
        <w:tc>
          <w:tcPr>
            <w:tcW w:w="777" w:type="dxa"/>
            <w:tcBorders>
              <w:top w:val="single" w:sz="6" w:space="0" w:color="auto"/>
              <w:bottom w:val="single" w:sz="12" w:space="0" w:color="auto"/>
            </w:tcBorders>
          </w:tcPr>
          <w:p w14:paraId="4A9E8B17"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(10 155)</w:t>
            </w:r>
          </w:p>
        </w:tc>
        <w:tc>
          <w:tcPr>
            <w:tcW w:w="776" w:type="dxa"/>
            <w:tcBorders>
              <w:top w:val="single" w:sz="6" w:space="0" w:color="auto"/>
              <w:bottom w:val="single" w:sz="12" w:space="0" w:color="auto"/>
            </w:tcBorders>
          </w:tcPr>
          <w:p w14:paraId="3F4AD768"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(9 944)</w:t>
            </w:r>
          </w:p>
        </w:tc>
        <w:tc>
          <w:tcPr>
            <w:tcW w:w="777" w:type="dxa"/>
            <w:tcBorders>
              <w:top w:val="single" w:sz="6" w:space="0" w:color="auto"/>
              <w:bottom w:val="single" w:sz="12" w:space="0" w:color="auto"/>
            </w:tcBorders>
          </w:tcPr>
          <w:p w14:paraId="353699C2"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(8 776)</w:t>
            </w:r>
          </w:p>
        </w:tc>
      </w:tr>
      <w:tr w:rsidR="008D6F13" w:rsidRPr="002C0A3F" w14:paraId="23241C52" w14:textId="77777777" w:rsidTr="0031078F">
        <w:tc>
          <w:tcPr>
            <w:cnfStyle w:val="001000000000" w:firstRow="0" w:lastRow="0" w:firstColumn="1" w:lastColumn="0" w:oddVBand="0" w:evenVBand="0" w:oddHBand="0" w:evenHBand="0" w:firstRowFirstColumn="0" w:firstRowLastColumn="0" w:lastRowFirstColumn="0" w:lastRowLastColumn="0"/>
            <w:tcW w:w="3920" w:type="dxa"/>
            <w:tcBorders>
              <w:top w:val="single" w:sz="6" w:space="0" w:color="auto"/>
            </w:tcBorders>
          </w:tcPr>
          <w:p w14:paraId="6D2F54A0" w14:textId="77777777" w:rsidR="008D6F13" w:rsidRPr="002C0A3F" w:rsidRDefault="008D6F13" w:rsidP="0031078F">
            <w:pPr>
              <w:rPr>
                <w:sz w:val="16"/>
                <w:szCs w:val="16"/>
              </w:rPr>
            </w:pPr>
            <w:r w:rsidRPr="002C0A3F">
              <w:rPr>
                <w:b/>
                <w:sz w:val="16"/>
                <w:szCs w:val="16"/>
              </w:rPr>
              <w:t xml:space="preserve">Other economic flows – </w:t>
            </w:r>
            <w:r w:rsidRPr="002C0A3F">
              <w:rPr>
                <w:b/>
                <w:sz w:val="16"/>
                <w:szCs w:val="16"/>
              </w:rPr>
              <w:br/>
              <w:t>other comprehensive income</w:t>
            </w:r>
          </w:p>
        </w:tc>
        <w:tc>
          <w:tcPr>
            <w:tcW w:w="684" w:type="dxa"/>
            <w:tcBorders>
              <w:top w:val="single" w:sz="6" w:space="0" w:color="auto"/>
            </w:tcBorders>
          </w:tcPr>
          <w:p w14:paraId="4BCE71AA"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76" w:type="dxa"/>
            <w:tcBorders>
              <w:top w:val="single" w:sz="6" w:space="0" w:color="auto"/>
            </w:tcBorders>
          </w:tcPr>
          <w:p w14:paraId="49EB6431"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Borders>
              <w:top w:val="single" w:sz="6" w:space="0" w:color="auto"/>
            </w:tcBorders>
          </w:tcPr>
          <w:p w14:paraId="666F990B"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76" w:type="dxa"/>
            <w:tcBorders>
              <w:top w:val="single" w:sz="6" w:space="0" w:color="auto"/>
            </w:tcBorders>
          </w:tcPr>
          <w:p w14:paraId="624F34C1"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Borders>
              <w:top w:val="single" w:sz="6" w:space="0" w:color="auto"/>
            </w:tcBorders>
          </w:tcPr>
          <w:p w14:paraId="13A7B053"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r>
      <w:tr w:rsidR="008D6F13" w:rsidRPr="002C0A3F" w14:paraId="68D53DBB" w14:textId="77777777" w:rsidTr="0031078F">
        <w:tc>
          <w:tcPr>
            <w:cnfStyle w:val="001000000000" w:firstRow="0" w:lastRow="0" w:firstColumn="1" w:lastColumn="0" w:oddVBand="0" w:evenVBand="0" w:oddHBand="0" w:evenHBand="0" w:firstRowFirstColumn="0" w:firstRowLastColumn="0" w:lastRowFirstColumn="0" w:lastRowLastColumn="0"/>
            <w:tcW w:w="3920" w:type="dxa"/>
          </w:tcPr>
          <w:p w14:paraId="3B5F4A29" w14:textId="77777777" w:rsidR="008D6F13" w:rsidRPr="002C0A3F" w:rsidRDefault="008D6F13" w:rsidP="0031078F">
            <w:pPr>
              <w:rPr>
                <w:sz w:val="16"/>
                <w:szCs w:val="16"/>
              </w:rPr>
            </w:pPr>
            <w:r w:rsidRPr="002C0A3F">
              <w:rPr>
                <w:b/>
                <w:sz w:val="16"/>
                <w:szCs w:val="16"/>
              </w:rPr>
              <w:t>Items that will not be reclassified to net result</w:t>
            </w:r>
          </w:p>
        </w:tc>
        <w:tc>
          <w:tcPr>
            <w:tcW w:w="684" w:type="dxa"/>
          </w:tcPr>
          <w:p w14:paraId="51ACCE9A"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76" w:type="dxa"/>
          </w:tcPr>
          <w:p w14:paraId="6D7EBD43"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322FB2F2"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76" w:type="dxa"/>
          </w:tcPr>
          <w:p w14:paraId="6AF0AE46"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2E5AB4C2"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r>
      <w:tr w:rsidR="008D6F13" w:rsidRPr="002C0A3F" w14:paraId="31893E1F" w14:textId="77777777" w:rsidTr="0031078F">
        <w:tc>
          <w:tcPr>
            <w:cnfStyle w:val="001000000000" w:firstRow="0" w:lastRow="0" w:firstColumn="1" w:lastColumn="0" w:oddVBand="0" w:evenVBand="0" w:oddHBand="0" w:evenHBand="0" w:firstRowFirstColumn="0" w:firstRowLastColumn="0" w:lastRowFirstColumn="0" w:lastRowLastColumn="0"/>
            <w:tcW w:w="3920" w:type="dxa"/>
          </w:tcPr>
          <w:p w14:paraId="57AE252B" w14:textId="77777777" w:rsidR="008D6F13" w:rsidRPr="002C0A3F" w:rsidRDefault="008D6F13" w:rsidP="0031078F">
            <w:pPr>
              <w:rPr>
                <w:sz w:val="16"/>
                <w:szCs w:val="16"/>
              </w:rPr>
            </w:pPr>
            <w:r w:rsidRPr="002C0A3F">
              <w:rPr>
                <w:sz w:val="16"/>
                <w:szCs w:val="16"/>
              </w:rPr>
              <w:t>Changes in non</w:t>
            </w:r>
            <w:r w:rsidRPr="002C0A3F">
              <w:rPr>
                <w:sz w:val="16"/>
                <w:szCs w:val="16"/>
              </w:rPr>
              <w:noBreakHyphen/>
              <w:t>financial assets revaluation surplus</w:t>
            </w:r>
          </w:p>
        </w:tc>
        <w:tc>
          <w:tcPr>
            <w:tcW w:w="684" w:type="dxa"/>
          </w:tcPr>
          <w:p w14:paraId="4ED4D496"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573</w:t>
            </w:r>
          </w:p>
        </w:tc>
        <w:tc>
          <w:tcPr>
            <w:tcW w:w="776" w:type="dxa"/>
          </w:tcPr>
          <w:p w14:paraId="55EC62E5"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539</w:t>
            </w:r>
          </w:p>
        </w:tc>
        <w:tc>
          <w:tcPr>
            <w:tcW w:w="777" w:type="dxa"/>
          </w:tcPr>
          <w:p w14:paraId="689AD450"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7 039</w:t>
            </w:r>
          </w:p>
        </w:tc>
        <w:tc>
          <w:tcPr>
            <w:tcW w:w="776" w:type="dxa"/>
          </w:tcPr>
          <w:p w14:paraId="16CFFB33"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6 120</w:t>
            </w:r>
          </w:p>
        </w:tc>
        <w:tc>
          <w:tcPr>
            <w:tcW w:w="777" w:type="dxa"/>
          </w:tcPr>
          <w:p w14:paraId="43E489DA"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10 102</w:t>
            </w:r>
          </w:p>
        </w:tc>
      </w:tr>
      <w:tr w:rsidR="008D6F13" w:rsidRPr="002C0A3F" w14:paraId="58C8B56F" w14:textId="77777777" w:rsidTr="0031078F">
        <w:tc>
          <w:tcPr>
            <w:cnfStyle w:val="001000000000" w:firstRow="0" w:lastRow="0" w:firstColumn="1" w:lastColumn="0" w:oddVBand="0" w:evenVBand="0" w:oddHBand="0" w:evenHBand="0" w:firstRowFirstColumn="0" w:firstRowLastColumn="0" w:lastRowFirstColumn="0" w:lastRowLastColumn="0"/>
            <w:tcW w:w="3920" w:type="dxa"/>
          </w:tcPr>
          <w:p w14:paraId="79210180" w14:textId="77777777" w:rsidR="008D6F13" w:rsidRPr="002C0A3F" w:rsidRDefault="008D6F13" w:rsidP="0031078F">
            <w:pPr>
              <w:rPr>
                <w:sz w:val="16"/>
                <w:szCs w:val="16"/>
              </w:rPr>
            </w:pPr>
            <w:r w:rsidRPr="002C0A3F">
              <w:rPr>
                <w:sz w:val="16"/>
                <w:szCs w:val="16"/>
              </w:rPr>
              <w:t>Remeasurement of superannuation defined benefit plans</w:t>
            </w:r>
          </w:p>
        </w:tc>
        <w:tc>
          <w:tcPr>
            <w:tcW w:w="684" w:type="dxa"/>
          </w:tcPr>
          <w:p w14:paraId="02438E54"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1 241</w:t>
            </w:r>
          </w:p>
        </w:tc>
        <w:tc>
          <w:tcPr>
            <w:tcW w:w="776" w:type="dxa"/>
          </w:tcPr>
          <w:p w14:paraId="74B7E5AF"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1 690</w:t>
            </w:r>
          </w:p>
        </w:tc>
        <w:tc>
          <w:tcPr>
            <w:tcW w:w="777" w:type="dxa"/>
          </w:tcPr>
          <w:p w14:paraId="4DF35B1E"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1 371</w:t>
            </w:r>
          </w:p>
        </w:tc>
        <w:tc>
          <w:tcPr>
            <w:tcW w:w="776" w:type="dxa"/>
          </w:tcPr>
          <w:p w14:paraId="0BFB7813"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1 394</w:t>
            </w:r>
          </w:p>
        </w:tc>
        <w:tc>
          <w:tcPr>
            <w:tcW w:w="777" w:type="dxa"/>
          </w:tcPr>
          <w:p w14:paraId="493A3324"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1 420</w:t>
            </w:r>
          </w:p>
        </w:tc>
      </w:tr>
      <w:tr w:rsidR="008D6F13" w:rsidRPr="002C0A3F" w14:paraId="2E89136B" w14:textId="77777777" w:rsidTr="0031078F">
        <w:tc>
          <w:tcPr>
            <w:cnfStyle w:val="001000000000" w:firstRow="0" w:lastRow="0" w:firstColumn="1" w:lastColumn="0" w:oddVBand="0" w:evenVBand="0" w:oddHBand="0" w:evenHBand="0" w:firstRowFirstColumn="0" w:firstRowLastColumn="0" w:lastRowFirstColumn="0" w:lastRowLastColumn="0"/>
            <w:tcW w:w="3920" w:type="dxa"/>
          </w:tcPr>
          <w:p w14:paraId="26E5367F" w14:textId="77777777" w:rsidR="008D6F13" w:rsidRPr="002C0A3F" w:rsidRDefault="008D6F13" w:rsidP="0031078F">
            <w:pPr>
              <w:rPr>
                <w:sz w:val="16"/>
                <w:szCs w:val="16"/>
              </w:rPr>
            </w:pPr>
            <w:r w:rsidRPr="002C0A3F">
              <w:rPr>
                <w:sz w:val="16"/>
                <w:szCs w:val="16"/>
              </w:rPr>
              <w:t>Other movements in equity</w:t>
            </w:r>
          </w:p>
        </w:tc>
        <w:tc>
          <w:tcPr>
            <w:tcW w:w="684" w:type="dxa"/>
          </w:tcPr>
          <w:p w14:paraId="42687171"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w:t>
            </w:r>
          </w:p>
        </w:tc>
        <w:tc>
          <w:tcPr>
            <w:tcW w:w="776" w:type="dxa"/>
          </w:tcPr>
          <w:p w14:paraId="3BD4C495"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(35)</w:t>
            </w:r>
          </w:p>
        </w:tc>
        <w:tc>
          <w:tcPr>
            <w:tcW w:w="777" w:type="dxa"/>
          </w:tcPr>
          <w:p w14:paraId="6C865B5F"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34</w:t>
            </w:r>
          </w:p>
        </w:tc>
        <w:tc>
          <w:tcPr>
            <w:tcW w:w="776" w:type="dxa"/>
          </w:tcPr>
          <w:p w14:paraId="796C4425"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39</w:t>
            </w:r>
          </w:p>
        </w:tc>
        <w:tc>
          <w:tcPr>
            <w:tcW w:w="777" w:type="dxa"/>
          </w:tcPr>
          <w:p w14:paraId="497F2A5D"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46</w:t>
            </w:r>
          </w:p>
        </w:tc>
      </w:tr>
      <w:tr w:rsidR="008D6F13" w:rsidRPr="002C0A3F" w14:paraId="6422C188" w14:textId="77777777" w:rsidTr="0031078F">
        <w:tc>
          <w:tcPr>
            <w:cnfStyle w:val="001000000000" w:firstRow="0" w:lastRow="0" w:firstColumn="1" w:lastColumn="0" w:oddVBand="0" w:evenVBand="0" w:oddHBand="0" w:evenHBand="0" w:firstRowFirstColumn="0" w:firstRowLastColumn="0" w:lastRowFirstColumn="0" w:lastRowLastColumn="0"/>
            <w:tcW w:w="3920" w:type="dxa"/>
          </w:tcPr>
          <w:p w14:paraId="5BBABD58" w14:textId="77777777" w:rsidR="008D6F13" w:rsidRPr="002C0A3F" w:rsidRDefault="008D6F13" w:rsidP="0031078F">
            <w:pPr>
              <w:rPr>
                <w:sz w:val="16"/>
                <w:szCs w:val="16"/>
              </w:rPr>
            </w:pPr>
            <w:r w:rsidRPr="002C0A3F">
              <w:rPr>
                <w:b/>
                <w:sz w:val="16"/>
                <w:szCs w:val="16"/>
              </w:rPr>
              <w:t>Items that may be reclassified subsequently to net result</w:t>
            </w:r>
          </w:p>
        </w:tc>
        <w:tc>
          <w:tcPr>
            <w:tcW w:w="684" w:type="dxa"/>
          </w:tcPr>
          <w:p w14:paraId="25FED221"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76" w:type="dxa"/>
          </w:tcPr>
          <w:p w14:paraId="3BD00AD0"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373BAAB3"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76" w:type="dxa"/>
          </w:tcPr>
          <w:p w14:paraId="07106667"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1B353AF0"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r>
      <w:tr w:rsidR="008D6F13" w:rsidRPr="002C0A3F" w14:paraId="66FD055A" w14:textId="77777777" w:rsidTr="0031078F">
        <w:tc>
          <w:tcPr>
            <w:cnfStyle w:val="001000000000" w:firstRow="0" w:lastRow="0" w:firstColumn="1" w:lastColumn="0" w:oddVBand="0" w:evenVBand="0" w:oddHBand="0" w:evenHBand="0" w:firstRowFirstColumn="0" w:firstRowLastColumn="0" w:lastRowFirstColumn="0" w:lastRowLastColumn="0"/>
            <w:tcW w:w="3920" w:type="dxa"/>
          </w:tcPr>
          <w:p w14:paraId="24676F07" w14:textId="77777777" w:rsidR="008D6F13" w:rsidRPr="002C0A3F" w:rsidRDefault="008D6F13" w:rsidP="0031078F">
            <w:pPr>
              <w:rPr>
                <w:sz w:val="16"/>
                <w:szCs w:val="16"/>
              </w:rPr>
            </w:pPr>
            <w:r w:rsidRPr="002C0A3F">
              <w:rPr>
                <w:sz w:val="16"/>
                <w:szCs w:val="16"/>
              </w:rPr>
              <w:t>Net gain/(loss) on financial assets at fair value</w:t>
            </w:r>
          </w:p>
        </w:tc>
        <w:tc>
          <w:tcPr>
            <w:tcW w:w="684" w:type="dxa"/>
          </w:tcPr>
          <w:p w14:paraId="2F1B133F"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w:t>
            </w:r>
          </w:p>
        </w:tc>
        <w:tc>
          <w:tcPr>
            <w:tcW w:w="776" w:type="dxa"/>
          </w:tcPr>
          <w:p w14:paraId="3CBE181A"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w:t>
            </w:r>
          </w:p>
        </w:tc>
        <w:tc>
          <w:tcPr>
            <w:tcW w:w="777" w:type="dxa"/>
          </w:tcPr>
          <w:p w14:paraId="63AF6A78"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w:t>
            </w:r>
          </w:p>
        </w:tc>
        <w:tc>
          <w:tcPr>
            <w:tcW w:w="776" w:type="dxa"/>
          </w:tcPr>
          <w:p w14:paraId="5B94734E"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w:t>
            </w:r>
          </w:p>
        </w:tc>
        <w:tc>
          <w:tcPr>
            <w:tcW w:w="777" w:type="dxa"/>
          </w:tcPr>
          <w:p w14:paraId="69185EE2"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w:t>
            </w:r>
          </w:p>
        </w:tc>
      </w:tr>
      <w:tr w:rsidR="008D6F13" w:rsidRPr="002C0A3F" w14:paraId="20E10EBB" w14:textId="77777777" w:rsidTr="0031078F">
        <w:tc>
          <w:tcPr>
            <w:cnfStyle w:val="001000000000" w:firstRow="0" w:lastRow="0" w:firstColumn="1" w:lastColumn="0" w:oddVBand="0" w:evenVBand="0" w:oddHBand="0" w:evenHBand="0" w:firstRowFirstColumn="0" w:firstRowLastColumn="0" w:lastRowFirstColumn="0" w:lastRowLastColumn="0"/>
            <w:tcW w:w="3920" w:type="dxa"/>
            <w:tcBorders>
              <w:top w:val="single" w:sz="6" w:space="0" w:color="auto"/>
              <w:bottom w:val="single" w:sz="6" w:space="0" w:color="auto"/>
            </w:tcBorders>
          </w:tcPr>
          <w:p w14:paraId="13C33433" w14:textId="77777777" w:rsidR="008D6F13" w:rsidRPr="002C0A3F" w:rsidRDefault="008D6F13" w:rsidP="0031078F">
            <w:pPr>
              <w:rPr>
                <w:sz w:val="16"/>
                <w:szCs w:val="16"/>
              </w:rPr>
            </w:pPr>
            <w:r w:rsidRPr="002C0A3F">
              <w:rPr>
                <w:b/>
                <w:sz w:val="16"/>
                <w:szCs w:val="16"/>
              </w:rPr>
              <w:t xml:space="preserve">Total other economic flows – </w:t>
            </w:r>
            <w:r>
              <w:rPr>
                <w:b/>
                <w:sz w:val="16"/>
                <w:szCs w:val="16"/>
              </w:rPr>
              <w:br/>
            </w:r>
            <w:r w:rsidRPr="002C0A3F">
              <w:rPr>
                <w:b/>
                <w:sz w:val="16"/>
                <w:szCs w:val="16"/>
              </w:rPr>
              <w:t>other comprehensive income</w:t>
            </w:r>
          </w:p>
        </w:tc>
        <w:tc>
          <w:tcPr>
            <w:tcW w:w="684" w:type="dxa"/>
            <w:tcBorders>
              <w:top w:val="single" w:sz="6" w:space="0" w:color="auto"/>
              <w:bottom w:val="single" w:sz="6" w:space="0" w:color="auto"/>
            </w:tcBorders>
          </w:tcPr>
          <w:p w14:paraId="42B64E96"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1 817</w:t>
            </w:r>
          </w:p>
        </w:tc>
        <w:tc>
          <w:tcPr>
            <w:tcW w:w="776" w:type="dxa"/>
            <w:tcBorders>
              <w:top w:val="single" w:sz="6" w:space="0" w:color="auto"/>
              <w:bottom w:val="single" w:sz="6" w:space="0" w:color="auto"/>
            </w:tcBorders>
          </w:tcPr>
          <w:p w14:paraId="66F1A3F6"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2 193</w:t>
            </w:r>
          </w:p>
        </w:tc>
        <w:tc>
          <w:tcPr>
            <w:tcW w:w="777" w:type="dxa"/>
            <w:tcBorders>
              <w:top w:val="single" w:sz="6" w:space="0" w:color="auto"/>
              <w:bottom w:val="single" w:sz="6" w:space="0" w:color="auto"/>
            </w:tcBorders>
          </w:tcPr>
          <w:p w14:paraId="5F2BFB8B"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8 446</w:t>
            </w:r>
          </w:p>
        </w:tc>
        <w:tc>
          <w:tcPr>
            <w:tcW w:w="776" w:type="dxa"/>
            <w:tcBorders>
              <w:top w:val="single" w:sz="6" w:space="0" w:color="auto"/>
              <w:bottom w:val="single" w:sz="6" w:space="0" w:color="auto"/>
            </w:tcBorders>
          </w:tcPr>
          <w:p w14:paraId="355DE1E8"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7 556</w:t>
            </w:r>
          </w:p>
        </w:tc>
        <w:tc>
          <w:tcPr>
            <w:tcW w:w="777" w:type="dxa"/>
            <w:tcBorders>
              <w:top w:val="single" w:sz="6" w:space="0" w:color="auto"/>
              <w:bottom w:val="single" w:sz="6" w:space="0" w:color="auto"/>
            </w:tcBorders>
          </w:tcPr>
          <w:p w14:paraId="6DB05606"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11 571</w:t>
            </w:r>
          </w:p>
        </w:tc>
      </w:tr>
      <w:tr w:rsidR="008D6F13" w:rsidRPr="002C0A3F" w14:paraId="33A7AFFE" w14:textId="77777777" w:rsidTr="0031078F">
        <w:tc>
          <w:tcPr>
            <w:cnfStyle w:val="001000000000" w:firstRow="0" w:lastRow="0" w:firstColumn="1" w:lastColumn="0" w:oddVBand="0" w:evenVBand="0" w:oddHBand="0" w:evenHBand="0" w:firstRowFirstColumn="0" w:firstRowLastColumn="0" w:lastRowFirstColumn="0" w:lastRowLastColumn="0"/>
            <w:tcW w:w="3920" w:type="dxa"/>
            <w:tcBorders>
              <w:top w:val="single" w:sz="6" w:space="0" w:color="auto"/>
              <w:bottom w:val="single" w:sz="12" w:space="0" w:color="auto"/>
            </w:tcBorders>
          </w:tcPr>
          <w:p w14:paraId="74FEDACC" w14:textId="77777777" w:rsidR="008D6F13" w:rsidRPr="002C0A3F" w:rsidRDefault="008D6F13" w:rsidP="0031078F">
            <w:pPr>
              <w:rPr>
                <w:sz w:val="16"/>
                <w:szCs w:val="16"/>
              </w:rPr>
            </w:pPr>
            <w:r w:rsidRPr="002C0A3F">
              <w:rPr>
                <w:b/>
                <w:sz w:val="16"/>
                <w:szCs w:val="16"/>
              </w:rPr>
              <w:t>Comprehensive result – total change in net worth</w:t>
            </w:r>
          </w:p>
        </w:tc>
        <w:tc>
          <w:tcPr>
            <w:tcW w:w="684" w:type="dxa"/>
            <w:tcBorders>
              <w:top w:val="single" w:sz="6" w:space="0" w:color="auto"/>
              <w:bottom w:val="single" w:sz="12" w:space="0" w:color="auto"/>
            </w:tcBorders>
          </w:tcPr>
          <w:p w14:paraId="701CAD28"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(14 520)</w:t>
            </w:r>
          </w:p>
        </w:tc>
        <w:tc>
          <w:tcPr>
            <w:tcW w:w="776" w:type="dxa"/>
            <w:tcBorders>
              <w:top w:val="single" w:sz="6" w:space="0" w:color="auto"/>
              <w:bottom w:val="single" w:sz="12" w:space="0" w:color="auto"/>
            </w:tcBorders>
          </w:tcPr>
          <w:p w14:paraId="172BCAD9"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(23 139)</w:t>
            </w:r>
          </w:p>
        </w:tc>
        <w:tc>
          <w:tcPr>
            <w:tcW w:w="777" w:type="dxa"/>
            <w:tcBorders>
              <w:top w:val="single" w:sz="6" w:space="0" w:color="auto"/>
              <w:bottom w:val="single" w:sz="12" w:space="0" w:color="auto"/>
            </w:tcBorders>
          </w:tcPr>
          <w:p w14:paraId="0611AF4B"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(1 709)</w:t>
            </w:r>
          </w:p>
        </w:tc>
        <w:tc>
          <w:tcPr>
            <w:tcW w:w="776" w:type="dxa"/>
            <w:tcBorders>
              <w:top w:val="single" w:sz="6" w:space="0" w:color="auto"/>
              <w:bottom w:val="single" w:sz="12" w:space="0" w:color="auto"/>
            </w:tcBorders>
          </w:tcPr>
          <w:p w14:paraId="6F7E7628"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(2 388)</w:t>
            </w:r>
          </w:p>
        </w:tc>
        <w:tc>
          <w:tcPr>
            <w:tcW w:w="777" w:type="dxa"/>
            <w:tcBorders>
              <w:top w:val="single" w:sz="6" w:space="0" w:color="auto"/>
              <w:bottom w:val="single" w:sz="12" w:space="0" w:color="auto"/>
            </w:tcBorders>
          </w:tcPr>
          <w:p w14:paraId="6187D949"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2 795</w:t>
            </w:r>
          </w:p>
        </w:tc>
      </w:tr>
      <w:tr w:rsidR="008D6F13" w:rsidRPr="002C0A3F" w14:paraId="590E3949" w14:textId="77777777" w:rsidTr="0031078F">
        <w:trPr>
          <w:trHeight w:hRule="exact" w:val="113"/>
        </w:trPr>
        <w:tc>
          <w:tcPr>
            <w:cnfStyle w:val="001000000000" w:firstRow="0" w:lastRow="0" w:firstColumn="1" w:lastColumn="0" w:oddVBand="0" w:evenVBand="0" w:oddHBand="0" w:evenHBand="0" w:firstRowFirstColumn="0" w:firstRowLastColumn="0" w:lastRowFirstColumn="0" w:lastRowLastColumn="0"/>
            <w:tcW w:w="3920" w:type="dxa"/>
            <w:tcBorders>
              <w:top w:val="single" w:sz="6" w:space="0" w:color="auto"/>
            </w:tcBorders>
          </w:tcPr>
          <w:p w14:paraId="43178162" w14:textId="77777777" w:rsidR="008D6F13" w:rsidRPr="002C0A3F" w:rsidRDefault="008D6F13" w:rsidP="0031078F">
            <w:pPr>
              <w:rPr>
                <w:sz w:val="16"/>
                <w:szCs w:val="16"/>
              </w:rPr>
            </w:pPr>
          </w:p>
        </w:tc>
        <w:tc>
          <w:tcPr>
            <w:tcW w:w="684" w:type="dxa"/>
            <w:tcBorders>
              <w:top w:val="single" w:sz="6" w:space="0" w:color="auto"/>
            </w:tcBorders>
          </w:tcPr>
          <w:p w14:paraId="77CB6BD5"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76" w:type="dxa"/>
            <w:tcBorders>
              <w:top w:val="single" w:sz="6" w:space="0" w:color="auto"/>
            </w:tcBorders>
          </w:tcPr>
          <w:p w14:paraId="51F4C569"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Borders>
              <w:top w:val="single" w:sz="6" w:space="0" w:color="auto"/>
            </w:tcBorders>
          </w:tcPr>
          <w:p w14:paraId="364630E0"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76" w:type="dxa"/>
            <w:tcBorders>
              <w:top w:val="single" w:sz="6" w:space="0" w:color="auto"/>
            </w:tcBorders>
          </w:tcPr>
          <w:p w14:paraId="3DCDD226"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Borders>
              <w:top w:val="single" w:sz="6" w:space="0" w:color="auto"/>
            </w:tcBorders>
          </w:tcPr>
          <w:p w14:paraId="1C03CE4E"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r>
      <w:tr w:rsidR="008D6F13" w:rsidRPr="002C0A3F" w14:paraId="2817321B" w14:textId="77777777" w:rsidTr="0031078F">
        <w:tc>
          <w:tcPr>
            <w:cnfStyle w:val="001000000000" w:firstRow="0" w:lastRow="0" w:firstColumn="1" w:lastColumn="0" w:oddVBand="0" w:evenVBand="0" w:oddHBand="0" w:evenHBand="0" w:firstRowFirstColumn="0" w:firstRowLastColumn="0" w:lastRowFirstColumn="0" w:lastRowLastColumn="0"/>
            <w:tcW w:w="3920" w:type="dxa"/>
          </w:tcPr>
          <w:p w14:paraId="11B89325" w14:textId="77777777" w:rsidR="008D6F13" w:rsidRPr="002C0A3F" w:rsidRDefault="008D6F13" w:rsidP="0031078F">
            <w:pPr>
              <w:rPr>
                <w:sz w:val="16"/>
                <w:szCs w:val="16"/>
              </w:rPr>
            </w:pPr>
            <w:r w:rsidRPr="002C0A3F">
              <w:rPr>
                <w:b/>
                <w:sz w:val="16"/>
                <w:szCs w:val="16"/>
              </w:rPr>
              <w:t>KEY FISCAL AGGREGATES</w:t>
            </w:r>
          </w:p>
        </w:tc>
        <w:tc>
          <w:tcPr>
            <w:tcW w:w="684" w:type="dxa"/>
          </w:tcPr>
          <w:p w14:paraId="70F19BF3"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76" w:type="dxa"/>
          </w:tcPr>
          <w:p w14:paraId="7FF8AB3D"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01CE4E02"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76" w:type="dxa"/>
          </w:tcPr>
          <w:p w14:paraId="6293462A"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77" w:type="dxa"/>
          </w:tcPr>
          <w:p w14:paraId="46F7B63E"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r>
      <w:tr w:rsidR="008D6F13" w:rsidRPr="002C0A3F" w14:paraId="4489BDB9" w14:textId="77777777" w:rsidTr="0031078F">
        <w:tc>
          <w:tcPr>
            <w:cnfStyle w:val="001000000000" w:firstRow="0" w:lastRow="0" w:firstColumn="1" w:lastColumn="0" w:oddVBand="0" w:evenVBand="0" w:oddHBand="0" w:evenHBand="0" w:firstRowFirstColumn="0" w:firstRowLastColumn="0" w:lastRowFirstColumn="0" w:lastRowLastColumn="0"/>
            <w:tcW w:w="3920" w:type="dxa"/>
          </w:tcPr>
          <w:p w14:paraId="1CE9F786" w14:textId="77777777" w:rsidR="008D6F13" w:rsidRPr="002C0A3F" w:rsidRDefault="008D6F13" w:rsidP="0031078F">
            <w:pPr>
              <w:rPr>
                <w:sz w:val="16"/>
                <w:szCs w:val="16"/>
              </w:rPr>
            </w:pPr>
            <w:r w:rsidRPr="002C0A3F">
              <w:rPr>
                <w:b/>
                <w:sz w:val="16"/>
                <w:szCs w:val="16"/>
              </w:rPr>
              <w:t>Net operating balance</w:t>
            </w:r>
          </w:p>
        </w:tc>
        <w:tc>
          <w:tcPr>
            <w:tcW w:w="684" w:type="dxa"/>
          </w:tcPr>
          <w:p w14:paraId="56C98E9E"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(17 392)</w:t>
            </w:r>
          </w:p>
        </w:tc>
        <w:tc>
          <w:tcPr>
            <w:tcW w:w="776" w:type="dxa"/>
          </w:tcPr>
          <w:p w14:paraId="0D71336B"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(25 183)</w:t>
            </w:r>
          </w:p>
        </w:tc>
        <w:tc>
          <w:tcPr>
            <w:tcW w:w="777" w:type="dxa"/>
          </w:tcPr>
          <w:p w14:paraId="4ACE588D"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(11 127)</w:t>
            </w:r>
          </w:p>
        </w:tc>
        <w:tc>
          <w:tcPr>
            <w:tcW w:w="776" w:type="dxa"/>
          </w:tcPr>
          <w:p w14:paraId="6927FA67"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(11 527)</w:t>
            </w:r>
          </w:p>
        </w:tc>
        <w:tc>
          <w:tcPr>
            <w:tcW w:w="777" w:type="dxa"/>
          </w:tcPr>
          <w:p w14:paraId="3DBE31D0"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(10 566)</w:t>
            </w:r>
          </w:p>
        </w:tc>
      </w:tr>
      <w:tr w:rsidR="008D6F13" w:rsidRPr="002C0A3F" w14:paraId="746D3F3A" w14:textId="77777777" w:rsidTr="0031078F">
        <w:tc>
          <w:tcPr>
            <w:cnfStyle w:val="001000000000" w:firstRow="0" w:lastRow="0" w:firstColumn="1" w:lastColumn="0" w:oddVBand="0" w:evenVBand="0" w:oddHBand="0" w:evenHBand="0" w:firstRowFirstColumn="0" w:firstRowLastColumn="0" w:lastRowFirstColumn="0" w:lastRowLastColumn="0"/>
            <w:tcW w:w="3920" w:type="dxa"/>
            <w:tcBorders>
              <w:bottom w:val="single" w:sz="6" w:space="0" w:color="auto"/>
            </w:tcBorders>
          </w:tcPr>
          <w:p w14:paraId="73402EC8" w14:textId="77777777" w:rsidR="008D6F13" w:rsidRPr="002C0A3F" w:rsidRDefault="008D6F13" w:rsidP="0031078F">
            <w:pPr>
              <w:rPr>
                <w:sz w:val="16"/>
                <w:szCs w:val="16"/>
              </w:rPr>
            </w:pPr>
            <w:r w:rsidRPr="002C0A3F">
              <w:rPr>
                <w:sz w:val="16"/>
                <w:szCs w:val="16"/>
              </w:rPr>
              <w:t>Less: Net acquisition of non</w:t>
            </w:r>
            <w:r w:rsidRPr="002C0A3F">
              <w:rPr>
                <w:sz w:val="16"/>
                <w:szCs w:val="16"/>
              </w:rPr>
              <w:noBreakHyphen/>
              <w:t>financial assets from transactions</w:t>
            </w:r>
          </w:p>
        </w:tc>
        <w:tc>
          <w:tcPr>
            <w:tcW w:w="684" w:type="dxa"/>
            <w:tcBorders>
              <w:bottom w:val="single" w:sz="6" w:space="0" w:color="auto"/>
            </w:tcBorders>
          </w:tcPr>
          <w:p w14:paraId="004FA0ED"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20 038</w:t>
            </w:r>
          </w:p>
        </w:tc>
        <w:tc>
          <w:tcPr>
            <w:tcW w:w="776" w:type="dxa"/>
            <w:tcBorders>
              <w:bottom w:val="single" w:sz="6" w:space="0" w:color="auto"/>
            </w:tcBorders>
          </w:tcPr>
          <w:p w14:paraId="09DD57BA"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15 355</w:t>
            </w:r>
          </w:p>
        </w:tc>
        <w:tc>
          <w:tcPr>
            <w:tcW w:w="777" w:type="dxa"/>
            <w:tcBorders>
              <w:bottom w:val="single" w:sz="6" w:space="0" w:color="auto"/>
            </w:tcBorders>
          </w:tcPr>
          <w:p w14:paraId="0B7B33D2"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16 850</w:t>
            </w:r>
          </w:p>
        </w:tc>
        <w:tc>
          <w:tcPr>
            <w:tcW w:w="776" w:type="dxa"/>
            <w:tcBorders>
              <w:bottom w:val="single" w:sz="6" w:space="0" w:color="auto"/>
            </w:tcBorders>
          </w:tcPr>
          <w:p w14:paraId="107FB874"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17 397</w:t>
            </w:r>
          </w:p>
        </w:tc>
        <w:tc>
          <w:tcPr>
            <w:tcW w:w="777" w:type="dxa"/>
            <w:tcBorders>
              <w:bottom w:val="single" w:sz="6" w:space="0" w:color="auto"/>
            </w:tcBorders>
          </w:tcPr>
          <w:p w14:paraId="0ED3F511"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16 592</w:t>
            </w:r>
          </w:p>
        </w:tc>
      </w:tr>
      <w:tr w:rsidR="008D6F13" w:rsidRPr="002C0A3F" w14:paraId="66967178" w14:textId="77777777" w:rsidTr="0031078F">
        <w:tc>
          <w:tcPr>
            <w:cnfStyle w:val="001000000000" w:firstRow="0" w:lastRow="0" w:firstColumn="1" w:lastColumn="0" w:oddVBand="0" w:evenVBand="0" w:oddHBand="0" w:evenHBand="0" w:firstRowFirstColumn="0" w:firstRowLastColumn="0" w:lastRowFirstColumn="0" w:lastRowLastColumn="0"/>
            <w:tcW w:w="3920" w:type="dxa"/>
          </w:tcPr>
          <w:p w14:paraId="1E1F7ACD" w14:textId="77777777" w:rsidR="008D6F13" w:rsidRPr="002C0A3F" w:rsidRDefault="008D6F13" w:rsidP="0031078F">
            <w:pPr>
              <w:rPr>
                <w:sz w:val="16"/>
                <w:szCs w:val="16"/>
              </w:rPr>
            </w:pPr>
            <w:r w:rsidRPr="002C0A3F">
              <w:rPr>
                <w:b/>
                <w:sz w:val="16"/>
                <w:szCs w:val="16"/>
              </w:rPr>
              <w:t>Net lending/(borrowing)</w:t>
            </w:r>
          </w:p>
        </w:tc>
        <w:tc>
          <w:tcPr>
            <w:tcW w:w="684" w:type="dxa"/>
          </w:tcPr>
          <w:p w14:paraId="38B6BF26"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(37 429)</w:t>
            </w:r>
          </w:p>
        </w:tc>
        <w:tc>
          <w:tcPr>
            <w:tcW w:w="776" w:type="dxa"/>
          </w:tcPr>
          <w:p w14:paraId="55CFE2E1"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(40 538)</w:t>
            </w:r>
          </w:p>
        </w:tc>
        <w:tc>
          <w:tcPr>
            <w:tcW w:w="777" w:type="dxa"/>
          </w:tcPr>
          <w:p w14:paraId="233FB5EB"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(27 977)</w:t>
            </w:r>
          </w:p>
        </w:tc>
        <w:tc>
          <w:tcPr>
            <w:tcW w:w="776" w:type="dxa"/>
          </w:tcPr>
          <w:p w14:paraId="5E32CC97"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(28 924)</w:t>
            </w:r>
          </w:p>
        </w:tc>
        <w:tc>
          <w:tcPr>
            <w:tcW w:w="777" w:type="dxa"/>
          </w:tcPr>
          <w:p w14:paraId="5DDF9CFD" w14:textId="6EC8E36B"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(27 158)</w:t>
            </w:r>
          </w:p>
        </w:tc>
      </w:tr>
    </w:tbl>
    <w:p w14:paraId="348C0773" w14:textId="77777777" w:rsidR="008D6F13" w:rsidRPr="00921F69" w:rsidRDefault="008D6F13" w:rsidP="008D6F13">
      <w:pPr>
        <w:rPr>
          <w:rFonts w:asciiTheme="majorHAnsi" w:hAnsiTheme="majorHAnsi" w:cstheme="majorHAnsi"/>
        </w:rPr>
      </w:pPr>
    </w:p>
    <w:p w14:paraId="7B068E1B" w14:textId="77777777" w:rsidR="008D6F13" w:rsidRDefault="008D6F13" w:rsidP="008D6F13">
      <w:pPr>
        <w:keepLines w:val="0"/>
        <w:rPr>
          <w:rFonts w:asciiTheme="majorHAnsi" w:hAnsiTheme="majorHAnsi" w:cstheme="majorHAnsi"/>
          <w:b/>
          <w:sz w:val="20"/>
        </w:rPr>
      </w:pPr>
      <w:r>
        <w:rPr>
          <w:rFonts w:cstheme="majorHAnsi"/>
        </w:rPr>
        <w:br w:type="page"/>
      </w:r>
    </w:p>
    <w:p w14:paraId="45869F04" w14:textId="6BA5E262" w:rsidR="008D6F13" w:rsidRPr="00921F69" w:rsidRDefault="008D6F13" w:rsidP="008D6F13">
      <w:pPr>
        <w:pStyle w:val="TableHeading"/>
        <w:rPr>
          <w:rFonts w:cstheme="majorHAnsi"/>
        </w:rPr>
      </w:pPr>
      <w:r w:rsidRPr="00921F69">
        <w:rPr>
          <w:rFonts w:cstheme="majorHAnsi"/>
        </w:rPr>
        <w:lastRenderedPageBreak/>
        <w:t>Table 5.17</w:t>
      </w:r>
      <w:r w:rsidR="007F1FE4">
        <w:rPr>
          <w:rFonts w:cstheme="majorHAnsi"/>
        </w:rPr>
        <w:t>:</w:t>
      </w:r>
      <w:r w:rsidRPr="00921F69">
        <w:rPr>
          <w:rFonts w:cstheme="majorHAnsi"/>
        </w:rPr>
        <w:tab/>
        <w:t xml:space="preserve">State of Victoria balance sheet as </w:t>
      </w:r>
      <w:proofErr w:type="gramStart"/>
      <w:r w:rsidRPr="00921F69">
        <w:rPr>
          <w:rFonts w:cstheme="majorHAnsi"/>
        </w:rPr>
        <w:t>at</w:t>
      </w:r>
      <w:proofErr w:type="gramEnd"/>
      <w:r w:rsidRPr="00921F69">
        <w:rPr>
          <w:rFonts w:cstheme="majorHAnsi"/>
        </w:rPr>
        <w:t xml:space="preserve"> 30 June</w:t>
      </w:r>
      <w:r w:rsidRPr="00921F69">
        <w:rPr>
          <w:rFonts w:cstheme="majorHAnsi"/>
        </w:rPr>
        <w:tab/>
        <w:t>($ million)</w:t>
      </w:r>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571C1FE2"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588F2402" w14:textId="2857BF8A" w:rsidR="008D6F13" w:rsidRDefault="008D6F13" w:rsidP="0031078F"/>
        </w:tc>
        <w:tc>
          <w:tcPr>
            <w:tcW w:w="794" w:type="dxa"/>
          </w:tcPr>
          <w:p w14:paraId="06654C7A"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br/>
              <w:t>budget</w:t>
            </w:r>
            <w:r>
              <w:rPr>
                <w:vertAlign w:val="superscript"/>
              </w:rPr>
              <w:t xml:space="preserve"> (a)</w:t>
            </w:r>
          </w:p>
        </w:tc>
        <w:tc>
          <w:tcPr>
            <w:tcW w:w="794" w:type="dxa"/>
          </w:tcPr>
          <w:p w14:paraId="77339F70"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br/>
              <w:t>revised</w:t>
            </w:r>
          </w:p>
        </w:tc>
        <w:tc>
          <w:tcPr>
            <w:tcW w:w="794" w:type="dxa"/>
          </w:tcPr>
          <w:p w14:paraId="12787198"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br/>
              <w:t>estimate</w:t>
            </w:r>
          </w:p>
        </w:tc>
        <w:tc>
          <w:tcPr>
            <w:tcW w:w="794" w:type="dxa"/>
          </w:tcPr>
          <w:p w14:paraId="31AA88E5"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br/>
              <w:t>estimate</w:t>
            </w:r>
          </w:p>
        </w:tc>
        <w:tc>
          <w:tcPr>
            <w:tcW w:w="794" w:type="dxa"/>
          </w:tcPr>
          <w:p w14:paraId="76528744"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2025</w:t>
            </w:r>
            <w:r>
              <w:br/>
              <w:t>estimate</w:t>
            </w:r>
          </w:p>
        </w:tc>
      </w:tr>
      <w:tr w:rsidR="008D6F13" w14:paraId="0078A223"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CFFF565" w14:textId="77777777" w:rsidR="008D6F13" w:rsidRDefault="008D6F13" w:rsidP="0031078F">
            <w:r>
              <w:rPr>
                <w:b/>
              </w:rPr>
              <w:t>Assets</w:t>
            </w:r>
          </w:p>
        </w:tc>
        <w:tc>
          <w:tcPr>
            <w:tcW w:w="794" w:type="dxa"/>
          </w:tcPr>
          <w:p w14:paraId="32760AC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588E52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FCD3B4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F68E34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5E4AAC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451A57BD"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EF0C646" w14:textId="77777777" w:rsidR="008D6F13" w:rsidRDefault="008D6F13" w:rsidP="0031078F">
            <w:r>
              <w:rPr>
                <w:b/>
              </w:rPr>
              <w:t>Financial assets</w:t>
            </w:r>
          </w:p>
        </w:tc>
        <w:tc>
          <w:tcPr>
            <w:tcW w:w="794" w:type="dxa"/>
          </w:tcPr>
          <w:p w14:paraId="65F32FB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D796A7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5F6FCA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F4751D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E1B370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14360CB5"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EA4CBD9" w14:textId="77777777" w:rsidR="008D6F13" w:rsidRDefault="008D6F13" w:rsidP="0031078F">
            <w:r>
              <w:t>Cash and deposits</w:t>
            </w:r>
          </w:p>
        </w:tc>
        <w:tc>
          <w:tcPr>
            <w:tcW w:w="794" w:type="dxa"/>
          </w:tcPr>
          <w:p w14:paraId="332D03A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22 174</w:t>
            </w:r>
          </w:p>
        </w:tc>
        <w:tc>
          <w:tcPr>
            <w:tcW w:w="794" w:type="dxa"/>
          </w:tcPr>
          <w:p w14:paraId="60F2AE0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21 186</w:t>
            </w:r>
          </w:p>
        </w:tc>
        <w:tc>
          <w:tcPr>
            <w:tcW w:w="794" w:type="dxa"/>
          </w:tcPr>
          <w:p w14:paraId="590B4CD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21 425</w:t>
            </w:r>
          </w:p>
        </w:tc>
        <w:tc>
          <w:tcPr>
            <w:tcW w:w="794" w:type="dxa"/>
          </w:tcPr>
          <w:p w14:paraId="2190799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21 827</w:t>
            </w:r>
          </w:p>
        </w:tc>
        <w:tc>
          <w:tcPr>
            <w:tcW w:w="794" w:type="dxa"/>
          </w:tcPr>
          <w:p w14:paraId="3E95CF1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22 456</w:t>
            </w:r>
          </w:p>
        </w:tc>
      </w:tr>
      <w:tr w:rsidR="008D6F13" w14:paraId="6FB9BF5F"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8923871" w14:textId="77777777" w:rsidR="008D6F13" w:rsidRDefault="008D6F13" w:rsidP="0031078F">
            <w:r>
              <w:t>Advances paid</w:t>
            </w:r>
          </w:p>
        </w:tc>
        <w:tc>
          <w:tcPr>
            <w:tcW w:w="794" w:type="dxa"/>
          </w:tcPr>
          <w:p w14:paraId="1C8C4C3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630</w:t>
            </w:r>
          </w:p>
        </w:tc>
        <w:tc>
          <w:tcPr>
            <w:tcW w:w="794" w:type="dxa"/>
          </w:tcPr>
          <w:p w14:paraId="4D5411D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568</w:t>
            </w:r>
          </w:p>
        </w:tc>
        <w:tc>
          <w:tcPr>
            <w:tcW w:w="794" w:type="dxa"/>
          </w:tcPr>
          <w:p w14:paraId="2D3CA89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472</w:t>
            </w:r>
          </w:p>
        </w:tc>
        <w:tc>
          <w:tcPr>
            <w:tcW w:w="794" w:type="dxa"/>
          </w:tcPr>
          <w:p w14:paraId="0B1B7F2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440</w:t>
            </w:r>
          </w:p>
        </w:tc>
        <w:tc>
          <w:tcPr>
            <w:tcW w:w="794" w:type="dxa"/>
          </w:tcPr>
          <w:p w14:paraId="38E9785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433</w:t>
            </w:r>
          </w:p>
        </w:tc>
      </w:tr>
      <w:tr w:rsidR="008D6F13" w14:paraId="05E970AA"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3EF9AB2" w14:textId="77777777" w:rsidR="008D6F13" w:rsidRDefault="008D6F13" w:rsidP="0031078F">
            <w:r>
              <w:t>Receivables and contract assets</w:t>
            </w:r>
          </w:p>
        </w:tc>
        <w:tc>
          <w:tcPr>
            <w:tcW w:w="794" w:type="dxa"/>
          </w:tcPr>
          <w:p w14:paraId="5A0E69D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9 486</w:t>
            </w:r>
          </w:p>
        </w:tc>
        <w:tc>
          <w:tcPr>
            <w:tcW w:w="794" w:type="dxa"/>
          </w:tcPr>
          <w:p w14:paraId="75FE57E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9 829</w:t>
            </w:r>
          </w:p>
        </w:tc>
        <w:tc>
          <w:tcPr>
            <w:tcW w:w="794" w:type="dxa"/>
          </w:tcPr>
          <w:p w14:paraId="397E549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9 945</w:t>
            </w:r>
          </w:p>
        </w:tc>
        <w:tc>
          <w:tcPr>
            <w:tcW w:w="794" w:type="dxa"/>
          </w:tcPr>
          <w:p w14:paraId="3E7FF67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10 154</w:t>
            </w:r>
          </w:p>
        </w:tc>
        <w:tc>
          <w:tcPr>
            <w:tcW w:w="794" w:type="dxa"/>
          </w:tcPr>
          <w:p w14:paraId="4E1E929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10 434</w:t>
            </w:r>
          </w:p>
        </w:tc>
      </w:tr>
      <w:tr w:rsidR="008D6F13" w14:paraId="50D1EF2F"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793CEC5" w14:textId="77777777" w:rsidR="008D6F13" w:rsidRDefault="008D6F13" w:rsidP="0031078F">
            <w:r>
              <w:t xml:space="preserve">Investments, </w:t>
            </w:r>
            <w:proofErr w:type="gramStart"/>
            <w:r>
              <w:t>loans</w:t>
            </w:r>
            <w:proofErr w:type="gramEnd"/>
            <w:r>
              <w:t xml:space="preserve"> and placements</w:t>
            </w:r>
          </w:p>
        </w:tc>
        <w:tc>
          <w:tcPr>
            <w:tcW w:w="794" w:type="dxa"/>
          </w:tcPr>
          <w:p w14:paraId="2C70516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46 260</w:t>
            </w:r>
          </w:p>
        </w:tc>
        <w:tc>
          <w:tcPr>
            <w:tcW w:w="794" w:type="dxa"/>
          </w:tcPr>
          <w:p w14:paraId="6BF0B81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47 583</w:t>
            </w:r>
          </w:p>
        </w:tc>
        <w:tc>
          <w:tcPr>
            <w:tcW w:w="794" w:type="dxa"/>
          </w:tcPr>
          <w:p w14:paraId="0CD2F6A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48 285</w:t>
            </w:r>
          </w:p>
        </w:tc>
        <w:tc>
          <w:tcPr>
            <w:tcW w:w="794" w:type="dxa"/>
          </w:tcPr>
          <w:p w14:paraId="144CB28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49 069</w:t>
            </w:r>
          </w:p>
        </w:tc>
        <w:tc>
          <w:tcPr>
            <w:tcW w:w="794" w:type="dxa"/>
          </w:tcPr>
          <w:p w14:paraId="5D6A447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50 338</w:t>
            </w:r>
          </w:p>
        </w:tc>
      </w:tr>
      <w:tr w:rsidR="008D6F13" w14:paraId="50310216"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0D1C960" w14:textId="77777777" w:rsidR="008D6F13" w:rsidRDefault="008D6F13" w:rsidP="0031078F">
            <w:r>
              <w:t>Investments accounted for using equity method</w:t>
            </w:r>
          </w:p>
        </w:tc>
        <w:tc>
          <w:tcPr>
            <w:tcW w:w="794" w:type="dxa"/>
          </w:tcPr>
          <w:p w14:paraId="2B271F8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16F2162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6047A26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372E9FB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12B1F5D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w:t>
            </w:r>
          </w:p>
        </w:tc>
      </w:tr>
      <w:tr w:rsidR="008D6F13" w14:paraId="498C9BCF"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0329DCB0" w14:textId="77777777" w:rsidR="008D6F13" w:rsidRDefault="008D6F13" w:rsidP="0031078F">
            <w:r>
              <w:rPr>
                <w:b/>
              </w:rPr>
              <w:t>Total financial assets</w:t>
            </w:r>
          </w:p>
        </w:tc>
        <w:tc>
          <w:tcPr>
            <w:tcW w:w="794" w:type="dxa"/>
            <w:tcBorders>
              <w:top w:val="single" w:sz="6" w:space="0" w:color="auto"/>
              <w:bottom w:val="single" w:sz="6" w:space="0" w:color="auto"/>
            </w:tcBorders>
          </w:tcPr>
          <w:p w14:paraId="7804057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78 560</w:t>
            </w:r>
          </w:p>
        </w:tc>
        <w:tc>
          <w:tcPr>
            <w:tcW w:w="794" w:type="dxa"/>
            <w:tcBorders>
              <w:top w:val="single" w:sz="6" w:space="0" w:color="auto"/>
              <w:bottom w:val="single" w:sz="6" w:space="0" w:color="auto"/>
            </w:tcBorders>
          </w:tcPr>
          <w:p w14:paraId="4D532CB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79 176</w:t>
            </w:r>
          </w:p>
        </w:tc>
        <w:tc>
          <w:tcPr>
            <w:tcW w:w="794" w:type="dxa"/>
            <w:tcBorders>
              <w:top w:val="single" w:sz="6" w:space="0" w:color="auto"/>
              <w:bottom w:val="single" w:sz="6" w:space="0" w:color="auto"/>
            </w:tcBorders>
          </w:tcPr>
          <w:p w14:paraId="0AE6F14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80 138</w:t>
            </w:r>
          </w:p>
        </w:tc>
        <w:tc>
          <w:tcPr>
            <w:tcW w:w="794" w:type="dxa"/>
            <w:tcBorders>
              <w:top w:val="single" w:sz="6" w:space="0" w:color="auto"/>
              <w:bottom w:val="single" w:sz="6" w:space="0" w:color="auto"/>
            </w:tcBorders>
          </w:tcPr>
          <w:p w14:paraId="58C1E16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81 500</w:t>
            </w:r>
          </w:p>
        </w:tc>
        <w:tc>
          <w:tcPr>
            <w:tcW w:w="794" w:type="dxa"/>
            <w:tcBorders>
              <w:top w:val="single" w:sz="6" w:space="0" w:color="auto"/>
              <w:bottom w:val="single" w:sz="6" w:space="0" w:color="auto"/>
            </w:tcBorders>
          </w:tcPr>
          <w:p w14:paraId="20F09B9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83 671</w:t>
            </w:r>
          </w:p>
        </w:tc>
      </w:tr>
      <w:tr w:rsidR="008D6F13" w14:paraId="291B23D3"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32422C64" w14:textId="77777777" w:rsidR="008D6F13" w:rsidRDefault="008D6F13" w:rsidP="0031078F">
            <w:r>
              <w:rPr>
                <w:b/>
              </w:rPr>
              <w:t>Non</w:t>
            </w:r>
            <w:r>
              <w:rPr>
                <w:b/>
              </w:rPr>
              <w:noBreakHyphen/>
              <w:t>financial assets</w:t>
            </w:r>
          </w:p>
        </w:tc>
        <w:tc>
          <w:tcPr>
            <w:tcW w:w="794" w:type="dxa"/>
            <w:tcBorders>
              <w:top w:val="single" w:sz="6" w:space="0" w:color="auto"/>
            </w:tcBorders>
          </w:tcPr>
          <w:p w14:paraId="2FADCA2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930FB2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71F0D5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D4F68B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A722C5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5F766430"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13A2DEC" w14:textId="77777777" w:rsidR="008D6F13" w:rsidRDefault="008D6F13" w:rsidP="0031078F">
            <w:r>
              <w:t>Inventories</w:t>
            </w:r>
          </w:p>
        </w:tc>
        <w:tc>
          <w:tcPr>
            <w:tcW w:w="794" w:type="dxa"/>
          </w:tcPr>
          <w:p w14:paraId="0000692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1 825</w:t>
            </w:r>
          </w:p>
        </w:tc>
        <w:tc>
          <w:tcPr>
            <w:tcW w:w="794" w:type="dxa"/>
          </w:tcPr>
          <w:p w14:paraId="2ACF2D1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2 112</w:t>
            </w:r>
          </w:p>
        </w:tc>
        <w:tc>
          <w:tcPr>
            <w:tcW w:w="794" w:type="dxa"/>
          </w:tcPr>
          <w:p w14:paraId="690204C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1 641</w:t>
            </w:r>
          </w:p>
        </w:tc>
        <w:tc>
          <w:tcPr>
            <w:tcW w:w="794" w:type="dxa"/>
          </w:tcPr>
          <w:p w14:paraId="0D7F299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1 629</w:t>
            </w:r>
          </w:p>
        </w:tc>
        <w:tc>
          <w:tcPr>
            <w:tcW w:w="794" w:type="dxa"/>
          </w:tcPr>
          <w:p w14:paraId="626BDFD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1 445</w:t>
            </w:r>
          </w:p>
        </w:tc>
      </w:tr>
      <w:tr w:rsidR="008D6F13" w14:paraId="7BB91DA7"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BEE6AAA" w14:textId="77777777" w:rsidR="008D6F13" w:rsidRDefault="008D6F13" w:rsidP="0031078F">
            <w:r>
              <w:t>Non</w:t>
            </w:r>
            <w:r>
              <w:noBreakHyphen/>
              <w:t>financial assets held for sale</w:t>
            </w:r>
          </w:p>
        </w:tc>
        <w:tc>
          <w:tcPr>
            <w:tcW w:w="794" w:type="dxa"/>
          </w:tcPr>
          <w:p w14:paraId="647EE4C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251</w:t>
            </w:r>
          </w:p>
        </w:tc>
        <w:tc>
          <w:tcPr>
            <w:tcW w:w="794" w:type="dxa"/>
          </w:tcPr>
          <w:p w14:paraId="731CA5F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218</w:t>
            </w:r>
          </w:p>
        </w:tc>
        <w:tc>
          <w:tcPr>
            <w:tcW w:w="794" w:type="dxa"/>
          </w:tcPr>
          <w:p w14:paraId="2D192EC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215</w:t>
            </w:r>
          </w:p>
        </w:tc>
        <w:tc>
          <w:tcPr>
            <w:tcW w:w="794" w:type="dxa"/>
          </w:tcPr>
          <w:p w14:paraId="3A2588C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194</w:t>
            </w:r>
          </w:p>
        </w:tc>
        <w:tc>
          <w:tcPr>
            <w:tcW w:w="794" w:type="dxa"/>
          </w:tcPr>
          <w:p w14:paraId="4CFC078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165</w:t>
            </w:r>
          </w:p>
        </w:tc>
      </w:tr>
      <w:tr w:rsidR="008D6F13" w14:paraId="53150C97"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7B3938C" w14:textId="77777777" w:rsidR="008D6F13" w:rsidRDefault="008D6F13" w:rsidP="0031078F">
            <w:r>
              <w:t xml:space="preserve">Land, buildings, infrastructure, </w:t>
            </w:r>
            <w:proofErr w:type="gramStart"/>
            <w:r>
              <w:t>plant</w:t>
            </w:r>
            <w:proofErr w:type="gramEnd"/>
            <w:r>
              <w:t xml:space="preserve"> and equipment</w:t>
            </w:r>
          </w:p>
        </w:tc>
        <w:tc>
          <w:tcPr>
            <w:tcW w:w="794" w:type="dxa"/>
          </w:tcPr>
          <w:p w14:paraId="0F30095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355 712</w:t>
            </w:r>
          </w:p>
        </w:tc>
        <w:tc>
          <w:tcPr>
            <w:tcW w:w="794" w:type="dxa"/>
          </w:tcPr>
          <w:p w14:paraId="40E36A9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350 125</w:t>
            </w:r>
          </w:p>
        </w:tc>
        <w:tc>
          <w:tcPr>
            <w:tcW w:w="794" w:type="dxa"/>
          </w:tcPr>
          <w:p w14:paraId="6F7D9CE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374 575</w:t>
            </w:r>
          </w:p>
        </w:tc>
        <w:tc>
          <w:tcPr>
            <w:tcW w:w="794" w:type="dxa"/>
          </w:tcPr>
          <w:p w14:paraId="40F8B5D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398 892</w:t>
            </w:r>
          </w:p>
        </w:tc>
        <w:tc>
          <w:tcPr>
            <w:tcW w:w="794" w:type="dxa"/>
          </w:tcPr>
          <w:p w14:paraId="2064B8D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425 769</w:t>
            </w:r>
          </w:p>
        </w:tc>
      </w:tr>
      <w:tr w:rsidR="008D6F13" w14:paraId="68958D2D"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6990E4EE" w14:textId="77777777" w:rsidR="008D6F13" w:rsidRDefault="008D6F13" w:rsidP="0031078F">
            <w:r>
              <w:t>Other non</w:t>
            </w:r>
            <w:r>
              <w:noBreakHyphen/>
              <w:t>financial assets</w:t>
            </w:r>
          </w:p>
        </w:tc>
        <w:tc>
          <w:tcPr>
            <w:tcW w:w="794" w:type="dxa"/>
            <w:tcBorders>
              <w:bottom w:val="single" w:sz="6" w:space="0" w:color="auto"/>
            </w:tcBorders>
          </w:tcPr>
          <w:p w14:paraId="76AB63C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4 499</w:t>
            </w:r>
          </w:p>
        </w:tc>
        <w:tc>
          <w:tcPr>
            <w:tcW w:w="794" w:type="dxa"/>
            <w:tcBorders>
              <w:bottom w:val="single" w:sz="6" w:space="0" w:color="auto"/>
            </w:tcBorders>
          </w:tcPr>
          <w:p w14:paraId="281F1FD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4 796</w:t>
            </w:r>
          </w:p>
        </w:tc>
        <w:tc>
          <w:tcPr>
            <w:tcW w:w="794" w:type="dxa"/>
            <w:tcBorders>
              <w:bottom w:val="single" w:sz="6" w:space="0" w:color="auto"/>
            </w:tcBorders>
          </w:tcPr>
          <w:p w14:paraId="4D1603A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4 575</w:t>
            </w:r>
          </w:p>
        </w:tc>
        <w:tc>
          <w:tcPr>
            <w:tcW w:w="794" w:type="dxa"/>
            <w:tcBorders>
              <w:bottom w:val="single" w:sz="6" w:space="0" w:color="auto"/>
            </w:tcBorders>
          </w:tcPr>
          <w:p w14:paraId="6097EBF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4 385</w:t>
            </w:r>
          </w:p>
        </w:tc>
        <w:tc>
          <w:tcPr>
            <w:tcW w:w="794" w:type="dxa"/>
            <w:tcBorders>
              <w:bottom w:val="single" w:sz="6" w:space="0" w:color="auto"/>
            </w:tcBorders>
          </w:tcPr>
          <w:p w14:paraId="3F4581E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4 187</w:t>
            </w:r>
          </w:p>
        </w:tc>
      </w:tr>
      <w:tr w:rsidR="008D6F13" w14:paraId="3F73A26B"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4C55E6C4" w14:textId="77777777" w:rsidR="008D6F13" w:rsidRDefault="008D6F13" w:rsidP="0031078F">
            <w:r>
              <w:rPr>
                <w:b/>
              </w:rPr>
              <w:t>Total non</w:t>
            </w:r>
            <w:r>
              <w:rPr>
                <w:b/>
              </w:rPr>
              <w:noBreakHyphen/>
              <w:t>financial assets</w:t>
            </w:r>
          </w:p>
        </w:tc>
        <w:tc>
          <w:tcPr>
            <w:tcW w:w="794" w:type="dxa"/>
            <w:tcBorders>
              <w:top w:val="single" w:sz="6" w:space="0" w:color="auto"/>
              <w:bottom w:val="single" w:sz="6" w:space="0" w:color="auto"/>
            </w:tcBorders>
          </w:tcPr>
          <w:p w14:paraId="1682CAD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362 288</w:t>
            </w:r>
          </w:p>
        </w:tc>
        <w:tc>
          <w:tcPr>
            <w:tcW w:w="794" w:type="dxa"/>
            <w:tcBorders>
              <w:top w:val="single" w:sz="6" w:space="0" w:color="auto"/>
              <w:bottom w:val="single" w:sz="6" w:space="0" w:color="auto"/>
            </w:tcBorders>
          </w:tcPr>
          <w:p w14:paraId="32AD5C1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357 250</w:t>
            </w:r>
          </w:p>
        </w:tc>
        <w:tc>
          <w:tcPr>
            <w:tcW w:w="794" w:type="dxa"/>
            <w:tcBorders>
              <w:top w:val="single" w:sz="6" w:space="0" w:color="auto"/>
              <w:bottom w:val="single" w:sz="6" w:space="0" w:color="auto"/>
            </w:tcBorders>
          </w:tcPr>
          <w:p w14:paraId="3FB20BE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381 006</w:t>
            </w:r>
          </w:p>
        </w:tc>
        <w:tc>
          <w:tcPr>
            <w:tcW w:w="794" w:type="dxa"/>
            <w:tcBorders>
              <w:top w:val="single" w:sz="6" w:space="0" w:color="auto"/>
              <w:bottom w:val="single" w:sz="6" w:space="0" w:color="auto"/>
            </w:tcBorders>
          </w:tcPr>
          <w:p w14:paraId="2C80B12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405 099</w:t>
            </w:r>
          </w:p>
        </w:tc>
        <w:tc>
          <w:tcPr>
            <w:tcW w:w="794" w:type="dxa"/>
            <w:tcBorders>
              <w:top w:val="single" w:sz="6" w:space="0" w:color="auto"/>
              <w:bottom w:val="single" w:sz="6" w:space="0" w:color="auto"/>
            </w:tcBorders>
          </w:tcPr>
          <w:p w14:paraId="6019237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431 567</w:t>
            </w:r>
          </w:p>
        </w:tc>
      </w:tr>
      <w:tr w:rsidR="008D6F13" w14:paraId="3357FC3A"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522AB032" w14:textId="77777777" w:rsidR="008D6F13" w:rsidRDefault="008D6F13" w:rsidP="0031078F">
            <w:r>
              <w:rPr>
                <w:b/>
              </w:rPr>
              <w:t>Total assets</w:t>
            </w:r>
          </w:p>
        </w:tc>
        <w:tc>
          <w:tcPr>
            <w:tcW w:w="794" w:type="dxa"/>
            <w:tcBorders>
              <w:top w:val="single" w:sz="6" w:space="0" w:color="auto"/>
            </w:tcBorders>
          </w:tcPr>
          <w:p w14:paraId="4AB6596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440 847</w:t>
            </w:r>
          </w:p>
        </w:tc>
        <w:tc>
          <w:tcPr>
            <w:tcW w:w="794" w:type="dxa"/>
            <w:tcBorders>
              <w:top w:val="single" w:sz="6" w:space="0" w:color="auto"/>
            </w:tcBorders>
          </w:tcPr>
          <w:p w14:paraId="5090020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436 426</w:t>
            </w:r>
          </w:p>
        </w:tc>
        <w:tc>
          <w:tcPr>
            <w:tcW w:w="794" w:type="dxa"/>
            <w:tcBorders>
              <w:top w:val="single" w:sz="6" w:space="0" w:color="auto"/>
            </w:tcBorders>
          </w:tcPr>
          <w:p w14:paraId="3FAAC94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461 143</w:t>
            </w:r>
          </w:p>
        </w:tc>
        <w:tc>
          <w:tcPr>
            <w:tcW w:w="794" w:type="dxa"/>
            <w:tcBorders>
              <w:top w:val="single" w:sz="6" w:space="0" w:color="auto"/>
            </w:tcBorders>
          </w:tcPr>
          <w:p w14:paraId="15F91AA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486 599</w:t>
            </w:r>
          </w:p>
        </w:tc>
        <w:tc>
          <w:tcPr>
            <w:tcW w:w="794" w:type="dxa"/>
            <w:tcBorders>
              <w:top w:val="single" w:sz="6" w:space="0" w:color="auto"/>
            </w:tcBorders>
          </w:tcPr>
          <w:p w14:paraId="1080AC2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515 238</w:t>
            </w:r>
          </w:p>
        </w:tc>
      </w:tr>
      <w:tr w:rsidR="008D6F13" w14:paraId="4522A87B"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174042D" w14:textId="77777777" w:rsidR="008D6F13" w:rsidRDefault="008D6F13" w:rsidP="0031078F">
            <w:r>
              <w:rPr>
                <w:b/>
              </w:rPr>
              <w:t>Liabilities</w:t>
            </w:r>
          </w:p>
        </w:tc>
        <w:tc>
          <w:tcPr>
            <w:tcW w:w="794" w:type="dxa"/>
          </w:tcPr>
          <w:p w14:paraId="6AD11AA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2F8262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4DC638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5E34F9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C7239D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367E1FF4"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DA63E63" w14:textId="77777777" w:rsidR="008D6F13" w:rsidRDefault="008D6F13" w:rsidP="0031078F">
            <w:r>
              <w:t>Deposits held and advances received</w:t>
            </w:r>
          </w:p>
        </w:tc>
        <w:tc>
          <w:tcPr>
            <w:tcW w:w="794" w:type="dxa"/>
          </w:tcPr>
          <w:p w14:paraId="4DB455A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1 679</w:t>
            </w:r>
          </w:p>
        </w:tc>
        <w:tc>
          <w:tcPr>
            <w:tcW w:w="794" w:type="dxa"/>
          </w:tcPr>
          <w:p w14:paraId="1A469A8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1 784</w:t>
            </w:r>
          </w:p>
        </w:tc>
        <w:tc>
          <w:tcPr>
            <w:tcW w:w="794" w:type="dxa"/>
          </w:tcPr>
          <w:p w14:paraId="21A3AD2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1 725</w:t>
            </w:r>
          </w:p>
        </w:tc>
        <w:tc>
          <w:tcPr>
            <w:tcW w:w="794" w:type="dxa"/>
          </w:tcPr>
          <w:p w14:paraId="1F365EC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1 744</w:t>
            </w:r>
          </w:p>
        </w:tc>
        <w:tc>
          <w:tcPr>
            <w:tcW w:w="794" w:type="dxa"/>
          </w:tcPr>
          <w:p w14:paraId="03DFA9B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1 749</w:t>
            </w:r>
          </w:p>
        </w:tc>
      </w:tr>
      <w:tr w:rsidR="008D6F13" w14:paraId="44948E0D"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F9CAB02" w14:textId="77777777" w:rsidR="008D6F13" w:rsidRDefault="008D6F13" w:rsidP="0031078F">
            <w:r>
              <w:t>Payables</w:t>
            </w:r>
          </w:p>
        </w:tc>
        <w:tc>
          <w:tcPr>
            <w:tcW w:w="794" w:type="dxa"/>
          </w:tcPr>
          <w:p w14:paraId="58593D9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31 363</w:t>
            </w:r>
          </w:p>
        </w:tc>
        <w:tc>
          <w:tcPr>
            <w:tcW w:w="794" w:type="dxa"/>
          </w:tcPr>
          <w:p w14:paraId="729DEB0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27 028</w:t>
            </w:r>
          </w:p>
        </w:tc>
        <w:tc>
          <w:tcPr>
            <w:tcW w:w="794" w:type="dxa"/>
          </w:tcPr>
          <w:p w14:paraId="2F4F605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29 990</w:t>
            </w:r>
          </w:p>
        </w:tc>
        <w:tc>
          <w:tcPr>
            <w:tcW w:w="794" w:type="dxa"/>
          </w:tcPr>
          <w:p w14:paraId="132EAA0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29 790</w:t>
            </w:r>
          </w:p>
        </w:tc>
        <w:tc>
          <w:tcPr>
            <w:tcW w:w="794" w:type="dxa"/>
          </w:tcPr>
          <w:p w14:paraId="003D23D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29 001</w:t>
            </w:r>
          </w:p>
        </w:tc>
      </w:tr>
      <w:tr w:rsidR="008D6F13" w14:paraId="75B897BB"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21A633E" w14:textId="77777777" w:rsidR="008D6F13" w:rsidRDefault="008D6F13" w:rsidP="0031078F">
            <w:r>
              <w:t>Contract liabilities</w:t>
            </w:r>
          </w:p>
        </w:tc>
        <w:tc>
          <w:tcPr>
            <w:tcW w:w="794" w:type="dxa"/>
          </w:tcPr>
          <w:p w14:paraId="195DED3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412</w:t>
            </w:r>
          </w:p>
        </w:tc>
        <w:tc>
          <w:tcPr>
            <w:tcW w:w="794" w:type="dxa"/>
          </w:tcPr>
          <w:p w14:paraId="4361E01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409</w:t>
            </w:r>
          </w:p>
        </w:tc>
        <w:tc>
          <w:tcPr>
            <w:tcW w:w="794" w:type="dxa"/>
          </w:tcPr>
          <w:p w14:paraId="1CDFE53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410</w:t>
            </w:r>
          </w:p>
        </w:tc>
        <w:tc>
          <w:tcPr>
            <w:tcW w:w="794" w:type="dxa"/>
          </w:tcPr>
          <w:p w14:paraId="546A6F8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413</w:t>
            </w:r>
          </w:p>
        </w:tc>
        <w:tc>
          <w:tcPr>
            <w:tcW w:w="794" w:type="dxa"/>
          </w:tcPr>
          <w:p w14:paraId="1244D55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414</w:t>
            </w:r>
          </w:p>
        </w:tc>
      </w:tr>
      <w:tr w:rsidR="008D6F13" w14:paraId="07CD89AE"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5A1E52F" w14:textId="77777777" w:rsidR="008D6F13" w:rsidRDefault="008D6F13" w:rsidP="0031078F">
            <w:r>
              <w:t>Borrowings</w:t>
            </w:r>
          </w:p>
        </w:tc>
        <w:tc>
          <w:tcPr>
            <w:tcW w:w="794" w:type="dxa"/>
          </w:tcPr>
          <w:p w14:paraId="6EE2067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143 802</w:t>
            </w:r>
          </w:p>
        </w:tc>
        <w:tc>
          <w:tcPr>
            <w:tcW w:w="794" w:type="dxa"/>
          </w:tcPr>
          <w:p w14:paraId="701F5E5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152 646</w:t>
            </w:r>
          </w:p>
        </w:tc>
        <w:tc>
          <w:tcPr>
            <w:tcW w:w="794" w:type="dxa"/>
          </w:tcPr>
          <w:p w14:paraId="7E724E1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172 881</w:t>
            </w:r>
          </w:p>
        </w:tc>
        <w:tc>
          <w:tcPr>
            <w:tcW w:w="794" w:type="dxa"/>
          </w:tcPr>
          <w:p w14:paraId="022BEF7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197 714</w:t>
            </w:r>
          </w:p>
        </w:tc>
        <w:tc>
          <w:tcPr>
            <w:tcW w:w="794" w:type="dxa"/>
          </w:tcPr>
          <w:p w14:paraId="6A8EEAA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220 969</w:t>
            </w:r>
          </w:p>
        </w:tc>
      </w:tr>
      <w:tr w:rsidR="008D6F13" w14:paraId="10C4264E"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3277D5F" w14:textId="77777777" w:rsidR="008D6F13" w:rsidRDefault="008D6F13" w:rsidP="0031078F">
            <w:r>
              <w:t>Employee benefits</w:t>
            </w:r>
          </w:p>
        </w:tc>
        <w:tc>
          <w:tcPr>
            <w:tcW w:w="794" w:type="dxa"/>
          </w:tcPr>
          <w:p w14:paraId="4D01A94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10 352</w:t>
            </w:r>
          </w:p>
        </w:tc>
        <w:tc>
          <w:tcPr>
            <w:tcW w:w="794" w:type="dxa"/>
          </w:tcPr>
          <w:p w14:paraId="53C9290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10 354</w:t>
            </w:r>
          </w:p>
        </w:tc>
        <w:tc>
          <w:tcPr>
            <w:tcW w:w="794" w:type="dxa"/>
          </w:tcPr>
          <w:p w14:paraId="67377F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10 695</w:t>
            </w:r>
          </w:p>
        </w:tc>
        <w:tc>
          <w:tcPr>
            <w:tcW w:w="794" w:type="dxa"/>
          </w:tcPr>
          <w:p w14:paraId="5716E3C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11 034</w:t>
            </w:r>
          </w:p>
        </w:tc>
        <w:tc>
          <w:tcPr>
            <w:tcW w:w="794" w:type="dxa"/>
          </w:tcPr>
          <w:p w14:paraId="242DEC0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11 378</w:t>
            </w:r>
          </w:p>
        </w:tc>
      </w:tr>
      <w:tr w:rsidR="008D6F13" w14:paraId="3DC724C9"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FFE3170" w14:textId="77777777" w:rsidR="008D6F13" w:rsidRDefault="008D6F13" w:rsidP="0031078F">
            <w:r>
              <w:t>Superannuation</w:t>
            </w:r>
          </w:p>
        </w:tc>
        <w:tc>
          <w:tcPr>
            <w:tcW w:w="794" w:type="dxa"/>
          </w:tcPr>
          <w:p w14:paraId="65BB6AE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26 466</w:t>
            </w:r>
          </w:p>
        </w:tc>
        <w:tc>
          <w:tcPr>
            <w:tcW w:w="794" w:type="dxa"/>
          </w:tcPr>
          <w:p w14:paraId="620027B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25 785</w:t>
            </w:r>
          </w:p>
        </w:tc>
        <w:tc>
          <w:tcPr>
            <w:tcW w:w="794" w:type="dxa"/>
          </w:tcPr>
          <w:p w14:paraId="3B0123A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24 687</w:t>
            </w:r>
          </w:p>
        </w:tc>
        <w:tc>
          <w:tcPr>
            <w:tcW w:w="794" w:type="dxa"/>
          </w:tcPr>
          <w:p w14:paraId="35C174A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23 584</w:t>
            </w:r>
          </w:p>
        </w:tc>
        <w:tc>
          <w:tcPr>
            <w:tcW w:w="794" w:type="dxa"/>
          </w:tcPr>
          <w:p w14:paraId="59A5840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22 563</w:t>
            </w:r>
          </w:p>
        </w:tc>
      </w:tr>
      <w:tr w:rsidR="008D6F13" w14:paraId="5374F5F5"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1BDB12DB" w14:textId="77777777" w:rsidR="008D6F13" w:rsidRDefault="008D6F13" w:rsidP="0031078F">
            <w:r>
              <w:t>Other provisions</w:t>
            </w:r>
          </w:p>
        </w:tc>
        <w:tc>
          <w:tcPr>
            <w:tcW w:w="794" w:type="dxa"/>
            <w:tcBorders>
              <w:bottom w:val="single" w:sz="6" w:space="0" w:color="auto"/>
            </w:tcBorders>
          </w:tcPr>
          <w:p w14:paraId="3E6F1B4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53 165</w:t>
            </w:r>
          </w:p>
        </w:tc>
        <w:tc>
          <w:tcPr>
            <w:tcW w:w="794" w:type="dxa"/>
            <w:tcBorders>
              <w:bottom w:val="single" w:sz="6" w:space="0" w:color="auto"/>
            </w:tcBorders>
          </w:tcPr>
          <w:p w14:paraId="477528D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53 429</w:t>
            </w:r>
          </w:p>
        </w:tc>
        <w:tc>
          <w:tcPr>
            <w:tcW w:w="794" w:type="dxa"/>
            <w:tcBorders>
              <w:bottom w:val="single" w:sz="6" w:space="0" w:color="auto"/>
            </w:tcBorders>
          </w:tcPr>
          <w:p w14:paraId="74AD6C1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57 473</w:t>
            </w:r>
          </w:p>
        </w:tc>
        <w:tc>
          <w:tcPr>
            <w:tcW w:w="794" w:type="dxa"/>
            <w:tcBorders>
              <w:bottom w:val="single" w:sz="6" w:space="0" w:color="auto"/>
            </w:tcBorders>
          </w:tcPr>
          <w:p w14:paraId="3C199FD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61 428</w:t>
            </w:r>
          </w:p>
        </w:tc>
        <w:tc>
          <w:tcPr>
            <w:tcW w:w="794" w:type="dxa"/>
            <w:tcBorders>
              <w:bottom w:val="single" w:sz="6" w:space="0" w:color="auto"/>
            </w:tcBorders>
          </w:tcPr>
          <w:p w14:paraId="3E15554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65 476</w:t>
            </w:r>
          </w:p>
        </w:tc>
      </w:tr>
      <w:tr w:rsidR="008D6F13" w14:paraId="4FAB458D"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490C9331" w14:textId="77777777" w:rsidR="008D6F13" w:rsidRDefault="008D6F13" w:rsidP="0031078F">
            <w:r>
              <w:rPr>
                <w:b/>
              </w:rPr>
              <w:t>Total liabilities</w:t>
            </w:r>
          </w:p>
        </w:tc>
        <w:tc>
          <w:tcPr>
            <w:tcW w:w="794" w:type="dxa"/>
            <w:tcBorders>
              <w:top w:val="single" w:sz="6" w:space="0" w:color="auto"/>
              <w:bottom w:val="single" w:sz="6" w:space="0" w:color="auto"/>
            </w:tcBorders>
          </w:tcPr>
          <w:p w14:paraId="02779AD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267 238</w:t>
            </w:r>
          </w:p>
        </w:tc>
        <w:tc>
          <w:tcPr>
            <w:tcW w:w="794" w:type="dxa"/>
            <w:tcBorders>
              <w:top w:val="single" w:sz="6" w:space="0" w:color="auto"/>
              <w:bottom w:val="single" w:sz="6" w:space="0" w:color="auto"/>
            </w:tcBorders>
          </w:tcPr>
          <w:p w14:paraId="417AF98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271 436</w:t>
            </w:r>
          </w:p>
        </w:tc>
        <w:tc>
          <w:tcPr>
            <w:tcW w:w="794" w:type="dxa"/>
            <w:tcBorders>
              <w:top w:val="single" w:sz="6" w:space="0" w:color="auto"/>
              <w:bottom w:val="single" w:sz="6" w:space="0" w:color="auto"/>
            </w:tcBorders>
          </w:tcPr>
          <w:p w14:paraId="25C2787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297 862</w:t>
            </w:r>
          </w:p>
        </w:tc>
        <w:tc>
          <w:tcPr>
            <w:tcW w:w="794" w:type="dxa"/>
            <w:tcBorders>
              <w:top w:val="single" w:sz="6" w:space="0" w:color="auto"/>
              <w:bottom w:val="single" w:sz="6" w:space="0" w:color="auto"/>
            </w:tcBorders>
          </w:tcPr>
          <w:p w14:paraId="309483B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325 706</w:t>
            </w:r>
          </w:p>
        </w:tc>
        <w:tc>
          <w:tcPr>
            <w:tcW w:w="794" w:type="dxa"/>
            <w:tcBorders>
              <w:top w:val="single" w:sz="6" w:space="0" w:color="auto"/>
              <w:bottom w:val="single" w:sz="6" w:space="0" w:color="auto"/>
            </w:tcBorders>
          </w:tcPr>
          <w:p w14:paraId="4C8CC69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351 550</w:t>
            </w:r>
          </w:p>
        </w:tc>
      </w:tr>
      <w:tr w:rsidR="008D6F13" w14:paraId="22E33547"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789822FD" w14:textId="77777777" w:rsidR="008D6F13" w:rsidRDefault="008D6F13" w:rsidP="0031078F">
            <w:r>
              <w:rPr>
                <w:b/>
              </w:rPr>
              <w:t>Net assets</w:t>
            </w:r>
          </w:p>
        </w:tc>
        <w:tc>
          <w:tcPr>
            <w:tcW w:w="794" w:type="dxa"/>
            <w:tcBorders>
              <w:top w:val="single" w:sz="6" w:space="0" w:color="auto"/>
              <w:bottom w:val="single" w:sz="12" w:space="0" w:color="auto"/>
            </w:tcBorders>
          </w:tcPr>
          <w:p w14:paraId="7F832BE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173 609</w:t>
            </w:r>
          </w:p>
        </w:tc>
        <w:tc>
          <w:tcPr>
            <w:tcW w:w="794" w:type="dxa"/>
            <w:tcBorders>
              <w:top w:val="single" w:sz="6" w:space="0" w:color="auto"/>
              <w:bottom w:val="single" w:sz="12" w:space="0" w:color="auto"/>
            </w:tcBorders>
          </w:tcPr>
          <w:p w14:paraId="663867F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164 990</w:t>
            </w:r>
          </w:p>
        </w:tc>
        <w:tc>
          <w:tcPr>
            <w:tcW w:w="794" w:type="dxa"/>
            <w:tcBorders>
              <w:top w:val="single" w:sz="6" w:space="0" w:color="auto"/>
              <w:bottom w:val="single" w:sz="12" w:space="0" w:color="auto"/>
            </w:tcBorders>
          </w:tcPr>
          <w:p w14:paraId="1CF9D60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163 281</w:t>
            </w:r>
          </w:p>
        </w:tc>
        <w:tc>
          <w:tcPr>
            <w:tcW w:w="794" w:type="dxa"/>
            <w:tcBorders>
              <w:top w:val="single" w:sz="6" w:space="0" w:color="auto"/>
              <w:bottom w:val="single" w:sz="12" w:space="0" w:color="auto"/>
            </w:tcBorders>
          </w:tcPr>
          <w:p w14:paraId="3794E68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160 894</w:t>
            </w:r>
          </w:p>
        </w:tc>
        <w:tc>
          <w:tcPr>
            <w:tcW w:w="794" w:type="dxa"/>
            <w:tcBorders>
              <w:top w:val="single" w:sz="6" w:space="0" w:color="auto"/>
              <w:bottom w:val="single" w:sz="12" w:space="0" w:color="auto"/>
            </w:tcBorders>
          </w:tcPr>
          <w:p w14:paraId="665D431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163 688</w:t>
            </w:r>
          </w:p>
        </w:tc>
      </w:tr>
      <w:tr w:rsidR="008D6F13" w14:paraId="7143F27E"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017FA490" w14:textId="77777777" w:rsidR="008D6F13" w:rsidRDefault="008D6F13" w:rsidP="0031078F">
            <w:r>
              <w:t>Accumulated surplus/(deficit)</w:t>
            </w:r>
          </w:p>
        </w:tc>
        <w:tc>
          <w:tcPr>
            <w:tcW w:w="794" w:type="dxa"/>
            <w:tcBorders>
              <w:top w:val="single" w:sz="6" w:space="0" w:color="auto"/>
            </w:tcBorders>
          </w:tcPr>
          <w:p w14:paraId="18D8CB8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61 384</w:t>
            </w:r>
          </w:p>
        </w:tc>
        <w:tc>
          <w:tcPr>
            <w:tcW w:w="794" w:type="dxa"/>
            <w:tcBorders>
              <w:top w:val="single" w:sz="6" w:space="0" w:color="auto"/>
            </w:tcBorders>
          </w:tcPr>
          <w:p w14:paraId="5004E21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52 831</w:t>
            </w:r>
          </w:p>
        </w:tc>
        <w:tc>
          <w:tcPr>
            <w:tcW w:w="794" w:type="dxa"/>
            <w:tcBorders>
              <w:top w:val="single" w:sz="6" w:space="0" w:color="auto"/>
            </w:tcBorders>
          </w:tcPr>
          <w:p w14:paraId="666389B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44 061</w:t>
            </w:r>
          </w:p>
        </w:tc>
        <w:tc>
          <w:tcPr>
            <w:tcW w:w="794" w:type="dxa"/>
            <w:tcBorders>
              <w:top w:val="single" w:sz="6" w:space="0" w:color="auto"/>
            </w:tcBorders>
          </w:tcPr>
          <w:p w14:paraId="13A696A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35 530</w:t>
            </w:r>
          </w:p>
        </w:tc>
        <w:tc>
          <w:tcPr>
            <w:tcW w:w="794" w:type="dxa"/>
            <w:tcBorders>
              <w:top w:val="single" w:sz="6" w:space="0" w:color="auto"/>
            </w:tcBorders>
          </w:tcPr>
          <w:p w14:paraId="78EE83D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28 200</w:t>
            </w:r>
          </w:p>
        </w:tc>
      </w:tr>
      <w:tr w:rsidR="008D6F13" w14:paraId="62012E68"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56BAB87E" w14:textId="77777777" w:rsidR="008D6F13" w:rsidRDefault="008D6F13" w:rsidP="0031078F">
            <w:r>
              <w:t>Reserves</w:t>
            </w:r>
          </w:p>
        </w:tc>
        <w:tc>
          <w:tcPr>
            <w:tcW w:w="794" w:type="dxa"/>
            <w:tcBorders>
              <w:bottom w:val="single" w:sz="6" w:space="0" w:color="auto"/>
            </w:tcBorders>
          </w:tcPr>
          <w:p w14:paraId="5444A93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112 225</w:t>
            </w:r>
          </w:p>
        </w:tc>
        <w:tc>
          <w:tcPr>
            <w:tcW w:w="794" w:type="dxa"/>
            <w:tcBorders>
              <w:bottom w:val="single" w:sz="6" w:space="0" w:color="auto"/>
            </w:tcBorders>
          </w:tcPr>
          <w:p w14:paraId="691B9A7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112 159</w:t>
            </w:r>
          </w:p>
        </w:tc>
        <w:tc>
          <w:tcPr>
            <w:tcW w:w="794" w:type="dxa"/>
            <w:tcBorders>
              <w:bottom w:val="single" w:sz="6" w:space="0" w:color="auto"/>
            </w:tcBorders>
          </w:tcPr>
          <w:p w14:paraId="63017CA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119 220</w:t>
            </w:r>
          </w:p>
        </w:tc>
        <w:tc>
          <w:tcPr>
            <w:tcW w:w="794" w:type="dxa"/>
            <w:tcBorders>
              <w:bottom w:val="single" w:sz="6" w:space="0" w:color="auto"/>
            </w:tcBorders>
          </w:tcPr>
          <w:p w14:paraId="4B18001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125 364</w:t>
            </w:r>
          </w:p>
        </w:tc>
        <w:tc>
          <w:tcPr>
            <w:tcW w:w="794" w:type="dxa"/>
            <w:tcBorders>
              <w:bottom w:val="single" w:sz="6" w:space="0" w:color="auto"/>
            </w:tcBorders>
          </w:tcPr>
          <w:p w14:paraId="72C7472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135 488</w:t>
            </w:r>
          </w:p>
        </w:tc>
      </w:tr>
      <w:tr w:rsidR="008D6F13" w14:paraId="0F93D86B"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12" w:space="0" w:color="auto"/>
            </w:tcBorders>
          </w:tcPr>
          <w:p w14:paraId="625E2F36" w14:textId="77777777" w:rsidR="008D6F13" w:rsidRDefault="008D6F13" w:rsidP="0031078F">
            <w:r>
              <w:rPr>
                <w:b/>
              </w:rPr>
              <w:t>Net worth</w:t>
            </w:r>
          </w:p>
        </w:tc>
        <w:tc>
          <w:tcPr>
            <w:tcW w:w="794" w:type="dxa"/>
            <w:tcBorders>
              <w:top w:val="single" w:sz="6" w:space="0" w:color="auto"/>
              <w:bottom w:val="single" w:sz="12" w:space="0" w:color="auto"/>
            </w:tcBorders>
          </w:tcPr>
          <w:p w14:paraId="524605E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173 609</w:t>
            </w:r>
          </w:p>
        </w:tc>
        <w:tc>
          <w:tcPr>
            <w:tcW w:w="794" w:type="dxa"/>
            <w:tcBorders>
              <w:top w:val="single" w:sz="6" w:space="0" w:color="auto"/>
              <w:bottom w:val="single" w:sz="12" w:space="0" w:color="auto"/>
            </w:tcBorders>
          </w:tcPr>
          <w:p w14:paraId="635C6BB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164 990</w:t>
            </w:r>
          </w:p>
        </w:tc>
        <w:tc>
          <w:tcPr>
            <w:tcW w:w="794" w:type="dxa"/>
            <w:tcBorders>
              <w:top w:val="single" w:sz="6" w:space="0" w:color="auto"/>
              <w:bottom w:val="single" w:sz="12" w:space="0" w:color="auto"/>
            </w:tcBorders>
          </w:tcPr>
          <w:p w14:paraId="6B9D49A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163 281</w:t>
            </w:r>
          </w:p>
        </w:tc>
        <w:tc>
          <w:tcPr>
            <w:tcW w:w="794" w:type="dxa"/>
            <w:tcBorders>
              <w:top w:val="single" w:sz="6" w:space="0" w:color="auto"/>
              <w:bottom w:val="single" w:sz="12" w:space="0" w:color="auto"/>
            </w:tcBorders>
          </w:tcPr>
          <w:p w14:paraId="0C1FADB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160 894</w:t>
            </w:r>
          </w:p>
        </w:tc>
        <w:tc>
          <w:tcPr>
            <w:tcW w:w="794" w:type="dxa"/>
            <w:tcBorders>
              <w:top w:val="single" w:sz="6" w:space="0" w:color="auto"/>
              <w:bottom w:val="single" w:sz="12" w:space="0" w:color="auto"/>
            </w:tcBorders>
          </w:tcPr>
          <w:p w14:paraId="3659014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163 688</w:t>
            </w:r>
          </w:p>
        </w:tc>
      </w:tr>
      <w:tr w:rsidR="008D6F13" w14:paraId="4DDBD51E" w14:textId="77777777" w:rsidTr="0031078F">
        <w:trPr>
          <w:trHeight w:hRule="exact" w:val="113"/>
        </w:trPr>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35E2347F" w14:textId="77777777" w:rsidR="008D6F13" w:rsidRDefault="008D6F13" w:rsidP="0031078F"/>
        </w:tc>
        <w:tc>
          <w:tcPr>
            <w:tcW w:w="794" w:type="dxa"/>
            <w:tcBorders>
              <w:top w:val="single" w:sz="6" w:space="0" w:color="auto"/>
            </w:tcBorders>
          </w:tcPr>
          <w:p w14:paraId="4204CBB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D092F8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47169B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DF2891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C824D4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75C68E99"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58BB373" w14:textId="77777777" w:rsidR="008D6F13" w:rsidRDefault="008D6F13" w:rsidP="0031078F">
            <w:r>
              <w:rPr>
                <w:b/>
              </w:rPr>
              <w:t>FISCAL AGGREGATES</w:t>
            </w:r>
          </w:p>
        </w:tc>
        <w:tc>
          <w:tcPr>
            <w:tcW w:w="794" w:type="dxa"/>
          </w:tcPr>
          <w:p w14:paraId="5B6FE43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E922C7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8C0334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07B520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605C0E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2EEFDC02"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5D5974C2" w14:textId="77777777" w:rsidR="008D6F13" w:rsidRDefault="008D6F13" w:rsidP="0031078F">
            <w:r>
              <w:t>Net financial worth</w:t>
            </w:r>
          </w:p>
        </w:tc>
        <w:tc>
          <w:tcPr>
            <w:tcW w:w="794" w:type="dxa"/>
          </w:tcPr>
          <w:p w14:paraId="4BE131B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(188 678)</w:t>
            </w:r>
          </w:p>
        </w:tc>
        <w:tc>
          <w:tcPr>
            <w:tcW w:w="794" w:type="dxa"/>
          </w:tcPr>
          <w:p w14:paraId="193DCB6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(192 260)</w:t>
            </w:r>
          </w:p>
        </w:tc>
        <w:tc>
          <w:tcPr>
            <w:tcW w:w="794" w:type="dxa"/>
          </w:tcPr>
          <w:p w14:paraId="72B1A4B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(217 724)</w:t>
            </w:r>
          </w:p>
        </w:tc>
        <w:tc>
          <w:tcPr>
            <w:tcW w:w="794" w:type="dxa"/>
          </w:tcPr>
          <w:p w14:paraId="24088F9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(244 206)</w:t>
            </w:r>
          </w:p>
        </w:tc>
        <w:tc>
          <w:tcPr>
            <w:tcW w:w="794" w:type="dxa"/>
          </w:tcPr>
          <w:p w14:paraId="777A6E8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(267 878)</w:t>
            </w:r>
          </w:p>
        </w:tc>
      </w:tr>
      <w:tr w:rsidR="008D6F13" w14:paraId="6C43E4D6"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2D808FA" w14:textId="77777777" w:rsidR="008D6F13" w:rsidRDefault="008D6F13" w:rsidP="0031078F">
            <w:r>
              <w:t>Net financial liabilities</w:t>
            </w:r>
          </w:p>
        </w:tc>
        <w:tc>
          <w:tcPr>
            <w:tcW w:w="794" w:type="dxa"/>
          </w:tcPr>
          <w:p w14:paraId="74DD26E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188 678</w:t>
            </w:r>
          </w:p>
        </w:tc>
        <w:tc>
          <w:tcPr>
            <w:tcW w:w="794" w:type="dxa"/>
          </w:tcPr>
          <w:p w14:paraId="632A3BB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192 260</w:t>
            </w:r>
          </w:p>
        </w:tc>
        <w:tc>
          <w:tcPr>
            <w:tcW w:w="794" w:type="dxa"/>
          </w:tcPr>
          <w:p w14:paraId="6641C68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217 724</w:t>
            </w:r>
          </w:p>
        </w:tc>
        <w:tc>
          <w:tcPr>
            <w:tcW w:w="794" w:type="dxa"/>
          </w:tcPr>
          <w:p w14:paraId="046AFEB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244 206</w:t>
            </w:r>
          </w:p>
        </w:tc>
        <w:tc>
          <w:tcPr>
            <w:tcW w:w="794" w:type="dxa"/>
          </w:tcPr>
          <w:p w14:paraId="17BA971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267 878</w:t>
            </w:r>
          </w:p>
        </w:tc>
      </w:tr>
      <w:tr w:rsidR="008D6F13" w14:paraId="73EBB9C9"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3AED384" w14:textId="77777777" w:rsidR="008D6F13" w:rsidRDefault="008D6F13" w:rsidP="0031078F">
            <w:r>
              <w:t>Net debt</w:t>
            </w:r>
          </w:p>
        </w:tc>
        <w:tc>
          <w:tcPr>
            <w:tcW w:w="794" w:type="dxa"/>
          </w:tcPr>
          <w:p w14:paraId="64F5267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76 417</w:t>
            </w:r>
          </w:p>
        </w:tc>
        <w:tc>
          <w:tcPr>
            <w:tcW w:w="794" w:type="dxa"/>
          </w:tcPr>
          <w:p w14:paraId="2BD1E0A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85 094</w:t>
            </w:r>
          </w:p>
        </w:tc>
        <w:tc>
          <w:tcPr>
            <w:tcW w:w="794" w:type="dxa"/>
          </w:tcPr>
          <w:p w14:paraId="2DA4215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104 423</w:t>
            </w:r>
          </w:p>
        </w:tc>
        <w:tc>
          <w:tcPr>
            <w:tcW w:w="794" w:type="dxa"/>
          </w:tcPr>
          <w:p w14:paraId="0C9FC2B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128 121</w:t>
            </w:r>
          </w:p>
        </w:tc>
        <w:tc>
          <w:tcPr>
            <w:tcW w:w="794" w:type="dxa"/>
          </w:tcPr>
          <w:p w14:paraId="67FD1A6D" w14:textId="046EC3BC" w:rsidR="008D6F13" w:rsidRDefault="008D6F13" w:rsidP="0031078F">
            <w:pPr>
              <w:cnfStyle w:val="000000000000" w:firstRow="0" w:lastRow="0" w:firstColumn="0" w:lastColumn="0" w:oddVBand="0" w:evenVBand="0" w:oddHBand="0" w:evenHBand="0" w:firstRowFirstColumn="0" w:firstRowLastColumn="0" w:lastRowFirstColumn="0" w:lastRowLastColumn="0"/>
            </w:pPr>
            <w:r>
              <w:t>149 490</w:t>
            </w:r>
          </w:p>
        </w:tc>
      </w:tr>
    </w:tbl>
    <w:p w14:paraId="35434D54" w14:textId="77777777" w:rsidR="008D6F13" w:rsidRPr="00921F69" w:rsidRDefault="008D6F13" w:rsidP="008D6F13">
      <w:pPr>
        <w:pStyle w:val="Note"/>
        <w:ind w:left="0" w:firstLine="0"/>
        <w:rPr>
          <w:rFonts w:cstheme="majorHAnsi"/>
        </w:rPr>
      </w:pPr>
      <w:r w:rsidRPr="00921F69">
        <w:rPr>
          <w:rFonts w:cstheme="majorHAnsi"/>
        </w:rPr>
        <w:t>Note:</w:t>
      </w:r>
    </w:p>
    <w:p w14:paraId="71FA6C59" w14:textId="77777777" w:rsidR="008D6F13" w:rsidRPr="00921F69" w:rsidRDefault="008D6F13" w:rsidP="008D6F13">
      <w:pPr>
        <w:pStyle w:val="Note"/>
        <w:rPr>
          <w:rFonts w:cstheme="majorHAnsi"/>
        </w:rPr>
      </w:pPr>
      <w:r w:rsidRPr="00921F69">
        <w:rPr>
          <w:rFonts w:cstheme="majorHAnsi"/>
        </w:rPr>
        <w:t>(a)</w:t>
      </w:r>
      <w:r w:rsidRPr="00921F69">
        <w:rPr>
          <w:rFonts w:cstheme="majorHAnsi"/>
        </w:rPr>
        <w:tab/>
        <w:t xml:space="preserve">Balances represent actual opening balances </w:t>
      </w:r>
      <w:proofErr w:type="gramStart"/>
      <w:r w:rsidRPr="00921F69">
        <w:rPr>
          <w:rFonts w:cstheme="majorHAnsi"/>
        </w:rPr>
        <w:t>at</w:t>
      </w:r>
      <w:proofErr w:type="gramEnd"/>
      <w:r w:rsidRPr="00921F69">
        <w:rPr>
          <w:rFonts w:cstheme="majorHAnsi"/>
        </w:rPr>
        <w:t xml:space="preserve"> 1 July 20</w:t>
      </w:r>
      <w:r>
        <w:rPr>
          <w:rFonts w:cstheme="majorHAnsi"/>
        </w:rPr>
        <w:t>21</w:t>
      </w:r>
      <w:r w:rsidRPr="00921F69">
        <w:rPr>
          <w:rFonts w:cstheme="majorHAnsi"/>
        </w:rPr>
        <w:t xml:space="preserve"> plus 20</w:t>
      </w:r>
      <w:r>
        <w:rPr>
          <w:rFonts w:cstheme="majorHAnsi"/>
        </w:rPr>
        <w:t>21</w:t>
      </w:r>
      <w:r w:rsidRPr="00921F69">
        <w:rPr>
          <w:rFonts w:cstheme="majorHAnsi"/>
        </w:rPr>
        <w:t>-2</w:t>
      </w:r>
      <w:r>
        <w:rPr>
          <w:rFonts w:cstheme="majorHAnsi"/>
        </w:rPr>
        <w:t>2</w:t>
      </w:r>
      <w:r w:rsidRPr="00921F69">
        <w:rPr>
          <w:rFonts w:cstheme="majorHAnsi"/>
        </w:rPr>
        <w:t xml:space="preserve"> budgeted movements.</w:t>
      </w:r>
    </w:p>
    <w:p w14:paraId="2F1B948F" w14:textId="77777777" w:rsidR="008D6F13" w:rsidRPr="00921F69" w:rsidRDefault="008D6F13" w:rsidP="008D6F13">
      <w:pPr>
        <w:rPr>
          <w:rFonts w:asciiTheme="majorHAnsi" w:hAnsiTheme="majorHAnsi" w:cstheme="majorHAnsi"/>
        </w:rPr>
      </w:pPr>
    </w:p>
    <w:p w14:paraId="501F0019" w14:textId="77777777" w:rsidR="008D6F13" w:rsidRDefault="008D6F13" w:rsidP="008D6F13">
      <w:pPr>
        <w:keepLines w:val="0"/>
        <w:rPr>
          <w:rFonts w:asciiTheme="majorHAnsi" w:hAnsiTheme="majorHAnsi" w:cstheme="majorHAnsi"/>
          <w:b/>
          <w:sz w:val="20"/>
        </w:rPr>
      </w:pPr>
      <w:r>
        <w:rPr>
          <w:rFonts w:cstheme="majorHAnsi"/>
        </w:rPr>
        <w:br w:type="page"/>
      </w:r>
    </w:p>
    <w:p w14:paraId="5053AA3B" w14:textId="55EAB1AD" w:rsidR="008D6F13" w:rsidRPr="00A06E1B" w:rsidRDefault="008D6F13" w:rsidP="008D6F13">
      <w:pPr>
        <w:pStyle w:val="TableHeading"/>
        <w:rPr>
          <w:rFonts w:cstheme="majorHAnsi"/>
        </w:rPr>
      </w:pPr>
      <w:r w:rsidRPr="00921F69">
        <w:rPr>
          <w:rFonts w:cstheme="majorHAnsi"/>
        </w:rPr>
        <w:lastRenderedPageBreak/>
        <w:t>Table 5.18</w:t>
      </w:r>
      <w:r w:rsidR="007F1FE4">
        <w:rPr>
          <w:rFonts w:cstheme="majorHAnsi"/>
        </w:rPr>
        <w:t>:</w:t>
      </w:r>
      <w:r w:rsidRPr="00921F69">
        <w:rPr>
          <w:rFonts w:cstheme="majorHAnsi"/>
        </w:rPr>
        <w:tab/>
        <w:t xml:space="preserve">State of Victoria cash flow statement </w:t>
      </w:r>
      <w:r w:rsidR="00231812">
        <w:rPr>
          <w:rFonts w:cstheme="majorHAnsi"/>
        </w:rPr>
        <w:br/>
      </w:r>
      <w:r w:rsidRPr="00921F69">
        <w:rPr>
          <w:rFonts w:cstheme="majorHAnsi"/>
        </w:rPr>
        <w:t>for the financial year ended 30 June</w:t>
      </w:r>
      <w:r w:rsidRPr="00921F69">
        <w:rPr>
          <w:rFonts w:cstheme="majorHAnsi"/>
        </w:rPr>
        <w:tab/>
        <w:t>($ million)</w:t>
      </w:r>
    </w:p>
    <w:tbl>
      <w:tblPr>
        <w:tblStyle w:val="DTFTableNumeric"/>
        <w:tblW w:w="7710" w:type="dxa"/>
        <w:tblLayout w:type="fixed"/>
        <w:tblLook w:val="06A0" w:firstRow="1" w:lastRow="0" w:firstColumn="1" w:lastColumn="0" w:noHBand="1" w:noVBand="1"/>
      </w:tblPr>
      <w:tblGrid>
        <w:gridCol w:w="3878"/>
        <w:gridCol w:w="766"/>
        <w:gridCol w:w="766"/>
        <w:gridCol w:w="767"/>
        <w:gridCol w:w="766"/>
        <w:gridCol w:w="767"/>
      </w:tblGrid>
      <w:tr w:rsidR="008D6F13" w:rsidRPr="002C0A3F" w14:paraId="3A219601"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8" w:type="dxa"/>
          </w:tcPr>
          <w:p w14:paraId="34B66988" w14:textId="2DBC9E85" w:rsidR="008D6F13" w:rsidRPr="002C0A3F" w:rsidRDefault="008D6F13" w:rsidP="0031078F">
            <w:pPr>
              <w:rPr>
                <w:sz w:val="16"/>
                <w:szCs w:val="16"/>
              </w:rPr>
            </w:pPr>
          </w:p>
        </w:tc>
        <w:tc>
          <w:tcPr>
            <w:tcW w:w="766" w:type="dxa"/>
          </w:tcPr>
          <w:p w14:paraId="54FB66EA" w14:textId="77777777" w:rsidR="008D6F13" w:rsidRPr="002C0A3F" w:rsidRDefault="008D6F13" w:rsidP="0031078F">
            <w:pPr>
              <w:cnfStyle w:val="100000000000" w:firstRow="1" w:lastRow="0" w:firstColumn="0" w:lastColumn="0" w:oddVBand="0" w:evenVBand="0" w:oddHBand="0" w:evenHBand="0" w:firstRowFirstColumn="0" w:firstRowLastColumn="0" w:lastRowFirstColumn="0" w:lastRowLastColumn="0"/>
              <w:rPr>
                <w:sz w:val="16"/>
                <w:szCs w:val="16"/>
              </w:rPr>
            </w:pPr>
            <w:r w:rsidRPr="002C0A3F">
              <w:rPr>
                <w:sz w:val="16"/>
                <w:szCs w:val="16"/>
              </w:rPr>
              <w:t>2021</w:t>
            </w:r>
            <w:r w:rsidRPr="002C0A3F">
              <w:rPr>
                <w:sz w:val="16"/>
                <w:szCs w:val="16"/>
              </w:rPr>
              <w:noBreakHyphen/>
              <w:t>22</w:t>
            </w:r>
            <w:r w:rsidRPr="002C0A3F">
              <w:rPr>
                <w:sz w:val="16"/>
                <w:szCs w:val="16"/>
              </w:rPr>
              <w:br/>
              <w:t>budget</w:t>
            </w:r>
          </w:p>
        </w:tc>
        <w:tc>
          <w:tcPr>
            <w:tcW w:w="766" w:type="dxa"/>
          </w:tcPr>
          <w:p w14:paraId="4BA7F70C" w14:textId="77777777" w:rsidR="008D6F13" w:rsidRPr="002C0A3F" w:rsidRDefault="008D6F13" w:rsidP="0031078F">
            <w:pPr>
              <w:cnfStyle w:val="100000000000" w:firstRow="1" w:lastRow="0" w:firstColumn="0" w:lastColumn="0" w:oddVBand="0" w:evenVBand="0" w:oddHBand="0" w:evenHBand="0" w:firstRowFirstColumn="0" w:firstRowLastColumn="0" w:lastRowFirstColumn="0" w:lastRowLastColumn="0"/>
              <w:rPr>
                <w:sz w:val="16"/>
                <w:szCs w:val="16"/>
              </w:rPr>
            </w:pPr>
            <w:r w:rsidRPr="002C0A3F">
              <w:rPr>
                <w:sz w:val="16"/>
                <w:szCs w:val="16"/>
              </w:rPr>
              <w:t>2021</w:t>
            </w:r>
            <w:r w:rsidRPr="002C0A3F">
              <w:rPr>
                <w:sz w:val="16"/>
                <w:szCs w:val="16"/>
              </w:rPr>
              <w:noBreakHyphen/>
              <w:t>22</w:t>
            </w:r>
            <w:r w:rsidRPr="002C0A3F">
              <w:rPr>
                <w:sz w:val="16"/>
                <w:szCs w:val="16"/>
              </w:rPr>
              <w:br/>
              <w:t>revised</w:t>
            </w:r>
          </w:p>
        </w:tc>
        <w:tc>
          <w:tcPr>
            <w:tcW w:w="767" w:type="dxa"/>
          </w:tcPr>
          <w:p w14:paraId="05BD719D" w14:textId="77777777" w:rsidR="008D6F13" w:rsidRPr="002C0A3F" w:rsidRDefault="008D6F13" w:rsidP="0031078F">
            <w:pPr>
              <w:cnfStyle w:val="100000000000" w:firstRow="1" w:lastRow="0" w:firstColumn="0" w:lastColumn="0" w:oddVBand="0" w:evenVBand="0" w:oddHBand="0" w:evenHBand="0" w:firstRowFirstColumn="0" w:firstRowLastColumn="0" w:lastRowFirstColumn="0" w:lastRowLastColumn="0"/>
              <w:rPr>
                <w:sz w:val="16"/>
                <w:szCs w:val="16"/>
              </w:rPr>
            </w:pPr>
            <w:r w:rsidRPr="002C0A3F">
              <w:rPr>
                <w:sz w:val="16"/>
                <w:szCs w:val="16"/>
              </w:rPr>
              <w:t>2022</w:t>
            </w:r>
            <w:r w:rsidRPr="002C0A3F">
              <w:rPr>
                <w:sz w:val="16"/>
                <w:szCs w:val="16"/>
              </w:rPr>
              <w:noBreakHyphen/>
              <w:t>23</w:t>
            </w:r>
            <w:r w:rsidRPr="002C0A3F">
              <w:rPr>
                <w:sz w:val="16"/>
                <w:szCs w:val="16"/>
              </w:rPr>
              <w:br/>
              <w:t>estimate</w:t>
            </w:r>
          </w:p>
        </w:tc>
        <w:tc>
          <w:tcPr>
            <w:tcW w:w="766" w:type="dxa"/>
          </w:tcPr>
          <w:p w14:paraId="4FBC36E0" w14:textId="77777777" w:rsidR="008D6F13" w:rsidRPr="002C0A3F" w:rsidRDefault="008D6F13" w:rsidP="0031078F">
            <w:pPr>
              <w:cnfStyle w:val="100000000000" w:firstRow="1" w:lastRow="0" w:firstColumn="0" w:lastColumn="0" w:oddVBand="0" w:evenVBand="0" w:oddHBand="0" w:evenHBand="0" w:firstRowFirstColumn="0" w:firstRowLastColumn="0" w:lastRowFirstColumn="0" w:lastRowLastColumn="0"/>
              <w:rPr>
                <w:sz w:val="16"/>
                <w:szCs w:val="16"/>
              </w:rPr>
            </w:pPr>
            <w:r w:rsidRPr="002C0A3F">
              <w:rPr>
                <w:sz w:val="16"/>
                <w:szCs w:val="16"/>
              </w:rPr>
              <w:t>2023</w:t>
            </w:r>
            <w:r w:rsidRPr="002C0A3F">
              <w:rPr>
                <w:sz w:val="16"/>
                <w:szCs w:val="16"/>
              </w:rPr>
              <w:noBreakHyphen/>
              <w:t>24</w:t>
            </w:r>
            <w:r w:rsidRPr="002C0A3F">
              <w:rPr>
                <w:sz w:val="16"/>
                <w:szCs w:val="16"/>
              </w:rPr>
              <w:br/>
              <w:t>estimate</w:t>
            </w:r>
          </w:p>
        </w:tc>
        <w:tc>
          <w:tcPr>
            <w:tcW w:w="767" w:type="dxa"/>
          </w:tcPr>
          <w:p w14:paraId="02921AFA" w14:textId="77777777" w:rsidR="008D6F13" w:rsidRPr="002C0A3F" w:rsidRDefault="008D6F13" w:rsidP="0031078F">
            <w:pPr>
              <w:cnfStyle w:val="100000000000" w:firstRow="1" w:lastRow="0" w:firstColumn="0" w:lastColumn="0" w:oddVBand="0" w:evenVBand="0" w:oddHBand="0" w:evenHBand="0" w:firstRowFirstColumn="0" w:firstRowLastColumn="0" w:lastRowFirstColumn="0" w:lastRowLastColumn="0"/>
              <w:rPr>
                <w:sz w:val="16"/>
                <w:szCs w:val="16"/>
              </w:rPr>
            </w:pPr>
            <w:r w:rsidRPr="002C0A3F">
              <w:rPr>
                <w:sz w:val="16"/>
                <w:szCs w:val="16"/>
              </w:rPr>
              <w:t>2024</w:t>
            </w:r>
            <w:r w:rsidRPr="002C0A3F">
              <w:rPr>
                <w:sz w:val="16"/>
                <w:szCs w:val="16"/>
              </w:rPr>
              <w:noBreakHyphen/>
              <w:t>25</w:t>
            </w:r>
            <w:r w:rsidRPr="002C0A3F">
              <w:rPr>
                <w:sz w:val="16"/>
                <w:szCs w:val="16"/>
              </w:rPr>
              <w:br/>
              <w:t>estimate</w:t>
            </w:r>
          </w:p>
        </w:tc>
      </w:tr>
      <w:tr w:rsidR="008D6F13" w:rsidRPr="002C0A3F" w14:paraId="016DD240" w14:textId="77777777" w:rsidTr="0031078F">
        <w:tc>
          <w:tcPr>
            <w:cnfStyle w:val="001000000000" w:firstRow="0" w:lastRow="0" w:firstColumn="1" w:lastColumn="0" w:oddVBand="0" w:evenVBand="0" w:oddHBand="0" w:evenHBand="0" w:firstRowFirstColumn="0" w:firstRowLastColumn="0" w:lastRowFirstColumn="0" w:lastRowLastColumn="0"/>
            <w:tcW w:w="3878" w:type="dxa"/>
          </w:tcPr>
          <w:p w14:paraId="35846C26" w14:textId="77777777" w:rsidR="008D6F13" w:rsidRPr="002C0A3F" w:rsidRDefault="008D6F13" w:rsidP="0031078F">
            <w:pPr>
              <w:rPr>
                <w:sz w:val="16"/>
                <w:szCs w:val="16"/>
              </w:rPr>
            </w:pPr>
            <w:r w:rsidRPr="002C0A3F">
              <w:rPr>
                <w:b/>
                <w:sz w:val="16"/>
                <w:szCs w:val="16"/>
              </w:rPr>
              <w:t>Cash flows from operating activities</w:t>
            </w:r>
          </w:p>
        </w:tc>
        <w:tc>
          <w:tcPr>
            <w:tcW w:w="766" w:type="dxa"/>
          </w:tcPr>
          <w:p w14:paraId="3435B8BC"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66" w:type="dxa"/>
          </w:tcPr>
          <w:p w14:paraId="0BFCD05A"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67" w:type="dxa"/>
          </w:tcPr>
          <w:p w14:paraId="7CD1CE2E"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66" w:type="dxa"/>
          </w:tcPr>
          <w:p w14:paraId="17DFB17A"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67" w:type="dxa"/>
          </w:tcPr>
          <w:p w14:paraId="7BA8450C"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r>
      <w:tr w:rsidR="008D6F13" w:rsidRPr="002C0A3F" w14:paraId="6DD559A7" w14:textId="77777777" w:rsidTr="0031078F">
        <w:tc>
          <w:tcPr>
            <w:cnfStyle w:val="001000000000" w:firstRow="0" w:lastRow="0" w:firstColumn="1" w:lastColumn="0" w:oddVBand="0" w:evenVBand="0" w:oddHBand="0" w:evenHBand="0" w:firstRowFirstColumn="0" w:firstRowLastColumn="0" w:lastRowFirstColumn="0" w:lastRowLastColumn="0"/>
            <w:tcW w:w="3878" w:type="dxa"/>
          </w:tcPr>
          <w:p w14:paraId="6D27A283" w14:textId="77777777" w:rsidR="008D6F13" w:rsidRPr="002C0A3F" w:rsidRDefault="008D6F13" w:rsidP="0031078F">
            <w:pPr>
              <w:rPr>
                <w:sz w:val="16"/>
                <w:szCs w:val="16"/>
              </w:rPr>
            </w:pPr>
            <w:r w:rsidRPr="002C0A3F">
              <w:rPr>
                <w:b/>
                <w:sz w:val="16"/>
                <w:szCs w:val="16"/>
              </w:rPr>
              <w:t>Receipts</w:t>
            </w:r>
          </w:p>
        </w:tc>
        <w:tc>
          <w:tcPr>
            <w:tcW w:w="766" w:type="dxa"/>
          </w:tcPr>
          <w:p w14:paraId="24925D73"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66" w:type="dxa"/>
          </w:tcPr>
          <w:p w14:paraId="1E17CC56"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67" w:type="dxa"/>
          </w:tcPr>
          <w:p w14:paraId="1206C4A1"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66" w:type="dxa"/>
          </w:tcPr>
          <w:p w14:paraId="28B20F9C"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67" w:type="dxa"/>
          </w:tcPr>
          <w:p w14:paraId="520D9336"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r>
      <w:tr w:rsidR="008D6F13" w:rsidRPr="002C0A3F" w14:paraId="6C03DE95" w14:textId="77777777" w:rsidTr="0031078F">
        <w:tc>
          <w:tcPr>
            <w:cnfStyle w:val="001000000000" w:firstRow="0" w:lastRow="0" w:firstColumn="1" w:lastColumn="0" w:oddVBand="0" w:evenVBand="0" w:oddHBand="0" w:evenHBand="0" w:firstRowFirstColumn="0" w:firstRowLastColumn="0" w:lastRowFirstColumn="0" w:lastRowLastColumn="0"/>
            <w:tcW w:w="3878" w:type="dxa"/>
          </w:tcPr>
          <w:p w14:paraId="2CDD501C" w14:textId="77777777" w:rsidR="008D6F13" w:rsidRPr="002C0A3F" w:rsidRDefault="008D6F13" w:rsidP="0031078F">
            <w:pPr>
              <w:rPr>
                <w:sz w:val="16"/>
                <w:szCs w:val="16"/>
              </w:rPr>
            </w:pPr>
            <w:r w:rsidRPr="002C0A3F">
              <w:rPr>
                <w:sz w:val="16"/>
                <w:szCs w:val="16"/>
              </w:rPr>
              <w:t>Taxes received</w:t>
            </w:r>
          </w:p>
        </w:tc>
        <w:tc>
          <w:tcPr>
            <w:tcW w:w="766" w:type="dxa"/>
          </w:tcPr>
          <w:p w14:paraId="41570023"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28 109</w:t>
            </w:r>
          </w:p>
        </w:tc>
        <w:tc>
          <w:tcPr>
            <w:tcW w:w="766" w:type="dxa"/>
          </w:tcPr>
          <w:p w14:paraId="41AD20DF"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27 143</w:t>
            </w:r>
          </w:p>
        </w:tc>
        <w:tc>
          <w:tcPr>
            <w:tcW w:w="767" w:type="dxa"/>
          </w:tcPr>
          <w:p w14:paraId="29D2E2E7"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29 264</w:t>
            </w:r>
          </w:p>
        </w:tc>
        <w:tc>
          <w:tcPr>
            <w:tcW w:w="766" w:type="dxa"/>
          </w:tcPr>
          <w:p w14:paraId="1A57943B"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30 286</w:t>
            </w:r>
          </w:p>
        </w:tc>
        <w:tc>
          <w:tcPr>
            <w:tcW w:w="767" w:type="dxa"/>
          </w:tcPr>
          <w:p w14:paraId="2CDE6CE2"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31 628</w:t>
            </w:r>
          </w:p>
        </w:tc>
      </w:tr>
      <w:tr w:rsidR="008D6F13" w:rsidRPr="002C0A3F" w14:paraId="26B386A5" w14:textId="77777777" w:rsidTr="0031078F">
        <w:tc>
          <w:tcPr>
            <w:cnfStyle w:val="001000000000" w:firstRow="0" w:lastRow="0" w:firstColumn="1" w:lastColumn="0" w:oddVBand="0" w:evenVBand="0" w:oddHBand="0" w:evenHBand="0" w:firstRowFirstColumn="0" w:firstRowLastColumn="0" w:lastRowFirstColumn="0" w:lastRowLastColumn="0"/>
            <w:tcW w:w="3878" w:type="dxa"/>
          </w:tcPr>
          <w:p w14:paraId="6B7EFB14" w14:textId="77777777" w:rsidR="008D6F13" w:rsidRPr="002C0A3F" w:rsidRDefault="008D6F13" w:rsidP="0031078F">
            <w:pPr>
              <w:rPr>
                <w:sz w:val="16"/>
                <w:szCs w:val="16"/>
              </w:rPr>
            </w:pPr>
            <w:r w:rsidRPr="002C0A3F">
              <w:rPr>
                <w:sz w:val="16"/>
                <w:szCs w:val="16"/>
              </w:rPr>
              <w:t>Grants</w:t>
            </w:r>
          </w:p>
        </w:tc>
        <w:tc>
          <w:tcPr>
            <w:tcW w:w="766" w:type="dxa"/>
          </w:tcPr>
          <w:p w14:paraId="01731F56"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36 090</w:t>
            </w:r>
          </w:p>
        </w:tc>
        <w:tc>
          <w:tcPr>
            <w:tcW w:w="766" w:type="dxa"/>
          </w:tcPr>
          <w:p w14:paraId="3885DD77"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40 376</w:t>
            </w:r>
          </w:p>
        </w:tc>
        <w:tc>
          <w:tcPr>
            <w:tcW w:w="767" w:type="dxa"/>
          </w:tcPr>
          <w:p w14:paraId="028DF30E"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38 559</w:t>
            </w:r>
          </w:p>
        </w:tc>
        <w:tc>
          <w:tcPr>
            <w:tcW w:w="766" w:type="dxa"/>
          </w:tcPr>
          <w:p w14:paraId="1AB21058"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38 995</w:t>
            </w:r>
          </w:p>
        </w:tc>
        <w:tc>
          <w:tcPr>
            <w:tcW w:w="767" w:type="dxa"/>
          </w:tcPr>
          <w:p w14:paraId="3C29B28C"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40 491</w:t>
            </w:r>
          </w:p>
        </w:tc>
      </w:tr>
      <w:tr w:rsidR="008D6F13" w:rsidRPr="002C0A3F" w14:paraId="0DCB81A5" w14:textId="77777777" w:rsidTr="0031078F">
        <w:tc>
          <w:tcPr>
            <w:cnfStyle w:val="001000000000" w:firstRow="0" w:lastRow="0" w:firstColumn="1" w:lastColumn="0" w:oddVBand="0" w:evenVBand="0" w:oddHBand="0" w:evenHBand="0" w:firstRowFirstColumn="0" w:firstRowLastColumn="0" w:lastRowFirstColumn="0" w:lastRowLastColumn="0"/>
            <w:tcW w:w="3878" w:type="dxa"/>
          </w:tcPr>
          <w:p w14:paraId="50411CFD" w14:textId="77777777" w:rsidR="008D6F13" w:rsidRPr="002C0A3F" w:rsidRDefault="008D6F13" w:rsidP="0031078F">
            <w:pPr>
              <w:rPr>
                <w:sz w:val="16"/>
                <w:szCs w:val="16"/>
              </w:rPr>
            </w:pPr>
            <w:r w:rsidRPr="002C0A3F">
              <w:rPr>
                <w:sz w:val="16"/>
                <w:szCs w:val="16"/>
              </w:rPr>
              <w:t>Sales of goods and services and other receipts</w:t>
            </w:r>
            <w:r w:rsidRPr="002C0A3F">
              <w:rPr>
                <w:sz w:val="16"/>
                <w:szCs w:val="16"/>
                <w:vertAlign w:val="superscript"/>
              </w:rPr>
              <w:t xml:space="preserve"> (a)</w:t>
            </w:r>
          </w:p>
        </w:tc>
        <w:tc>
          <w:tcPr>
            <w:tcW w:w="766" w:type="dxa"/>
          </w:tcPr>
          <w:p w14:paraId="6D0206D3"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24 086</w:t>
            </w:r>
          </w:p>
        </w:tc>
        <w:tc>
          <w:tcPr>
            <w:tcW w:w="766" w:type="dxa"/>
          </w:tcPr>
          <w:p w14:paraId="01CCC298"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20 664</w:t>
            </w:r>
          </w:p>
        </w:tc>
        <w:tc>
          <w:tcPr>
            <w:tcW w:w="767" w:type="dxa"/>
          </w:tcPr>
          <w:p w14:paraId="2751F11A"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25 542</w:t>
            </w:r>
          </w:p>
        </w:tc>
        <w:tc>
          <w:tcPr>
            <w:tcW w:w="766" w:type="dxa"/>
          </w:tcPr>
          <w:p w14:paraId="0D9B288D"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22 715</w:t>
            </w:r>
          </w:p>
        </w:tc>
        <w:tc>
          <w:tcPr>
            <w:tcW w:w="767" w:type="dxa"/>
          </w:tcPr>
          <w:p w14:paraId="146F52E3"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23 447</w:t>
            </w:r>
          </w:p>
        </w:tc>
      </w:tr>
      <w:tr w:rsidR="008D6F13" w:rsidRPr="002C0A3F" w14:paraId="1C45CB52" w14:textId="77777777" w:rsidTr="0031078F">
        <w:tc>
          <w:tcPr>
            <w:cnfStyle w:val="001000000000" w:firstRow="0" w:lastRow="0" w:firstColumn="1" w:lastColumn="0" w:oddVBand="0" w:evenVBand="0" w:oddHBand="0" w:evenHBand="0" w:firstRowFirstColumn="0" w:firstRowLastColumn="0" w:lastRowFirstColumn="0" w:lastRowLastColumn="0"/>
            <w:tcW w:w="3878" w:type="dxa"/>
          </w:tcPr>
          <w:p w14:paraId="53394CBD" w14:textId="77777777" w:rsidR="008D6F13" w:rsidRPr="002C0A3F" w:rsidRDefault="008D6F13" w:rsidP="0031078F">
            <w:pPr>
              <w:rPr>
                <w:sz w:val="16"/>
                <w:szCs w:val="16"/>
              </w:rPr>
            </w:pPr>
            <w:r w:rsidRPr="002C0A3F">
              <w:rPr>
                <w:sz w:val="16"/>
                <w:szCs w:val="16"/>
              </w:rPr>
              <w:t>Interest received</w:t>
            </w:r>
          </w:p>
        </w:tc>
        <w:tc>
          <w:tcPr>
            <w:tcW w:w="766" w:type="dxa"/>
          </w:tcPr>
          <w:p w14:paraId="5841D888"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248</w:t>
            </w:r>
          </w:p>
        </w:tc>
        <w:tc>
          <w:tcPr>
            <w:tcW w:w="766" w:type="dxa"/>
          </w:tcPr>
          <w:p w14:paraId="711CCC7E"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281</w:t>
            </w:r>
          </w:p>
        </w:tc>
        <w:tc>
          <w:tcPr>
            <w:tcW w:w="767" w:type="dxa"/>
          </w:tcPr>
          <w:p w14:paraId="78DDFDF9"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276</w:t>
            </w:r>
          </w:p>
        </w:tc>
        <w:tc>
          <w:tcPr>
            <w:tcW w:w="766" w:type="dxa"/>
          </w:tcPr>
          <w:p w14:paraId="77653190"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295</w:t>
            </w:r>
          </w:p>
        </w:tc>
        <w:tc>
          <w:tcPr>
            <w:tcW w:w="767" w:type="dxa"/>
          </w:tcPr>
          <w:p w14:paraId="002B681D"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355</w:t>
            </w:r>
          </w:p>
        </w:tc>
      </w:tr>
      <w:tr w:rsidR="008D6F13" w:rsidRPr="002C0A3F" w14:paraId="7E2F519B" w14:textId="77777777" w:rsidTr="0031078F">
        <w:tc>
          <w:tcPr>
            <w:cnfStyle w:val="001000000000" w:firstRow="0" w:lastRow="0" w:firstColumn="1" w:lastColumn="0" w:oddVBand="0" w:evenVBand="0" w:oddHBand="0" w:evenHBand="0" w:firstRowFirstColumn="0" w:firstRowLastColumn="0" w:lastRowFirstColumn="0" w:lastRowLastColumn="0"/>
            <w:tcW w:w="3878" w:type="dxa"/>
            <w:tcBorders>
              <w:bottom w:val="single" w:sz="6" w:space="0" w:color="auto"/>
            </w:tcBorders>
          </w:tcPr>
          <w:p w14:paraId="3C95D7C4" w14:textId="77777777" w:rsidR="008D6F13" w:rsidRPr="002C0A3F" w:rsidRDefault="008D6F13" w:rsidP="0031078F">
            <w:pPr>
              <w:rPr>
                <w:sz w:val="16"/>
                <w:szCs w:val="16"/>
              </w:rPr>
            </w:pPr>
            <w:r w:rsidRPr="002C0A3F">
              <w:rPr>
                <w:sz w:val="16"/>
                <w:szCs w:val="16"/>
              </w:rPr>
              <w:t>Dividend receipts</w:t>
            </w:r>
          </w:p>
        </w:tc>
        <w:tc>
          <w:tcPr>
            <w:tcW w:w="766" w:type="dxa"/>
            <w:tcBorders>
              <w:bottom w:val="single" w:sz="6" w:space="0" w:color="auto"/>
            </w:tcBorders>
          </w:tcPr>
          <w:p w14:paraId="5B834D4C"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1 577</w:t>
            </w:r>
          </w:p>
        </w:tc>
        <w:tc>
          <w:tcPr>
            <w:tcW w:w="766" w:type="dxa"/>
            <w:tcBorders>
              <w:bottom w:val="single" w:sz="6" w:space="0" w:color="auto"/>
            </w:tcBorders>
          </w:tcPr>
          <w:p w14:paraId="5739474E"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1 761</w:t>
            </w:r>
          </w:p>
        </w:tc>
        <w:tc>
          <w:tcPr>
            <w:tcW w:w="767" w:type="dxa"/>
            <w:tcBorders>
              <w:bottom w:val="single" w:sz="6" w:space="0" w:color="auto"/>
            </w:tcBorders>
          </w:tcPr>
          <w:p w14:paraId="4B716E5A"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1 783</w:t>
            </w:r>
          </w:p>
        </w:tc>
        <w:tc>
          <w:tcPr>
            <w:tcW w:w="766" w:type="dxa"/>
            <w:tcBorders>
              <w:bottom w:val="single" w:sz="6" w:space="0" w:color="auto"/>
            </w:tcBorders>
          </w:tcPr>
          <w:p w14:paraId="59A34591"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1 795</w:t>
            </w:r>
          </w:p>
        </w:tc>
        <w:tc>
          <w:tcPr>
            <w:tcW w:w="767" w:type="dxa"/>
            <w:tcBorders>
              <w:bottom w:val="single" w:sz="6" w:space="0" w:color="auto"/>
            </w:tcBorders>
          </w:tcPr>
          <w:p w14:paraId="67B0A177"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2 212</w:t>
            </w:r>
          </w:p>
        </w:tc>
      </w:tr>
      <w:tr w:rsidR="008D6F13" w:rsidRPr="002C0A3F" w14:paraId="621CDDA1" w14:textId="77777777" w:rsidTr="0031078F">
        <w:tc>
          <w:tcPr>
            <w:cnfStyle w:val="001000000000" w:firstRow="0" w:lastRow="0" w:firstColumn="1" w:lastColumn="0" w:oddVBand="0" w:evenVBand="0" w:oddHBand="0" w:evenHBand="0" w:firstRowFirstColumn="0" w:firstRowLastColumn="0" w:lastRowFirstColumn="0" w:lastRowLastColumn="0"/>
            <w:tcW w:w="3878" w:type="dxa"/>
            <w:tcBorders>
              <w:top w:val="single" w:sz="6" w:space="0" w:color="auto"/>
            </w:tcBorders>
          </w:tcPr>
          <w:p w14:paraId="785A9F6A" w14:textId="77777777" w:rsidR="008D6F13" w:rsidRPr="002C0A3F" w:rsidRDefault="008D6F13" w:rsidP="0031078F">
            <w:pPr>
              <w:rPr>
                <w:sz w:val="16"/>
                <w:szCs w:val="16"/>
              </w:rPr>
            </w:pPr>
            <w:r w:rsidRPr="002C0A3F">
              <w:rPr>
                <w:b/>
                <w:sz w:val="16"/>
                <w:szCs w:val="16"/>
              </w:rPr>
              <w:t>Total receipts</w:t>
            </w:r>
          </w:p>
        </w:tc>
        <w:tc>
          <w:tcPr>
            <w:tcW w:w="766" w:type="dxa"/>
            <w:tcBorders>
              <w:top w:val="single" w:sz="6" w:space="0" w:color="auto"/>
            </w:tcBorders>
          </w:tcPr>
          <w:p w14:paraId="47A2AC4E"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90 109</w:t>
            </w:r>
          </w:p>
        </w:tc>
        <w:tc>
          <w:tcPr>
            <w:tcW w:w="766" w:type="dxa"/>
            <w:tcBorders>
              <w:top w:val="single" w:sz="6" w:space="0" w:color="auto"/>
            </w:tcBorders>
          </w:tcPr>
          <w:p w14:paraId="46B8FD7C"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90 224</w:t>
            </w:r>
          </w:p>
        </w:tc>
        <w:tc>
          <w:tcPr>
            <w:tcW w:w="767" w:type="dxa"/>
            <w:tcBorders>
              <w:top w:val="single" w:sz="6" w:space="0" w:color="auto"/>
            </w:tcBorders>
          </w:tcPr>
          <w:p w14:paraId="41E14D06"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95 424</w:t>
            </w:r>
          </w:p>
        </w:tc>
        <w:tc>
          <w:tcPr>
            <w:tcW w:w="766" w:type="dxa"/>
            <w:tcBorders>
              <w:top w:val="single" w:sz="6" w:space="0" w:color="auto"/>
            </w:tcBorders>
          </w:tcPr>
          <w:p w14:paraId="7B54A3E3"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94 086</w:t>
            </w:r>
          </w:p>
        </w:tc>
        <w:tc>
          <w:tcPr>
            <w:tcW w:w="767" w:type="dxa"/>
            <w:tcBorders>
              <w:top w:val="single" w:sz="6" w:space="0" w:color="auto"/>
            </w:tcBorders>
          </w:tcPr>
          <w:p w14:paraId="79202AF4"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98 133</w:t>
            </w:r>
          </w:p>
        </w:tc>
      </w:tr>
      <w:tr w:rsidR="008D6F13" w:rsidRPr="002C0A3F" w14:paraId="03442636" w14:textId="77777777" w:rsidTr="0031078F">
        <w:tc>
          <w:tcPr>
            <w:cnfStyle w:val="001000000000" w:firstRow="0" w:lastRow="0" w:firstColumn="1" w:lastColumn="0" w:oddVBand="0" w:evenVBand="0" w:oddHBand="0" w:evenHBand="0" w:firstRowFirstColumn="0" w:firstRowLastColumn="0" w:lastRowFirstColumn="0" w:lastRowLastColumn="0"/>
            <w:tcW w:w="3878" w:type="dxa"/>
          </w:tcPr>
          <w:p w14:paraId="086F6799" w14:textId="77777777" w:rsidR="008D6F13" w:rsidRPr="002C0A3F" w:rsidRDefault="008D6F13" w:rsidP="0031078F">
            <w:pPr>
              <w:rPr>
                <w:sz w:val="16"/>
                <w:szCs w:val="16"/>
              </w:rPr>
            </w:pPr>
            <w:r w:rsidRPr="002C0A3F">
              <w:rPr>
                <w:b/>
                <w:sz w:val="16"/>
                <w:szCs w:val="16"/>
              </w:rPr>
              <w:t>Payments</w:t>
            </w:r>
          </w:p>
        </w:tc>
        <w:tc>
          <w:tcPr>
            <w:tcW w:w="766" w:type="dxa"/>
          </w:tcPr>
          <w:p w14:paraId="34E60098"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66" w:type="dxa"/>
          </w:tcPr>
          <w:p w14:paraId="76B1A0E8"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67" w:type="dxa"/>
          </w:tcPr>
          <w:p w14:paraId="1776CE62"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66" w:type="dxa"/>
          </w:tcPr>
          <w:p w14:paraId="43D840DF"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67" w:type="dxa"/>
          </w:tcPr>
          <w:p w14:paraId="5A3D787C"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r>
      <w:tr w:rsidR="008D6F13" w:rsidRPr="002C0A3F" w14:paraId="6B9F6B2A" w14:textId="77777777" w:rsidTr="0031078F">
        <w:tc>
          <w:tcPr>
            <w:cnfStyle w:val="001000000000" w:firstRow="0" w:lastRow="0" w:firstColumn="1" w:lastColumn="0" w:oddVBand="0" w:evenVBand="0" w:oddHBand="0" w:evenHBand="0" w:firstRowFirstColumn="0" w:firstRowLastColumn="0" w:lastRowFirstColumn="0" w:lastRowLastColumn="0"/>
            <w:tcW w:w="3878" w:type="dxa"/>
          </w:tcPr>
          <w:p w14:paraId="687A8E14" w14:textId="77777777" w:rsidR="008D6F13" w:rsidRPr="002C0A3F" w:rsidRDefault="008D6F13" w:rsidP="0031078F">
            <w:pPr>
              <w:rPr>
                <w:sz w:val="16"/>
                <w:szCs w:val="16"/>
              </w:rPr>
            </w:pPr>
            <w:r w:rsidRPr="002C0A3F">
              <w:rPr>
                <w:sz w:val="16"/>
                <w:szCs w:val="16"/>
              </w:rPr>
              <w:t>Payments for employees</w:t>
            </w:r>
          </w:p>
        </w:tc>
        <w:tc>
          <w:tcPr>
            <w:tcW w:w="766" w:type="dxa"/>
          </w:tcPr>
          <w:p w14:paraId="40A97267"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(32 813)</w:t>
            </w:r>
          </w:p>
        </w:tc>
        <w:tc>
          <w:tcPr>
            <w:tcW w:w="766" w:type="dxa"/>
          </w:tcPr>
          <w:p w14:paraId="3F96C1CB"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(33 947)</w:t>
            </w:r>
          </w:p>
        </w:tc>
        <w:tc>
          <w:tcPr>
            <w:tcW w:w="767" w:type="dxa"/>
          </w:tcPr>
          <w:p w14:paraId="15956390"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(34 224)</w:t>
            </w:r>
          </w:p>
        </w:tc>
        <w:tc>
          <w:tcPr>
            <w:tcW w:w="766" w:type="dxa"/>
          </w:tcPr>
          <w:p w14:paraId="1F19447C"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(35 019)</w:t>
            </w:r>
          </w:p>
        </w:tc>
        <w:tc>
          <w:tcPr>
            <w:tcW w:w="767" w:type="dxa"/>
          </w:tcPr>
          <w:p w14:paraId="2765133A"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(35 800)</w:t>
            </w:r>
          </w:p>
        </w:tc>
      </w:tr>
      <w:tr w:rsidR="008D6F13" w:rsidRPr="002C0A3F" w14:paraId="4428A171" w14:textId="77777777" w:rsidTr="0031078F">
        <w:tc>
          <w:tcPr>
            <w:cnfStyle w:val="001000000000" w:firstRow="0" w:lastRow="0" w:firstColumn="1" w:lastColumn="0" w:oddVBand="0" w:evenVBand="0" w:oddHBand="0" w:evenHBand="0" w:firstRowFirstColumn="0" w:firstRowLastColumn="0" w:lastRowFirstColumn="0" w:lastRowLastColumn="0"/>
            <w:tcW w:w="3878" w:type="dxa"/>
          </w:tcPr>
          <w:p w14:paraId="5DDF14F4" w14:textId="77777777" w:rsidR="008D6F13" w:rsidRPr="002C0A3F" w:rsidRDefault="008D6F13" w:rsidP="0031078F">
            <w:pPr>
              <w:rPr>
                <w:sz w:val="16"/>
                <w:szCs w:val="16"/>
              </w:rPr>
            </w:pPr>
            <w:r w:rsidRPr="002C0A3F">
              <w:rPr>
                <w:sz w:val="16"/>
                <w:szCs w:val="16"/>
              </w:rPr>
              <w:t>Superannuation</w:t>
            </w:r>
          </w:p>
        </w:tc>
        <w:tc>
          <w:tcPr>
            <w:tcW w:w="766" w:type="dxa"/>
          </w:tcPr>
          <w:p w14:paraId="5233C7A8"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(3 963)</w:t>
            </w:r>
          </w:p>
        </w:tc>
        <w:tc>
          <w:tcPr>
            <w:tcW w:w="766" w:type="dxa"/>
          </w:tcPr>
          <w:p w14:paraId="277F4AE7"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(4 065)</w:t>
            </w:r>
          </w:p>
        </w:tc>
        <w:tc>
          <w:tcPr>
            <w:tcW w:w="767" w:type="dxa"/>
          </w:tcPr>
          <w:p w14:paraId="596955B6"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(4 034)</w:t>
            </w:r>
          </w:p>
        </w:tc>
        <w:tc>
          <w:tcPr>
            <w:tcW w:w="766" w:type="dxa"/>
          </w:tcPr>
          <w:p w14:paraId="390A0022"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(4 173)</w:t>
            </w:r>
          </w:p>
        </w:tc>
        <w:tc>
          <w:tcPr>
            <w:tcW w:w="767" w:type="dxa"/>
          </w:tcPr>
          <w:p w14:paraId="4FB3EA19"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(4 198)</w:t>
            </w:r>
          </w:p>
        </w:tc>
      </w:tr>
      <w:tr w:rsidR="008D6F13" w:rsidRPr="002C0A3F" w14:paraId="2376C32E" w14:textId="77777777" w:rsidTr="0031078F">
        <w:tc>
          <w:tcPr>
            <w:cnfStyle w:val="001000000000" w:firstRow="0" w:lastRow="0" w:firstColumn="1" w:lastColumn="0" w:oddVBand="0" w:evenVBand="0" w:oddHBand="0" w:evenHBand="0" w:firstRowFirstColumn="0" w:firstRowLastColumn="0" w:lastRowFirstColumn="0" w:lastRowLastColumn="0"/>
            <w:tcW w:w="3878" w:type="dxa"/>
          </w:tcPr>
          <w:p w14:paraId="65C63627" w14:textId="77777777" w:rsidR="008D6F13" w:rsidRPr="002C0A3F" w:rsidRDefault="008D6F13" w:rsidP="0031078F">
            <w:pPr>
              <w:rPr>
                <w:sz w:val="16"/>
                <w:szCs w:val="16"/>
              </w:rPr>
            </w:pPr>
            <w:r w:rsidRPr="002C0A3F">
              <w:rPr>
                <w:sz w:val="16"/>
                <w:szCs w:val="16"/>
              </w:rPr>
              <w:t>Interest paid</w:t>
            </w:r>
          </w:p>
        </w:tc>
        <w:tc>
          <w:tcPr>
            <w:tcW w:w="766" w:type="dxa"/>
          </w:tcPr>
          <w:p w14:paraId="001868AA"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(3 093)</w:t>
            </w:r>
          </w:p>
        </w:tc>
        <w:tc>
          <w:tcPr>
            <w:tcW w:w="766" w:type="dxa"/>
          </w:tcPr>
          <w:p w14:paraId="4373E3DA"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(3 302)</w:t>
            </w:r>
          </w:p>
        </w:tc>
        <w:tc>
          <w:tcPr>
            <w:tcW w:w="767" w:type="dxa"/>
          </w:tcPr>
          <w:p w14:paraId="4FF8EE79"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(3 945)</w:t>
            </w:r>
          </w:p>
        </w:tc>
        <w:tc>
          <w:tcPr>
            <w:tcW w:w="766" w:type="dxa"/>
          </w:tcPr>
          <w:p w14:paraId="1BE17BFD"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(4 623)</w:t>
            </w:r>
          </w:p>
        </w:tc>
        <w:tc>
          <w:tcPr>
            <w:tcW w:w="767" w:type="dxa"/>
          </w:tcPr>
          <w:p w14:paraId="345E5F32"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(5 458)</w:t>
            </w:r>
          </w:p>
        </w:tc>
      </w:tr>
      <w:tr w:rsidR="008D6F13" w:rsidRPr="002C0A3F" w14:paraId="5C4CA5F1" w14:textId="77777777" w:rsidTr="0031078F">
        <w:tc>
          <w:tcPr>
            <w:cnfStyle w:val="001000000000" w:firstRow="0" w:lastRow="0" w:firstColumn="1" w:lastColumn="0" w:oddVBand="0" w:evenVBand="0" w:oddHBand="0" w:evenHBand="0" w:firstRowFirstColumn="0" w:firstRowLastColumn="0" w:lastRowFirstColumn="0" w:lastRowLastColumn="0"/>
            <w:tcW w:w="3878" w:type="dxa"/>
          </w:tcPr>
          <w:p w14:paraId="1E2A702A" w14:textId="77777777" w:rsidR="008D6F13" w:rsidRPr="002C0A3F" w:rsidRDefault="008D6F13" w:rsidP="0031078F">
            <w:pPr>
              <w:rPr>
                <w:sz w:val="16"/>
                <w:szCs w:val="16"/>
              </w:rPr>
            </w:pPr>
            <w:r w:rsidRPr="002C0A3F">
              <w:rPr>
                <w:sz w:val="16"/>
                <w:szCs w:val="16"/>
              </w:rPr>
              <w:t>Grants and subsidies</w:t>
            </w:r>
          </w:p>
        </w:tc>
        <w:tc>
          <w:tcPr>
            <w:tcW w:w="766" w:type="dxa"/>
          </w:tcPr>
          <w:p w14:paraId="5D1DB46D"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(15 280)</w:t>
            </w:r>
          </w:p>
        </w:tc>
        <w:tc>
          <w:tcPr>
            <w:tcW w:w="766" w:type="dxa"/>
          </w:tcPr>
          <w:p w14:paraId="579FAA24"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(22 817)</w:t>
            </w:r>
          </w:p>
        </w:tc>
        <w:tc>
          <w:tcPr>
            <w:tcW w:w="767" w:type="dxa"/>
          </w:tcPr>
          <w:p w14:paraId="234EFA2D"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(14 061)</w:t>
            </w:r>
          </w:p>
        </w:tc>
        <w:tc>
          <w:tcPr>
            <w:tcW w:w="766" w:type="dxa"/>
          </w:tcPr>
          <w:p w14:paraId="27E054AF"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(13 637)</w:t>
            </w:r>
          </w:p>
        </w:tc>
        <w:tc>
          <w:tcPr>
            <w:tcW w:w="767" w:type="dxa"/>
          </w:tcPr>
          <w:p w14:paraId="641D8A39"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(13 350)</w:t>
            </w:r>
          </w:p>
        </w:tc>
      </w:tr>
      <w:tr w:rsidR="008D6F13" w:rsidRPr="002C0A3F" w14:paraId="166471AD" w14:textId="77777777" w:rsidTr="0031078F">
        <w:tc>
          <w:tcPr>
            <w:cnfStyle w:val="001000000000" w:firstRow="0" w:lastRow="0" w:firstColumn="1" w:lastColumn="0" w:oddVBand="0" w:evenVBand="0" w:oddHBand="0" w:evenHBand="0" w:firstRowFirstColumn="0" w:firstRowLastColumn="0" w:lastRowFirstColumn="0" w:lastRowLastColumn="0"/>
            <w:tcW w:w="3878" w:type="dxa"/>
          </w:tcPr>
          <w:p w14:paraId="0386E459" w14:textId="77777777" w:rsidR="008D6F13" w:rsidRPr="002C0A3F" w:rsidRDefault="008D6F13" w:rsidP="0031078F">
            <w:pPr>
              <w:rPr>
                <w:sz w:val="16"/>
                <w:szCs w:val="16"/>
              </w:rPr>
            </w:pPr>
            <w:r w:rsidRPr="002C0A3F">
              <w:rPr>
                <w:sz w:val="16"/>
                <w:szCs w:val="16"/>
              </w:rPr>
              <w:t>Goods and services</w:t>
            </w:r>
            <w:r w:rsidRPr="002C0A3F">
              <w:rPr>
                <w:sz w:val="16"/>
                <w:szCs w:val="16"/>
                <w:vertAlign w:val="superscript"/>
              </w:rPr>
              <w:t xml:space="preserve"> (a)</w:t>
            </w:r>
          </w:p>
        </w:tc>
        <w:tc>
          <w:tcPr>
            <w:tcW w:w="766" w:type="dxa"/>
          </w:tcPr>
          <w:p w14:paraId="68F2DCFB"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(34 501)</w:t>
            </w:r>
          </w:p>
        </w:tc>
        <w:tc>
          <w:tcPr>
            <w:tcW w:w="766" w:type="dxa"/>
          </w:tcPr>
          <w:p w14:paraId="4814814B"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(38 917)</w:t>
            </w:r>
          </w:p>
        </w:tc>
        <w:tc>
          <w:tcPr>
            <w:tcW w:w="767" w:type="dxa"/>
          </w:tcPr>
          <w:p w14:paraId="55B0FA9A"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(33 440)</w:t>
            </w:r>
          </w:p>
        </w:tc>
        <w:tc>
          <w:tcPr>
            <w:tcW w:w="766" w:type="dxa"/>
          </w:tcPr>
          <w:p w14:paraId="018AD66B"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(33 584)</w:t>
            </w:r>
          </w:p>
        </w:tc>
        <w:tc>
          <w:tcPr>
            <w:tcW w:w="767" w:type="dxa"/>
          </w:tcPr>
          <w:p w14:paraId="46506CA3"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(33 942)</w:t>
            </w:r>
          </w:p>
        </w:tc>
      </w:tr>
      <w:tr w:rsidR="008D6F13" w:rsidRPr="002C0A3F" w14:paraId="02D26108" w14:textId="77777777" w:rsidTr="0031078F">
        <w:tc>
          <w:tcPr>
            <w:cnfStyle w:val="001000000000" w:firstRow="0" w:lastRow="0" w:firstColumn="1" w:lastColumn="0" w:oddVBand="0" w:evenVBand="0" w:oddHBand="0" w:evenHBand="0" w:firstRowFirstColumn="0" w:firstRowLastColumn="0" w:lastRowFirstColumn="0" w:lastRowLastColumn="0"/>
            <w:tcW w:w="3878" w:type="dxa"/>
            <w:tcBorders>
              <w:bottom w:val="single" w:sz="6" w:space="0" w:color="auto"/>
            </w:tcBorders>
          </w:tcPr>
          <w:p w14:paraId="2669AB3A" w14:textId="77777777" w:rsidR="008D6F13" w:rsidRPr="002C0A3F" w:rsidRDefault="008D6F13" w:rsidP="0031078F">
            <w:pPr>
              <w:rPr>
                <w:sz w:val="16"/>
                <w:szCs w:val="16"/>
              </w:rPr>
            </w:pPr>
            <w:r w:rsidRPr="002C0A3F">
              <w:rPr>
                <w:sz w:val="16"/>
                <w:szCs w:val="16"/>
              </w:rPr>
              <w:t>Other payments</w:t>
            </w:r>
          </w:p>
        </w:tc>
        <w:tc>
          <w:tcPr>
            <w:tcW w:w="766" w:type="dxa"/>
            <w:tcBorders>
              <w:bottom w:val="single" w:sz="6" w:space="0" w:color="auto"/>
            </w:tcBorders>
          </w:tcPr>
          <w:p w14:paraId="3EDA9E72"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(1 279)</w:t>
            </w:r>
          </w:p>
        </w:tc>
        <w:tc>
          <w:tcPr>
            <w:tcW w:w="766" w:type="dxa"/>
            <w:tcBorders>
              <w:bottom w:val="single" w:sz="6" w:space="0" w:color="auto"/>
            </w:tcBorders>
          </w:tcPr>
          <w:p w14:paraId="63FD551A"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(1 372)</w:t>
            </w:r>
          </w:p>
        </w:tc>
        <w:tc>
          <w:tcPr>
            <w:tcW w:w="767" w:type="dxa"/>
            <w:tcBorders>
              <w:bottom w:val="single" w:sz="6" w:space="0" w:color="auto"/>
            </w:tcBorders>
          </w:tcPr>
          <w:p w14:paraId="08B6B08C"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(1 360)</w:t>
            </w:r>
          </w:p>
        </w:tc>
        <w:tc>
          <w:tcPr>
            <w:tcW w:w="766" w:type="dxa"/>
            <w:tcBorders>
              <w:bottom w:val="single" w:sz="6" w:space="0" w:color="auto"/>
            </w:tcBorders>
          </w:tcPr>
          <w:p w14:paraId="639FA620"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(870)</w:t>
            </w:r>
          </w:p>
        </w:tc>
        <w:tc>
          <w:tcPr>
            <w:tcW w:w="767" w:type="dxa"/>
            <w:tcBorders>
              <w:bottom w:val="single" w:sz="6" w:space="0" w:color="auto"/>
            </w:tcBorders>
          </w:tcPr>
          <w:p w14:paraId="7EB50D76"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(917)</w:t>
            </w:r>
          </w:p>
        </w:tc>
      </w:tr>
      <w:tr w:rsidR="008D6F13" w:rsidRPr="002C0A3F" w14:paraId="4C85CC9F" w14:textId="77777777" w:rsidTr="0031078F">
        <w:tc>
          <w:tcPr>
            <w:cnfStyle w:val="001000000000" w:firstRow="0" w:lastRow="0" w:firstColumn="1" w:lastColumn="0" w:oddVBand="0" w:evenVBand="0" w:oddHBand="0" w:evenHBand="0" w:firstRowFirstColumn="0" w:firstRowLastColumn="0" w:lastRowFirstColumn="0" w:lastRowLastColumn="0"/>
            <w:tcW w:w="3878" w:type="dxa"/>
            <w:tcBorders>
              <w:top w:val="single" w:sz="6" w:space="0" w:color="auto"/>
              <w:bottom w:val="single" w:sz="6" w:space="0" w:color="auto"/>
            </w:tcBorders>
          </w:tcPr>
          <w:p w14:paraId="5BE11871" w14:textId="77777777" w:rsidR="008D6F13" w:rsidRPr="002C0A3F" w:rsidRDefault="008D6F13" w:rsidP="0031078F">
            <w:pPr>
              <w:rPr>
                <w:sz w:val="16"/>
                <w:szCs w:val="16"/>
              </w:rPr>
            </w:pPr>
            <w:r w:rsidRPr="002C0A3F">
              <w:rPr>
                <w:b/>
                <w:sz w:val="16"/>
                <w:szCs w:val="16"/>
              </w:rPr>
              <w:t>Total payments</w:t>
            </w:r>
          </w:p>
        </w:tc>
        <w:tc>
          <w:tcPr>
            <w:tcW w:w="766" w:type="dxa"/>
            <w:tcBorders>
              <w:top w:val="single" w:sz="6" w:space="0" w:color="auto"/>
              <w:bottom w:val="single" w:sz="6" w:space="0" w:color="auto"/>
            </w:tcBorders>
          </w:tcPr>
          <w:p w14:paraId="65738B28"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(90 929)</w:t>
            </w:r>
          </w:p>
        </w:tc>
        <w:tc>
          <w:tcPr>
            <w:tcW w:w="766" w:type="dxa"/>
            <w:tcBorders>
              <w:top w:val="single" w:sz="6" w:space="0" w:color="auto"/>
              <w:bottom w:val="single" w:sz="6" w:space="0" w:color="auto"/>
            </w:tcBorders>
          </w:tcPr>
          <w:p w14:paraId="1CAE61CA"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(104 419)</w:t>
            </w:r>
          </w:p>
        </w:tc>
        <w:tc>
          <w:tcPr>
            <w:tcW w:w="767" w:type="dxa"/>
            <w:tcBorders>
              <w:top w:val="single" w:sz="6" w:space="0" w:color="auto"/>
              <w:bottom w:val="single" w:sz="6" w:space="0" w:color="auto"/>
            </w:tcBorders>
          </w:tcPr>
          <w:p w14:paraId="68EA3735"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(91 062)</w:t>
            </w:r>
          </w:p>
        </w:tc>
        <w:tc>
          <w:tcPr>
            <w:tcW w:w="766" w:type="dxa"/>
            <w:tcBorders>
              <w:top w:val="single" w:sz="6" w:space="0" w:color="auto"/>
              <w:bottom w:val="single" w:sz="6" w:space="0" w:color="auto"/>
            </w:tcBorders>
          </w:tcPr>
          <w:p w14:paraId="7C54C843"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(91 907)</w:t>
            </w:r>
          </w:p>
        </w:tc>
        <w:tc>
          <w:tcPr>
            <w:tcW w:w="767" w:type="dxa"/>
            <w:tcBorders>
              <w:top w:val="single" w:sz="6" w:space="0" w:color="auto"/>
              <w:bottom w:val="single" w:sz="6" w:space="0" w:color="auto"/>
            </w:tcBorders>
          </w:tcPr>
          <w:p w14:paraId="5B93B4A4"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(93 665)</w:t>
            </w:r>
          </w:p>
        </w:tc>
      </w:tr>
      <w:tr w:rsidR="008D6F13" w:rsidRPr="002C0A3F" w14:paraId="011F251C" w14:textId="77777777" w:rsidTr="0031078F">
        <w:tc>
          <w:tcPr>
            <w:cnfStyle w:val="001000000000" w:firstRow="0" w:lastRow="0" w:firstColumn="1" w:lastColumn="0" w:oddVBand="0" w:evenVBand="0" w:oddHBand="0" w:evenHBand="0" w:firstRowFirstColumn="0" w:firstRowLastColumn="0" w:lastRowFirstColumn="0" w:lastRowLastColumn="0"/>
            <w:tcW w:w="3878" w:type="dxa"/>
            <w:tcBorders>
              <w:top w:val="single" w:sz="6" w:space="0" w:color="auto"/>
            </w:tcBorders>
          </w:tcPr>
          <w:p w14:paraId="4407CFD2" w14:textId="77777777" w:rsidR="008D6F13" w:rsidRPr="002C0A3F" w:rsidRDefault="008D6F13" w:rsidP="0031078F">
            <w:pPr>
              <w:rPr>
                <w:sz w:val="16"/>
                <w:szCs w:val="16"/>
              </w:rPr>
            </w:pPr>
            <w:r w:rsidRPr="002C0A3F">
              <w:rPr>
                <w:b/>
                <w:sz w:val="16"/>
                <w:szCs w:val="16"/>
              </w:rPr>
              <w:t>Net cash flows from operating activities</w:t>
            </w:r>
          </w:p>
        </w:tc>
        <w:tc>
          <w:tcPr>
            <w:tcW w:w="766" w:type="dxa"/>
            <w:tcBorders>
              <w:top w:val="single" w:sz="6" w:space="0" w:color="auto"/>
            </w:tcBorders>
          </w:tcPr>
          <w:p w14:paraId="7ABC7FE1"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(819)</w:t>
            </w:r>
          </w:p>
        </w:tc>
        <w:tc>
          <w:tcPr>
            <w:tcW w:w="766" w:type="dxa"/>
            <w:tcBorders>
              <w:top w:val="single" w:sz="6" w:space="0" w:color="auto"/>
            </w:tcBorders>
          </w:tcPr>
          <w:p w14:paraId="2C82DDB7"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(14 195)</w:t>
            </w:r>
          </w:p>
        </w:tc>
        <w:tc>
          <w:tcPr>
            <w:tcW w:w="767" w:type="dxa"/>
            <w:tcBorders>
              <w:top w:val="single" w:sz="6" w:space="0" w:color="auto"/>
            </w:tcBorders>
          </w:tcPr>
          <w:p w14:paraId="33807C70"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4 362</w:t>
            </w:r>
          </w:p>
        </w:tc>
        <w:tc>
          <w:tcPr>
            <w:tcW w:w="766" w:type="dxa"/>
            <w:tcBorders>
              <w:top w:val="single" w:sz="6" w:space="0" w:color="auto"/>
            </w:tcBorders>
          </w:tcPr>
          <w:p w14:paraId="6332AF0D"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2 179</w:t>
            </w:r>
          </w:p>
        </w:tc>
        <w:tc>
          <w:tcPr>
            <w:tcW w:w="767" w:type="dxa"/>
            <w:tcBorders>
              <w:top w:val="single" w:sz="6" w:space="0" w:color="auto"/>
            </w:tcBorders>
          </w:tcPr>
          <w:p w14:paraId="2A7261D0"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4 467</w:t>
            </w:r>
          </w:p>
        </w:tc>
      </w:tr>
      <w:tr w:rsidR="008D6F13" w:rsidRPr="002C0A3F" w14:paraId="62F0E75D" w14:textId="77777777" w:rsidTr="0031078F">
        <w:tc>
          <w:tcPr>
            <w:cnfStyle w:val="001000000000" w:firstRow="0" w:lastRow="0" w:firstColumn="1" w:lastColumn="0" w:oddVBand="0" w:evenVBand="0" w:oddHBand="0" w:evenHBand="0" w:firstRowFirstColumn="0" w:firstRowLastColumn="0" w:lastRowFirstColumn="0" w:lastRowLastColumn="0"/>
            <w:tcW w:w="3878" w:type="dxa"/>
          </w:tcPr>
          <w:p w14:paraId="22DF4DA9" w14:textId="77777777" w:rsidR="008D6F13" w:rsidRPr="002C0A3F" w:rsidRDefault="008D6F13" w:rsidP="0031078F">
            <w:pPr>
              <w:rPr>
                <w:sz w:val="16"/>
                <w:szCs w:val="16"/>
              </w:rPr>
            </w:pPr>
            <w:r w:rsidRPr="002C0A3F">
              <w:rPr>
                <w:b/>
                <w:sz w:val="16"/>
                <w:szCs w:val="16"/>
              </w:rPr>
              <w:t>Cash flows from investing activities</w:t>
            </w:r>
          </w:p>
        </w:tc>
        <w:tc>
          <w:tcPr>
            <w:tcW w:w="766" w:type="dxa"/>
          </w:tcPr>
          <w:p w14:paraId="6BB2FF7F"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66" w:type="dxa"/>
          </w:tcPr>
          <w:p w14:paraId="4D008BD5"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67" w:type="dxa"/>
          </w:tcPr>
          <w:p w14:paraId="290140C6"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66" w:type="dxa"/>
          </w:tcPr>
          <w:p w14:paraId="301EAFF7"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67" w:type="dxa"/>
          </w:tcPr>
          <w:p w14:paraId="24516DE0"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r>
      <w:tr w:rsidR="008D6F13" w:rsidRPr="002C0A3F" w14:paraId="5FEF6F85" w14:textId="77777777" w:rsidTr="0031078F">
        <w:tc>
          <w:tcPr>
            <w:cnfStyle w:val="001000000000" w:firstRow="0" w:lastRow="0" w:firstColumn="1" w:lastColumn="0" w:oddVBand="0" w:evenVBand="0" w:oddHBand="0" w:evenHBand="0" w:firstRowFirstColumn="0" w:firstRowLastColumn="0" w:lastRowFirstColumn="0" w:lastRowLastColumn="0"/>
            <w:tcW w:w="3878" w:type="dxa"/>
          </w:tcPr>
          <w:p w14:paraId="4EE8D571" w14:textId="77777777" w:rsidR="008D6F13" w:rsidRPr="002C0A3F" w:rsidRDefault="008D6F13" w:rsidP="0031078F">
            <w:pPr>
              <w:rPr>
                <w:sz w:val="16"/>
                <w:szCs w:val="16"/>
              </w:rPr>
            </w:pPr>
            <w:r w:rsidRPr="002C0A3F">
              <w:rPr>
                <w:b/>
                <w:sz w:val="16"/>
                <w:szCs w:val="16"/>
              </w:rPr>
              <w:t>Cash flows from investments in non</w:t>
            </w:r>
            <w:r w:rsidRPr="002C0A3F">
              <w:rPr>
                <w:b/>
                <w:sz w:val="16"/>
                <w:szCs w:val="16"/>
              </w:rPr>
              <w:noBreakHyphen/>
              <w:t>financial assets</w:t>
            </w:r>
          </w:p>
        </w:tc>
        <w:tc>
          <w:tcPr>
            <w:tcW w:w="766" w:type="dxa"/>
          </w:tcPr>
          <w:p w14:paraId="55513727"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66" w:type="dxa"/>
          </w:tcPr>
          <w:p w14:paraId="27BDAA9C"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67" w:type="dxa"/>
          </w:tcPr>
          <w:p w14:paraId="3246FB8A"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66" w:type="dxa"/>
          </w:tcPr>
          <w:p w14:paraId="682CA0F1"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67" w:type="dxa"/>
          </w:tcPr>
          <w:p w14:paraId="13272627"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r>
      <w:tr w:rsidR="008D6F13" w:rsidRPr="002C0A3F" w14:paraId="793E87DA" w14:textId="77777777" w:rsidTr="0031078F">
        <w:tc>
          <w:tcPr>
            <w:cnfStyle w:val="001000000000" w:firstRow="0" w:lastRow="0" w:firstColumn="1" w:lastColumn="0" w:oddVBand="0" w:evenVBand="0" w:oddHBand="0" w:evenHBand="0" w:firstRowFirstColumn="0" w:firstRowLastColumn="0" w:lastRowFirstColumn="0" w:lastRowLastColumn="0"/>
            <w:tcW w:w="3878" w:type="dxa"/>
          </w:tcPr>
          <w:p w14:paraId="7F963AD9" w14:textId="77777777" w:rsidR="008D6F13" w:rsidRPr="002C0A3F" w:rsidRDefault="008D6F13" w:rsidP="0031078F">
            <w:pPr>
              <w:rPr>
                <w:sz w:val="16"/>
                <w:szCs w:val="16"/>
              </w:rPr>
            </w:pPr>
            <w:r w:rsidRPr="002C0A3F">
              <w:rPr>
                <w:sz w:val="16"/>
                <w:szCs w:val="16"/>
              </w:rPr>
              <w:t>Purchases of non</w:t>
            </w:r>
            <w:r w:rsidRPr="002C0A3F">
              <w:rPr>
                <w:sz w:val="16"/>
                <w:szCs w:val="16"/>
              </w:rPr>
              <w:noBreakHyphen/>
              <w:t>financial assets</w:t>
            </w:r>
          </w:p>
        </w:tc>
        <w:tc>
          <w:tcPr>
            <w:tcW w:w="766" w:type="dxa"/>
          </w:tcPr>
          <w:p w14:paraId="415C8880"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(23 786)</w:t>
            </w:r>
          </w:p>
        </w:tc>
        <w:tc>
          <w:tcPr>
            <w:tcW w:w="766" w:type="dxa"/>
          </w:tcPr>
          <w:p w14:paraId="15ED5F1C"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(18 917)</w:t>
            </w:r>
          </w:p>
        </w:tc>
        <w:tc>
          <w:tcPr>
            <w:tcW w:w="767" w:type="dxa"/>
          </w:tcPr>
          <w:p w14:paraId="4E666906"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(21 728)</w:t>
            </w:r>
          </w:p>
        </w:tc>
        <w:tc>
          <w:tcPr>
            <w:tcW w:w="766" w:type="dxa"/>
          </w:tcPr>
          <w:p w14:paraId="49D7D954"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(25 413)</w:t>
            </w:r>
          </w:p>
        </w:tc>
        <w:tc>
          <w:tcPr>
            <w:tcW w:w="767" w:type="dxa"/>
          </w:tcPr>
          <w:p w14:paraId="78B956A9"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(26 517)</w:t>
            </w:r>
          </w:p>
        </w:tc>
      </w:tr>
      <w:tr w:rsidR="008D6F13" w:rsidRPr="002C0A3F" w14:paraId="14A66063" w14:textId="77777777" w:rsidTr="0031078F">
        <w:tc>
          <w:tcPr>
            <w:cnfStyle w:val="001000000000" w:firstRow="0" w:lastRow="0" w:firstColumn="1" w:lastColumn="0" w:oddVBand="0" w:evenVBand="0" w:oddHBand="0" w:evenHBand="0" w:firstRowFirstColumn="0" w:firstRowLastColumn="0" w:lastRowFirstColumn="0" w:lastRowLastColumn="0"/>
            <w:tcW w:w="3878" w:type="dxa"/>
            <w:tcBorders>
              <w:bottom w:val="single" w:sz="6" w:space="0" w:color="auto"/>
            </w:tcBorders>
          </w:tcPr>
          <w:p w14:paraId="6EEEBD23" w14:textId="77777777" w:rsidR="008D6F13" w:rsidRPr="002C0A3F" w:rsidRDefault="008D6F13" w:rsidP="0031078F">
            <w:pPr>
              <w:rPr>
                <w:sz w:val="16"/>
                <w:szCs w:val="16"/>
              </w:rPr>
            </w:pPr>
            <w:r w:rsidRPr="002C0A3F">
              <w:rPr>
                <w:sz w:val="16"/>
                <w:szCs w:val="16"/>
              </w:rPr>
              <w:t>Sales of non</w:t>
            </w:r>
            <w:r w:rsidRPr="002C0A3F">
              <w:rPr>
                <w:sz w:val="16"/>
                <w:szCs w:val="16"/>
              </w:rPr>
              <w:noBreakHyphen/>
              <w:t>financial assets</w:t>
            </w:r>
          </w:p>
        </w:tc>
        <w:tc>
          <w:tcPr>
            <w:tcW w:w="766" w:type="dxa"/>
            <w:tcBorders>
              <w:bottom w:val="single" w:sz="6" w:space="0" w:color="auto"/>
            </w:tcBorders>
          </w:tcPr>
          <w:p w14:paraId="57DAED29"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797</w:t>
            </w:r>
          </w:p>
        </w:tc>
        <w:tc>
          <w:tcPr>
            <w:tcW w:w="766" w:type="dxa"/>
            <w:tcBorders>
              <w:bottom w:val="single" w:sz="6" w:space="0" w:color="auto"/>
            </w:tcBorders>
          </w:tcPr>
          <w:p w14:paraId="04C92B12"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587</w:t>
            </w:r>
          </w:p>
        </w:tc>
        <w:tc>
          <w:tcPr>
            <w:tcW w:w="767" w:type="dxa"/>
            <w:tcBorders>
              <w:bottom w:val="single" w:sz="6" w:space="0" w:color="auto"/>
            </w:tcBorders>
          </w:tcPr>
          <w:p w14:paraId="3485F79B"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845</w:t>
            </w:r>
          </w:p>
        </w:tc>
        <w:tc>
          <w:tcPr>
            <w:tcW w:w="766" w:type="dxa"/>
            <w:tcBorders>
              <w:bottom w:val="single" w:sz="6" w:space="0" w:color="auto"/>
            </w:tcBorders>
          </w:tcPr>
          <w:p w14:paraId="1278B347"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1 097</w:t>
            </w:r>
          </w:p>
        </w:tc>
        <w:tc>
          <w:tcPr>
            <w:tcW w:w="767" w:type="dxa"/>
            <w:tcBorders>
              <w:bottom w:val="single" w:sz="6" w:space="0" w:color="auto"/>
            </w:tcBorders>
          </w:tcPr>
          <w:p w14:paraId="3B826696"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585</w:t>
            </w:r>
          </w:p>
        </w:tc>
      </w:tr>
      <w:tr w:rsidR="008D6F13" w:rsidRPr="002C0A3F" w14:paraId="7A1D5344" w14:textId="77777777" w:rsidTr="0031078F">
        <w:tc>
          <w:tcPr>
            <w:cnfStyle w:val="001000000000" w:firstRow="0" w:lastRow="0" w:firstColumn="1" w:lastColumn="0" w:oddVBand="0" w:evenVBand="0" w:oddHBand="0" w:evenHBand="0" w:firstRowFirstColumn="0" w:firstRowLastColumn="0" w:lastRowFirstColumn="0" w:lastRowLastColumn="0"/>
            <w:tcW w:w="3878" w:type="dxa"/>
            <w:tcBorders>
              <w:top w:val="single" w:sz="6" w:space="0" w:color="auto"/>
            </w:tcBorders>
          </w:tcPr>
          <w:p w14:paraId="4DCC6BEA" w14:textId="77777777" w:rsidR="008D6F13" w:rsidRPr="002C0A3F" w:rsidRDefault="008D6F13" w:rsidP="0031078F">
            <w:pPr>
              <w:rPr>
                <w:sz w:val="16"/>
                <w:szCs w:val="16"/>
              </w:rPr>
            </w:pPr>
            <w:r w:rsidRPr="002C0A3F">
              <w:rPr>
                <w:b/>
                <w:sz w:val="16"/>
                <w:szCs w:val="16"/>
              </w:rPr>
              <w:t>Net cash flows from investments in non</w:t>
            </w:r>
            <w:r w:rsidRPr="002C0A3F">
              <w:rPr>
                <w:b/>
                <w:sz w:val="16"/>
                <w:szCs w:val="16"/>
              </w:rPr>
              <w:noBreakHyphen/>
              <w:t>financial assets</w:t>
            </w:r>
          </w:p>
        </w:tc>
        <w:tc>
          <w:tcPr>
            <w:tcW w:w="766" w:type="dxa"/>
            <w:tcBorders>
              <w:top w:val="single" w:sz="6" w:space="0" w:color="auto"/>
            </w:tcBorders>
          </w:tcPr>
          <w:p w14:paraId="3654C175"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(22 989)</w:t>
            </w:r>
          </w:p>
        </w:tc>
        <w:tc>
          <w:tcPr>
            <w:tcW w:w="766" w:type="dxa"/>
            <w:tcBorders>
              <w:top w:val="single" w:sz="6" w:space="0" w:color="auto"/>
            </w:tcBorders>
          </w:tcPr>
          <w:p w14:paraId="6C8E69FC"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(18 330)</w:t>
            </w:r>
          </w:p>
        </w:tc>
        <w:tc>
          <w:tcPr>
            <w:tcW w:w="767" w:type="dxa"/>
            <w:tcBorders>
              <w:top w:val="single" w:sz="6" w:space="0" w:color="auto"/>
            </w:tcBorders>
          </w:tcPr>
          <w:p w14:paraId="2E84E980"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(20 883)</w:t>
            </w:r>
          </w:p>
        </w:tc>
        <w:tc>
          <w:tcPr>
            <w:tcW w:w="766" w:type="dxa"/>
            <w:tcBorders>
              <w:top w:val="single" w:sz="6" w:space="0" w:color="auto"/>
            </w:tcBorders>
          </w:tcPr>
          <w:p w14:paraId="3BFE9E34"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(24 317)</w:t>
            </w:r>
          </w:p>
        </w:tc>
        <w:tc>
          <w:tcPr>
            <w:tcW w:w="767" w:type="dxa"/>
            <w:tcBorders>
              <w:top w:val="single" w:sz="6" w:space="0" w:color="auto"/>
            </w:tcBorders>
          </w:tcPr>
          <w:p w14:paraId="32080E67"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(25 932)</w:t>
            </w:r>
          </w:p>
        </w:tc>
      </w:tr>
      <w:tr w:rsidR="008D6F13" w:rsidRPr="002C0A3F" w14:paraId="48BECDF0" w14:textId="77777777" w:rsidTr="0031078F">
        <w:tc>
          <w:tcPr>
            <w:cnfStyle w:val="001000000000" w:firstRow="0" w:lastRow="0" w:firstColumn="1" w:lastColumn="0" w:oddVBand="0" w:evenVBand="0" w:oddHBand="0" w:evenHBand="0" w:firstRowFirstColumn="0" w:firstRowLastColumn="0" w:lastRowFirstColumn="0" w:lastRowLastColumn="0"/>
            <w:tcW w:w="3878" w:type="dxa"/>
            <w:tcBorders>
              <w:bottom w:val="single" w:sz="6" w:space="0" w:color="auto"/>
            </w:tcBorders>
          </w:tcPr>
          <w:p w14:paraId="52104D57" w14:textId="77777777" w:rsidR="008D6F13" w:rsidRPr="002C0A3F" w:rsidRDefault="008D6F13" w:rsidP="0031078F">
            <w:pPr>
              <w:rPr>
                <w:sz w:val="16"/>
                <w:szCs w:val="16"/>
              </w:rPr>
            </w:pPr>
            <w:r w:rsidRPr="002C0A3F">
              <w:rPr>
                <w:sz w:val="16"/>
                <w:szCs w:val="16"/>
              </w:rPr>
              <w:t>Net cash flows from investments in financial assets for policy purposes</w:t>
            </w:r>
          </w:p>
        </w:tc>
        <w:tc>
          <w:tcPr>
            <w:tcW w:w="766" w:type="dxa"/>
            <w:tcBorders>
              <w:bottom w:val="single" w:sz="6" w:space="0" w:color="auto"/>
            </w:tcBorders>
          </w:tcPr>
          <w:p w14:paraId="5673E356"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(91)</w:t>
            </w:r>
          </w:p>
        </w:tc>
        <w:tc>
          <w:tcPr>
            <w:tcW w:w="766" w:type="dxa"/>
            <w:tcBorders>
              <w:bottom w:val="single" w:sz="6" w:space="0" w:color="auto"/>
            </w:tcBorders>
          </w:tcPr>
          <w:p w14:paraId="36E54730"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(59)</w:t>
            </w:r>
          </w:p>
        </w:tc>
        <w:tc>
          <w:tcPr>
            <w:tcW w:w="767" w:type="dxa"/>
            <w:tcBorders>
              <w:bottom w:val="single" w:sz="6" w:space="0" w:color="auto"/>
            </w:tcBorders>
          </w:tcPr>
          <w:p w14:paraId="14E8DA53"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115</w:t>
            </w:r>
          </w:p>
        </w:tc>
        <w:tc>
          <w:tcPr>
            <w:tcW w:w="766" w:type="dxa"/>
            <w:tcBorders>
              <w:bottom w:val="single" w:sz="6" w:space="0" w:color="auto"/>
            </w:tcBorders>
          </w:tcPr>
          <w:p w14:paraId="440C6C7B"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71</w:t>
            </w:r>
          </w:p>
        </w:tc>
        <w:tc>
          <w:tcPr>
            <w:tcW w:w="767" w:type="dxa"/>
            <w:tcBorders>
              <w:bottom w:val="single" w:sz="6" w:space="0" w:color="auto"/>
            </w:tcBorders>
          </w:tcPr>
          <w:p w14:paraId="2BAA8BB8"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52</w:t>
            </w:r>
          </w:p>
        </w:tc>
      </w:tr>
      <w:tr w:rsidR="008D6F13" w:rsidRPr="002C0A3F" w14:paraId="3385594A" w14:textId="77777777" w:rsidTr="0031078F">
        <w:tc>
          <w:tcPr>
            <w:cnfStyle w:val="001000000000" w:firstRow="0" w:lastRow="0" w:firstColumn="1" w:lastColumn="0" w:oddVBand="0" w:evenVBand="0" w:oddHBand="0" w:evenHBand="0" w:firstRowFirstColumn="0" w:firstRowLastColumn="0" w:lastRowFirstColumn="0" w:lastRowLastColumn="0"/>
            <w:tcW w:w="3878" w:type="dxa"/>
            <w:tcBorders>
              <w:top w:val="single" w:sz="6" w:space="0" w:color="auto"/>
            </w:tcBorders>
          </w:tcPr>
          <w:p w14:paraId="5AEF3D96" w14:textId="77777777" w:rsidR="008D6F13" w:rsidRPr="002C0A3F" w:rsidRDefault="008D6F13" w:rsidP="0031078F">
            <w:pPr>
              <w:rPr>
                <w:sz w:val="16"/>
                <w:szCs w:val="16"/>
              </w:rPr>
            </w:pPr>
            <w:r w:rsidRPr="002C0A3F">
              <w:rPr>
                <w:b/>
                <w:sz w:val="16"/>
                <w:szCs w:val="16"/>
              </w:rPr>
              <w:t>Subtotal</w:t>
            </w:r>
          </w:p>
        </w:tc>
        <w:tc>
          <w:tcPr>
            <w:tcW w:w="766" w:type="dxa"/>
            <w:tcBorders>
              <w:top w:val="single" w:sz="6" w:space="0" w:color="auto"/>
            </w:tcBorders>
          </w:tcPr>
          <w:p w14:paraId="271A95AF"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(23 080)</w:t>
            </w:r>
          </w:p>
        </w:tc>
        <w:tc>
          <w:tcPr>
            <w:tcW w:w="766" w:type="dxa"/>
            <w:tcBorders>
              <w:top w:val="single" w:sz="6" w:space="0" w:color="auto"/>
            </w:tcBorders>
          </w:tcPr>
          <w:p w14:paraId="41ED2D85"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(18 390)</w:t>
            </w:r>
          </w:p>
        </w:tc>
        <w:tc>
          <w:tcPr>
            <w:tcW w:w="767" w:type="dxa"/>
            <w:tcBorders>
              <w:top w:val="single" w:sz="6" w:space="0" w:color="auto"/>
            </w:tcBorders>
          </w:tcPr>
          <w:p w14:paraId="42F82414"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(20 768)</w:t>
            </w:r>
          </w:p>
        </w:tc>
        <w:tc>
          <w:tcPr>
            <w:tcW w:w="766" w:type="dxa"/>
            <w:tcBorders>
              <w:top w:val="single" w:sz="6" w:space="0" w:color="auto"/>
            </w:tcBorders>
          </w:tcPr>
          <w:p w14:paraId="448CE829"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(24 246)</w:t>
            </w:r>
          </w:p>
        </w:tc>
        <w:tc>
          <w:tcPr>
            <w:tcW w:w="767" w:type="dxa"/>
            <w:tcBorders>
              <w:top w:val="single" w:sz="6" w:space="0" w:color="auto"/>
            </w:tcBorders>
          </w:tcPr>
          <w:p w14:paraId="6CB33F03"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(25 880)</w:t>
            </w:r>
          </w:p>
        </w:tc>
      </w:tr>
      <w:tr w:rsidR="008D6F13" w:rsidRPr="002C0A3F" w14:paraId="17892BA4" w14:textId="77777777" w:rsidTr="0031078F">
        <w:tc>
          <w:tcPr>
            <w:cnfStyle w:val="001000000000" w:firstRow="0" w:lastRow="0" w:firstColumn="1" w:lastColumn="0" w:oddVBand="0" w:evenVBand="0" w:oddHBand="0" w:evenHBand="0" w:firstRowFirstColumn="0" w:firstRowLastColumn="0" w:lastRowFirstColumn="0" w:lastRowLastColumn="0"/>
            <w:tcW w:w="3878" w:type="dxa"/>
            <w:tcBorders>
              <w:bottom w:val="single" w:sz="6" w:space="0" w:color="auto"/>
            </w:tcBorders>
          </w:tcPr>
          <w:p w14:paraId="1DBF47D2" w14:textId="77777777" w:rsidR="008D6F13" w:rsidRPr="002C0A3F" w:rsidRDefault="008D6F13" w:rsidP="0031078F">
            <w:pPr>
              <w:rPr>
                <w:sz w:val="16"/>
                <w:szCs w:val="16"/>
              </w:rPr>
            </w:pPr>
            <w:r w:rsidRPr="002C0A3F">
              <w:rPr>
                <w:sz w:val="16"/>
                <w:szCs w:val="16"/>
              </w:rPr>
              <w:t>Net cash flows from investment in financial assets for liquidity management purposes</w:t>
            </w:r>
          </w:p>
        </w:tc>
        <w:tc>
          <w:tcPr>
            <w:tcW w:w="766" w:type="dxa"/>
            <w:tcBorders>
              <w:bottom w:val="single" w:sz="6" w:space="0" w:color="auto"/>
            </w:tcBorders>
          </w:tcPr>
          <w:p w14:paraId="4E331842"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303</w:t>
            </w:r>
          </w:p>
        </w:tc>
        <w:tc>
          <w:tcPr>
            <w:tcW w:w="766" w:type="dxa"/>
            <w:tcBorders>
              <w:bottom w:val="single" w:sz="6" w:space="0" w:color="auto"/>
            </w:tcBorders>
          </w:tcPr>
          <w:p w14:paraId="19367512"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(1 292)</w:t>
            </w:r>
          </w:p>
        </w:tc>
        <w:tc>
          <w:tcPr>
            <w:tcW w:w="767" w:type="dxa"/>
            <w:tcBorders>
              <w:bottom w:val="single" w:sz="6" w:space="0" w:color="auto"/>
            </w:tcBorders>
          </w:tcPr>
          <w:p w14:paraId="5935E5E4"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(248)</w:t>
            </w:r>
          </w:p>
        </w:tc>
        <w:tc>
          <w:tcPr>
            <w:tcW w:w="766" w:type="dxa"/>
            <w:tcBorders>
              <w:bottom w:val="single" w:sz="6" w:space="0" w:color="auto"/>
            </w:tcBorders>
          </w:tcPr>
          <w:p w14:paraId="03C13812"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(385)</w:t>
            </w:r>
          </w:p>
        </w:tc>
        <w:tc>
          <w:tcPr>
            <w:tcW w:w="767" w:type="dxa"/>
            <w:tcBorders>
              <w:bottom w:val="single" w:sz="6" w:space="0" w:color="auto"/>
            </w:tcBorders>
          </w:tcPr>
          <w:p w14:paraId="2690AEA8"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(357)</w:t>
            </w:r>
          </w:p>
        </w:tc>
      </w:tr>
      <w:tr w:rsidR="008D6F13" w:rsidRPr="002C0A3F" w14:paraId="5865A062" w14:textId="77777777" w:rsidTr="0031078F">
        <w:tc>
          <w:tcPr>
            <w:cnfStyle w:val="001000000000" w:firstRow="0" w:lastRow="0" w:firstColumn="1" w:lastColumn="0" w:oddVBand="0" w:evenVBand="0" w:oddHBand="0" w:evenHBand="0" w:firstRowFirstColumn="0" w:firstRowLastColumn="0" w:lastRowFirstColumn="0" w:lastRowLastColumn="0"/>
            <w:tcW w:w="3878" w:type="dxa"/>
            <w:tcBorders>
              <w:top w:val="single" w:sz="6" w:space="0" w:color="auto"/>
            </w:tcBorders>
          </w:tcPr>
          <w:p w14:paraId="045BE66F" w14:textId="77777777" w:rsidR="008D6F13" w:rsidRPr="002C0A3F" w:rsidRDefault="008D6F13" w:rsidP="0031078F">
            <w:pPr>
              <w:rPr>
                <w:sz w:val="16"/>
                <w:szCs w:val="16"/>
              </w:rPr>
            </w:pPr>
            <w:r w:rsidRPr="002C0A3F">
              <w:rPr>
                <w:b/>
                <w:sz w:val="16"/>
                <w:szCs w:val="16"/>
              </w:rPr>
              <w:t>Net cash flows from investing activities</w:t>
            </w:r>
          </w:p>
        </w:tc>
        <w:tc>
          <w:tcPr>
            <w:tcW w:w="766" w:type="dxa"/>
            <w:tcBorders>
              <w:top w:val="single" w:sz="6" w:space="0" w:color="auto"/>
            </w:tcBorders>
          </w:tcPr>
          <w:p w14:paraId="54A3D81C"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(22 777)</w:t>
            </w:r>
          </w:p>
        </w:tc>
        <w:tc>
          <w:tcPr>
            <w:tcW w:w="766" w:type="dxa"/>
            <w:tcBorders>
              <w:top w:val="single" w:sz="6" w:space="0" w:color="auto"/>
            </w:tcBorders>
          </w:tcPr>
          <w:p w14:paraId="2CA69552"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(19 682)</w:t>
            </w:r>
          </w:p>
        </w:tc>
        <w:tc>
          <w:tcPr>
            <w:tcW w:w="767" w:type="dxa"/>
            <w:tcBorders>
              <w:top w:val="single" w:sz="6" w:space="0" w:color="auto"/>
            </w:tcBorders>
          </w:tcPr>
          <w:p w14:paraId="0DBB3AE4"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(21 016)</w:t>
            </w:r>
          </w:p>
        </w:tc>
        <w:tc>
          <w:tcPr>
            <w:tcW w:w="766" w:type="dxa"/>
            <w:tcBorders>
              <w:top w:val="single" w:sz="6" w:space="0" w:color="auto"/>
            </w:tcBorders>
          </w:tcPr>
          <w:p w14:paraId="62CEF6F8"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(24 631)</w:t>
            </w:r>
          </w:p>
        </w:tc>
        <w:tc>
          <w:tcPr>
            <w:tcW w:w="767" w:type="dxa"/>
            <w:tcBorders>
              <w:top w:val="single" w:sz="6" w:space="0" w:color="auto"/>
            </w:tcBorders>
          </w:tcPr>
          <w:p w14:paraId="38E58680"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(26 237)</w:t>
            </w:r>
          </w:p>
        </w:tc>
      </w:tr>
      <w:tr w:rsidR="008D6F13" w:rsidRPr="002C0A3F" w14:paraId="2F1C1113" w14:textId="77777777" w:rsidTr="0031078F">
        <w:tc>
          <w:tcPr>
            <w:cnfStyle w:val="001000000000" w:firstRow="0" w:lastRow="0" w:firstColumn="1" w:lastColumn="0" w:oddVBand="0" w:evenVBand="0" w:oddHBand="0" w:evenHBand="0" w:firstRowFirstColumn="0" w:firstRowLastColumn="0" w:lastRowFirstColumn="0" w:lastRowLastColumn="0"/>
            <w:tcW w:w="3878" w:type="dxa"/>
          </w:tcPr>
          <w:p w14:paraId="4DC6BF2B" w14:textId="77777777" w:rsidR="008D6F13" w:rsidRPr="002C0A3F" w:rsidRDefault="008D6F13" w:rsidP="0031078F">
            <w:pPr>
              <w:rPr>
                <w:sz w:val="16"/>
                <w:szCs w:val="16"/>
              </w:rPr>
            </w:pPr>
            <w:r w:rsidRPr="002C0A3F">
              <w:rPr>
                <w:b/>
                <w:sz w:val="16"/>
                <w:szCs w:val="16"/>
              </w:rPr>
              <w:t>Cash flows from financing activities</w:t>
            </w:r>
          </w:p>
        </w:tc>
        <w:tc>
          <w:tcPr>
            <w:tcW w:w="766" w:type="dxa"/>
          </w:tcPr>
          <w:p w14:paraId="5CA0C037"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66" w:type="dxa"/>
          </w:tcPr>
          <w:p w14:paraId="1DFAF7E4"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67" w:type="dxa"/>
          </w:tcPr>
          <w:p w14:paraId="4004AD9C"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66" w:type="dxa"/>
          </w:tcPr>
          <w:p w14:paraId="0E8513F7"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67" w:type="dxa"/>
          </w:tcPr>
          <w:p w14:paraId="225B997D"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r>
      <w:tr w:rsidR="008D6F13" w:rsidRPr="002C0A3F" w14:paraId="43B66E7E" w14:textId="77777777" w:rsidTr="0031078F">
        <w:tc>
          <w:tcPr>
            <w:cnfStyle w:val="001000000000" w:firstRow="0" w:lastRow="0" w:firstColumn="1" w:lastColumn="0" w:oddVBand="0" w:evenVBand="0" w:oddHBand="0" w:evenHBand="0" w:firstRowFirstColumn="0" w:firstRowLastColumn="0" w:lastRowFirstColumn="0" w:lastRowLastColumn="0"/>
            <w:tcW w:w="3878" w:type="dxa"/>
          </w:tcPr>
          <w:p w14:paraId="62C7D660" w14:textId="77777777" w:rsidR="008D6F13" w:rsidRPr="002C0A3F" w:rsidRDefault="008D6F13" w:rsidP="0031078F">
            <w:pPr>
              <w:rPr>
                <w:sz w:val="16"/>
                <w:szCs w:val="16"/>
              </w:rPr>
            </w:pPr>
            <w:r w:rsidRPr="002C0A3F">
              <w:rPr>
                <w:sz w:val="16"/>
                <w:szCs w:val="16"/>
              </w:rPr>
              <w:t>Advances received (net)</w:t>
            </w:r>
          </w:p>
        </w:tc>
        <w:tc>
          <w:tcPr>
            <w:tcW w:w="766" w:type="dxa"/>
          </w:tcPr>
          <w:p w14:paraId="2777FDDD"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(112)</w:t>
            </w:r>
          </w:p>
        </w:tc>
        <w:tc>
          <w:tcPr>
            <w:tcW w:w="766" w:type="dxa"/>
          </w:tcPr>
          <w:p w14:paraId="4152CAB9"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(42)</w:t>
            </w:r>
          </w:p>
        </w:tc>
        <w:tc>
          <w:tcPr>
            <w:tcW w:w="767" w:type="dxa"/>
          </w:tcPr>
          <w:p w14:paraId="2037E0F8"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(54)</w:t>
            </w:r>
          </w:p>
        </w:tc>
        <w:tc>
          <w:tcPr>
            <w:tcW w:w="766" w:type="dxa"/>
          </w:tcPr>
          <w:p w14:paraId="1ABE41B1"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16</w:t>
            </w:r>
          </w:p>
        </w:tc>
        <w:tc>
          <w:tcPr>
            <w:tcW w:w="767" w:type="dxa"/>
          </w:tcPr>
          <w:p w14:paraId="0FEAF49A"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7</w:t>
            </w:r>
          </w:p>
        </w:tc>
      </w:tr>
      <w:tr w:rsidR="008D6F13" w:rsidRPr="002C0A3F" w14:paraId="3A90031D" w14:textId="77777777" w:rsidTr="0031078F">
        <w:tc>
          <w:tcPr>
            <w:cnfStyle w:val="001000000000" w:firstRow="0" w:lastRow="0" w:firstColumn="1" w:lastColumn="0" w:oddVBand="0" w:evenVBand="0" w:oddHBand="0" w:evenHBand="0" w:firstRowFirstColumn="0" w:firstRowLastColumn="0" w:lastRowFirstColumn="0" w:lastRowLastColumn="0"/>
            <w:tcW w:w="3878" w:type="dxa"/>
          </w:tcPr>
          <w:p w14:paraId="48B9BA9B" w14:textId="77777777" w:rsidR="008D6F13" w:rsidRPr="002C0A3F" w:rsidRDefault="008D6F13" w:rsidP="0031078F">
            <w:pPr>
              <w:rPr>
                <w:sz w:val="16"/>
                <w:szCs w:val="16"/>
              </w:rPr>
            </w:pPr>
            <w:r w:rsidRPr="002C0A3F">
              <w:rPr>
                <w:sz w:val="16"/>
                <w:szCs w:val="16"/>
              </w:rPr>
              <w:t>Net borrowings</w:t>
            </w:r>
          </w:p>
        </w:tc>
        <w:tc>
          <w:tcPr>
            <w:tcW w:w="766" w:type="dxa"/>
          </w:tcPr>
          <w:p w14:paraId="18389631"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23 777</w:t>
            </w:r>
          </w:p>
        </w:tc>
        <w:tc>
          <w:tcPr>
            <w:tcW w:w="766" w:type="dxa"/>
          </w:tcPr>
          <w:p w14:paraId="4DE68D06"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32 994</w:t>
            </w:r>
          </w:p>
        </w:tc>
        <w:tc>
          <w:tcPr>
            <w:tcW w:w="767" w:type="dxa"/>
          </w:tcPr>
          <w:p w14:paraId="20BCF400"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16 845</w:t>
            </w:r>
          </w:p>
        </w:tc>
        <w:tc>
          <w:tcPr>
            <w:tcW w:w="766" w:type="dxa"/>
          </w:tcPr>
          <w:p w14:paraId="0BE96F28"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22 706</w:t>
            </w:r>
          </w:p>
        </w:tc>
        <w:tc>
          <w:tcPr>
            <w:tcW w:w="767" w:type="dxa"/>
          </w:tcPr>
          <w:p w14:paraId="155A0C21"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22 342</w:t>
            </w:r>
          </w:p>
        </w:tc>
      </w:tr>
      <w:tr w:rsidR="008D6F13" w:rsidRPr="002C0A3F" w14:paraId="560CE17A" w14:textId="77777777" w:rsidTr="0031078F">
        <w:tc>
          <w:tcPr>
            <w:cnfStyle w:val="001000000000" w:firstRow="0" w:lastRow="0" w:firstColumn="1" w:lastColumn="0" w:oddVBand="0" w:evenVBand="0" w:oddHBand="0" w:evenHBand="0" w:firstRowFirstColumn="0" w:firstRowLastColumn="0" w:lastRowFirstColumn="0" w:lastRowLastColumn="0"/>
            <w:tcW w:w="3878" w:type="dxa"/>
          </w:tcPr>
          <w:p w14:paraId="41D4410F" w14:textId="77777777" w:rsidR="008D6F13" w:rsidRPr="002C0A3F" w:rsidRDefault="008D6F13" w:rsidP="0031078F">
            <w:pPr>
              <w:rPr>
                <w:sz w:val="16"/>
                <w:szCs w:val="16"/>
              </w:rPr>
            </w:pPr>
            <w:r w:rsidRPr="002C0A3F">
              <w:rPr>
                <w:sz w:val="16"/>
                <w:szCs w:val="16"/>
              </w:rPr>
              <w:t>Deposits received (net)</w:t>
            </w:r>
          </w:p>
        </w:tc>
        <w:tc>
          <w:tcPr>
            <w:tcW w:w="766" w:type="dxa"/>
          </w:tcPr>
          <w:p w14:paraId="06D0A7E8"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7</w:t>
            </w:r>
          </w:p>
        </w:tc>
        <w:tc>
          <w:tcPr>
            <w:tcW w:w="766" w:type="dxa"/>
          </w:tcPr>
          <w:p w14:paraId="0DC61F63"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42</w:t>
            </w:r>
          </w:p>
        </w:tc>
        <w:tc>
          <w:tcPr>
            <w:tcW w:w="767" w:type="dxa"/>
          </w:tcPr>
          <w:p w14:paraId="04AEE3F9"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(5)</w:t>
            </w:r>
          </w:p>
        </w:tc>
        <w:tc>
          <w:tcPr>
            <w:tcW w:w="766" w:type="dxa"/>
          </w:tcPr>
          <w:p w14:paraId="446C741D"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w:t>
            </w:r>
          </w:p>
        </w:tc>
        <w:tc>
          <w:tcPr>
            <w:tcW w:w="767" w:type="dxa"/>
          </w:tcPr>
          <w:p w14:paraId="0FAF6045"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w:t>
            </w:r>
          </w:p>
        </w:tc>
      </w:tr>
      <w:tr w:rsidR="008D6F13" w:rsidRPr="002C0A3F" w14:paraId="7377941C" w14:textId="77777777" w:rsidTr="0031078F">
        <w:tc>
          <w:tcPr>
            <w:cnfStyle w:val="001000000000" w:firstRow="0" w:lastRow="0" w:firstColumn="1" w:lastColumn="0" w:oddVBand="0" w:evenVBand="0" w:oddHBand="0" w:evenHBand="0" w:firstRowFirstColumn="0" w:firstRowLastColumn="0" w:lastRowFirstColumn="0" w:lastRowLastColumn="0"/>
            <w:tcW w:w="3878" w:type="dxa"/>
            <w:tcBorders>
              <w:top w:val="single" w:sz="6" w:space="0" w:color="auto"/>
              <w:bottom w:val="single" w:sz="6" w:space="0" w:color="auto"/>
            </w:tcBorders>
          </w:tcPr>
          <w:p w14:paraId="4732D7D1" w14:textId="77777777" w:rsidR="008D6F13" w:rsidRPr="002C0A3F" w:rsidRDefault="008D6F13" w:rsidP="0031078F">
            <w:pPr>
              <w:rPr>
                <w:sz w:val="16"/>
                <w:szCs w:val="16"/>
              </w:rPr>
            </w:pPr>
            <w:r w:rsidRPr="002C0A3F">
              <w:rPr>
                <w:b/>
                <w:sz w:val="16"/>
                <w:szCs w:val="16"/>
              </w:rPr>
              <w:t>Net cash flows from financing activities</w:t>
            </w:r>
          </w:p>
        </w:tc>
        <w:tc>
          <w:tcPr>
            <w:tcW w:w="766" w:type="dxa"/>
            <w:tcBorders>
              <w:top w:val="single" w:sz="6" w:space="0" w:color="auto"/>
              <w:bottom w:val="single" w:sz="6" w:space="0" w:color="auto"/>
            </w:tcBorders>
          </w:tcPr>
          <w:p w14:paraId="048E463F"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23 673</w:t>
            </w:r>
          </w:p>
        </w:tc>
        <w:tc>
          <w:tcPr>
            <w:tcW w:w="766" w:type="dxa"/>
            <w:tcBorders>
              <w:top w:val="single" w:sz="6" w:space="0" w:color="auto"/>
              <w:bottom w:val="single" w:sz="6" w:space="0" w:color="auto"/>
            </w:tcBorders>
          </w:tcPr>
          <w:p w14:paraId="61297FC7"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32 994</w:t>
            </w:r>
          </w:p>
        </w:tc>
        <w:tc>
          <w:tcPr>
            <w:tcW w:w="767" w:type="dxa"/>
            <w:tcBorders>
              <w:top w:val="single" w:sz="6" w:space="0" w:color="auto"/>
              <w:bottom w:val="single" w:sz="6" w:space="0" w:color="auto"/>
            </w:tcBorders>
          </w:tcPr>
          <w:p w14:paraId="1017EB88"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16 786</w:t>
            </w:r>
          </w:p>
        </w:tc>
        <w:tc>
          <w:tcPr>
            <w:tcW w:w="766" w:type="dxa"/>
            <w:tcBorders>
              <w:top w:val="single" w:sz="6" w:space="0" w:color="auto"/>
              <w:bottom w:val="single" w:sz="6" w:space="0" w:color="auto"/>
            </w:tcBorders>
          </w:tcPr>
          <w:p w14:paraId="00B38C03"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22 724</w:t>
            </w:r>
          </w:p>
        </w:tc>
        <w:tc>
          <w:tcPr>
            <w:tcW w:w="767" w:type="dxa"/>
            <w:tcBorders>
              <w:top w:val="single" w:sz="6" w:space="0" w:color="auto"/>
              <w:bottom w:val="single" w:sz="6" w:space="0" w:color="auto"/>
            </w:tcBorders>
          </w:tcPr>
          <w:p w14:paraId="030F0D22"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22 347</w:t>
            </w:r>
          </w:p>
        </w:tc>
      </w:tr>
      <w:tr w:rsidR="008D6F13" w:rsidRPr="002C0A3F" w14:paraId="4A21AAE7" w14:textId="77777777" w:rsidTr="0031078F">
        <w:tc>
          <w:tcPr>
            <w:cnfStyle w:val="001000000000" w:firstRow="0" w:lastRow="0" w:firstColumn="1" w:lastColumn="0" w:oddVBand="0" w:evenVBand="0" w:oddHBand="0" w:evenHBand="0" w:firstRowFirstColumn="0" w:firstRowLastColumn="0" w:lastRowFirstColumn="0" w:lastRowLastColumn="0"/>
            <w:tcW w:w="3878" w:type="dxa"/>
            <w:tcBorders>
              <w:top w:val="single" w:sz="6" w:space="0" w:color="auto"/>
            </w:tcBorders>
          </w:tcPr>
          <w:p w14:paraId="4D79FBCE" w14:textId="77777777" w:rsidR="008D6F13" w:rsidRPr="002C0A3F" w:rsidRDefault="008D6F13" w:rsidP="0031078F">
            <w:pPr>
              <w:rPr>
                <w:sz w:val="16"/>
                <w:szCs w:val="16"/>
              </w:rPr>
            </w:pPr>
            <w:r w:rsidRPr="002C0A3F">
              <w:rPr>
                <w:b/>
                <w:sz w:val="16"/>
                <w:szCs w:val="16"/>
              </w:rPr>
              <w:t>Net increase/(decrease) in cash and cash equivalents</w:t>
            </w:r>
          </w:p>
        </w:tc>
        <w:tc>
          <w:tcPr>
            <w:tcW w:w="766" w:type="dxa"/>
            <w:tcBorders>
              <w:top w:val="single" w:sz="6" w:space="0" w:color="auto"/>
            </w:tcBorders>
          </w:tcPr>
          <w:p w14:paraId="5BBDE247"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76</w:t>
            </w:r>
          </w:p>
        </w:tc>
        <w:tc>
          <w:tcPr>
            <w:tcW w:w="766" w:type="dxa"/>
            <w:tcBorders>
              <w:top w:val="single" w:sz="6" w:space="0" w:color="auto"/>
            </w:tcBorders>
          </w:tcPr>
          <w:p w14:paraId="1E9EB2D5"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(882)</w:t>
            </w:r>
          </w:p>
        </w:tc>
        <w:tc>
          <w:tcPr>
            <w:tcW w:w="767" w:type="dxa"/>
            <w:tcBorders>
              <w:top w:val="single" w:sz="6" w:space="0" w:color="auto"/>
            </w:tcBorders>
          </w:tcPr>
          <w:p w14:paraId="493F6494"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132</w:t>
            </w:r>
          </w:p>
        </w:tc>
        <w:tc>
          <w:tcPr>
            <w:tcW w:w="766" w:type="dxa"/>
            <w:tcBorders>
              <w:top w:val="single" w:sz="6" w:space="0" w:color="auto"/>
            </w:tcBorders>
          </w:tcPr>
          <w:p w14:paraId="20025B62"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273</w:t>
            </w:r>
          </w:p>
        </w:tc>
        <w:tc>
          <w:tcPr>
            <w:tcW w:w="767" w:type="dxa"/>
            <w:tcBorders>
              <w:top w:val="single" w:sz="6" w:space="0" w:color="auto"/>
            </w:tcBorders>
          </w:tcPr>
          <w:p w14:paraId="15787B5F"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577</w:t>
            </w:r>
          </w:p>
        </w:tc>
      </w:tr>
      <w:tr w:rsidR="008D6F13" w:rsidRPr="002C0A3F" w14:paraId="4D8B85DD" w14:textId="77777777" w:rsidTr="0031078F">
        <w:tc>
          <w:tcPr>
            <w:cnfStyle w:val="001000000000" w:firstRow="0" w:lastRow="0" w:firstColumn="1" w:lastColumn="0" w:oddVBand="0" w:evenVBand="0" w:oddHBand="0" w:evenHBand="0" w:firstRowFirstColumn="0" w:firstRowLastColumn="0" w:lastRowFirstColumn="0" w:lastRowLastColumn="0"/>
            <w:tcW w:w="3878" w:type="dxa"/>
            <w:tcBorders>
              <w:bottom w:val="single" w:sz="6" w:space="0" w:color="auto"/>
            </w:tcBorders>
          </w:tcPr>
          <w:p w14:paraId="08A62D06" w14:textId="77777777" w:rsidR="008D6F13" w:rsidRPr="002C0A3F" w:rsidRDefault="008D6F13" w:rsidP="0031078F">
            <w:pPr>
              <w:rPr>
                <w:sz w:val="16"/>
                <w:szCs w:val="16"/>
              </w:rPr>
            </w:pPr>
            <w:r w:rsidRPr="002C0A3F">
              <w:rPr>
                <w:sz w:val="16"/>
                <w:szCs w:val="16"/>
              </w:rPr>
              <w:t>Cash and cash equivalents at beginning of reporting period</w:t>
            </w:r>
            <w:r w:rsidRPr="002C0A3F">
              <w:rPr>
                <w:sz w:val="16"/>
                <w:szCs w:val="16"/>
                <w:vertAlign w:val="superscript"/>
              </w:rPr>
              <w:t xml:space="preserve"> (b)(c)</w:t>
            </w:r>
          </w:p>
        </w:tc>
        <w:tc>
          <w:tcPr>
            <w:tcW w:w="766" w:type="dxa"/>
            <w:tcBorders>
              <w:bottom w:val="single" w:sz="6" w:space="0" w:color="auto"/>
            </w:tcBorders>
          </w:tcPr>
          <w:p w14:paraId="6A19EF22"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21 933</w:t>
            </w:r>
          </w:p>
        </w:tc>
        <w:tc>
          <w:tcPr>
            <w:tcW w:w="766" w:type="dxa"/>
            <w:tcBorders>
              <w:bottom w:val="single" w:sz="6" w:space="0" w:color="auto"/>
            </w:tcBorders>
          </w:tcPr>
          <w:p w14:paraId="7FF7CEC7"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21 933</w:t>
            </w:r>
          </w:p>
        </w:tc>
        <w:tc>
          <w:tcPr>
            <w:tcW w:w="767" w:type="dxa"/>
            <w:tcBorders>
              <w:bottom w:val="single" w:sz="6" w:space="0" w:color="auto"/>
            </w:tcBorders>
          </w:tcPr>
          <w:p w14:paraId="60C4A9EB"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21 050</w:t>
            </w:r>
          </w:p>
        </w:tc>
        <w:tc>
          <w:tcPr>
            <w:tcW w:w="766" w:type="dxa"/>
            <w:tcBorders>
              <w:bottom w:val="single" w:sz="6" w:space="0" w:color="auto"/>
            </w:tcBorders>
          </w:tcPr>
          <w:p w14:paraId="73B77F80"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21 183</w:t>
            </w:r>
          </w:p>
        </w:tc>
        <w:tc>
          <w:tcPr>
            <w:tcW w:w="767" w:type="dxa"/>
            <w:tcBorders>
              <w:bottom w:val="single" w:sz="6" w:space="0" w:color="auto"/>
            </w:tcBorders>
          </w:tcPr>
          <w:p w14:paraId="61A33740"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21 455</w:t>
            </w:r>
          </w:p>
        </w:tc>
      </w:tr>
      <w:tr w:rsidR="008D6F13" w:rsidRPr="002C0A3F" w14:paraId="5E38A969" w14:textId="77777777" w:rsidTr="0031078F">
        <w:tc>
          <w:tcPr>
            <w:cnfStyle w:val="001000000000" w:firstRow="0" w:lastRow="0" w:firstColumn="1" w:lastColumn="0" w:oddVBand="0" w:evenVBand="0" w:oddHBand="0" w:evenHBand="0" w:firstRowFirstColumn="0" w:firstRowLastColumn="0" w:lastRowFirstColumn="0" w:lastRowLastColumn="0"/>
            <w:tcW w:w="3878" w:type="dxa"/>
            <w:tcBorders>
              <w:top w:val="single" w:sz="6" w:space="0" w:color="auto"/>
              <w:bottom w:val="single" w:sz="6" w:space="0" w:color="auto"/>
            </w:tcBorders>
          </w:tcPr>
          <w:p w14:paraId="7C9B5389" w14:textId="77777777" w:rsidR="008D6F13" w:rsidRPr="002C0A3F" w:rsidRDefault="008D6F13" w:rsidP="0031078F">
            <w:pPr>
              <w:rPr>
                <w:sz w:val="16"/>
                <w:szCs w:val="16"/>
              </w:rPr>
            </w:pPr>
            <w:r w:rsidRPr="002C0A3F">
              <w:rPr>
                <w:b/>
                <w:sz w:val="16"/>
                <w:szCs w:val="16"/>
              </w:rPr>
              <w:t>Cash and cash equivalents at end of reporting period</w:t>
            </w:r>
            <w:r w:rsidRPr="002C0A3F">
              <w:rPr>
                <w:b/>
                <w:sz w:val="16"/>
                <w:szCs w:val="16"/>
                <w:vertAlign w:val="superscript"/>
              </w:rPr>
              <w:t xml:space="preserve"> (b)(c)</w:t>
            </w:r>
          </w:p>
        </w:tc>
        <w:tc>
          <w:tcPr>
            <w:tcW w:w="766" w:type="dxa"/>
            <w:tcBorders>
              <w:top w:val="single" w:sz="6" w:space="0" w:color="auto"/>
              <w:bottom w:val="single" w:sz="6" w:space="0" w:color="auto"/>
            </w:tcBorders>
          </w:tcPr>
          <w:p w14:paraId="6DE0B051"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22 009</w:t>
            </w:r>
          </w:p>
        </w:tc>
        <w:tc>
          <w:tcPr>
            <w:tcW w:w="766" w:type="dxa"/>
            <w:tcBorders>
              <w:top w:val="single" w:sz="6" w:space="0" w:color="auto"/>
              <w:bottom w:val="single" w:sz="6" w:space="0" w:color="auto"/>
            </w:tcBorders>
          </w:tcPr>
          <w:p w14:paraId="5FD915E0"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21 050</w:t>
            </w:r>
          </w:p>
        </w:tc>
        <w:tc>
          <w:tcPr>
            <w:tcW w:w="767" w:type="dxa"/>
            <w:tcBorders>
              <w:top w:val="single" w:sz="6" w:space="0" w:color="auto"/>
              <w:bottom w:val="single" w:sz="6" w:space="0" w:color="auto"/>
            </w:tcBorders>
          </w:tcPr>
          <w:p w14:paraId="2629155B"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21 183</w:t>
            </w:r>
          </w:p>
        </w:tc>
        <w:tc>
          <w:tcPr>
            <w:tcW w:w="766" w:type="dxa"/>
            <w:tcBorders>
              <w:top w:val="single" w:sz="6" w:space="0" w:color="auto"/>
              <w:bottom w:val="single" w:sz="6" w:space="0" w:color="auto"/>
            </w:tcBorders>
          </w:tcPr>
          <w:p w14:paraId="11251BE1"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21 455</w:t>
            </w:r>
          </w:p>
        </w:tc>
        <w:tc>
          <w:tcPr>
            <w:tcW w:w="767" w:type="dxa"/>
            <w:tcBorders>
              <w:top w:val="single" w:sz="6" w:space="0" w:color="auto"/>
              <w:bottom w:val="single" w:sz="6" w:space="0" w:color="auto"/>
            </w:tcBorders>
          </w:tcPr>
          <w:p w14:paraId="57AB35B8"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22 033</w:t>
            </w:r>
          </w:p>
        </w:tc>
      </w:tr>
      <w:tr w:rsidR="008D6F13" w:rsidRPr="002C0A3F" w14:paraId="3A31ED25" w14:textId="77777777" w:rsidTr="0031078F">
        <w:trPr>
          <w:trHeight w:hRule="exact" w:val="113"/>
        </w:trPr>
        <w:tc>
          <w:tcPr>
            <w:cnfStyle w:val="001000000000" w:firstRow="0" w:lastRow="0" w:firstColumn="1" w:lastColumn="0" w:oddVBand="0" w:evenVBand="0" w:oddHBand="0" w:evenHBand="0" w:firstRowFirstColumn="0" w:firstRowLastColumn="0" w:lastRowFirstColumn="0" w:lastRowLastColumn="0"/>
            <w:tcW w:w="3878" w:type="dxa"/>
            <w:tcBorders>
              <w:top w:val="single" w:sz="6" w:space="0" w:color="auto"/>
            </w:tcBorders>
          </w:tcPr>
          <w:p w14:paraId="3EC80B9E" w14:textId="77777777" w:rsidR="008D6F13" w:rsidRPr="002C0A3F" w:rsidRDefault="008D6F13" w:rsidP="0031078F">
            <w:pPr>
              <w:rPr>
                <w:sz w:val="16"/>
                <w:szCs w:val="16"/>
              </w:rPr>
            </w:pPr>
          </w:p>
        </w:tc>
        <w:tc>
          <w:tcPr>
            <w:tcW w:w="766" w:type="dxa"/>
            <w:tcBorders>
              <w:top w:val="single" w:sz="6" w:space="0" w:color="auto"/>
            </w:tcBorders>
          </w:tcPr>
          <w:p w14:paraId="1B728A83"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66" w:type="dxa"/>
            <w:tcBorders>
              <w:top w:val="single" w:sz="6" w:space="0" w:color="auto"/>
            </w:tcBorders>
          </w:tcPr>
          <w:p w14:paraId="14387C77"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67" w:type="dxa"/>
            <w:tcBorders>
              <w:top w:val="single" w:sz="6" w:space="0" w:color="auto"/>
            </w:tcBorders>
          </w:tcPr>
          <w:p w14:paraId="560B8F89"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66" w:type="dxa"/>
            <w:tcBorders>
              <w:top w:val="single" w:sz="6" w:space="0" w:color="auto"/>
            </w:tcBorders>
          </w:tcPr>
          <w:p w14:paraId="148E5E5A"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67" w:type="dxa"/>
            <w:tcBorders>
              <w:top w:val="single" w:sz="6" w:space="0" w:color="auto"/>
            </w:tcBorders>
          </w:tcPr>
          <w:p w14:paraId="34C66588"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r>
      <w:tr w:rsidR="008D6F13" w:rsidRPr="002C0A3F" w14:paraId="432C1AA7" w14:textId="77777777" w:rsidTr="0031078F">
        <w:tc>
          <w:tcPr>
            <w:cnfStyle w:val="001000000000" w:firstRow="0" w:lastRow="0" w:firstColumn="1" w:lastColumn="0" w:oddVBand="0" w:evenVBand="0" w:oddHBand="0" w:evenHBand="0" w:firstRowFirstColumn="0" w:firstRowLastColumn="0" w:lastRowFirstColumn="0" w:lastRowLastColumn="0"/>
            <w:tcW w:w="3878" w:type="dxa"/>
          </w:tcPr>
          <w:p w14:paraId="28637D02" w14:textId="77777777" w:rsidR="008D6F13" w:rsidRPr="002C0A3F" w:rsidRDefault="008D6F13" w:rsidP="0031078F">
            <w:pPr>
              <w:rPr>
                <w:sz w:val="16"/>
                <w:szCs w:val="16"/>
              </w:rPr>
            </w:pPr>
            <w:r w:rsidRPr="002C0A3F">
              <w:rPr>
                <w:b/>
                <w:sz w:val="16"/>
                <w:szCs w:val="16"/>
              </w:rPr>
              <w:t>FISCAL AGGREGATES</w:t>
            </w:r>
          </w:p>
        </w:tc>
        <w:tc>
          <w:tcPr>
            <w:tcW w:w="766" w:type="dxa"/>
          </w:tcPr>
          <w:p w14:paraId="0BBF8408"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66" w:type="dxa"/>
          </w:tcPr>
          <w:p w14:paraId="4D38D343"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67" w:type="dxa"/>
          </w:tcPr>
          <w:p w14:paraId="180D9F90"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66" w:type="dxa"/>
          </w:tcPr>
          <w:p w14:paraId="5DAF1234"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c>
          <w:tcPr>
            <w:tcW w:w="767" w:type="dxa"/>
          </w:tcPr>
          <w:p w14:paraId="205A4C41"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p>
        </w:tc>
      </w:tr>
      <w:tr w:rsidR="008D6F13" w:rsidRPr="002C0A3F" w14:paraId="412C9C60" w14:textId="77777777" w:rsidTr="0031078F">
        <w:tc>
          <w:tcPr>
            <w:cnfStyle w:val="001000000000" w:firstRow="0" w:lastRow="0" w:firstColumn="1" w:lastColumn="0" w:oddVBand="0" w:evenVBand="0" w:oddHBand="0" w:evenHBand="0" w:firstRowFirstColumn="0" w:firstRowLastColumn="0" w:lastRowFirstColumn="0" w:lastRowLastColumn="0"/>
            <w:tcW w:w="3878" w:type="dxa"/>
          </w:tcPr>
          <w:p w14:paraId="0E07459F" w14:textId="77777777" w:rsidR="008D6F13" w:rsidRPr="002C0A3F" w:rsidRDefault="008D6F13" w:rsidP="0031078F">
            <w:pPr>
              <w:rPr>
                <w:sz w:val="16"/>
                <w:szCs w:val="16"/>
              </w:rPr>
            </w:pPr>
            <w:r w:rsidRPr="002C0A3F">
              <w:rPr>
                <w:sz w:val="16"/>
                <w:szCs w:val="16"/>
              </w:rPr>
              <w:t>Net cash flows from operating activities</w:t>
            </w:r>
          </w:p>
        </w:tc>
        <w:tc>
          <w:tcPr>
            <w:tcW w:w="766" w:type="dxa"/>
          </w:tcPr>
          <w:p w14:paraId="4806AD24"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(819)</w:t>
            </w:r>
          </w:p>
        </w:tc>
        <w:tc>
          <w:tcPr>
            <w:tcW w:w="766" w:type="dxa"/>
          </w:tcPr>
          <w:p w14:paraId="432D29C0"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(14 195)</w:t>
            </w:r>
          </w:p>
        </w:tc>
        <w:tc>
          <w:tcPr>
            <w:tcW w:w="767" w:type="dxa"/>
          </w:tcPr>
          <w:p w14:paraId="36A78544"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4 362</w:t>
            </w:r>
          </w:p>
        </w:tc>
        <w:tc>
          <w:tcPr>
            <w:tcW w:w="766" w:type="dxa"/>
          </w:tcPr>
          <w:p w14:paraId="53B0455D"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2 179</w:t>
            </w:r>
          </w:p>
        </w:tc>
        <w:tc>
          <w:tcPr>
            <w:tcW w:w="767" w:type="dxa"/>
          </w:tcPr>
          <w:p w14:paraId="2C61DB73"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4 467</w:t>
            </w:r>
          </w:p>
        </w:tc>
      </w:tr>
      <w:tr w:rsidR="008D6F13" w:rsidRPr="002C0A3F" w14:paraId="5C42C33B" w14:textId="77777777" w:rsidTr="0031078F">
        <w:tc>
          <w:tcPr>
            <w:cnfStyle w:val="001000000000" w:firstRow="0" w:lastRow="0" w:firstColumn="1" w:lastColumn="0" w:oddVBand="0" w:evenVBand="0" w:oddHBand="0" w:evenHBand="0" w:firstRowFirstColumn="0" w:firstRowLastColumn="0" w:lastRowFirstColumn="0" w:lastRowLastColumn="0"/>
            <w:tcW w:w="3878" w:type="dxa"/>
            <w:tcBorders>
              <w:bottom w:val="single" w:sz="6" w:space="0" w:color="auto"/>
            </w:tcBorders>
          </w:tcPr>
          <w:p w14:paraId="6777E14B" w14:textId="77777777" w:rsidR="008D6F13" w:rsidRPr="002C0A3F" w:rsidRDefault="008D6F13" w:rsidP="0031078F">
            <w:pPr>
              <w:rPr>
                <w:sz w:val="16"/>
                <w:szCs w:val="16"/>
              </w:rPr>
            </w:pPr>
            <w:r w:rsidRPr="002C0A3F">
              <w:rPr>
                <w:sz w:val="16"/>
                <w:szCs w:val="16"/>
              </w:rPr>
              <w:t>Net cash flows from investments in non</w:t>
            </w:r>
            <w:r w:rsidRPr="002C0A3F">
              <w:rPr>
                <w:sz w:val="16"/>
                <w:szCs w:val="16"/>
              </w:rPr>
              <w:noBreakHyphen/>
              <w:t>financial assets</w:t>
            </w:r>
          </w:p>
        </w:tc>
        <w:tc>
          <w:tcPr>
            <w:tcW w:w="766" w:type="dxa"/>
            <w:tcBorders>
              <w:bottom w:val="single" w:sz="6" w:space="0" w:color="auto"/>
            </w:tcBorders>
          </w:tcPr>
          <w:p w14:paraId="7D0AF2F4"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(22 989)</w:t>
            </w:r>
          </w:p>
        </w:tc>
        <w:tc>
          <w:tcPr>
            <w:tcW w:w="766" w:type="dxa"/>
            <w:tcBorders>
              <w:bottom w:val="single" w:sz="6" w:space="0" w:color="auto"/>
            </w:tcBorders>
          </w:tcPr>
          <w:p w14:paraId="28176C62"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(18 330)</w:t>
            </w:r>
          </w:p>
        </w:tc>
        <w:tc>
          <w:tcPr>
            <w:tcW w:w="767" w:type="dxa"/>
            <w:tcBorders>
              <w:bottom w:val="single" w:sz="6" w:space="0" w:color="auto"/>
            </w:tcBorders>
          </w:tcPr>
          <w:p w14:paraId="25A5BB41"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(20 883)</w:t>
            </w:r>
          </w:p>
        </w:tc>
        <w:tc>
          <w:tcPr>
            <w:tcW w:w="766" w:type="dxa"/>
            <w:tcBorders>
              <w:bottom w:val="single" w:sz="6" w:space="0" w:color="auto"/>
            </w:tcBorders>
          </w:tcPr>
          <w:p w14:paraId="620D634F"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(24 317)</w:t>
            </w:r>
          </w:p>
        </w:tc>
        <w:tc>
          <w:tcPr>
            <w:tcW w:w="767" w:type="dxa"/>
            <w:tcBorders>
              <w:bottom w:val="single" w:sz="6" w:space="0" w:color="auto"/>
            </w:tcBorders>
          </w:tcPr>
          <w:p w14:paraId="36A7BE78"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sz w:val="16"/>
                <w:szCs w:val="16"/>
              </w:rPr>
              <w:t>(25 932)</w:t>
            </w:r>
          </w:p>
        </w:tc>
      </w:tr>
      <w:tr w:rsidR="008D6F13" w:rsidRPr="002C0A3F" w14:paraId="56DC4059" w14:textId="77777777" w:rsidTr="0031078F">
        <w:tc>
          <w:tcPr>
            <w:cnfStyle w:val="001000000000" w:firstRow="0" w:lastRow="0" w:firstColumn="1" w:lastColumn="0" w:oddVBand="0" w:evenVBand="0" w:oddHBand="0" w:evenHBand="0" w:firstRowFirstColumn="0" w:firstRowLastColumn="0" w:lastRowFirstColumn="0" w:lastRowLastColumn="0"/>
            <w:tcW w:w="3878" w:type="dxa"/>
          </w:tcPr>
          <w:p w14:paraId="08488CC6" w14:textId="77777777" w:rsidR="008D6F13" w:rsidRPr="002C0A3F" w:rsidRDefault="008D6F13" w:rsidP="0031078F">
            <w:pPr>
              <w:rPr>
                <w:sz w:val="16"/>
                <w:szCs w:val="16"/>
              </w:rPr>
            </w:pPr>
            <w:r w:rsidRPr="002C0A3F">
              <w:rPr>
                <w:b/>
                <w:sz w:val="16"/>
                <w:szCs w:val="16"/>
              </w:rPr>
              <w:t>Cash surplus/(deficit)</w:t>
            </w:r>
          </w:p>
        </w:tc>
        <w:tc>
          <w:tcPr>
            <w:tcW w:w="766" w:type="dxa"/>
          </w:tcPr>
          <w:p w14:paraId="624D2F57"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(23 808)</w:t>
            </w:r>
          </w:p>
        </w:tc>
        <w:tc>
          <w:tcPr>
            <w:tcW w:w="766" w:type="dxa"/>
          </w:tcPr>
          <w:p w14:paraId="461E0B46"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(32 525)</w:t>
            </w:r>
          </w:p>
        </w:tc>
        <w:tc>
          <w:tcPr>
            <w:tcW w:w="767" w:type="dxa"/>
          </w:tcPr>
          <w:p w14:paraId="09A36123"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(16 521)</w:t>
            </w:r>
          </w:p>
        </w:tc>
        <w:tc>
          <w:tcPr>
            <w:tcW w:w="766" w:type="dxa"/>
          </w:tcPr>
          <w:p w14:paraId="5BD233FC" w14:textId="77777777"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(22 137)</w:t>
            </w:r>
          </w:p>
        </w:tc>
        <w:tc>
          <w:tcPr>
            <w:tcW w:w="767" w:type="dxa"/>
          </w:tcPr>
          <w:p w14:paraId="2A213433" w14:textId="15C12532" w:rsidR="008D6F13" w:rsidRPr="002C0A3F" w:rsidRDefault="008D6F13" w:rsidP="0031078F">
            <w:pPr>
              <w:cnfStyle w:val="000000000000" w:firstRow="0" w:lastRow="0" w:firstColumn="0" w:lastColumn="0" w:oddVBand="0" w:evenVBand="0" w:oddHBand="0" w:evenHBand="0" w:firstRowFirstColumn="0" w:firstRowLastColumn="0" w:lastRowFirstColumn="0" w:lastRowLastColumn="0"/>
              <w:rPr>
                <w:sz w:val="16"/>
                <w:szCs w:val="16"/>
              </w:rPr>
            </w:pPr>
            <w:r w:rsidRPr="002C0A3F">
              <w:rPr>
                <w:b/>
                <w:sz w:val="16"/>
                <w:szCs w:val="16"/>
              </w:rPr>
              <w:t>(21 464)</w:t>
            </w:r>
          </w:p>
        </w:tc>
      </w:tr>
    </w:tbl>
    <w:p w14:paraId="5A9D7C88" w14:textId="77777777" w:rsidR="008D6F13" w:rsidRPr="00921F69" w:rsidRDefault="008D6F13" w:rsidP="008D6F13">
      <w:pPr>
        <w:pStyle w:val="Note"/>
        <w:ind w:left="0" w:firstLine="0"/>
        <w:rPr>
          <w:rFonts w:cstheme="majorHAnsi"/>
        </w:rPr>
      </w:pPr>
      <w:r w:rsidRPr="00921F69">
        <w:rPr>
          <w:rFonts w:cstheme="majorHAnsi"/>
        </w:rPr>
        <w:t>Notes:</w:t>
      </w:r>
    </w:p>
    <w:p w14:paraId="66BF6451" w14:textId="77777777" w:rsidR="008D6F13" w:rsidRPr="004E4FD2" w:rsidRDefault="008D6F13" w:rsidP="008D6F13">
      <w:pPr>
        <w:pStyle w:val="Note"/>
      </w:pPr>
      <w:r w:rsidRPr="00921F69">
        <w:rPr>
          <w:rFonts w:cstheme="majorHAnsi"/>
        </w:rPr>
        <w:t>(a)</w:t>
      </w:r>
      <w:r w:rsidRPr="00921F69">
        <w:rPr>
          <w:rFonts w:cstheme="majorHAnsi"/>
        </w:rPr>
        <w:tab/>
      </w:r>
      <w:r>
        <w:t>Sales of goods and services and payments for goods and services are i</w:t>
      </w:r>
      <w:r w:rsidRPr="00E77C7E">
        <w:t>nclusive of goods and services tax.</w:t>
      </w:r>
    </w:p>
    <w:p w14:paraId="57785B61" w14:textId="77777777" w:rsidR="008D6F13" w:rsidRPr="00921F69" w:rsidRDefault="008D6F13" w:rsidP="008D6F13">
      <w:pPr>
        <w:pStyle w:val="Note"/>
        <w:rPr>
          <w:rFonts w:cstheme="majorHAnsi"/>
        </w:rPr>
      </w:pPr>
      <w:r w:rsidRPr="00921F69">
        <w:rPr>
          <w:rFonts w:cstheme="majorHAnsi"/>
        </w:rPr>
        <w:t>(b)</w:t>
      </w:r>
      <w:r w:rsidRPr="00921F69">
        <w:rPr>
          <w:rFonts w:cstheme="majorHAnsi"/>
        </w:rPr>
        <w:tab/>
      </w:r>
      <w:r w:rsidRPr="006D1F40">
        <w:rPr>
          <w:rFonts w:cstheme="majorHAnsi"/>
          <w:i w:val="0"/>
          <w:iCs/>
        </w:rPr>
        <w:t>2021-22 Budget</w:t>
      </w:r>
      <w:r w:rsidRPr="00921F69">
        <w:rPr>
          <w:rFonts w:cstheme="majorHAnsi"/>
        </w:rPr>
        <w:t xml:space="preserve"> figures have been restated to represent actual opening balances </w:t>
      </w:r>
      <w:proofErr w:type="gramStart"/>
      <w:r w:rsidRPr="00921F69">
        <w:rPr>
          <w:rFonts w:cstheme="majorHAnsi"/>
        </w:rPr>
        <w:t>at</w:t>
      </w:r>
      <w:proofErr w:type="gramEnd"/>
      <w:r w:rsidRPr="00921F69">
        <w:rPr>
          <w:rFonts w:cstheme="majorHAnsi"/>
        </w:rPr>
        <w:t xml:space="preserve"> 1 July 20</w:t>
      </w:r>
      <w:r>
        <w:rPr>
          <w:rFonts w:cstheme="majorHAnsi"/>
        </w:rPr>
        <w:t>21</w:t>
      </w:r>
      <w:r w:rsidRPr="00921F69">
        <w:rPr>
          <w:rFonts w:cstheme="majorHAnsi"/>
        </w:rPr>
        <w:t>.</w:t>
      </w:r>
    </w:p>
    <w:p w14:paraId="3F567DEB" w14:textId="77777777" w:rsidR="008D6F13" w:rsidRPr="009E38F8" w:rsidRDefault="008D6F13" w:rsidP="008D6F13">
      <w:pPr>
        <w:pStyle w:val="Note"/>
        <w:rPr>
          <w:iCs/>
        </w:rPr>
      </w:pPr>
      <w:r w:rsidRPr="009E38F8">
        <w:rPr>
          <w:iCs/>
        </w:rPr>
        <w:t>(</w:t>
      </w:r>
      <w:r>
        <w:rPr>
          <w:iCs/>
        </w:rPr>
        <w:t>c</w:t>
      </w:r>
      <w:r w:rsidRPr="009E38F8">
        <w:rPr>
          <w:iCs/>
        </w:rPr>
        <w:t>)</w:t>
      </w:r>
      <w:r w:rsidRPr="009E38F8">
        <w:rPr>
          <w:iCs/>
        </w:rPr>
        <w:tab/>
      </w:r>
      <w:r>
        <w:t>Cash and cash equivalents at the end of the reporting period does not equal cash and deposits on the balance sheet. This is due to overdrafts being included in the cash flow statement balances.</w:t>
      </w:r>
    </w:p>
    <w:p w14:paraId="74296680" w14:textId="27AF1F3A" w:rsidR="008D6F13" w:rsidRPr="00921F69" w:rsidRDefault="008D6F13" w:rsidP="008D6F13">
      <w:pPr>
        <w:pStyle w:val="TableHeading"/>
        <w:rPr>
          <w:rFonts w:cstheme="majorHAnsi"/>
        </w:rPr>
      </w:pPr>
      <w:r w:rsidRPr="00921F69">
        <w:rPr>
          <w:rFonts w:cstheme="majorHAnsi"/>
        </w:rPr>
        <w:lastRenderedPageBreak/>
        <w:t>Table 5.19</w:t>
      </w:r>
      <w:r w:rsidR="007F1FE4">
        <w:rPr>
          <w:rFonts w:cstheme="majorHAnsi"/>
        </w:rPr>
        <w:t>:</w:t>
      </w:r>
      <w:r w:rsidRPr="00921F69">
        <w:rPr>
          <w:rFonts w:cstheme="majorHAnsi"/>
        </w:rPr>
        <w:tab/>
        <w:t xml:space="preserve">State of Victoria statement of changes in equity </w:t>
      </w:r>
      <w:r w:rsidRPr="00921F69">
        <w:rPr>
          <w:rFonts w:cstheme="majorHAnsi"/>
        </w:rPr>
        <w:br/>
        <w:t>for the financial year ended 30 June</w:t>
      </w:r>
      <w:r w:rsidRPr="00921F69">
        <w:rPr>
          <w:rFonts w:cstheme="majorHAnsi"/>
        </w:rPr>
        <w:tab/>
        <w:t>($ million)</w:t>
      </w:r>
    </w:p>
    <w:tbl>
      <w:tblPr>
        <w:tblStyle w:val="DTFTableNumeric"/>
        <w:tblW w:w="7710" w:type="dxa"/>
        <w:tblLayout w:type="fixed"/>
        <w:tblLook w:val="06A0" w:firstRow="1" w:lastRow="0" w:firstColumn="1" w:lastColumn="0" w:noHBand="1" w:noVBand="1"/>
      </w:tblPr>
      <w:tblGrid>
        <w:gridCol w:w="3206"/>
        <w:gridCol w:w="1330"/>
        <w:gridCol w:w="1609"/>
        <w:gridCol w:w="770"/>
        <w:gridCol w:w="795"/>
      </w:tblGrid>
      <w:tr w:rsidR="008D6F13" w14:paraId="54D59678"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6" w:type="dxa"/>
          </w:tcPr>
          <w:p w14:paraId="734E3D4D" w14:textId="76B6CD4A" w:rsidR="008D6F13" w:rsidRDefault="008D6F13" w:rsidP="0031078F"/>
        </w:tc>
        <w:tc>
          <w:tcPr>
            <w:tcW w:w="1330" w:type="dxa"/>
          </w:tcPr>
          <w:p w14:paraId="1B92961B"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Accumulated surplus/(deficit)</w:t>
            </w:r>
          </w:p>
        </w:tc>
        <w:tc>
          <w:tcPr>
            <w:tcW w:w="1609" w:type="dxa"/>
          </w:tcPr>
          <w:p w14:paraId="61954945"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770" w:type="dxa"/>
          </w:tcPr>
          <w:p w14:paraId="3728D680"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Other reserves</w:t>
            </w:r>
          </w:p>
        </w:tc>
        <w:tc>
          <w:tcPr>
            <w:tcW w:w="795" w:type="dxa"/>
          </w:tcPr>
          <w:p w14:paraId="34B9BEB3"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Total</w:t>
            </w:r>
          </w:p>
        </w:tc>
      </w:tr>
      <w:tr w:rsidR="008D6F13" w14:paraId="33A36563" w14:textId="77777777" w:rsidTr="0031078F">
        <w:tc>
          <w:tcPr>
            <w:cnfStyle w:val="001000000000" w:firstRow="0" w:lastRow="0" w:firstColumn="1" w:lastColumn="0" w:oddVBand="0" w:evenVBand="0" w:oddHBand="0" w:evenHBand="0" w:firstRowFirstColumn="0" w:firstRowLastColumn="0" w:lastRowFirstColumn="0" w:lastRowLastColumn="0"/>
            <w:tcW w:w="3206" w:type="dxa"/>
          </w:tcPr>
          <w:p w14:paraId="20FA5156" w14:textId="77777777" w:rsidR="008D6F13" w:rsidRDefault="008D6F13" w:rsidP="0031078F">
            <w:r>
              <w:rPr>
                <w:b/>
              </w:rPr>
              <w:t>2021</w:t>
            </w:r>
            <w:r>
              <w:rPr>
                <w:b/>
              </w:rPr>
              <w:noBreakHyphen/>
              <w:t>22 budget</w:t>
            </w:r>
            <w:r>
              <w:rPr>
                <w:b/>
                <w:vertAlign w:val="superscript"/>
              </w:rPr>
              <w:t xml:space="preserve"> (a)</w:t>
            </w:r>
          </w:p>
        </w:tc>
        <w:tc>
          <w:tcPr>
            <w:tcW w:w="1330" w:type="dxa"/>
          </w:tcPr>
          <w:p w14:paraId="3E0F1E9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609" w:type="dxa"/>
          </w:tcPr>
          <w:p w14:paraId="65166D1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70" w:type="dxa"/>
          </w:tcPr>
          <w:p w14:paraId="2863CF1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5" w:type="dxa"/>
          </w:tcPr>
          <w:p w14:paraId="180C86F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47954A83" w14:textId="77777777" w:rsidTr="0031078F">
        <w:tc>
          <w:tcPr>
            <w:cnfStyle w:val="001000000000" w:firstRow="0" w:lastRow="0" w:firstColumn="1" w:lastColumn="0" w:oddVBand="0" w:evenVBand="0" w:oddHBand="0" w:evenHBand="0" w:firstRowFirstColumn="0" w:firstRowLastColumn="0" w:lastRowFirstColumn="0" w:lastRowLastColumn="0"/>
            <w:tcW w:w="3206" w:type="dxa"/>
          </w:tcPr>
          <w:p w14:paraId="1E7559C3" w14:textId="77777777" w:rsidR="008D6F13" w:rsidRDefault="008D6F13" w:rsidP="0031078F">
            <w:r>
              <w:t xml:space="preserve">Balance </w:t>
            </w:r>
            <w:proofErr w:type="gramStart"/>
            <w:r>
              <w:t>at</w:t>
            </w:r>
            <w:proofErr w:type="gramEnd"/>
            <w:r>
              <w:t xml:space="preserve"> 1 July 2021</w:t>
            </w:r>
          </w:p>
        </w:tc>
        <w:tc>
          <w:tcPr>
            <w:tcW w:w="1330" w:type="dxa"/>
          </w:tcPr>
          <w:p w14:paraId="17015CA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76 532</w:t>
            </w:r>
          </w:p>
        </w:tc>
        <w:tc>
          <w:tcPr>
            <w:tcW w:w="1609" w:type="dxa"/>
          </w:tcPr>
          <w:p w14:paraId="2A4CC2E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109 790</w:t>
            </w:r>
          </w:p>
        </w:tc>
        <w:tc>
          <w:tcPr>
            <w:tcW w:w="770" w:type="dxa"/>
          </w:tcPr>
          <w:p w14:paraId="5DDD9C9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1 808</w:t>
            </w:r>
          </w:p>
        </w:tc>
        <w:tc>
          <w:tcPr>
            <w:tcW w:w="795" w:type="dxa"/>
          </w:tcPr>
          <w:p w14:paraId="19CC243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188 130</w:t>
            </w:r>
          </w:p>
        </w:tc>
      </w:tr>
      <w:tr w:rsidR="008D6F13" w14:paraId="1074DF4E" w14:textId="77777777" w:rsidTr="0031078F">
        <w:tc>
          <w:tcPr>
            <w:cnfStyle w:val="001000000000" w:firstRow="0" w:lastRow="0" w:firstColumn="1" w:lastColumn="0" w:oddVBand="0" w:evenVBand="0" w:oddHBand="0" w:evenHBand="0" w:firstRowFirstColumn="0" w:firstRowLastColumn="0" w:lastRowFirstColumn="0" w:lastRowLastColumn="0"/>
            <w:tcW w:w="3206" w:type="dxa"/>
          </w:tcPr>
          <w:p w14:paraId="45584DD8" w14:textId="77777777" w:rsidR="008D6F13" w:rsidRDefault="008D6F13" w:rsidP="0031078F">
            <w:r>
              <w:t>Net result for the year</w:t>
            </w:r>
          </w:p>
        </w:tc>
        <w:tc>
          <w:tcPr>
            <w:tcW w:w="1330" w:type="dxa"/>
          </w:tcPr>
          <w:p w14:paraId="67AF318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(16 337)</w:t>
            </w:r>
          </w:p>
        </w:tc>
        <w:tc>
          <w:tcPr>
            <w:tcW w:w="1609" w:type="dxa"/>
          </w:tcPr>
          <w:p w14:paraId="470C14F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358DD49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5" w:type="dxa"/>
          </w:tcPr>
          <w:p w14:paraId="1D20DAC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(16 337)</w:t>
            </w:r>
          </w:p>
        </w:tc>
      </w:tr>
      <w:tr w:rsidR="008D6F13" w14:paraId="64CE8C55" w14:textId="77777777" w:rsidTr="0031078F">
        <w:tc>
          <w:tcPr>
            <w:cnfStyle w:val="001000000000" w:firstRow="0" w:lastRow="0" w:firstColumn="1" w:lastColumn="0" w:oddVBand="0" w:evenVBand="0" w:oddHBand="0" w:evenHBand="0" w:firstRowFirstColumn="0" w:firstRowLastColumn="0" w:lastRowFirstColumn="0" w:lastRowLastColumn="0"/>
            <w:tcW w:w="3206" w:type="dxa"/>
          </w:tcPr>
          <w:p w14:paraId="6EA767DC" w14:textId="77777777" w:rsidR="008D6F13" w:rsidRDefault="008D6F13" w:rsidP="0031078F">
            <w:r>
              <w:t>Other comprehensive income for the year</w:t>
            </w:r>
          </w:p>
        </w:tc>
        <w:tc>
          <w:tcPr>
            <w:tcW w:w="1330" w:type="dxa"/>
          </w:tcPr>
          <w:p w14:paraId="2748496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1 189</w:t>
            </w:r>
          </w:p>
        </w:tc>
        <w:tc>
          <w:tcPr>
            <w:tcW w:w="1609" w:type="dxa"/>
          </w:tcPr>
          <w:p w14:paraId="1B35A0A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573</w:t>
            </w:r>
          </w:p>
        </w:tc>
        <w:tc>
          <w:tcPr>
            <w:tcW w:w="770" w:type="dxa"/>
          </w:tcPr>
          <w:p w14:paraId="7361208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55</w:t>
            </w:r>
          </w:p>
        </w:tc>
        <w:tc>
          <w:tcPr>
            <w:tcW w:w="795" w:type="dxa"/>
          </w:tcPr>
          <w:p w14:paraId="7028B5A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1 817</w:t>
            </w:r>
          </w:p>
        </w:tc>
      </w:tr>
      <w:tr w:rsidR="008D6F13" w14:paraId="281FD4BC" w14:textId="77777777" w:rsidTr="0031078F">
        <w:tc>
          <w:tcPr>
            <w:cnfStyle w:val="001000000000" w:firstRow="0" w:lastRow="0" w:firstColumn="1" w:lastColumn="0" w:oddVBand="0" w:evenVBand="0" w:oddHBand="0" w:evenHBand="0" w:firstRowFirstColumn="0" w:firstRowLastColumn="0" w:lastRowFirstColumn="0" w:lastRowLastColumn="0"/>
            <w:tcW w:w="3206" w:type="dxa"/>
            <w:tcBorders>
              <w:top w:val="single" w:sz="6" w:space="0" w:color="auto"/>
              <w:bottom w:val="single" w:sz="6" w:space="0" w:color="auto"/>
            </w:tcBorders>
          </w:tcPr>
          <w:p w14:paraId="62EA74AA" w14:textId="77777777" w:rsidR="008D6F13" w:rsidRDefault="008D6F13" w:rsidP="0031078F">
            <w:r>
              <w:rPr>
                <w:b/>
              </w:rPr>
              <w:t xml:space="preserve">Total equity as </w:t>
            </w:r>
            <w:proofErr w:type="gramStart"/>
            <w:r>
              <w:rPr>
                <w:b/>
              </w:rPr>
              <w:t>at</w:t>
            </w:r>
            <w:proofErr w:type="gramEnd"/>
            <w:r>
              <w:rPr>
                <w:b/>
              </w:rPr>
              <w:t xml:space="preserve"> 30 June 2022</w:t>
            </w:r>
          </w:p>
        </w:tc>
        <w:tc>
          <w:tcPr>
            <w:tcW w:w="1330" w:type="dxa"/>
            <w:tcBorders>
              <w:top w:val="single" w:sz="6" w:space="0" w:color="auto"/>
              <w:bottom w:val="single" w:sz="6" w:space="0" w:color="auto"/>
            </w:tcBorders>
          </w:tcPr>
          <w:p w14:paraId="578A8B2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61 384</w:t>
            </w:r>
          </w:p>
        </w:tc>
        <w:tc>
          <w:tcPr>
            <w:tcW w:w="1609" w:type="dxa"/>
            <w:tcBorders>
              <w:top w:val="single" w:sz="6" w:space="0" w:color="auto"/>
              <w:bottom w:val="single" w:sz="6" w:space="0" w:color="auto"/>
            </w:tcBorders>
          </w:tcPr>
          <w:p w14:paraId="7909387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110 362</w:t>
            </w:r>
          </w:p>
        </w:tc>
        <w:tc>
          <w:tcPr>
            <w:tcW w:w="770" w:type="dxa"/>
            <w:tcBorders>
              <w:top w:val="single" w:sz="6" w:space="0" w:color="auto"/>
              <w:bottom w:val="single" w:sz="6" w:space="0" w:color="auto"/>
            </w:tcBorders>
          </w:tcPr>
          <w:p w14:paraId="71C95E7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1 863</w:t>
            </w:r>
          </w:p>
        </w:tc>
        <w:tc>
          <w:tcPr>
            <w:tcW w:w="795" w:type="dxa"/>
            <w:tcBorders>
              <w:top w:val="single" w:sz="6" w:space="0" w:color="auto"/>
              <w:bottom w:val="single" w:sz="6" w:space="0" w:color="auto"/>
            </w:tcBorders>
          </w:tcPr>
          <w:p w14:paraId="5539DEA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173 609</w:t>
            </w:r>
          </w:p>
        </w:tc>
      </w:tr>
      <w:tr w:rsidR="008D6F13" w14:paraId="1E5A6C32" w14:textId="77777777" w:rsidTr="0031078F">
        <w:tc>
          <w:tcPr>
            <w:cnfStyle w:val="001000000000" w:firstRow="0" w:lastRow="0" w:firstColumn="1" w:lastColumn="0" w:oddVBand="0" w:evenVBand="0" w:oddHBand="0" w:evenHBand="0" w:firstRowFirstColumn="0" w:firstRowLastColumn="0" w:lastRowFirstColumn="0" w:lastRowLastColumn="0"/>
            <w:tcW w:w="3206" w:type="dxa"/>
            <w:tcBorders>
              <w:top w:val="single" w:sz="6" w:space="0" w:color="auto"/>
            </w:tcBorders>
          </w:tcPr>
          <w:p w14:paraId="6830F3E1" w14:textId="77777777" w:rsidR="008D6F13" w:rsidRDefault="008D6F13" w:rsidP="0031078F">
            <w:r>
              <w:rPr>
                <w:b/>
              </w:rPr>
              <w:t>2021</w:t>
            </w:r>
            <w:r>
              <w:rPr>
                <w:b/>
              </w:rPr>
              <w:noBreakHyphen/>
              <w:t>22 revised</w:t>
            </w:r>
          </w:p>
        </w:tc>
        <w:tc>
          <w:tcPr>
            <w:tcW w:w="1330" w:type="dxa"/>
            <w:tcBorders>
              <w:top w:val="single" w:sz="6" w:space="0" w:color="auto"/>
            </w:tcBorders>
          </w:tcPr>
          <w:p w14:paraId="3908F8C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609" w:type="dxa"/>
            <w:tcBorders>
              <w:top w:val="single" w:sz="6" w:space="0" w:color="auto"/>
            </w:tcBorders>
          </w:tcPr>
          <w:p w14:paraId="283D7FD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70" w:type="dxa"/>
            <w:tcBorders>
              <w:top w:val="single" w:sz="6" w:space="0" w:color="auto"/>
            </w:tcBorders>
          </w:tcPr>
          <w:p w14:paraId="5A5DBA1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5" w:type="dxa"/>
            <w:tcBorders>
              <w:top w:val="single" w:sz="6" w:space="0" w:color="auto"/>
            </w:tcBorders>
          </w:tcPr>
          <w:p w14:paraId="58B7CDA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62F81C2E" w14:textId="77777777" w:rsidTr="0031078F">
        <w:tc>
          <w:tcPr>
            <w:cnfStyle w:val="001000000000" w:firstRow="0" w:lastRow="0" w:firstColumn="1" w:lastColumn="0" w:oddVBand="0" w:evenVBand="0" w:oddHBand="0" w:evenHBand="0" w:firstRowFirstColumn="0" w:firstRowLastColumn="0" w:lastRowFirstColumn="0" w:lastRowLastColumn="0"/>
            <w:tcW w:w="3206" w:type="dxa"/>
          </w:tcPr>
          <w:p w14:paraId="0DF587CB" w14:textId="77777777" w:rsidR="008D6F13" w:rsidRDefault="008D6F13" w:rsidP="0031078F">
            <w:r>
              <w:t xml:space="preserve">Balance </w:t>
            </w:r>
            <w:proofErr w:type="gramStart"/>
            <w:r>
              <w:t>at</w:t>
            </w:r>
            <w:proofErr w:type="gramEnd"/>
            <w:r>
              <w:t xml:space="preserve"> 1 July 2021</w:t>
            </w:r>
          </w:p>
        </w:tc>
        <w:tc>
          <w:tcPr>
            <w:tcW w:w="1330" w:type="dxa"/>
          </w:tcPr>
          <w:p w14:paraId="1F67311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76 532</w:t>
            </w:r>
          </w:p>
        </w:tc>
        <w:tc>
          <w:tcPr>
            <w:tcW w:w="1609" w:type="dxa"/>
          </w:tcPr>
          <w:p w14:paraId="54D4127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109 790</w:t>
            </w:r>
          </w:p>
        </w:tc>
        <w:tc>
          <w:tcPr>
            <w:tcW w:w="770" w:type="dxa"/>
          </w:tcPr>
          <w:p w14:paraId="66D5D69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1 808</w:t>
            </w:r>
          </w:p>
        </w:tc>
        <w:tc>
          <w:tcPr>
            <w:tcW w:w="795" w:type="dxa"/>
          </w:tcPr>
          <w:p w14:paraId="3495695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188 130</w:t>
            </w:r>
          </w:p>
        </w:tc>
      </w:tr>
      <w:tr w:rsidR="008D6F13" w14:paraId="125693A7" w14:textId="77777777" w:rsidTr="0031078F">
        <w:tc>
          <w:tcPr>
            <w:cnfStyle w:val="001000000000" w:firstRow="0" w:lastRow="0" w:firstColumn="1" w:lastColumn="0" w:oddVBand="0" w:evenVBand="0" w:oddHBand="0" w:evenHBand="0" w:firstRowFirstColumn="0" w:firstRowLastColumn="0" w:lastRowFirstColumn="0" w:lastRowLastColumn="0"/>
            <w:tcW w:w="3206" w:type="dxa"/>
          </w:tcPr>
          <w:p w14:paraId="635DF32A" w14:textId="77777777" w:rsidR="008D6F13" w:rsidRDefault="008D6F13" w:rsidP="0031078F">
            <w:r>
              <w:t>Net result for the year</w:t>
            </w:r>
          </w:p>
        </w:tc>
        <w:tc>
          <w:tcPr>
            <w:tcW w:w="1330" w:type="dxa"/>
          </w:tcPr>
          <w:p w14:paraId="2646860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(25 332)</w:t>
            </w:r>
          </w:p>
        </w:tc>
        <w:tc>
          <w:tcPr>
            <w:tcW w:w="1609" w:type="dxa"/>
          </w:tcPr>
          <w:p w14:paraId="7A90600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0FBFFFA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5" w:type="dxa"/>
          </w:tcPr>
          <w:p w14:paraId="53C0465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(25 332)</w:t>
            </w:r>
          </w:p>
        </w:tc>
      </w:tr>
      <w:tr w:rsidR="008D6F13" w14:paraId="3C6F5524" w14:textId="77777777" w:rsidTr="0031078F">
        <w:tc>
          <w:tcPr>
            <w:cnfStyle w:val="001000000000" w:firstRow="0" w:lastRow="0" w:firstColumn="1" w:lastColumn="0" w:oddVBand="0" w:evenVBand="0" w:oddHBand="0" w:evenHBand="0" w:firstRowFirstColumn="0" w:firstRowLastColumn="0" w:lastRowFirstColumn="0" w:lastRowLastColumn="0"/>
            <w:tcW w:w="3206" w:type="dxa"/>
          </w:tcPr>
          <w:p w14:paraId="1E6B3BAC" w14:textId="77777777" w:rsidR="008D6F13" w:rsidRDefault="008D6F13" w:rsidP="0031078F">
            <w:r>
              <w:t>Other comprehensive income for the year</w:t>
            </w:r>
          </w:p>
        </w:tc>
        <w:tc>
          <w:tcPr>
            <w:tcW w:w="1330" w:type="dxa"/>
          </w:tcPr>
          <w:p w14:paraId="12DCEC5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1 631</w:t>
            </w:r>
          </w:p>
        </w:tc>
        <w:tc>
          <w:tcPr>
            <w:tcW w:w="1609" w:type="dxa"/>
          </w:tcPr>
          <w:p w14:paraId="4063513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539</w:t>
            </w:r>
          </w:p>
        </w:tc>
        <w:tc>
          <w:tcPr>
            <w:tcW w:w="770" w:type="dxa"/>
          </w:tcPr>
          <w:p w14:paraId="3D2FB11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w:t>
            </w:r>
          </w:p>
        </w:tc>
        <w:tc>
          <w:tcPr>
            <w:tcW w:w="795" w:type="dxa"/>
          </w:tcPr>
          <w:p w14:paraId="69AA118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2 193</w:t>
            </w:r>
          </w:p>
        </w:tc>
      </w:tr>
      <w:tr w:rsidR="008D6F13" w14:paraId="5A76FF03" w14:textId="77777777" w:rsidTr="0031078F">
        <w:tc>
          <w:tcPr>
            <w:cnfStyle w:val="001000000000" w:firstRow="0" w:lastRow="0" w:firstColumn="1" w:lastColumn="0" w:oddVBand="0" w:evenVBand="0" w:oddHBand="0" w:evenHBand="0" w:firstRowFirstColumn="0" w:firstRowLastColumn="0" w:lastRowFirstColumn="0" w:lastRowLastColumn="0"/>
            <w:tcW w:w="3206" w:type="dxa"/>
            <w:tcBorders>
              <w:top w:val="single" w:sz="6" w:space="0" w:color="auto"/>
              <w:bottom w:val="single" w:sz="6" w:space="0" w:color="auto"/>
            </w:tcBorders>
          </w:tcPr>
          <w:p w14:paraId="16220B8A" w14:textId="77777777" w:rsidR="008D6F13" w:rsidRDefault="008D6F13" w:rsidP="0031078F">
            <w:r>
              <w:rPr>
                <w:b/>
              </w:rPr>
              <w:t xml:space="preserve">Total equity as </w:t>
            </w:r>
            <w:proofErr w:type="gramStart"/>
            <w:r>
              <w:rPr>
                <w:b/>
              </w:rPr>
              <w:t>at</w:t>
            </w:r>
            <w:proofErr w:type="gramEnd"/>
            <w:r>
              <w:rPr>
                <w:b/>
              </w:rPr>
              <w:t xml:space="preserve"> 30 June 2022</w:t>
            </w:r>
          </w:p>
        </w:tc>
        <w:tc>
          <w:tcPr>
            <w:tcW w:w="1330" w:type="dxa"/>
            <w:tcBorders>
              <w:top w:val="single" w:sz="6" w:space="0" w:color="auto"/>
              <w:bottom w:val="single" w:sz="6" w:space="0" w:color="auto"/>
            </w:tcBorders>
          </w:tcPr>
          <w:p w14:paraId="33216F3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52 831</w:t>
            </w:r>
          </w:p>
        </w:tc>
        <w:tc>
          <w:tcPr>
            <w:tcW w:w="1609" w:type="dxa"/>
            <w:tcBorders>
              <w:top w:val="single" w:sz="6" w:space="0" w:color="auto"/>
              <w:bottom w:val="single" w:sz="6" w:space="0" w:color="auto"/>
            </w:tcBorders>
          </w:tcPr>
          <w:p w14:paraId="24B4992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110 329</w:t>
            </w:r>
          </w:p>
        </w:tc>
        <w:tc>
          <w:tcPr>
            <w:tcW w:w="770" w:type="dxa"/>
            <w:tcBorders>
              <w:top w:val="single" w:sz="6" w:space="0" w:color="auto"/>
              <w:bottom w:val="single" w:sz="6" w:space="0" w:color="auto"/>
            </w:tcBorders>
          </w:tcPr>
          <w:p w14:paraId="3F633C0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1 830</w:t>
            </w:r>
          </w:p>
        </w:tc>
        <w:tc>
          <w:tcPr>
            <w:tcW w:w="795" w:type="dxa"/>
            <w:tcBorders>
              <w:top w:val="single" w:sz="6" w:space="0" w:color="auto"/>
              <w:bottom w:val="single" w:sz="6" w:space="0" w:color="auto"/>
            </w:tcBorders>
          </w:tcPr>
          <w:p w14:paraId="5D03162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164 990</w:t>
            </w:r>
          </w:p>
        </w:tc>
      </w:tr>
      <w:tr w:rsidR="008D6F13" w14:paraId="40C4CB05" w14:textId="77777777" w:rsidTr="0031078F">
        <w:tc>
          <w:tcPr>
            <w:cnfStyle w:val="001000000000" w:firstRow="0" w:lastRow="0" w:firstColumn="1" w:lastColumn="0" w:oddVBand="0" w:evenVBand="0" w:oddHBand="0" w:evenHBand="0" w:firstRowFirstColumn="0" w:firstRowLastColumn="0" w:lastRowFirstColumn="0" w:lastRowLastColumn="0"/>
            <w:tcW w:w="3206" w:type="dxa"/>
            <w:tcBorders>
              <w:top w:val="single" w:sz="6" w:space="0" w:color="auto"/>
            </w:tcBorders>
          </w:tcPr>
          <w:p w14:paraId="2221EC2F" w14:textId="77777777" w:rsidR="008D6F13" w:rsidRDefault="008D6F13" w:rsidP="0031078F">
            <w:r>
              <w:rPr>
                <w:b/>
              </w:rPr>
              <w:t>2022</w:t>
            </w:r>
            <w:r>
              <w:rPr>
                <w:b/>
              </w:rPr>
              <w:noBreakHyphen/>
              <w:t>23 estimate</w:t>
            </w:r>
          </w:p>
        </w:tc>
        <w:tc>
          <w:tcPr>
            <w:tcW w:w="1330" w:type="dxa"/>
            <w:tcBorders>
              <w:top w:val="single" w:sz="6" w:space="0" w:color="auto"/>
            </w:tcBorders>
          </w:tcPr>
          <w:p w14:paraId="0A6E959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609" w:type="dxa"/>
            <w:tcBorders>
              <w:top w:val="single" w:sz="6" w:space="0" w:color="auto"/>
            </w:tcBorders>
          </w:tcPr>
          <w:p w14:paraId="4F6DF63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70" w:type="dxa"/>
            <w:tcBorders>
              <w:top w:val="single" w:sz="6" w:space="0" w:color="auto"/>
            </w:tcBorders>
          </w:tcPr>
          <w:p w14:paraId="488B311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5" w:type="dxa"/>
            <w:tcBorders>
              <w:top w:val="single" w:sz="6" w:space="0" w:color="auto"/>
            </w:tcBorders>
          </w:tcPr>
          <w:p w14:paraId="1EE7E18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5867F459" w14:textId="77777777" w:rsidTr="0031078F">
        <w:tc>
          <w:tcPr>
            <w:cnfStyle w:val="001000000000" w:firstRow="0" w:lastRow="0" w:firstColumn="1" w:lastColumn="0" w:oddVBand="0" w:evenVBand="0" w:oddHBand="0" w:evenHBand="0" w:firstRowFirstColumn="0" w:firstRowLastColumn="0" w:lastRowFirstColumn="0" w:lastRowLastColumn="0"/>
            <w:tcW w:w="3206" w:type="dxa"/>
          </w:tcPr>
          <w:p w14:paraId="58AD4EC4" w14:textId="77777777" w:rsidR="008D6F13" w:rsidRDefault="008D6F13" w:rsidP="0031078F">
            <w:r>
              <w:t xml:space="preserve">Balance </w:t>
            </w:r>
            <w:proofErr w:type="gramStart"/>
            <w:r>
              <w:t>at</w:t>
            </w:r>
            <w:proofErr w:type="gramEnd"/>
            <w:r>
              <w:t xml:space="preserve"> 1 July 2022</w:t>
            </w:r>
          </w:p>
        </w:tc>
        <w:tc>
          <w:tcPr>
            <w:tcW w:w="1330" w:type="dxa"/>
          </w:tcPr>
          <w:p w14:paraId="0BB387C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52 831</w:t>
            </w:r>
          </w:p>
        </w:tc>
        <w:tc>
          <w:tcPr>
            <w:tcW w:w="1609" w:type="dxa"/>
          </w:tcPr>
          <w:p w14:paraId="016C973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110 329</w:t>
            </w:r>
          </w:p>
        </w:tc>
        <w:tc>
          <w:tcPr>
            <w:tcW w:w="770" w:type="dxa"/>
          </w:tcPr>
          <w:p w14:paraId="3DF1DC1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1 830</w:t>
            </w:r>
          </w:p>
        </w:tc>
        <w:tc>
          <w:tcPr>
            <w:tcW w:w="795" w:type="dxa"/>
          </w:tcPr>
          <w:p w14:paraId="02963B2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164 990</w:t>
            </w:r>
          </w:p>
        </w:tc>
      </w:tr>
      <w:tr w:rsidR="008D6F13" w14:paraId="0D6CCBAB" w14:textId="77777777" w:rsidTr="0031078F">
        <w:tc>
          <w:tcPr>
            <w:cnfStyle w:val="001000000000" w:firstRow="0" w:lastRow="0" w:firstColumn="1" w:lastColumn="0" w:oddVBand="0" w:evenVBand="0" w:oddHBand="0" w:evenHBand="0" w:firstRowFirstColumn="0" w:firstRowLastColumn="0" w:lastRowFirstColumn="0" w:lastRowLastColumn="0"/>
            <w:tcW w:w="3206" w:type="dxa"/>
          </w:tcPr>
          <w:p w14:paraId="2715E87B" w14:textId="77777777" w:rsidR="008D6F13" w:rsidRDefault="008D6F13" w:rsidP="0031078F">
            <w:r>
              <w:t>Net result for the year</w:t>
            </w:r>
          </w:p>
        </w:tc>
        <w:tc>
          <w:tcPr>
            <w:tcW w:w="1330" w:type="dxa"/>
          </w:tcPr>
          <w:p w14:paraId="0E84819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(10 155)</w:t>
            </w:r>
          </w:p>
        </w:tc>
        <w:tc>
          <w:tcPr>
            <w:tcW w:w="1609" w:type="dxa"/>
          </w:tcPr>
          <w:p w14:paraId="0C6D301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53DAA3D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5" w:type="dxa"/>
          </w:tcPr>
          <w:p w14:paraId="05CC65D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(10 155)</w:t>
            </w:r>
          </w:p>
        </w:tc>
      </w:tr>
      <w:tr w:rsidR="008D6F13" w14:paraId="351DFD78" w14:textId="77777777" w:rsidTr="0031078F">
        <w:tc>
          <w:tcPr>
            <w:cnfStyle w:val="001000000000" w:firstRow="0" w:lastRow="0" w:firstColumn="1" w:lastColumn="0" w:oddVBand="0" w:evenVBand="0" w:oddHBand="0" w:evenHBand="0" w:firstRowFirstColumn="0" w:firstRowLastColumn="0" w:lastRowFirstColumn="0" w:lastRowLastColumn="0"/>
            <w:tcW w:w="3206" w:type="dxa"/>
          </w:tcPr>
          <w:p w14:paraId="21CE26AE" w14:textId="77777777" w:rsidR="008D6F13" w:rsidRDefault="008D6F13" w:rsidP="0031078F">
            <w:r>
              <w:t>Other comprehensive income for the year</w:t>
            </w:r>
          </w:p>
        </w:tc>
        <w:tc>
          <w:tcPr>
            <w:tcW w:w="1330" w:type="dxa"/>
          </w:tcPr>
          <w:p w14:paraId="7CAEA69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1 385</w:t>
            </w:r>
          </w:p>
        </w:tc>
        <w:tc>
          <w:tcPr>
            <w:tcW w:w="1609" w:type="dxa"/>
          </w:tcPr>
          <w:p w14:paraId="5339F6B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7 039</w:t>
            </w:r>
          </w:p>
        </w:tc>
        <w:tc>
          <w:tcPr>
            <w:tcW w:w="770" w:type="dxa"/>
          </w:tcPr>
          <w:p w14:paraId="71BA170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w:t>
            </w:r>
          </w:p>
        </w:tc>
        <w:tc>
          <w:tcPr>
            <w:tcW w:w="795" w:type="dxa"/>
          </w:tcPr>
          <w:p w14:paraId="0B11635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8 446</w:t>
            </w:r>
          </w:p>
        </w:tc>
      </w:tr>
      <w:tr w:rsidR="008D6F13" w14:paraId="012E554B" w14:textId="77777777" w:rsidTr="0031078F">
        <w:tc>
          <w:tcPr>
            <w:cnfStyle w:val="001000000000" w:firstRow="0" w:lastRow="0" w:firstColumn="1" w:lastColumn="0" w:oddVBand="0" w:evenVBand="0" w:oddHBand="0" w:evenHBand="0" w:firstRowFirstColumn="0" w:firstRowLastColumn="0" w:lastRowFirstColumn="0" w:lastRowLastColumn="0"/>
            <w:tcW w:w="3206" w:type="dxa"/>
            <w:tcBorders>
              <w:top w:val="single" w:sz="6" w:space="0" w:color="auto"/>
              <w:bottom w:val="single" w:sz="6" w:space="0" w:color="auto"/>
            </w:tcBorders>
          </w:tcPr>
          <w:p w14:paraId="5A91A2C8" w14:textId="77777777" w:rsidR="008D6F13" w:rsidRDefault="008D6F13" w:rsidP="0031078F">
            <w:r>
              <w:rPr>
                <w:b/>
              </w:rPr>
              <w:t xml:space="preserve">Total equity as </w:t>
            </w:r>
            <w:proofErr w:type="gramStart"/>
            <w:r>
              <w:rPr>
                <w:b/>
              </w:rPr>
              <w:t>at</w:t>
            </w:r>
            <w:proofErr w:type="gramEnd"/>
            <w:r>
              <w:rPr>
                <w:b/>
              </w:rPr>
              <w:t xml:space="preserve"> 30 June 2023</w:t>
            </w:r>
          </w:p>
        </w:tc>
        <w:tc>
          <w:tcPr>
            <w:tcW w:w="1330" w:type="dxa"/>
            <w:tcBorders>
              <w:top w:val="single" w:sz="6" w:space="0" w:color="auto"/>
              <w:bottom w:val="single" w:sz="6" w:space="0" w:color="auto"/>
            </w:tcBorders>
          </w:tcPr>
          <w:p w14:paraId="201EC9B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44 061</w:t>
            </w:r>
          </w:p>
        </w:tc>
        <w:tc>
          <w:tcPr>
            <w:tcW w:w="1609" w:type="dxa"/>
            <w:tcBorders>
              <w:top w:val="single" w:sz="6" w:space="0" w:color="auto"/>
              <w:bottom w:val="single" w:sz="6" w:space="0" w:color="auto"/>
            </w:tcBorders>
          </w:tcPr>
          <w:p w14:paraId="582D635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117 368</w:t>
            </w:r>
          </w:p>
        </w:tc>
        <w:tc>
          <w:tcPr>
            <w:tcW w:w="770" w:type="dxa"/>
            <w:tcBorders>
              <w:top w:val="single" w:sz="6" w:space="0" w:color="auto"/>
              <w:bottom w:val="single" w:sz="6" w:space="0" w:color="auto"/>
            </w:tcBorders>
          </w:tcPr>
          <w:p w14:paraId="604A10F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1 853</w:t>
            </w:r>
          </w:p>
        </w:tc>
        <w:tc>
          <w:tcPr>
            <w:tcW w:w="795" w:type="dxa"/>
            <w:tcBorders>
              <w:top w:val="single" w:sz="6" w:space="0" w:color="auto"/>
              <w:bottom w:val="single" w:sz="6" w:space="0" w:color="auto"/>
            </w:tcBorders>
          </w:tcPr>
          <w:p w14:paraId="1479012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163 281</w:t>
            </w:r>
          </w:p>
        </w:tc>
      </w:tr>
      <w:tr w:rsidR="008D6F13" w14:paraId="0C321F6C" w14:textId="77777777" w:rsidTr="0031078F">
        <w:tc>
          <w:tcPr>
            <w:cnfStyle w:val="001000000000" w:firstRow="0" w:lastRow="0" w:firstColumn="1" w:lastColumn="0" w:oddVBand="0" w:evenVBand="0" w:oddHBand="0" w:evenHBand="0" w:firstRowFirstColumn="0" w:firstRowLastColumn="0" w:lastRowFirstColumn="0" w:lastRowLastColumn="0"/>
            <w:tcW w:w="3206" w:type="dxa"/>
            <w:tcBorders>
              <w:top w:val="single" w:sz="6" w:space="0" w:color="auto"/>
            </w:tcBorders>
          </w:tcPr>
          <w:p w14:paraId="698AD817" w14:textId="77777777" w:rsidR="008D6F13" w:rsidRDefault="008D6F13" w:rsidP="0031078F">
            <w:r>
              <w:rPr>
                <w:b/>
              </w:rPr>
              <w:t>2023</w:t>
            </w:r>
            <w:r>
              <w:rPr>
                <w:b/>
              </w:rPr>
              <w:noBreakHyphen/>
              <w:t>24 estimate</w:t>
            </w:r>
          </w:p>
        </w:tc>
        <w:tc>
          <w:tcPr>
            <w:tcW w:w="1330" w:type="dxa"/>
            <w:tcBorders>
              <w:top w:val="single" w:sz="6" w:space="0" w:color="auto"/>
            </w:tcBorders>
          </w:tcPr>
          <w:p w14:paraId="0E90CCE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609" w:type="dxa"/>
            <w:tcBorders>
              <w:top w:val="single" w:sz="6" w:space="0" w:color="auto"/>
            </w:tcBorders>
          </w:tcPr>
          <w:p w14:paraId="6411004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70" w:type="dxa"/>
            <w:tcBorders>
              <w:top w:val="single" w:sz="6" w:space="0" w:color="auto"/>
            </w:tcBorders>
          </w:tcPr>
          <w:p w14:paraId="7B4549A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5" w:type="dxa"/>
            <w:tcBorders>
              <w:top w:val="single" w:sz="6" w:space="0" w:color="auto"/>
            </w:tcBorders>
          </w:tcPr>
          <w:p w14:paraId="2C27C15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1A383D32" w14:textId="77777777" w:rsidTr="0031078F">
        <w:tc>
          <w:tcPr>
            <w:cnfStyle w:val="001000000000" w:firstRow="0" w:lastRow="0" w:firstColumn="1" w:lastColumn="0" w:oddVBand="0" w:evenVBand="0" w:oddHBand="0" w:evenHBand="0" w:firstRowFirstColumn="0" w:firstRowLastColumn="0" w:lastRowFirstColumn="0" w:lastRowLastColumn="0"/>
            <w:tcW w:w="3206" w:type="dxa"/>
          </w:tcPr>
          <w:p w14:paraId="79EC37C4" w14:textId="77777777" w:rsidR="008D6F13" w:rsidRDefault="008D6F13" w:rsidP="0031078F">
            <w:r>
              <w:t xml:space="preserve">Balance </w:t>
            </w:r>
            <w:proofErr w:type="gramStart"/>
            <w:r>
              <w:t>at</w:t>
            </w:r>
            <w:proofErr w:type="gramEnd"/>
            <w:r>
              <w:t xml:space="preserve"> 1 July 2023</w:t>
            </w:r>
          </w:p>
        </w:tc>
        <w:tc>
          <w:tcPr>
            <w:tcW w:w="1330" w:type="dxa"/>
          </w:tcPr>
          <w:p w14:paraId="7624499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44 061</w:t>
            </w:r>
          </w:p>
        </w:tc>
        <w:tc>
          <w:tcPr>
            <w:tcW w:w="1609" w:type="dxa"/>
          </w:tcPr>
          <w:p w14:paraId="6929367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117 368</w:t>
            </w:r>
          </w:p>
        </w:tc>
        <w:tc>
          <w:tcPr>
            <w:tcW w:w="770" w:type="dxa"/>
          </w:tcPr>
          <w:p w14:paraId="6D1C88F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1 853</w:t>
            </w:r>
          </w:p>
        </w:tc>
        <w:tc>
          <w:tcPr>
            <w:tcW w:w="795" w:type="dxa"/>
          </w:tcPr>
          <w:p w14:paraId="7ABF5BF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163 281</w:t>
            </w:r>
          </w:p>
        </w:tc>
      </w:tr>
      <w:tr w:rsidR="008D6F13" w14:paraId="0D904C17" w14:textId="77777777" w:rsidTr="0031078F">
        <w:tc>
          <w:tcPr>
            <w:cnfStyle w:val="001000000000" w:firstRow="0" w:lastRow="0" w:firstColumn="1" w:lastColumn="0" w:oddVBand="0" w:evenVBand="0" w:oddHBand="0" w:evenHBand="0" w:firstRowFirstColumn="0" w:firstRowLastColumn="0" w:lastRowFirstColumn="0" w:lastRowLastColumn="0"/>
            <w:tcW w:w="3206" w:type="dxa"/>
          </w:tcPr>
          <w:p w14:paraId="7A9063A1" w14:textId="77777777" w:rsidR="008D6F13" w:rsidRDefault="008D6F13" w:rsidP="0031078F">
            <w:r>
              <w:t>Net result for the year</w:t>
            </w:r>
          </w:p>
        </w:tc>
        <w:tc>
          <w:tcPr>
            <w:tcW w:w="1330" w:type="dxa"/>
          </w:tcPr>
          <w:p w14:paraId="104B07B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(9 944)</w:t>
            </w:r>
          </w:p>
        </w:tc>
        <w:tc>
          <w:tcPr>
            <w:tcW w:w="1609" w:type="dxa"/>
          </w:tcPr>
          <w:p w14:paraId="29746EA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72C678E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5" w:type="dxa"/>
          </w:tcPr>
          <w:p w14:paraId="431812A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(9 944)</w:t>
            </w:r>
          </w:p>
        </w:tc>
      </w:tr>
      <w:tr w:rsidR="008D6F13" w14:paraId="1364A070" w14:textId="77777777" w:rsidTr="0031078F">
        <w:tc>
          <w:tcPr>
            <w:cnfStyle w:val="001000000000" w:firstRow="0" w:lastRow="0" w:firstColumn="1" w:lastColumn="0" w:oddVBand="0" w:evenVBand="0" w:oddHBand="0" w:evenHBand="0" w:firstRowFirstColumn="0" w:firstRowLastColumn="0" w:lastRowFirstColumn="0" w:lastRowLastColumn="0"/>
            <w:tcW w:w="3206" w:type="dxa"/>
          </w:tcPr>
          <w:p w14:paraId="73C3C367" w14:textId="77777777" w:rsidR="008D6F13" w:rsidRDefault="008D6F13" w:rsidP="0031078F">
            <w:r>
              <w:t>Other comprehensive income for the year</w:t>
            </w:r>
          </w:p>
        </w:tc>
        <w:tc>
          <w:tcPr>
            <w:tcW w:w="1330" w:type="dxa"/>
          </w:tcPr>
          <w:p w14:paraId="382C375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1 413</w:t>
            </w:r>
          </w:p>
        </w:tc>
        <w:tc>
          <w:tcPr>
            <w:tcW w:w="1609" w:type="dxa"/>
          </w:tcPr>
          <w:p w14:paraId="1353ADE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6 120</w:t>
            </w:r>
          </w:p>
        </w:tc>
        <w:tc>
          <w:tcPr>
            <w:tcW w:w="770" w:type="dxa"/>
          </w:tcPr>
          <w:p w14:paraId="0C42E0E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w:t>
            </w:r>
          </w:p>
        </w:tc>
        <w:tc>
          <w:tcPr>
            <w:tcW w:w="795" w:type="dxa"/>
          </w:tcPr>
          <w:p w14:paraId="7CBA553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7 556</w:t>
            </w:r>
          </w:p>
        </w:tc>
      </w:tr>
      <w:tr w:rsidR="008D6F13" w14:paraId="6C2E0E46" w14:textId="77777777" w:rsidTr="0031078F">
        <w:tc>
          <w:tcPr>
            <w:cnfStyle w:val="001000000000" w:firstRow="0" w:lastRow="0" w:firstColumn="1" w:lastColumn="0" w:oddVBand="0" w:evenVBand="0" w:oddHBand="0" w:evenHBand="0" w:firstRowFirstColumn="0" w:firstRowLastColumn="0" w:lastRowFirstColumn="0" w:lastRowLastColumn="0"/>
            <w:tcW w:w="3206" w:type="dxa"/>
            <w:tcBorders>
              <w:top w:val="single" w:sz="6" w:space="0" w:color="auto"/>
              <w:bottom w:val="single" w:sz="6" w:space="0" w:color="auto"/>
            </w:tcBorders>
          </w:tcPr>
          <w:p w14:paraId="166BA0A9" w14:textId="77777777" w:rsidR="008D6F13" w:rsidRDefault="008D6F13" w:rsidP="0031078F">
            <w:r>
              <w:rPr>
                <w:b/>
              </w:rPr>
              <w:t xml:space="preserve">Total equity as </w:t>
            </w:r>
            <w:proofErr w:type="gramStart"/>
            <w:r>
              <w:rPr>
                <w:b/>
              </w:rPr>
              <w:t>at</w:t>
            </w:r>
            <w:proofErr w:type="gramEnd"/>
            <w:r>
              <w:rPr>
                <w:b/>
              </w:rPr>
              <w:t xml:space="preserve"> 30 June 2024</w:t>
            </w:r>
          </w:p>
        </w:tc>
        <w:tc>
          <w:tcPr>
            <w:tcW w:w="1330" w:type="dxa"/>
            <w:tcBorders>
              <w:top w:val="single" w:sz="6" w:space="0" w:color="auto"/>
              <w:bottom w:val="single" w:sz="6" w:space="0" w:color="auto"/>
            </w:tcBorders>
          </w:tcPr>
          <w:p w14:paraId="39FF412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35 530</w:t>
            </w:r>
          </w:p>
        </w:tc>
        <w:tc>
          <w:tcPr>
            <w:tcW w:w="1609" w:type="dxa"/>
            <w:tcBorders>
              <w:top w:val="single" w:sz="6" w:space="0" w:color="auto"/>
              <w:bottom w:val="single" w:sz="6" w:space="0" w:color="auto"/>
            </w:tcBorders>
          </w:tcPr>
          <w:p w14:paraId="1073FD4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123 488</w:t>
            </w:r>
          </w:p>
        </w:tc>
        <w:tc>
          <w:tcPr>
            <w:tcW w:w="770" w:type="dxa"/>
            <w:tcBorders>
              <w:top w:val="single" w:sz="6" w:space="0" w:color="auto"/>
              <w:bottom w:val="single" w:sz="6" w:space="0" w:color="auto"/>
            </w:tcBorders>
          </w:tcPr>
          <w:p w14:paraId="4CC8E49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1 876</w:t>
            </w:r>
          </w:p>
        </w:tc>
        <w:tc>
          <w:tcPr>
            <w:tcW w:w="795" w:type="dxa"/>
            <w:tcBorders>
              <w:top w:val="single" w:sz="6" w:space="0" w:color="auto"/>
              <w:bottom w:val="single" w:sz="6" w:space="0" w:color="auto"/>
            </w:tcBorders>
          </w:tcPr>
          <w:p w14:paraId="51F62D2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160 894</w:t>
            </w:r>
          </w:p>
        </w:tc>
      </w:tr>
      <w:tr w:rsidR="008D6F13" w14:paraId="1B9FC9D4" w14:textId="77777777" w:rsidTr="0031078F">
        <w:tc>
          <w:tcPr>
            <w:cnfStyle w:val="001000000000" w:firstRow="0" w:lastRow="0" w:firstColumn="1" w:lastColumn="0" w:oddVBand="0" w:evenVBand="0" w:oddHBand="0" w:evenHBand="0" w:firstRowFirstColumn="0" w:firstRowLastColumn="0" w:lastRowFirstColumn="0" w:lastRowLastColumn="0"/>
            <w:tcW w:w="3206" w:type="dxa"/>
            <w:tcBorders>
              <w:top w:val="single" w:sz="6" w:space="0" w:color="auto"/>
            </w:tcBorders>
          </w:tcPr>
          <w:p w14:paraId="3DE6719D" w14:textId="77777777" w:rsidR="008D6F13" w:rsidRDefault="008D6F13" w:rsidP="0031078F">
            <w:r>
              <w:rPr>
                <w:b/>
              </w:rPr>
              <w:t>2024</w:t>
            </w:r>
            <w:r>
              <w:rPr>
                <w:b/>
              </w:rPr>
              <w:noBreakHyphen/>
              <w:t>25 estimate</w:t>
            </w:r>
          </w:p>
        </w:tc>
        <w:tc>
          <w:tcPr>
            <w:tcW w:w="1330" w:type="dxa"/>
            <w:tcBorders>
              <w:top w:val="single" w:sz="6" w:space="0" w:color="auto"/>
            </w:tcBorders>
          </w:tcPr>
          <w:p w14:paraId="4CA17A5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1609" w:type="dxa"/>
            <w:tcBorders>
              <w:top w:val="single" w:sz="6" w:space="0" w:color="auto"/>
            </w:tcBorders>
          </w:tcPr>
          <w:p w14:paraId="69DE269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70" w:type="dxa"/>
            <w:tcBorders>
              <w:top w:val="single" w:sz="6" w:space="0" w:color="auto"/>
            </w:tcBorders>
          </w:tcPr>
          <w:p w14:paraId="0A7ADB9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5" w:type="dxa"/>
            <w:tcBorders>
              <w:top w:val="single" w:sz="6" w:space="0" w:color="auto"/>
            </w:tcBorders>
          </w:tcPr>
          <w:p w14:paraId="264762A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4E7392AD" w14:textId="77777777" w:rsidTr="0031078F">
        <w:tc>
          <w:tcPr>
            <w:cnfStyle w:val="001000000000" w:firstRow="0" w:lastRow="0" w:firstColumn="1" w:lastColumn="0" w:oddVBand="0" w:evenVBand="0" w:oddHBand="0" w:evenHBand="0" w:firstRowFirstColumn="0" w:firstRowLastColumn="0" w:lastRowFirstColumn="0" w:lastRowLastColumn="0"/>
            <w:tcW w:w="3206" w:type="dxa"/>
          </w:tcPr>
          <w:p w14:paraId="5C0E8FD9" w14:textId="77777777" w:rsidR="008D6F13" w:rsidRDefault="008D6F13" w:rsidP="0031078F">
            <w:r>
              <w:t xml:space="preserve">Balance </w:t>
            </w:r>
            <w:proofErr w:type="gramStart"/>
            <w:r>
              <w:t>at</w:t>
            </w:r>
            <w:proofErr w:type="gramEnd"/>
            <w:r>
              <w:t xml:space="preserve"> 1 July 2024</w:t>
            </w:r>
          </w:p>
        </w:tc>
        <w:tc>
          <w:tcPr>
            <w:tcW w:w="1330" w:type="dxa"/>
          </w:tcPr>
          <w:p w14:paraId="35B15CC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35 530</w:t>
            </w:r>
          </w:p>
        </w:tc>
        <w:tc>
          <w:tcPr>
            <w:tcW w:w="1609" w:type="dxa"/>
          </w:tcPr>
          <w:p w14:paraId="7040720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123 488</w:t>
            </w:r>
          </w:p>
        </w:tc>
        <w:tc>
          <w:tcPr>
            <w:tcW w:w="770" w:type="dxa"/>
          </w:tcPr>
          <w:p w14:paraId="7362E0B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1 876</w:t>
            </w:r>
          </w:p>
        </w:tc>
        <w:tc>
          <w:tcPr>
            <w:tcW w:w="795" w:type="dxa"/>
          </w:tcPr>
          <w:p w14:paraId="3354920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160 894</w:t>
            </w:r>
          </w:p>
        </w:tc>
      </w:tr>
      <w:tr w:rsidR="008D6F13" w14:paraId="14D7F05F" w14:textId="77777777" w:rsidTr="0031078F">
        <w:tc>
          <w:tcPr>
            <w:cnfStyle w:val="001000000000" w:firstRow="0" w:lastRow="0" w:firstColumn="1" w:lastColumn="0" w:oddVBand="0" w:evenVBand="0" w:oddHBand="0" w:evenHBand="0" w:firstRowFirstColumn="0" w:firstRowLastColumn="0" w:lastRowFirstColumn="0" w:lastRowLastColumn="0"/>
            <w:tcW w:w="3206" w:type="dxa"/>
            <w:tcBorders>
              <w:bottom w:val="nil"/>
            </w:tcBorders>
          </w:tcPr>
          <w:p w14:paraId="42CED927" w14:textId="77777777" w:rsidR="008D6F13" w:rsidRDefault="008D6F13" w:rsidP="0031078F">
            <w:r>
              <w:t>Net result for the year</w:t>
            </w:r>
          </w:p>
        </w:tc>
        <w:tc>
          <w:tcPr>
            <w:tcW w:w="1330" w:type="dxa"/>
            <w:tcBorders>
              <w:bottom w:val="nil"/>
            </w:tcBorders>
          </w:tcPr>
          <w:p w14:paraId="146D930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(8 776)</w:t>
            </w:r>
          </w:p>
        </w:tc>
        <w:tc>
          <w:tcPr>
            <w:tcW w:w="1609" w:type="dxa"/>
            <w:tcBorders>
              <w:bottom w:val="nil"/>
            </w:tcBorders>
          </w:tcPr>
          <w:p w14:paraId="4AAD14B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70" w:type="dxa"/>
            <w:tcBorders>
              <w:bottom w:val="nil"/>
            </w:tcBorders>
          </w:tcPr>
          <w:p w14:paraId="6D0035F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5" w:type="dxa"/>
            <w:tcBorders>
              <w:bottom w:val="nil"/>
            </w:tcBorders>
          </w:tcPr>
          <w:p w14:paraId="3C228F1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(8 776)</w:t>
            </w:r>
          </w:p>
        </w:tc>
      </w:tr>
      <w:tr w:rsidR="008D6F13" w14:paraId="4BFE31A4" w14:textId="77777777" w:rsidTr="0031078F">
        <w:tc>
          <w:tcPr>
            <w:cnfStyle w:val="001000000000" w:firstRow="0" w:lastRow="0" w:firstColumn="1" w:lastColumn="0" w:oddVBand="0" w:evenVBand="0" w:oddHBand="0" w:evenHBand="0" w:firstRowFirstColumn="0" w:firstRowLastColumn="0" w:lastRowFirstColumn="0" w:lastRowLastColumn="0"/>
            <w:tcW w:w="3206" w:type="dxa"/>
            <w:tcBorders>
              <w:bottom w:val="single" w:sz="4" w:space="0" w:color="auto"/>
            </w:tcBorders>
          </w:tcPr>
          <w:p w14:paraId="3B2D3AE3" w14:textId="77777777" w:rsidR="008D6F13" w:rsidRDefault="008D6F13" w:rsidP="0031078F">
            <w:r>
              <w:t>Other comprehensive income for the year</w:t>
            </w:r>
          </w:p>
        </w:tc>
        <w:tc>
          <w:tcPr>
            <w:tcW w:w="1330" w:type="dxa"/>
            <w:tcBorders>
              <w:bottom w:val="single" w:sz="4" w:space="0" w:color="auto"/>
            </w:tcBorders>
          </w:tcPr>
          <w:p w14:paraId="5138F02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1 446</w:t>
            </w:r>
          </w:p>
        </w:tc>
        <w:tc>
          <w:tcPr>
            <w:tcW w:w="1609" w:type="dxa"/>
            <w:tcBorders>
              <w:bottom w:val="single" w:sz="4" w:space="0" w:color="auto"/>
            </w:tcBorders>
          </w:tcPr>
          <w:p w14:paraId="1061F24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10 102</w:t>
            </w:r>
          </w:p>
        </w:tc>
        <w:tc>
          <w:tcPr>
            <w:tcW w:w="770" w:type="dxa"/>
            <w:tcBorders>
              <w:bottom w:val="single" w:sz="4" w:space="0" w:color="auto"/>
            </w:tcBorders>
          </w:tcPr>
          <w:p w14:paraId="1897FC5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w:t>
            </w:r>
          </w:p>
        </w:tc>
        <w:tc>
          <w:tcPr>
            <w:tcW w:w="795" w:type="dxa"/>
            <w:tcBorders>
              <w:bottom w:val="single" w:sz="4" w:space="0" w:color="auto"/>
            </w:tcBorders>
          </w:tcPr>
          <w:p w14:paraId="19B83CB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11 571</w:t>
            </w:r>
          </w:p>
        </w:tc>
      </w:tr>
      <w:tr w:rsidR="008D6F13" w14:paraId="5E4D8305" w14:textId="77777777" w:rsidTr="0031078F">
        <w:tc>
          <w:tcPr>
            <w:cnfStyle w:val="001000000000" w:firstRow="0" w:lastRow="0" w:firstColumn="1" w:lastColumn="0" w:oddVBand="0" w:evenVBand="0" w:oddHBand="0" w:evenHBand="0" w:firstRowFirstColumn="0" w:firstRowLastColumn="0" w:lastRowFirstColumn="0" w:lastRowLastColumn="0"/>
            <w:tcW w:w="3206" w:type="dxa"/>
            <w:tcBorders>
              <w:top w:val="single" w:sz="4" w:space="0" w:color="auto"/>
            </w:tcBorders>
          </w:tcPr>
          <w:p w14:paraId="71C32F66" w14:textId="77777777" w:rsidR="008D6F13" w:rsidRDefault="008D6F13" w:rsidP="0031078F">
            <w:r>
              <w:rPr>
                <w:b/>
              </w:rPr>
              <w:t xml:space="preserve">Total equity as </w:t>
            </w:r>
            <w:proofErr w:type="gramStart"/>
            <w:r>
              <w:rPr>
                <w:b/>
              </w:rPr>
              <w:t>at</w:t>
            </w:r>
            <w:proofErr w:type="gramEnd"/>
            <w:r>
              <w:rPr>
                <w:b/>
              </w:rPr>
              <w:t xml:space="preserve"> 30 June 2025</w:t>
            </w:r>
          </w:p>
        </w:tc>
        <w:tc>
          <w:tcPr>
            <w:tcW w:w="1330" w:type="dxa"/>
            <w:tcBorders>
              <w:top w:val="single" w:sz="4" w:space="0" w:color="auto"/>
            </w:tcBorders>
          </w:tcPr>
          <w:p w14:paraId="67FE5F8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28 200</w:t>
            </w:r>
          </w:p>
        </w:tc>
        <w:tc>
          <w:tcPr>
            <w:tcW w:w="1609" w:type="dxa"/>
            <w:tcBorders>
              <w:top w:val="single" w:sz="4" w:space="0" w:color="auto"/>
            </w:tcBorders>
          </w:tcPr>
          <w:p w14:paraId="24A49C0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133 589</w:t>
            </w:r>
          </w:p>
        </w:tc>
        <w:tc>
          <w:tcPr>
            <w:tcW w:w="770" w:type="dxa"/>
            <w:tcBorders>
              <w:top w:val="single" w:sz="4" w:space="0" w:color="auto"/>
            </w:tcBorders>
          </w:tcPr>
          <w:p w14:paraId="5A02C9C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1 899</w:t>
            </w:r>
          </w:p>
        </w:tc>
        <w:tc>
          <w:tcPr>
            <w:tcW w:w="795" w:type="dxa"/>
            <w:tcBorders>
              <w:top w:val="single" w:sz="4" w:space="0" w:color="auto"/>
            </w:tcBorders>
          </w:tcPr>
          <w:p w14:paraId="3802CBB4" w14:textId="21B34DA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163 688</w:t>
            </w:r>
          </w:p>
        </w:tc>
      </w:tr>
    </w:tbl>
    <w:p w14:paraId="5EA82D5B" w14:textId="77777777" w:rsidR="008D6F13" w:rsidRPr="00921F69" w:rsidRDefault="008D6F13" w:rsidP="008D6F13">
      <w:pPr>
        <w:pStyle w:val="Note"/>
        <w:ind w:left="0" w:firstLine="0"/>
        <w:rPr>
          <w:rFonts w:cstheme="majorHAnsi"/>
        </w:rPr>
      </w:pPr>
      <w:r w:rsidRPr="00921F69">
        <w:rPr>
          <w:rFonts w:cstheme="majorHAnsi"/>
        </w:rPr>
        <w:t>Note:</w:t>
      </w:r>
    </w:p>
    <w:p w14:paraId="74E0F464" w14:textId="77777777" w:rsidR="008D6F13" w:rsidRPr="00921F69" w:rsidRDefault="008D6F13" w:rsidP="008D6F13">
      <w:pPr>
        <w:pStyle w:val="Note"/>
        <w:rPr>
          <w:rFonts w:cstheme="majorHAnsi"/>
        </w:rPr>
      </w:pPr>
      <w:r w:rsidRPr="00921F69">
        <w:rPr>
          <w:rFonts w:cstheme="majorHAnsi"/>
        </w:rPr>
        <w:t>(a)</w:t>
      </w:r>
      <w:r w:rsidRPr="00921F69">
        <w:rPr>
          <w:rFonts w:cstheme="majorHAnsi"/>
        </w:rPr>
        <w:tab/>
        <w:t xml:space="preserve">Balances represent actual opening balances </w:t>
      </w:r>
      <w:proofErr w:type="gramStart"/>
      <w:r w:rsidRPr="00921F69">
        <w:rPr>
          <w:rFonts w:cstheme="majorHAnsi"/>
        </w:rPr>
        <w:t>at</w:t>
      </w:r>
      <w:proofErr w:type="gramEnd"/>
      <w:r w:rsidRPr="00921F69">
        <w:rPr>
          <w:rFonts w:cstheme="majorHAnsi"/>
        </w:rPr>
        <w:t xml:space="preserve"> 1 July 20</w:t>
      </w:r>
      <w:r>
        <w:rPr>
          <w:rFonts w:cstheme="majorHAnsi"/>
        </w:rPr>
        <w:t>21</w:t>
      </w:r>
      <w:r w:rsidRPr="00921F69">
        <w:rPr>
          <w:rFonts w:cstheme="majorHAnsi"/>
        </w:rPr>
        <w:t xml:space="preserve"> plus 20</w:t>
      </w:r>
      <w:r>
        <w:rPr>
          <w:rFonts w:cstheme="majorHAnsi"/>
        </w:rPr>
        <w:t>21</w:t>
      </w:r>
      <w:r w:rsidRPr="00921F69">
        <w:rPr>
          <w:rFonts w:cstheme="majorHAnsi"/>
        </w:rPr>
        <w:t>-2</w:t>
      </w:r>
      <w:r>
        <w:rPr>
          <w:rFonts w:cstheme="majorHAnsi"/>
        </w:rPr>
        <w:t>2</w:t>
      </w:r>
      <w:r w:rsidRPr="00921F69">
        <w:rPr>
          <w:rFonts w:cstheme="majorHAnsi"/>
        </w:rPr>
        <w:t xml:space="preserve"> budgeted movements.</w:t>
      </w:r>
    </w:p>
    <w:p w14:paraId="750C9597" w14:textId="77777777" w:rsidR="008D6F13" w:rsidRPr="00921F69" w:rsidRDefault="008D6F13" w:rsidP="008D6F13">
      <w:pPr>
        <w:rPr>
          <w:rFonts w:asciiTheme="majorHAnsi" w:hAnsiTheme="majorHAnsi" w:cstheme="majorHAnsi"/>
        </w:rPr>
      </w:pPr>
    </w:p>
    <w:p w14:paraId="7ED3A608" w14:textId="77777777" w:rsidR="008D6F13" w:rsidRDefault="008D6F13" w:rsidP="008D6F13">
      <w:pPr>
        <w:keepLines w:val="0"/>
        <w:rPr>
          <w:rFonts w:asciiTheme="majorHAnsi" w:hAnsiTheme="majorHAnsi" w:cstheme="majorHAnsi"/>
          <w:b/>
          <w:sz w:val="20"/>
        </w:rPr>
      </w:pPr>
      <w:r>
        <w:rPr>
          <w:rFonts w:cstheme="majorHAnsi"/>
        </w:rPr>
        <w:br w:type="page"/>
      </w:r>
    </w:p>
    <w:p w14:paraId="18957B91" w14:textId="044DC4B2" w:rsidR="008D6F13" w:rsidRPr="00921F69" w:rsidRDefault="008D6F13" w:rsidP="008D6F13">
      <w:pPr>
        <w:pStyle w:val="TableHeading"/>
        <w:rPr>
          <w:rFonts w:cstheme="majorHAnsi"/>
        </w:rPr>
      </w:pPr>
      <w:r w:rsidRPr="00921F69">
        <w:rPr>
          <w:rFonts w:cstheme="majorHAnsi"/>
        </w:rPr>
        <w:lastRenderedPageBreak/>
        <w:t>Table 5.20</w:t>
      </w:r>
      <w:r w:rsidR="007F1FE4">
        <w:rPr>
          <w:rFonts w:cstheme="majorHAnsi"/>
        </w:rPr>
        <w:t>:</w:t>
      </w:r>
      <w:r w:rsidRPr="00921F69">
        <w:rPr>
          <w:rFonts w:cstheme="majorHAnsi"/>
        </w:rPr>
        <w:tab/>
        <w:t>Net acquisition of non-financial assets – State of Victoria</w:t>
      </w:r>
      <w:r w:rsidRPr="00921F69">
        <w:rPr>
          <w:rFonts w:cstheme="majorHAnsi"/>
        </w:rPr>
        <w:tab/>
        <w:t>($ million)</w:t>
      </w:r>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120928FC"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Pr>
          <w:p w14:paraId="39B22A7D" w14:textId="743C7892" w:rsidR="008D6F13" w:rsidRDefault="008D6F13" w:rsidP="0031078F"/>
        </w:tc>
        <w:tc>
          <w:tcPr>
            <w:tcW w:w="794" w:type="dxa"/>
          </w:tcPr>
          <w:p w14:paraId="0314DBD3"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budget</w:t>
            </w:r>
          </w:p>
        </w:tc>
        <w:tc>
          <w:tcPr>
            <w:tcW w:w="794" w:type="dxa"/>
          </w:tcPr>
          <w:p w14:paraId="5241DC08"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r>
              <w:br/>
              <w:t>revised</w:t>
            </w:r>
          </w:p>
        </w:tc>
        <w:tc>
          <w:tcPr>
            <w:tcW w:w="794" w:type="dxa"/>
          </w:tcPr>
          <w:p w14:paraId="43A30975"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r>
              <w:br/>
              <w:t>estimate</w:t>
            </w:r>
          </w:p>
        </w:tc>
        <w:tc>
          <w:tcPr>
            <w:tcW w:w="794" w:type="dxa"/>
          </w:tcPr>
          <w:p w14:paraId="60AEA338"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r>
              <w:br/>
              <w:t>estimate</w:t>
            </w:r>
          </w:p>
        </w:tc>
        <w:tc>
          <w:tcPr>
            <w:tcW w:w="794" w:type="dxa"/>
          </w:tcPr>
          <w:p w14:paraId="26B893C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r>
              <w:br/>
              <w:t>estimate</w:t>
            </w:r>
          </w:p>
        </w:tc>
      </w:tr>
      <w:tr w:rsidR="008D6F13" w14:paraId="2D515C80"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476052C" w14:textId="77777777" w:rsidR="008D6F13" w:rsidRDefault="008D6F13" w:rsidP="0031078F">
            <w:r>
              <w:t>Purchases of non</w:t>
            </w:r>
            <w:r>
              <w:noBreakHyphen/>
              <w:t xml:space="preserve">financial assets </w:t>
            </w:r>
            <w:r>
              <w:br/>
              <w:t>(including change in inventories)</w:t>
            </w:r>
          </w:p>
        </w:tc>
        <w:tc>
          <w:tcPr>
            <w:tcW w:w="794" w:type="dxa"/>
          </w:tcPr>
          <w:p w14:paraId="3EB1103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23 468</w:t>
            </w:r>
          </w:p>
        </w:tc>
        <w:tc>
          <w:tcPr>
            <w:tcW w:w="794" w:type="dxa"/>
          </w:tcPr>
          <w:p w14:paraId="29C9219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18 596</w:t>
            </w:r>
          </w:p>
        </w:tc>
        <w:tc>
          <w:tcPr>
            <w:tcW w:w="794" w:type="dxa"/>
          </w:tcPr>
          <w:p w14:paraId="241B975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21 338</w:t>
            </w:r>
          </w:p>
        </w:tc>
        <w:tc>
          <w:tcPr>
            <w:tcW w:w="794" w:type="dxa"/>
          </w:tcPr>
          <w:p w14:paraId="5189E8D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25 418</w:t>
            </w:r>
          </w:p>
        </w:tc>
        <w:tc>
          <w:tcPr>
            <w:tcW w:w="794" w:type="dxa"/>
          </w:tcPr>
          <w:p w14:paraId="32B6E3E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26 522</w:t>
            </w:r>
          </w:p>
        </w:tc>
      </w:tr>
      <w:tr w:rsidR="008D6F13" w14:paraId="64196142"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5565698" w14:textId="77777777" w:rsidR="008D6F13" w:rsidRDefault="008D6F13" w:rsidP="0031078F">
            <w:r>
              <w:t>Less: Sales of non</w:t>
            </w:r>
            <w:r>
              <w:noBreakHyphen/>
              <w:t>financial assets</w:t>
            </w:r>
          </w:p>
        </w:tc>
        <w:tc>
          <w:tcPr>
            <w:tcW w:w="794" w:type="dxa"/>
          </w:tcPr>
          <w:p w14:paraId="7C44D29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(797)</w:t>
            </w:r>
          </w:p>
        </w:tc>
        <w:tc>
          <w:tcPr>
            <w:tcW w:w="794" w:type="dxa"/>
          </w:tcPr>
          <w:p w14:paraId="7750E99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(587)</w:t>
            </w:r>
          </w:p>
        </w:tc>
        <w:tc>
          <w:tcPr>
            <w:tcW w:w="794" w:type="dxa"/>
          </w:tcPr>
          <w:p w14:paraId="761E18C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(845)</w:t>
            </w:r>
          </w:p>
        </w:tc>
        <w:tc>
          <w:tcPr>
            <w:tcW w:w="794" w:type="dxa"/>
          </w:tcPr>
          <w:p w14:paraId="7BAA4D4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(1 097)</w:t>
            </w:r>
          </w:p>
        </w:tc>
        <w:tc>
          <w:tcPr>
            <w:tcW w:w="794" w:type="dxa"/>
          </w:tcPr>
          <w:p w14:paraId="4F64ABA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(585)</w:t>
            </w:r>
          </w:p>
        </w:tc>
      </w:tr>
      <w:tr w:rsidR="008D6F13" w14:paraId="6798BA79"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3CB50109" w14:textId="77777777" w:rsidR="008D6F13" w:rsidRDefault="008D6F13" w:rsidP="0031078F">
            <w:r>
              <w:t>Less: Depreciation and amortisation</w:t>
            </w:r>
          </w:p>
        </w:tc>
        <w:tc>
          <w:tcPr>
            <w:tcW w:w="794" w:type="dxa"/>
          </w:tcPr>
          <w:p w14:paraId="06F58AD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(7 277)</w:t>
            </w:r>
          </w:p>
        </w:tc>
        <w:tc>
          <w:tcPr>
            <w:tcW w:w="794" w:type="dxa"/>
          </w:tcPr>
          <w:p w14:paraId="14DD1CE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(7 193)</w:t>
            </w:r>
          </w:p>
        </w:tc>
        <w:tc>
          <w:tcPr>
            <w:tcW w:w="794" w:type="dxa"/>
          </w:tcPr>
          <w:p w14:paraId="01AA6A8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(7 811)</w:t>
            </w:r>
          </w:p>
        </w:tc>
        <w:tc>
          <w:tcPr>
            <w:tcW w:w="794" w:type="dxa"/>
          </w:tcPr>
          <w:p w14:paraId="01C4FDF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(9 493)</w:t>
            </w:r>
          </w:p>
        </w:tc>
        <w:tc>
          <w:tcPr>
            <w:tcW w:w="794" w:type="dxa"/>
          </w:tcPr>
          <w:p w14:paraId="7D4F55B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(10 635)</w:t>
            </w:r>
          </w:p>
        </w:tc>
      </w:tr>
      <w:tr w:rsidR="008D6F13" w14:paraId="3F6C8BA1"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69369A88" w14:textId="77777777" w:rsidR="008D6F13" w:rsidRDefault="008D6F13" w:rsidP="0031078F">
            <w:r>
              <w:t>Plus: Other movements in non</w:t>
            </w:r>
            <w:r>
              <w:noBreakHyphen/>
              <w:t>financial assets</w:t>
            </w:r>
            <w:r>
              <w:rPr>
                <w:vertAlign w:val="superscript"/>
              </w:rPr>
              <w:t xml:space="preserve"> (a)(b)</w:t>
            </w:r>
          </w:p>
        </w:tc>
        <w:tc>
          <w:tcPr>
            <w:tcW w:w="794" w:type="dxa"/>
            <w:tcBorders>
              <w:bottom w:val="single" w:sz="6" w:space="0" w:color="auto"/>
            </w:tcBorders>
          </w:tcPr>
          <w:p w14:paraId="6ED346C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4 644</w:t>
            </w:r>
          </w:p>
        </w:tc>
        <w:tc>
          <w:tcPr>
            <w:tcW w:w="794" w:type="dxa"/>
            <w:tcBorders>
              <w:bottom w:val="single" w:sz="6" w:space="0" w:color="auto"/>
            </w:tcBorders>
          </w:tcPr>
          <w:p w14:paraId="3A4FCF7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4 539</w:t>
            </w:r>
          </w:p>
        </w:tc>
        <w:tc>
          <w:tcPr>
            <w:tcW w:w="794" w:type="dxa"/>
            <w:tcBorders>
              <w:bottom w:val="single" w:sz="6" w:space="0" w:color="auto"/>
            </w:tcBorders>
          </w:tcPr>
          <w:p w14:paraId="22D6A32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4 168</w:t>
            </w:r>
          </w:p>
        </w:tc>
        <w:tc>
          <w:tcPr>
            <w:tcW w:w="794" w:type="dxa"/>
            <w:tcBorders>
              <w:bottom w:val="single" w:sz="6" w:space="0" w:color="auto"/>
            </w:tcBorders>
          </w:tcPr>
          <w:p w14:paraId="1F3D0AD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2 569</w:t>
            </w:r>
          </w:p>
        </w:tc>
        <w:tc>
          <w:tcPr>
            <w:tcW w:w="794" w:type="dxa"/>
            <w:tcBorders>
              <w:bottom w:val="single" w:sz="6" w:space="0" w:color="auto"/>
            </w:tcBorders>
          </w:tcPr>
          <w:p w14:paraId="03D5E2D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1 290</w:t>
            </w:r>
          </w:p>
        </w:tc>
      </w:tr>
      <w:tr w:rsidR="008D6F13" w14:paraId="17910D37"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42356F70" w14:textId="77777777" w:rsidR="008D6F13" w:rsidRDefault="008D6F13" w:rsidP="0031078F">
            <w:r>
              <w:rPr>
                <w:b/>
              </w:rPr>
              <w:t>Total net acquisition of non</w:t>
            </w:r>
            <w:r>
              <w:rPr>
                <w:b/>
              </w:rPr>
              <w:noBreakHyphen/>
              <w:t>financial assets from transactions</w:t>
            </w:r>
          </w:p>
        </w:tc>
        <w:tc>
          <w:tcPr>
            <w:tcW w:w="794" w:type="dxa"/>
          </w:tcPr>
          <w:p w14:paraId="1700EE4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20 038</w:t>
            </w:r>
          </w:p>
        </w:tc>
        <w:tc>
          <w:tcPr>
            <w:tcW w:w="794" w:type="dxa"/>
          </w:tcPr>
          <w:p w14:paraId="19C13A4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15 355</w:t>
            </w:r>
          </w:p>
        </w:tc>
        <w:tc>
          <w:tcPr>
            <w:tcW w:w="794" w:type="dxa"/>
          </w:tcPr>
          <w:p w14:paraId="24E4DF7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16 850</w:t>
            </w:r>
          </w:p>
        </w:tc>
        <w:tc>
          <w:tcPr>
            <w:tcW w:w="794" w:type="dxa"/>
          </w:tcPr>
          <w:p w14:paraId="7B5E1B9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17 397</w:t>
            </w:r>
          </w:p>
        </w:tc>
        <w:tc>
          <w:tcPr>
            <w:tcW w:w="794" w:type="dxa"/>
          </w:tcPr>
          <w:p w14:paraId="6454781E" w14:textId="463ED9F5"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16 592</w:t>
            </w:r>
          </w:p>
        </w:tc>
      </w:tr>
    </w:tbl>
    <w:p w14:paraId="32B4A330" w14:textId="77777777" w:rsidR="008D6F13" w:rsidRDefault="008D6F13" w:rsidP="008D6F13">
      <w:pPr>
        <w:pStyle w:val="Note"/>
      </w:pPr>
      <w:r>
        <w:t>Notes:</w:t>
      </w:r>
    </w:p>
    <w:p w14:paraId="56E548B8" w14:textId="77777777" w:rsidR="008D6F13" w:rsidRDefault="008D6F13" w:rsidP="008D6F13">
      <w:pPr>
        <w:pStyle w:val="Note"/>
      </w:pPr>
      <w:r w:rsidRPr="00714B66">
        <w:t>(a)</w:t>
      </w:r>
      <w:r w:rsidRPr="00714B66">
        <w:tab/>
        <w:t xml:space="preserve">The other movements in non-financial assets includes recognising right of use assets under lease </w:t>
      </w:r>
      <w:proofErr w:type="gramStart"/>
      <w:r w:rsidRPr="00714B66">
        <w:t>arrangements, and</w:t>
      </w:r>
      <w:proofErr w:type="gramEnd"/>
      <w:r w:rsidRPr="00714B66">
        <w:t xml:space="preserve"> recognising service concession arrangements</w:t>
      </w:r>
      <w:r>
        <w:t xml:space="preserve"> arising </w:t>
      </w:r>
      <w:r w:rsidRPr="00714B66">
        <w:t xml:space="preserve">from </w:t>
      </w:r>
      <w:r>
        <w:t>p</w:t>
      </w:r>
      <w:r w:rsidRPr="00714B66">
        <w:t xml:space="preserve">ublic </w:t>
      </w:r>
      <w:r>
        <w:t>p</w:t>
      </w:r>
      <w:r w:rsidRPr="00714B66">
        <w:t xml:space="preserve">rivate </w:t>
      </w:r>
      <w:r>
        <w:t>p</w:t>
      </w:r>
      <w:r w:rsidRPr="00714B66">
        <w:t xml:space="preserve">artnerships. </w:t>
      </w:r>
    </w:p>
    <w:p w14:paraId="3523A458" w14:textId="59F25D43" w:rsidR="008D6F13" w:rsidRDefault="008D6F13" w:rsidP="008D6F13">
      <w:pPr>
        <w:pStyle w:val="Note"/>
      </w:pPr>
      <w:r w:rsidRPr="00714B66">
        <w:t>(</w:t>
      </w:r>
      <w:r>
        <w:t>b</w:t>
      </w:r>
      <w:r w:rsidRPr="00714B66">
        <w:t>)</w:t>
      </w:r>
      <w:r w:rsidRPr="00714B66">
        <w:tab/>
      </w:r>
      <w:r w:rsidRPr="00333D11">
        <w:t xml:space="preserve">The public private partnerships across the </w:t>
      </w:r>
      <w:r>
        <w:t xml:space="preserve">budget and </w:t>
      </w:r>
      <w:r w:rsidRPr="00333D11">
        <w:t xml:space="preserve">forward estimates relate to </w:t>
      </w:r>
      <w:r>
        <w:t xml:space="preserve">the </w:t>
      </w:r>
      <w:proofErr w:type="gramStart"/>
      <w:r w:rsidRPr="00333D11">
        <w:t>High Capacity</w:t>
      </w:r>
      <w:proofErr w:type="gramEnd"/>
      <w:r w:rsidRPr="00333D11">
        <w:t xml:space="preserve"> Metro Trains Project, the</w:t>
      </w:r>
      <w:r w:rsidR="007F1FE4">
        <w:t> </w:t>
      </w:r>
      <w:r w:rsidRPr="00333D11">
        <w:t xml:space="preserve">Metro Tunnel, the new Footscray Hospital, </w:t>
      </w:r>
      <w:r>
        <w:t xml:space="preserve">the Frankston Hospital Redevelopment, the </w:t>
      </w:r>
      <w:r w:rsidRPr="00333D11">
        <w:t>North East Link, the Western Roads Upgrade, and the West Gate Tunnel Project.</w:t>
      </w:r>
    </w:p>
    <w:p w14:paraId="33649438" w14:textId="77777777" w:rsidR="008D6F13" w:rsidRPr="00921F69" w:rsidRDefault="008D6F13" w:rsidP="008D6F13">
      <w:pPr>
        <w:rPr>
          <w:rFonts w:asciiTheme="majorHAnsi" w:hAnsiTheme="majorHAnsi" w:cstheme="majorHAnsi"/>
        </w:rPr>
      </w:pPr>
    </w:p>
    <w:p w14:paraId="41B41F34" w14:textId="2F509075" w:rsidR="007F1FE4" w:rsidRDefault="007F1FE4">
      <w:pPr>
        <w:keepLines w:val="0"/>
      </w:pPr>
      <w:r>
        <w:br w:type="page"/>
      </w:r>
    </w:p>
    <w:p w14:paraId="680618DF" w14:textId="77777777" w:rsidR="008D6F13" w:rsidRDefault="008D6F13" w:rsidP="003610AD"/>
    <w:p w14:paraId="40C29233" w14:textId="036F8320" w:rsidR="007F1FE4" w:rsidRDefault="007F1FE4" w:rsidP="003610AD">
      <w:pPr>
        <w:sectPr w:rsidR="007F1FE4" w:rsidSect="00DD54EA">
          <w:footerReference w:type="even" r:id="rId49"/>
          <w:footerReference w:type="default" r:id="rId50"/>
          <w:footerReference w:type="first" r:id="rId51"/>
          <w:pgSz w:w="9979" w:h="14175" w:code="9"/>
          <w:pgMar w:top="1134" w:right="1134" w:bottom="1134" w:left="1134" w:header="624" w:footer="567" w:gutter="0"/>
          <w:cols w:space="708"/>
          <w:docGrid w:linePitch="360"/>
        </w:sectPr>
      </w:pPr>
    </w:p>
    <w:p w14:paraId="1C8352F5" w14:textId="77777777" w:rsidR="008D6F13" w:rsidRDefault="008D6F13" w:rsidP="008D6F13">
      <w:pPr>
        <w:pStyle w:val="ChapterHeading"/>
      </w:pPr>
      <w:bookmarkStart w:id="113" w:name="_Toc89423593"/>
      <w:r>
        <w:lastRenderedPageBreak/>
        <w:t>Chapter 6 – Contingent assets and contingent liabilities</w:t>
      </w:r>
      <w:bookmarkEnd w:id="113"/>
    </w:p>
    <w:p w14:paraId="751243E9" w14:textId="77777777" w:rsidR="008D6F13" w:rsidRDefault="008D6F13" w:rsidP="008D6F13">
      <w:r>
        <w:t>This chapter contains information on contingent assets and liabilities for the general government sector and should be read in conjunction with Chapter 4.</w:t>
      </w:r>
    </w:p>
    <w:p w14:paraId="58C449B7" w14:textId="77777777" w:rsidR="008D6F13" w:rsidRDefault="008D6F13" w:rsidP="008D6F13">
      <w:r>
        <w:t>Contingent assets and contingent liabilities are not recognised in the balance sheet but are disclosed and, if quantifiable, are measured at nominal value.</w:t>
      </w:r>
    </w:p>
    <w:p w14:paraId="7D4CC5EC" w14:textId="77777777" w:rsidR="008D6F13" w:rsidRDefault="008D6F13" w:rsidP="008D6F13">
      <w:r>
        <w:t>Contingent assets and liabilities are presented inclusive of GST receivable or payable respectively.</w:t>
      </w:r>
    </w:p>
    <w:p w14:paraId="0551E3C7" w14:textId="77777777" w:rsidR="008D6F13" w:rsidRPr="00A75EFF" w:rsidRDefault="008D6F13" w:rsidP="008D6F13">
      <w:pPr>
        <w:pStyle w:val="Heading10"/>
      </w:pPr>
      <w:bookmarkStart w:id="114" w:name="_Toc89423594"/>
      <w:r w:rsidRPr="00A75EFF">
        <w:t>Contingent assets</w:t>
      </w:r>
      <w:bookmarkEnd w:id="114"/>
    </w:p>
    <w:p w14:paraId="319BF248" w14:textId="77777777" w:rsidR="008D6F13" w:rsidRDefault="008D6F13" w:rsidP="008D6F13">
      <w:r>
        <w:t>Contingent assets are possible assets that arise from past events, whose existence will be confirmed only by the occurrence or non-occurrence of one or more uncertain future events not wholly within the control of the entity.</w:t>
      </w:r>
    </w:p>
    <w:p w14:paraId="46AA7558" w14:textId="77777777" w:rsidR="008D6F13" w:rsidRDefault="008D6F13" w:rsidP="008D6F13">
      <w:r>
        <w:t xml:space="preserve">These are classified as either quantifiable, where the potential economic benefit is known, or non-quantifiable. </w:t>
      </w:r>
    </w:p>
    <w:p w14:paraId="14648BDC" w14:textId="77777777" w:rsidR="008D6F13" w:rsidRDefault="008D6F13" w:rsidP="008D6F13">
      <w:r>
        <w:t xml:space="preserve">Table 6.1 contains quantifiable contingent assets as </w:t>
      </w:r>
      <w:proofErr w:type="gramStart"/>
      <w:r>
        <w:t>a</w:t>
      </w:r>
      <w:r w:rsidRPr="00DC624A">
        <w:t>t</w:t>
      </w:r>
      <w:proofErr w:type="gramEnd"/>
      <w:r w:rsidRPr="00DC624A">
        <w:t xml:space="preserve"> 26</w:t>
      </w:r>
      <w:r>
        <w:t xml:space="preserve"> November 2021 (arising from outside of government).</w:t>
      </w:r>
    </w:p>
    <w:p w14:paraId="7056370F" w14:textId="77777777" w:rsidR="008D6F13" w:rsidRDefault="008D6F13" w:rsidP="008D6F13">
      <w:pPr>
        <w:pStyle w:val="TableHeading"/>
      </w:pPr>
      <w:r>
        <w:t>Table 6.1:</w:t>
      </w:r>
      <w:r>
        <w:tab/>
        <w:t xml:space="preserve">Quantifiable contingent assets </w:t>
      </w:r>
      <w:r>
        <w:tab/>
        <w:t>($ million)</w:t>
      </w:r>
    </w:p>
    <w:tbl>
      <w:tblPr>
        <w:tblStyle w:val="DTFTableNumeric"/>
        <w:tblW w:w="7710" w:type="dxa"/>
        <w:tblLayout w:type="fixed"/>
        <w:tblLook w:val="06A0" w:firstRow="1" w:lastRow="0" w:firstColumn="1" w:lastColumn="0" w:noHBand="1" w:noVBand="1"/>
      </w:tblPr>
      <w:tblGrid>
        <w:gridCol w:w="4962"/>
        <w:gridCol w:w="1134"/>
        <w:gridCol w:w="1614"/>
      </w:tblGrid>
      <w:tr w:rsidR="008D6F13" w14:paraId="5FF08D38"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tcPr>
          <w:p w14:paraId="368B26DF" w14:textId="32AFAE4B" w:rsidR="008D6F13" w:rsidRDefault="008D6F13" w:rsidP="0031078F"/>
        </w:tc>
        <w:tc>
          <w:tcPr>
            <w:tcW w:w="1134" w:type="dxa"/>
          </w:tcPr>
          <w:p w14:paraId="135F0C8F"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As at</w:t>
            </w:r>
          </w:p>
        </w:tc>
        <w:tc>
          <w:tcPr>
            <w:tcW w:w="1614" w:type="dxa"/>
          </w:tcPr>
          <w:p w14:paraId="407191BB"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Published budget</w:t>
            </w:r>
          </w:p>
        </w:tc>
      </w:tr>
      <w:tr w:rsidR="008D6F13" w14:paraId="6FDFF28F"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tcPr>
          <w:p w14:paraId="2A6698D4" w14:textId="77777777" w:rsidR="008D6F13" w:rsidRDefault="008D6F13" w:rsidP="0031078F"/>
        </w:tc>
        <w:tc>
          <w:tcPr>
            <w:tcW w:w="1134" w:type="dxa"/>
          </w:tcPr>
          <w:p w14:paraId="3D01BDAE"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Nov 2021</w:t>
            </w:r>
          </w:p>
        </w:tc>
        <w:tc>
          <w:tcPr>
            <w:tcW w:w="1614" w:type="dxa"/>
          </w:tcPr>
          <w:p w14:paraId="06D68CB0"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estimate</w:t>
            </w:r>
            <w:r>
              <w:rPr>
                <w:vertAlign w:val="superscript"/>
              </w:rPr>
              <w:t xml:space="preserve"> (a)</w:t>
            </w:r>
          </w:p>
        </w:tc>
      </w:tr>
      <w:tr w:rsidR="008D6F13" w14:paraId="38209F9B" w14:textId="77777777" w:rsidTr="0031078F">
        <w:tc>
          <w:tcPr>
            <w:cnfStyle w:val="001000000000" w:firstRow="0" w:lastRow="0" w:firstColumn="1" w:lastColumn="0" w:oddVBand="0" w:evenVBand="0" w:oddHBand="0" w:evenHBand="0" w:firstRowFirstColumn="0" w:firstRowLastColumn="0" w:lastRowFirstColumn="0" w:lastRowLastColumn="0"/>
            <w:tcW w:w="4962" w:type="dxa"/>
          </w:tcPr>
          <w:p w14:paraId="7D6941BF" w14:textId="77777777" w:rsidR="008D6F13" w:rsidRDefault="008D6F13" w:rsidP="0031078F">
            <w:r>
              <w:t>Guarantees, indemnities and warranties</w:t>
            </w:r>
          </w:p>
        </w:tc>
        <w:tc>
          <w:tcPr>
            <w:tcW w:w="1134" w:type="dxa"/>
          </w:tcPr>
          <w:p w14:paraId="4A0C288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56</w:t>
            </w:r>
          </w:p>
        </w:tc>
        <w:tc>
          <w:tcPr>
            <w:tcW w:w="1614" w:type="dxa"/>
          </w:tcPr>
          <w:p w14:paraId="4F7AE14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59</w:t>
            </w:r>
          </w:p>
        </w:tc>
      </w:tr>
      <w:tr w:rsidR="008D6F13" w14:paraId="155FBC82" w14:textId="77777777" w:rsidTr="0031078F">
        <w:tc>
          <w:tcPr>
            <w:cnfStyle w:val="001000000000" w:firstRow="0" w:lastRow="0" w:firstColumn="1" w:lastColumn="0" w:oddVBand="0" w:evenVBand="0" w:oddHBand="0" w:evenHBand="0" w:firstRowFirstColumn="0" w:firstRowLastColumn="0" w:lastRowFirstColumn="0" w:lastRowLastColumn="0"/>
            <w:tcW w:w="4962" w:type="dxa"/>
          </w:tcPr>
          <w:p w14:paraId="5697D619" w14:textId="77777777" w:rsidR="008D6F13" w:rsidRDefault="008D6F13" w:rsidP="0031078F">
            <w:r>
              <w:t>Legal proceedings and disputes</w:t>
            </w:r>
          </w:p>
        </w:tc>
        <w:tc>
          <w:tcPr>
            <w:tcW w:w="1134" w:type="dxa"/>
          </w:tcPr>
          <w:p w14:paraId="19FD604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w:t>
            </w:r>
          </w:p>
        </w:tc>
        <w:tc>
          <w:tcPr>
            <w:tcW w:w="1614" w:type="dxa"/>
          </w:tcPr>
          <w:p w14:paraId="2863BD3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w:t>
            </w:r>
          </w:p>
        </w:tc>
      </w:tr>
      <w:tr w:rsidR="008D6F13" w14:paraId="5DEE18AC" w14:textId="77777777" w:rsidTr="0031078F">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14CF778F" w14:textId="77777777" w:rsidR="008D6F13" w:rsidRDefault="008D6F13" w:rsidP="0031078F">
            <w:r>
              <w:t>Other</w:t>
            </w:r>
          </w:p>
        </w:tc>
        <w:tc>
          <w:tcPr>
            <w:tcW w:w="1134" w:type="dxa"/>
            <w:tcBorders>
              <w:bottom w:val="single" w:sz="6" w:space="0" w:color="auto"/>
            </w:tcBorders>
          </w:tcPr>
          <w:p w14:paraId="762A627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37</w:t>
            </w:r>
          </w:p>
        </w:tc>
        <w:tc>
          <w:tcPr>
            <w:tcW w:w="1614" w:type="dxa"/>
            <w:tcBorders>
              <w:bottom w:val="single" w:sz="6" w:space="0" w:color="auto"/>
            </w:tcBorders>
          </w:tcPr>
          <w:p w14:paraId="531168C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48</w:t>
            </w:r>
          </w:p>
        </w:tc>
      </w:tr>
      <w:tr w:rsidR="008D6F13" w14:paraId="79E142C4" w14:textId="77777777" w:rsidTr="0031078F">
        <w:tc>
          <w:tcPr>
            <w:cnfStyle w:val="001000000000" w:firstRow="0" w:lastRow="0" w:firstColumn="1" w:lastColumn="0" w:oddVBand="0" w:evenVBand="0" w:oddHBand="0" w:evenHBand="0" w:firstRowFirstColumn="0" w:firstRowLastColumn="0" w:lastRowFirstColumn="0" w:lastRowLastColumn="0"/>
            <w:tcW w:w="4962" w:type="dxa"/>
          </w:tcPr>
          <w:p w14:paraId="12357207" w14:textId="77777777" w:rsidR="008D6F13" w:rsidRDefault="008D6F13" w:rsidP="0031078F">
            <w:r>
              <w:rPr>
                <w:b/>
              </w:rPr>
              <w:t>Total contingent assets</w:t>
            </w:r>
          </w:p>
        </w:tc>
        <w:tc>
          <w:tcPr>
            <w:tcW w:w="1134" w:type="dxa"/>
          </w:tcPr>
          <w:p w14:paraId="27642D7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98</w:t>
            </w:r>
          </w:p>
        </w:tc>
        <w:tc>
          <w:tcPr>
            <w:tcW w:w="1614" w:type="dxa"/>
          </w:tcPr>
          <w:p w14:paraId="49310D8A" w14:textId="147A4B83"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121</w:t>
            </w:r>
          </w:p>
        </w:tc>
      </w:tr>
    </w:tbl>
    <w:p w14:paraId="51CB5F06" w14:textId="77777777" w:rsidR="008D6F13" w:rsidRDefault="008D6F13" w:rsidP="008D6F13">
      <w:pPr>
        <w:pStyle w:val="Note"/>
      </w:pPr>
      <w:r>
        <w:t>Note:</w:t>
      </w:r>
    </w:p>
    <w:p w14:paraId="020952E8" w14:textId="77777777" w:rsidR="008D6F13" w:rsidRDefault="008D6F13" w:rsidP="008D6F13">
      <w:pPr>
        <w:pStyle w:val="Note"/>
      </w:pPr>
      <w:r>
        <w:t xml:space="preserve">(a) </w:t>
      </w:r>
      <w:r>
        <w:tab/>
        <w:t xml:space="preserve">As published in the </w:t>
      </w:r>
      <w:r w:rsidRPr="00A75EFF">
        <w:rPr>
          <w:i w:val="0"/>
          <w:iCs/>
        </w:rPr>
        <w:t>20</w:t>
      </w:r>
      <w:r>
        <w:rPr>
          <w:i w:val="0"/>
          <w:iCs/>
        </w:rPr>
        <w:t>21</w:t>
      </w:r>
      <w:r w:rsidRPr="00A75EFF">
        <w:rPr>
          <w:i w:val="0"/>
          <w:iCs/>
        </w:rPr>
        <w:t>-2</w:t>
      </w:r>
      <w:r>
        <w:rPr>
          <w:i w:val="0"/>
          <w:iCs/>
        </w:rPr>
        <w:t>2</w:t>
      </w:r>
      <w:r w:rsidRPr="00A75EFF">
        <w:rPr>
          <w:i w:val="0"/>
          <w:iCs/>
        </w:rPr>
        <w:t xml:space="preserve"> Budget</w:t>
      </w:r>
      <w:r>
        <w:t>.</w:t>
      </w:r>
    </w:p>
    <w:p w14:paraId="3ABE4D12" w14:textId="77777777" w:rsidR="008D6F13" w:rsidRDefault="008D6F13" w:rsidP="008D6F13">
      <w:pPr>
        <w:pStyle w:val="Note"/>
      </w:pPr>
    </w:p>
    <w:p w14:paraId="319F8DA0" w14:textId="77777777" w:rsidR="008D6F13" w:rsidRDefault="008D6F13" w:rsidP="008D6F13">
      <w:pPr>
        <w:pStyle w:val="Heading20"/>
      </w:pPr>
      <w:r>
        <w:lastRenderedPageBreak/>
        <w:t>Non-quantifiable contingent assets</w:t>
      </w:r>
    </w:p>
    <w:p w14:paraId="5108F4B0" w14:textId="77777777" w:rsidR="008D6F13" w:rsidRDefault="008D6F13" w:rsidP="008D6F13">
      <w:pPr>
        <w:pStyle w:val="Heading30"/>
      </w:pPr>
      <w:r>
        <w:t>Peninsula Link compensable enhancement claim</w:t>
      </w:r>
    </w:p>
    <w:p w14:paraId="5F9FDB4D" w14:textId="77777777" w:rsidR="008D6F13" w:rsidRDefault="008D6F13" w:rsidP="008D6F13">
      <w:r>
        <w:t xml:space="preserve">The </w:t>
      </w:r>
      <w:proofErr w:type="spellStart"/>
      <w:r>
        <w:t>EastLink</w:t>
      </w:r>
      <w:proofErr w:type="spellEnd"/>
      <w:r>
        <w:t xml:space="preserve"> Concession Deed contains compensable enhancement provisions that enable the State to claim 50 per cent of any additional revenue derived by </w:t>
      </w:r>
      <w:proofErr w:type="spellStart"/>
      <w:r>
        <w:t>ConnectEast</w:t>
      </w:r>
      <w:proofErr w:type="spellEnd"/>
      <w:r>
        <w:t xml:space="preserve"> Pty Ltd (</w:t>
      </w:r>
      <w:proofErr w:type="spellStart"/>
      <w:r>
        <w:t>ConnectEast</w:t>
      </w:r>
      <w:proofErr w:type="spellEnd"/>
      <w:r>
        <w:t xml:space="preserve">) </w:t>
      </w:r>
      <w:proofErr w:type="gramStart"/>
      <w:r>
        <w:t>as a result of</w:t>
      </w:r>
      <w:proofErr w:type="gramEnd"/>
      <w:r>
        <w:t xml:space="preserve"> certain events that particularly benefit </w:t>
      </w:r>
      <w:proofErr w:type="spellStart"/>
      <w:r>
        <w:t>EastLink</w:t>
      </w:r>
      <w:proofErr w:type="spellEnd"/>
      <w:r>
        <w:t>, including changes to the adjoining road network.</w:t>
      </w:r>
    </w:p>
    <w:p w14:paraId="12AD113C" w14:textId="77777777" w:rsidR="008D6F13" w:rsidRDefault="008D6F13" w:rsidP="008D6F13">
      <w:r>
        <w:t xml:space="preserve">On 2 January 2014, the State lodged a compensable enhancement claim </w:t>
      </w:r>
      <w:proofErr w:type="gramStart"/>
      <w:r>
        <w:t>as a result of</w:t>
      </w:r>
      <w:proofErr w:type="gramEnd"/>
      <w:r>
        <w:t xml:space="preserve"> opening Peninsula Link. The claim remains outstanding.</w:t>
      </w:r>
    </w:p>
    <w:p w14:paraId="147AF2BB" w14:textId="77777777" w:rsidR="008D6F13" w:rsidRDefault="008D6F13" w:rsidP="008D6F13">
      <w:pPr>
        <w:pStyle w:val="Heading10"/>
      </w:pPr>
      <w:bookmarkStart w:id="115" w:name="_Toc89423595"/>
      <w:r>
        <w:t>Contingent liabilities</w:t>
      </w:r>
      <w:bookmarkEnd w:id="115"/>
    </w:p>
    <w:p w14:paraId="4BBEB1CC" w14:textId="77777777" w:rsidR="008D6F13" w:rsidRDefault="008D6F13" w:rsidP="008D6F13">
      <w:r>
        <w:t>Contingent liabilities are:</w:t>
      </w:r>
    </w:p>
    <w:p w14:paraId="6DB7ABFC" w14:textId="77777777" w:rsidR="008D6F13" w:rsidRDefault="008D6F13" w:rsidP="008D6F13">
      <w:pPr>
        <w:pStyle w:val="ListBullet"/>
      </w:pPr>
      <w:r>
        <w:t>possible obligations that arise from past events, whose existence will be confirmed only by the occurrence or non-occurrence of one or more uncertain future events not wholly within the control of the entity; or</w:t>
      </w:r>
    </w:p>
    <w:p w14:paraId="3A4DCA53" w14:textId="77777777" w:rsidR="008D6F13" w:rsidRDefault="008D6F13" w:rsidP="008D6F13">
      <w:pPr>
        <w:pStyle w:val="ListBullet"/>
      </w:pPr>
      <w:r>
        <w:t>present obligations that arise from past events but are not recognised because:</w:t>
      </w:r>
    </w:p>
    <w:p w14:paraId="55579BA8" w14:textId="77777777" w:rsidR="008D6F13" w:rsidRDefault="008D6F13" w:rsidP="008D6F13">
      <w:pPr>
        <w:pStyle w:val="ListBullet2"/>
      </w:pPr>
      <w:r>
        <w:t xml:space="preserve">it is not probable that an outflow of resources embodying economic benefits will be required to settle the obligations; or </w:t>
      </w:r>
    </w:p>
    <w:p w14:paraId="1CFB5D24" w14:textId="77777777" w:rsidR="008D6F13" w:rsidRDefault="008D6F13" w:rsidP="008D6F13">
      <w:pPr>
        <w:pStyle w:val="ListBullet2"/>
      </w:pPr>
      <w:r>
        <w:t>the amount of the obligations cannot be measured with sufficient reliability.</w:t>
      </w:r>
    </w:p>
    <w:p w14:paraId="7230F123" w14:textId="77777777" w:rsidR="008D6F13" w:rsidRDefault="008D6F13" w:rsidP="008D6F13">
      <w:r>
        <w:t>Contingent liabilities are also classified as either quantifiable or non-quantifiable.</w:t>
      </w:r>
    </w:p>
    <w:p w14:paraId="5A9FBB5B" w14:textId="77777777" w:rsidR="008D6F13" w:rsidRDefault="008D6F13" w:rsidP="008D6F13">
      <w:r>
        <w:t xml:space="preserve">The table below contains quantifiable contingent liabilities as </w:t>
      </w:r>
      <w:proofErr w:type="gramStart"/>
      <w:r>
        <w:t>at</w:t>
      </w:r>
      <w:proofErr w:type="gramEnd"/>
      <w:r>
        <w:t xml:space="preserve"> </w:t>
      </w:r>
      <w:r w:rsidRPr="00DC624A">
        <w:t>26</w:t>
      </w:r>
      <w:r>
        <w:t xml:space="preserve"> November 2021.</w:t>
      </w:r>
    </w:p>
    <w:p w14:paraId="3CE384C6" w14:textId="77777777" w:rsidR="008D6F13" w:rsidRDefault="008D6F13" w:rsidP="008D6F13">
      <w:pPr>
        <w:pStyle w:val="TableHeading"/>
      </w:pPr>
      <w:r>
        <w:t>Table 6.2:</w:t>
      </w:r>
      <w:r>
        <w:tab/>
        <w:t>Quantifiable contingent liabilities</w:t>
      </w:r>
      <w:r>
        <w:tab/>
        <w:t>($ million)</w:t>
      </w:r>
    </w:p>
    <w:tbl>
      <w:tblPr>
        <w:tblStyle w:val="DTFTableNumeric"/>
        <w:tblW w:w="7710" w:type="dxa"/>
        <w:tblLayout w:type="fixed"/>
        <w:tblLook w:val="06A0" w:firstRow="1" w:lastRow="0" w:firstColumn="1" w:lastColumn="0" w:noHBand="1" w:noVBand="1"/>
      </w:tblPr>
      <w:tblGrid>
        <w:gridCol w:w="5103"/>
        <w:gridCol w:w="993"/>
        <w:gridCol w:w="1614"/>
      </w:tblGrid>
      <w:tr w:rsidR="008D6F13" w14:paraId="6EC31DD9"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7F697D49" w14:textId="58C57AB9" w:rsidR="008D6F13" w:rsidRDefault="008D6F13" w:rsidP="0031078F"/>
        </w:tc>
        <w:tc>
          <w:tcPr>
            <w:tcW w:w="993" w:type="dxa"/>
          </w:tcPr>
          <w:p w14:paraId="0CF8662A"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As at</w:t>
            </w:r>
          </w:p>
        </w:tc>
        <w:tc>
          <w:tcPr>
            <w:tcW w:w="1614" w:type="dxa"/>
          </w:tcPr>
          <w:p w14:paraId="30740A7D"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Published budget</w:t>
            </w:r>
          </w:p>
        </w:tc>
      </w:tr>
      <w:tr w:rsidR="008D6F13" w14:paraId="483861C0"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4E5CEFC3" w14:textId="77777777" w:rsidR="008D6F13" w:rsidRDefault="008D6F13" w:rsidP="0031078F"/>
        </w:tc>
        <w:tc>
          <w:tcPr>
            <w:tcW w:w="993" w:type="dxa"/>
          </w:tcPr>
          <w:p w14:paraId="5E66F543"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Nov 2021</w:t>
            </w:r>
          </w:p>
        </w:tc>
        <w:tc>
          <w:tcPr>
            <w:tcW w:w="1614" w:type="dxa"/>
          </w:tcPr>
          <w:p w14:paraId="2EDBFAFC"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estimate</w:t>
            </w:r>
            <w:r>
              <w:rPr>
                <w:vertAlign w:val="superscript"/>
              </w:rPr>
              <w:t xml:space="preserve"> (a)</w:t>
            </w:r>
          </w:p>
        </w:tc>
      </w:tr>
      <w:tr w:rsidR="008D6F13" w14:paraId="7ABEF65D" w14:textId="77777777" w:rsidTr="0031078F">
        <w:tc>
          <w:tcPr>
            <w:cnfStyle w:val="001000000000" w:firstRow="0" w:lastRow="0" w:firstColumn="1" w:lastColumn="0" w:oddVBand="0" w:evenVBand="0" w:oddHBand="0" w:evenHBand="0" w:firstRowFirstColumn="0" w:firstRowLastColumn="0" w:lastRowFirstColumn="0" w:lastRowLastColumn="0"/>
            <w:tcW w:w="5103" w:type="dxa"/>
          </w:tcPr>
          <w:p w14:paraId="360AD22D" w14:textId="77777777" w:rsidR="008D6F13" w:rsidRDefault="008D6F13" w:rsidP="0031078F">
            <w:r>
              <w:t>Guarantees, indemnities and warranties</w:t>
            </w:r>
          </w:p>
        </w:tc>
        <w:tc>
          <w:tcPr>
            <w:tcW w:w="993" w:type="dxa"/>
          </w:tcPr>
          <w:p w14:paraId="582DD08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1 089</w:t>
            </w:r>
          </w:p>
        </w:tc>
        <w:tc>
          <w:tcPr>
            <w:tcW w:w="1614" w:type="dxa"/>
          </w:tcPr>
          <w:p w14:paraId="70A4BBA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1 003</w:t>
            </w:r>
          </w:p>
        </w:tc>
      </w:tr>
      <w:tr w:rsidR="008D6F13" w14:paraId="4D76B493" w14:textId="77777777" w:rsidTr="0031078F">
        <w:tc>
          <w:tcPr>
            <w:cnfStyle w:val="001000000000" w:firstRow="0" w:lastRow="0" w:firstColumn="1" w:lastColumn="0" w:oddVBand="0" w:evenVBand="0" w:oddHBand="0" w:evenHBand="0" w:firstRowFirstColumn="0" w:firstRowLastColumn="0" w:lastRowFirstColumn="0" w:lastRowLastColumn="0"/>
            <w:tcW w:w="5103" w:type="dxa"/>
          </w:tcPr>
          <w:p w14:paraId="0AFE36C3" w14:textId="77777777" w:rsidR="008D6F13" w:rsidRDefault="008D6F13" w:rsidP="0031078F">
            <w:r>
              <w:t>Legal proceedings and disputes</w:t>
            </w:r>
          </w:p>
        </w:tc>
        <w:tc>
          <w:tcPr>
            <w:tcW w:w="993" w:type="dxa"/>
          </w:tcPr>
          <w:p w14:paraId="55879CB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339</w:t>
            </w:r>
          </w:p>
        </w:tc>
        <w:tc>
          <w:tcPr>
            <w:tcW w:w="1614" w:type="dxa"/>
          </w:tcPr>
          <w:p w14:paraId="4E95374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336</w:t>
            </w:r>
          </w:p>
        </w:tc>
      </w:tr>
      <w:tr w:rsidR="008D6F13" w14:paraId="54770027" w14:textId="77777777" w:rsidTr="0031078F">
        <w:tc>
          <w:tcPr>
            <w:cnfStyle w:val="001000000000" w:firstRow="0" w:lastRow="0" w:firstColumn="1" w:lastColumn="0" w:oddVBand="0" w:evenVBand="0" w:oddHBand="0" w:evenHBand="0" w:firstRowFirstColumn="0" w:firstRowLastColumn="0" w:lastRowFirstColumn="0" w:lastRowLastColumn="0"/>
            <w:tcW w:w="5103" w:type="dxa"/>
          </w:tcPr>
          <w:p w14:paraId="5DFA4910" w14:textId="77777777" w:rsidR="008D6F13" w:rsidRDefault="008D6F13" w:rsidP="0031078F">
            <w:r>
              <w:t>Other</w:t>
            </w:r>
          </w:p>
        </w:tc>
        <w:tc>
          <w:tcPr>
            <w:tcW w:w="993" w:type="dxa"/>
          </w:tcPr>
          <w:p w14:paraId="65D1C69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385</w:t>
            </w:r>
          </w:p>
        </w:tc>
        <w:tc>
          <w:tcPr>
            <w:tcW w:w="1614" w:type="dxa"/>
          </w:tcPr>
          <w:p w14:paraId="3BBCC8F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128</w:t>
            </w:r>
          </w:p>
        </w:tc>
      </w:tr>
      <w:tr w:rsidR="008D6F13" w14:paraId="4BF85071" w14:textId="77777777" w:rsidTr="0031078F">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744DB022" w14:textId="77777777" w:rsidR="008D6F13" w:rsidRDefault="008D6F13" w:rsidP="0031078F">
            <w:r>
              <w:t>Non</w:t>
            </w:r>
            <w:r>
              <w:noBreakHyphen/>
              <w:t xml:space="preserve">general government debt </w:t>
            </w:r>
            <w:r>
              <w:rPr>
                <w:vertAlign w:val="superscript"/>
              </w:rPr>
              <w:t>(b)</w:t>
            </w:r>
          </w:p>
        </w:tc>
        <w:tc>
          <w:tcPr>
            <w:tcW w:w="993" w:type="dxa"/>
            <w:tcBorders>
              <w:bottom w:val="single" w:sz="6" w:space="0" w:color="auto"/>
            </w:tcBorders>
          </w:tcPr>
          <w:p w14:paraId="636AEBA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14 997</w:t>
            </w:r>
          </w:p>
        </w:tc>
        <w:tc>
          <w:tcPr>
            <w:tcW w:w="1614" w:type="dxa"/>
            <w:tcBorders>
              <w:bottom w:val="single" w:sz="6" w:space="0" w:color="auto"/>
            </w:tcBorders>
          </w:tcPr>
          <w:p w14:paraId="17DE734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15 072</w:t>
            </w:r>
          </w:p>
        </w:tc>
      </w:tr>
      <w:tr w:rsidR="008D6F13" w14:paraId="251CC567" w14:textId="77777777" w:rsidTr="0031078F">
        <w:tc>
          <w:tcPr>
            <w:cnfStyle w:val="001000000000" w:firstRow="0" w:lastRow="0" w:firstColumn="1" w:lastColumn="0" w:oddVBand="0" w:evenVBand="0" w:oddHBand="0" w:evenHBand="0" w:firstRowFirstColumn="0" w:firstRowLastColumn="0" w:lastRowFirstColumn="0" w:lastRowLastColumn="0"/>
            <w:tcW w:w="5103" w:type="dxa"/>
          </w:tcPr>
          <w:p w14:paraId="1032D200" w14:textId="77777777" w:rsidR="008D6F13" w:rsidRDefault="008D6F13" w:rsidP="0031078F">
            <w:r>
              <w:rPr>
                <w:b/>
              </w:rPr>
              <w:t>Total contingent liabilities</w:t>
            </w:r>
          </w:p>
        </w:tc>
        <w:tc>
          <w:tcPr>
            <w:tcW w:w="993" w:type="dxa"/>
          </w:tcPr>
          <w:p w14:paraId="08AF006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16 810</w:t>
            </w:r>
          </w:p>
        </w:tc>
        <w:tc>
          <w:tcPr>
            <w:tcW w:w="1614" w:type="dxa"/>
          </w:tcPr>
          <w:p w14:paraId="3CAF1DF3" w14:textId="57A10EE6"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16 540</w:t>
            </w:r>
          </w:p>
        </w:tc>
      </w:tr>
    </w:tbl>
    <w:p w14:paraId="5BCDB6E4" w14:textId="77777777" w:rsidR="008D6F13" w:rsidRDefault="008D6F13" w:rsidP="008D6F13">
      <w:pPr>
        <w:pStyle w:val="Note"/>
      </w:pPr>
      <w:r>
        <w:t>Notes:</w:t>
      </w:r>
    </w:p>
    <w:p w14:paraId="7DEE24B0" w14:textId="77777777" w:rsidR="008D6F13" w:rsidRDefault="008D6F13" w:rsidP="008D6F13">
      <w:pPr>
        <w:pStyle w:val="Note"/>
      </w:pPr>
      <w:r>
        <w:t>(a)</w:t>
      </w:r>
      <w:r>
        <w:tab/>
        <w:t xml:space="preserve">As published in the </w:t>
      </w:r>
      <w:r w:rsidRPr="00EC0BB5">
        <w:rPr>
          <w:i w:val="0"/>
          <w:iCs/>
        </w:rPr>
        <w:t>2021-22 Budget</w:t>
      </w:r>
      <w:r>
        <w:t>.</w:t>
      </w:r>
    </w:p>
    <w:p w14:paraId="3402684D" w14:textId="77777777" w:rsidR="008D6F13" w:rsidRDefault="008D6F13" w:rsidP="008D6F13">
      <w:pPr>
        <w:pStyle w:val="Note"/>
      </w:pPr>
      <w:r>
        <w:t>(b)</w:t>
      </w:r>
      <w:r>
        <w:tab/>
        <w:t>Mainly represents the guarantee of borrowings provided by the Treasurer for the public sector borrowings portfolio.</w:t>
      </w:r>
    </w:p>
    <w:p w14:paraId="5B682F42" w14:textId="77777777" w:rsidR="008D6F13" w:rsidRPr="000E40EC" w:rsidRDefault="008D6F13" w:rsidP="008D6F13">
      <w:pPr>
        <w:keepLines w:val="0"/>
      </w:pPr>
      <w:r w:rsidRPr="000E40EC">
        <w:br w:type="page"/>
      </w:r>
    </w:p>
    <w:p w14:paraId="46E9D649" w14:textId="77777777" w:rsidR="008D6F13" w:rsidRDefault="008D6F13" w:rsidP="008D6F13">
      <w:pPr>
        <w:pStyle w:val="Heading20"/>
      </w:pPr>
      <w:r>
        <w:lastRenderedPageBreak/>
        <w:t>Non-quantifiable contingent liabilities</w:t>
      </w:r>
    </w:p>
    <w:p w14:paraId="13CE8A29" w14:textId="77777777" w:rsidR="008D6F13" w:rsidRDefault="008D6F13" w:rsidP="008D6F13">
      <w:proofErr w:type="gramStart"/>
      <w:r>
        <w:t>A number of</w:t>
      </w:r>
      <w:proofErr w:type="gramEnd"/>
      <w:r>
        <w:t xml:space="preserve"> potential obligations are non-quantifiable at this time arising from:</w:t>
      </w:r>
    </w:p>
    <w:p w14:paraId="7596FFFD" w14:textId="77777777" w:rsidR="008D6F13" w:rsidRDefault="008D6F13" w:rsidP="008D6F13">
      <w:pPr>
        <w:pStyle w:val="ListBullet"/>
      </w:pPr>
      <w:r>
        <w:t>indemnities relating to transactions, including financial arrangements and consultancy services, as well as for directors and administrators</w:t>
      </w:r>
    </w:p>
    <w:p w14:paraId="3CE7767C" w14:textId="77777777" w:rsidR="008D6F13" w:rsidRDefault="008D6F13" w:rsidP="008D6F13">
      <w:pPr>
        <w:pStyle w:val="ListBullet"/>
      </w:pPr>
      <w:r>
        <w:t>performance guarantees, warranties, letters of comfort and the like</w:t>
      </w:r>
    </w:p>
    <w:p w14:paraId="16B94A57" w14:textId="77777777" w:rsidR="008D6F13" w:rsidRPr="004304F6" w:rsidRDefault="008D6F13" w:rsidP="008D6F13">
      <w:pPr>
        <w:pStyle w:val="ListBullet"/>
      </w:pPr>
      <w:r w:rsidRPr="004304F6">
        <w:t>deeds in respect of certain obligations</w:t>
      </w:r>
    </w:p>
    <w:p w14:paraId="5D65B688" w14:textId="77777777" w:rsidR="008D6F13" w:rsidRPr="004304F6" w:rsidRDefault="008D6F13" w:rsidP="008D6F13">
      <w:pPr>
        <w:pStyle w:val="ListBullet"/>
      </w:pPr>
      <w:r w:rsidRPr="004304F6">
        <w:t xml:space="preserve">unclaimed monies, which may be subject to future claims by the </w:t>
      </w:r>
      <w:proofErr w:type="gramStart"/>
      <w:r w:rsidRPr="004304F6">
        <w:t>general public</w:t>
      </w:r>
      <w:proofErr w:type="gramEnd"/>
      <w:r w:rsidRPr="004304F6">
        <w:t xml:space="preserve"> against the State.</w:t>
      </w:r>
    </w:p>
    <w:p w14:paraId="221871D3" w14:textId="77777777" w:rsidR="008D6F13" w:rsidRPr="004304F6" w:rsidRDefault="008D6F13" w:rsidP="008D6F13">
      <w:r w:rsidRPr="004304F6">
        <w:t>An overview of the more significant non-quantifiable liabilities follows.</w:t>
      </w:r>
    </w:p>
    <w:p w14:paraId="1ED36D24" w14:textId="77777777" w:rsidR="008D6F13" w:rsidRPr="004304F6" w:rsidRDefault="008D6F13" w:rsidP="008D6F13">
      <w:pPr>
        <w:pStyle w:val="Heading30"/>
      </w:pPr>
      <w:r w:rsidRPr="004304F6">
        <w:t xml:space="preserve">Biosciences Research Centre (known as </w:t>
      </w:r>
      <w:proofErr w:type="spellStart"/>
      <w:r w:rsidRPr="004304F6">
        <w:t>AgriBio</w:t>
      </w:r>
      <w:proofErr w:type="spellEnd"/>
      <w:r w:rsidRPr="004304F6">
        <w:t>)</w:t>
      </w:r>
    </w:p>
    <w:p w14:paraId="300ECE7A" w14:textId="77777777" w:rsidR="008D6F13" w:rsidRPr="004304F6" w:rsidRDefault="008D6F13" w:rsidP="008D6F13">
      <w:pPr>
        <w:pStyle w:val="Heading30"/>
        <w:rPr>
          <w:rFonts w:asciiTheme="minorHAnsi" w:eastAsiaTheme="minorHAnsi" w:hAnsiTheme="minorHAnsi" w:cstheme="minorBidi"/>
          <w:b w:val="0"/>
          <w:sz w:val="22"/>
          <w:szCs w:val="22"/>
        </w:rPr>
      </w:pPr>
      <w:r w:rsidRPr="004304F6">
        <w:rPr>
          <w:rFonts w:asciiTheme="minorHAnsi" w:eastAsiaTheme="minorHAnsi" w:hAnsiTheme="minorHAnsi" w:cstheme="minorBidi"/>
          <w:b w:val="0"/>
          <w:sz w:val="22"/>
          <w:szCs w:val="22"/>
        </w:rPr>
        <w:t xml:space="preserve">The quarterly service fee payment obligations of Biosciences Research Centre Pty Ltd (BRC Co) on behalf of the joint venture participants (Department of Jobs, Precincts and Regions and La Trobe University) are backed by the State of Victoria under a State Support Deed. </w:t>
      </w:r>
    </w:p>
    <w:p w14:paraId="4313F457" w14:textId="77777777" w:rsidR="008D6F13" w:rsidRPr="004304F6" w:rsidRDefault="008D6F13" w:rsidP="008D6F13">
      <w:pPr>
        <w:pStyle w:val="Heading30"/>
        <w:rPr>
          <w:rFonts w:asciiTheme="minorHAnsi" w:eastAsiaTheme="minorHAnsi" w:hAnsiTheme="minorHAnsi" w:cstheme="minorBidi"/>
          <w:b w:val="0"/>
          <w:sz w:val="22"/>
          <w:szCs w:val="22"/>
        </w:rPr>
      </w:pPr>
      <w:r w:rsidRPr="004304F6">
        <w:rPr>
          <w:rFonts w:asciiTheme="minorHAnsi" w:eastAsiaTheme="minorHAnsi" w:hAnsiTheme="minorHAnsi" w:cstheme="minorBidi"/>
          <w:b w:val="0"/>
          <w:sz w:val="22"/>
          <w:szCs w:val="22"/>
        </w:rPr>
        <w:t>Under this Deed, the State ensures that the joint venture participants have the financial capacity to meet their payment obligations to BRC Co, thereby enabling BRC Co to meet its obligations to pay the quarterly service fee to the concessionaire under the Project Agreement. The State underwrites the risk of any default by BRC Co.</w:t>
      </w:r>
    </w:p>
    <w:p w14:paraId="6F917529" w14:textId="77777777" w:rsidR="008D6F13" w:rsidRPr="004304F6" w:rsidRDefault="008D6F13" w:rsidP="008D6F13">
      <w:pPr>
        <w:pStyle w:val="Heading30"/>
      </w:pPr>
      <w:r w:rsidRPr="004304F6">
        <w:t>Department of Education and Training</w:t>
      </w:r>
    </w:p>
    <w:p w14:paraId="3A4891A4" w14:textId="77777777" w:rsidR="008D6F13" w:rsidRPr="004304F6" w:rsidRDefault="008D6F13" w:rsidP="008D6F13">
      <w:r w:rsidRPr="004304F6">
        <w:t xml:space="preserve">The Department has </w:t>
      </w:r>
      <w:proofErr w:type="gramStart"/>
      <w:r w:rsidRPr="004304F6">
        <w:t>a number of</w:t>
      </w:r>
      <w:proofErr w:type="gramEnd"/>
      <w:r w:rsidRPr="004304F6">
        <w:t xml:space="preserve"> non-quantifiable contingent liabilities, arising from indemnities provided by it, as follows:</w:t>
      </w:r>
    </w:p>
    <w:p w14:paraId="0D082237" w14:textId="51CE2100" w:rsidR="008D6F13" w:rsidRPr="004304F6" w:rsidRDefault="008D6F13" w:rsidP="008D6F13">
      <w:pPr>
        <w:pStyle w:val="ListBullet"/>
      </w:pPr>
      <w:r>
        <w:t>V</w:t>
      </w:r>
      <w:r w:rsidRPr="004304F6">
        <w:t>olunteer school workers and volunteer student workers</w:t>
      </w:r>
      <w:r>
        <w:t xml:space="preserve"> </w:t>
      </w:r>
      <w:r w:rsidR="007F1FE4">
        <w:t>–</w:t>
      </w:r>
      <w:r>
        <w:t xml:space="preserve"> </w:t>
      </w:r>
      <w:r w:rsidRPr="004304F6">
        <w:t>the</w:t>
      </w:r>
      <w:r>
        <w:t xml:space="preserve"> </w:t>
      </w:r>
      <w:r w:rsidRPr="004304F6">
        <w:rPr>
          <w:i/>
          <w:iCs/>
        </w:rPr>
        <w:t>Education and Training Reform Act 2006</w:t>
      </w:r>
      <w:r w:rsidRPr="004304F6">
        <w:t xml:space="preserve"> provides indemnity for personal injuries or death (and</w:t>
      </w:r>
      <w:r>
        <w:t>,</w:t>
      </w:r>
      <w:r w:rsidRPr="004304F6">
        <w:t xml:space="preserve"> at the discretion of the Minister, for property damage) suffered by volunteer school workers and volunteer student workers arising out of or in the course of engaging in </w:t>
      </w:r>
      <w:proofErr w:type="gramStart"/>
      <w:r w:rsidRPr="004304F6">
        <w:t>school work</w:t>
      </w:r>
      <w:proofErr w:type="gramEnd"/>
      <w:r w:rsidRPr="004304F6">
        <w:t xml:space="preserve"> or community work respectively</w:t>
      </w:r>
      <w:r>
        <w:t>.</w:t>
      </w:r>
    </w:p>
    <w:p w14:paraId="0C153F19" w14:textId="4C0AAE89" w:rsidR="008D6F13" w:rsidRDefault="008D6F13" w:rsidP="008D6F13">
      <w:pPr>
        <w:pStyle w:val="ListBullet"/>
      </w:pPr>
      <w:r>
        <w:t>T</w:t>
      </w:r>
      <w:r w:rsidRPr="00AA43AC">
        <w:t xml:space="preserve">eaching service and public </w:t>
      </w:r>
      <w:r>
        <w:t>sector</w:t>
      </w:r>
      <w:r w:rsidRPr="00AA43AC">
        <w:t xml:space="preserve"> employees</w:t>
      </w:r>
      <w:r>
        <w:t xml:space="preserve"> </w:t>
      </w:r>
      <w:r w:rsidR="007F1FE4">
        <w:t>–</w:t>
      </w:r>
      <w:r w:rsidRPr="00AA43AC">
        <w:t xml:space="preserve"> </w:t>
      </w:r>
      <w:r>
        <w:t>i</w:t>
      </w:r>
      <w:r w:rsidRPr="00AA43AC">
        <w:t>f</w:t>
      </w:r>
      <w:r>
        <w:t> </w:t>
      </w:r>
      <w:r w:rsidRPr="00AA43AC">
        <w:t>a Department employee is named as a defendant in a civil proceeding (for example</w:t>
      </w:r>
      <w:r>
        <w:t>,</w:t>
      </w:r>
      <w:r w:rsidRPr="00AA43AC">
        <w:t xml:space="preserve"> personal injury, </w:t>
      </w:r>
      <w:proofErr w:type="gramStart"/>
      <w:r w:rsidRPr="00AA43AC">
        <w:t>discrimination</w:t>
      </w:r>
      <w:proofErr w:type="gramEnd"/>
      <w:r w:rsidRPr="00AA43AC">
        <w:t xml:space="preserve"> or employment claim) any costs and damages will generally be paid by the Department provided the </w:t>
      </w:r>
      <w:r>
        <w:t>teacher</w:t>
      </w:r>
      <w:r w:rsidRPr="00AA43AC">
        <w:t xml:space="preserve"> was not under the influence of illicit drugs or alcohol or engaging in a criminal offence and the behaviour was not outrageous and was related to their employment</w:t>
      </w:r>
      <w:r>
        <w:t>.</w:t>
      </w:r>
    </w:p>
    <w:p w14:paraId="26224E84" w14:textId="611472D3" w:rsidR="008D6F13" w:rsidRPr="004304F6" w:rsidRDefault="008D6F13" w:rsidP="008D6F13">
      <w:pPr>
        <w:pStyle w:val="ListBullet"/>
      </w:pPr>
      <w:r>
        <w:t>B</w:t>
      </w:r>
      <w:r w:rsidRPr="004304F6">
        <w:t>oard members</w:t>
      </w:r>
      <w:r>
        <w:t xml:space="preserve"> </w:t>
      </w:r>
      <w:r w:rsidR="007F1FE4">
        <w:t>–</w:t>
      </w:r>
      <w:r w:rsidRPr="004304F6">
        <w:t xml:space="preserve"> the </w:t>
      </w:r>
      <w:r w:rsidRPr="004304F6">
        <w:rPr>
          <w:i/>
          <w:iCs/>
        </w:rPr>
        <w:t xml:space="preserve">Education and Training Reform Act 2006 </w:t>
      </w:r>
      <w:r w:rsidRPr="004304F6">
        <w:t>requires the State to indemnify a member of a Merit Protection Board or a Disciplinary Appeals Board for anything done or omitted to be done in good faith in the exercise of a power or the discharge of their statutory duties</w:t>
      </w:r>
      <w:r>
        <w:t>.</w:t>
      </w:r>
    </w:p>
    <w:p w14:paraId="0D2AECC8" w14:textId="77777777" w:rsidR="008D6F13" w:rsidRDefault="008D6F13" w:rsidP="008D6F13">
      <w:pPr>
        <w:pStyle w:val="ListBullet"/>
        <w:numPr>
          <w:ilvl w:val="0"/>
          <w:numId w:val="29"/>
        </w:numPr>
      </w:pPr>
      <w:r>
        <w:lastRenderedPageBreak/>
        <w:t xml:space="preserve">School councils - the </w:t>
      </w:r>
      <w:r w:rsidRPr="00B66329">
        <w:rPr>
          <w:i/>
        </w:rPr>
        <w:t>Education and Training Reform Act 2006</w:t>
      </w:r>
      <w:r>
        <w:t xml:space="preserve"> requires the Department to indemnify individual </w:t>
      </w:r>
      <w:r w:rsidRPr="007D4F86">
        <w:t>members</w:t>
      </w:r>
      <w:r>
        <w:t xml:space="preserve"> of school councils for any legal liability, whether in contract, </w:t>
      </w:r>
      <w:proofErr w:type="gramStart"/>
      <w:r>
        <w:t>negligence</w:t>
      </w:r>
      <w:proofErr w:type="gramEnd"/>
      <w:r>
        <w:t xml:space="preserve"> or defamation, if they acted in good faith</w:t>
      </w:r>
      <w:r w:rsidRPr="00A130F1">
        <w:t xml:space="preserve"> and in the </w:t>
      </w:r>
      <w:r>
        <w:t>exercise</w:t>
      </w:r>
      <w:r w:rsidRPr="00A130F1">
        <w:t xml:space="preserve"> of their powers o</w:t>
      </w:r>
      <w:r>
        <w:t>r</w:t>
      </w:r>
      <w:r w:rsidRPr="00A130F1">
        <w:t xml:space="preserve"> functions</w:t>
      </w:r>
      <w:r>
        <w:t xml:space="preserve">. The Department may decide to indemnify school councils (which are separate entities to the Department), in claims of common law negligence, employment disputes and other civil claims, for the cost of settlement and/or legal representation. The Department will </w:t>
      </w:r>
      <w:proofErr w:type="gramStart"/>
      <w:r>
        <w:t>take into account</w:t>
      </w:r>
      <w:proofErr w:type="gramEnd"/>
      <w:r>
        <w:t xml:space="preserve"> the impact of payment upon the school’s educational program and any insurance cover for the school council, and will likely indemnify if the Department is satisfied that: </w:t>
      </w:r>
    </w:p>
    <w:p w14:paraId="42CA6B6E" w14:textId="77777777" w:rsidR="008D6F13" w:rsidRDefault="008D6F13" w:rsidP="008D6F13">
      <w:pPr>
        <w:pStyle w:val="ListBullet2"/>
        <w:ind w:left="568" w:hanging="284"/>
      </w:pPr>
      <w:r>
        <w:t>the school council acted in good faith and according to issued guidelines and directions</w:t>
      </w:r>
    </w:p>
    <w:p w14:paraId="6A882C55" w14:textId="77777777" w:rsidR="008D6F13" w:rsidRDefault="008D6F13" w:rsidP="008D6F13">
      <w:pPr>
        <w:pStyle w:val="ListBullet2"/>
        <w:ind w:left="568" w:hanging="284"/>
      </w:pPr>
      <w:r>
        <w:t xml:space="preserve">the school council has insufficient funds to pay the claim. </w:t>
      </w:r>
    </w:p>
    <w:p w14:paraId="05199CC3" w14:textId="77777777" w:rsidR="008D6F13" w:rsidRPr="004304F6" w:rsidRDefault="008D6F13" w:rsidP="008D6F13">
      <w:pPr>
        <w:pStyle w:val="Heading30"/>
      </w:pPr>
      <w:r w:rsidRPr="004304F6">
        <w:t>National redress scheme – sexual abuse of children in institutions</w:t>
      </w:r>
    </w:p>
    <w:p w14:paraId="429F9D30" w14:textId="77777777" w:rsidR="008D6F13" w:rsidRPr="004304F6" w:rsidRDefault="008D6F13" w:rsidP="008D6F13">
      <w:r w:rsidRPr="004304F6">
        <w:t xml:space="preserve">On 13 June 2018, the </w:t>
      </w:r>
      <w:r w:rsidRPr="004304F6">
        <w:rPr>
          <w:i/>
          <w:iCs/>
        </w:rPr>
        <w:t>National Redress Scheme for Institutional Child Sexual Abuse (Commonwealth Powers) Act 2018</w:t>
      </w:r>
      <w:r w:rsidRPr="004304F6">
        <w:t xml:space="preserve"> commenced. </w:t>
      </w:r>
    </w:p>
    <w:p w14:paraId="005E04B2" w14:textId="77777777" w:rsidR="008D6F13" w:rsidRPr="004304F6" w:rsidRDefault="008D6F13" w:rsidP="008D6F13">
      <w:r w:rsidRPr="004304F6">
        <w:t xml:space="preserve">The Act refers powers to the Commonwealth Parliament to ensure that Victorian institutions can participate in the National Redress Scheme. The National Redress Scheme commenced on 1 July 2018 and will run for 10 years. The Scheme will deliver a financial payment of up to $150 000, access to psychological counselling and an apology from the responsible institution to eligible survivors of institutional child abuse. This implements a recommendation of the Victorian Parliamentary Inquiry Betrayal of Trust report and the Royal Commission into Institutional Responses to Child Sexual Abuse. </w:t>
      </w:r>
    </w:p>
    <w:p w14:paraId="31E6D45E" w14:textId="77777777" w:rsidR="008D6F13" w:rsidRPr="004304F6" w:rsidRDefault="008D6F13" w:rsidP="008D6F13">
      <w:r w:rsidRPr="004304F6">
        <w:t>The Government has committed funding across 10 years for the redress scheme. Due to the historical nature of the abuse in question, the precise number of eligible survivors of abuse is difficult to estimate. Consequently, the exact financial implications for Victoria remain uncertain.</w:t>
      </w:r>
      <w:r>
        <w:t xml:space="preserve"> </w:t>
      </w:r>
    </w:p>
    <w:p w14:paraId="7F6DDA5C" w14:textId="77777777" w:rsidR="008D6F13" w:rsidRPr="004304F6" w:rsidRDefault="008D6F13" w:rsidP="008D6F13">
      <w:pPr>
        <w:pStyle w:val="Heading30"/>
      </w:pPr>
      <w:r w:rsidRPr="004304F6">
        <w:t>Public acquisition overlays for the future development of rail and road infrastructure</w:t>
      </w:r>
    </w:p>
    <w:p w14:paraId="345EFD33" w14:textId="77777777" w:rsidR="008D6F13" w:rsidRPr="004304F6" w:rsidRDefault="008D6F13" w:rsidP="008D6F13">
      <w:r w:rsidRPr="004304F6">
        <w:t xml:space="preserve">Public acquisition overlays are in place to reserve certain areas of land for future development of rail and road infrastructure. Under section 98 of the </w:t>
      </w:r>
      <w:r w:rsidRPr="004304F6">
        <w:rPr>
          <w:i/>
          <w:iCs/>
        </w:rPr>
        <w:t>Planning and Environment Act 1987</w:t>
      </w:r>
      <w:r w:rsidRPr="004304F6">
        <w:t>, the State has a legislative responsibility to compensate eligible land and property owners who face either:</w:t>
      </w:r>
    </w:p>
    <w:p w14:paraId="3B245815" w14:textId="77777777" w:rsidR="008D6F13" w:rsidRPr="004304F6" w:rsidRDefault="008D6F13" w:rsidP="008D6F13">
      <w:pPr>
        <w:pStyle w:val="ListBullet"/>
      </w:pPr>
      <w:r w:rsidRPr="004304F6">
        <w:t>loss on sale – an eligible landowner is entitled to compensation for the incremental loss on sale when a property affected by a public acquisition overlay is sold for less than its market value</w:t>
      </w:r>
    </w:p>
    <w:p w14:paraId="7C53ED33" w14:textId="77777777" w:rsidR="008D6F13" w:rsidRPr="004304F6" w:rsidRDefault="008D6F13" w:rsidP="008D6F13">
      <w:pPr>
        <w:pStyle w:val="ListBullet"/>
      </w:pPr>
      <w:r w:rsidRPr="004304F6">
        <w:t>financial loss – the entitlement to financial loss compensation is triggered when a development permit is refused because the property is required for a public purpose.</w:t>
      </w:r>
    </w:p>
    <w:p w14:paraId="3ABFB9FC" w14:textId="77777777" w:rsidR="008D6F13" w:rsidRPr="004304F6" w:rsidRDefault="008D6F13" w:rsidP="008D6F13">
      <w:r w:rsidRPr="004304F6">
        <w:t xml:space="preserve">Compensation and purchase claims occur </w:t>
      </w:r>
      <w:proofErr w:type="gramStart"/>
      <w:r w:rsidRPr="004304F6">
        <w:t>as a result of</w:t>
      </w:r>
      <w:proofErr w:type="gramEnd"/>
      <w:r w:rsidRPr="004304F6">
        <w:t xml:space="preserve"> claims by land</w:t>
      </w:r>
      <w:r w:rsidRPr="004304F6">
        <w:noBreakHyphen/>
        <w:t xml:space="preserve">owners. The future liability depends on factors, including the number of claims received and the prevailing value of land at the time the claim is made, which cannot be reliably quantified. </w:t>
      </w:r>
    </w:p>
    <w:p w14:paraId="684EC725" w14:textId="77777777" w:rsidR="008D6F13" w:rsidRPr="004304F6" w:rsidRDefault="008D6F13" w:rsidP="008D6F13">
      <w:pPr>
        <w:pStyle w:val="Heading30"/>
      </w:pPr>
      <w:r w:rsidRPr="004304F6">
        <w:lastRenderedPageBreak/>
        <w:t>Public transport rail partnership agreements</w:t>
      </w:r>
    </w:p>
    <w:p w14:paraId="313AC509" w14:textId="77777777" w:rsidR="008D6F13" w:rsidRPr="004304F6" w:rsidRDefault="008D6F13" w:rsidP="008D6F13">
      <w:r w:rsidRPr="004304F6">
        <w:t>The Department of Transport (DoT) is party to contractual arrangements with franchisees to operate metropolitan rail transport services across the State, from 30 November 2017 until 30 November 2024. The major contingent liabilities arising in the event of early termination or expiry of the contract are:</w:t>
      </w:r>
    </w:p>
    <w:p w14:paraId="36A5C801" w14:textId="77777777" w:rsidR="008D6F13" w:rsidRPr="004304F6" w:rsidRDefault="008D6F13" w:rsidP="008D6F13">
      <w:pPr>
        <w:pStyle w:val="ListBullet"/>
      </w:pPr>
      <w:r w:rsidRPr="004304F6">
        <w:t>partnership assets – to maintain continuity of services, at early termination or expiry of the franchise contract, assets will revert to DoT or a successor. In the case of some assets, a reversion back to DoT would entail those assets being purchased</w:t>
      </w:r>
    </w:p>
    <w:p w14:paraId="10F6B11F" w14:textId="77777777" w:rsidR="008D6F13" w:rsidRPr="004304F6" w:rsidRDefault="008D6F13" w:rsidP="008D6F13">
      <w:pPr>
        <w:pStyle w:val="ListBullet"/>
      </w:pPr>
      <w:r w:rsidRPr="004304F6">
        <w:t xml:space="preserve">unfunded superannuation – at the early termination or expiry of the contract, DoT will assume any unfunded superannuation amounts (apart from contributions the operator is required to pay over the contract term) to the extent that the State becomes the successor operator. </w:t>
      </w:r>
    </w:p>
    <w:p w14:paraId="62F5B52C" w14:textId="77777777" w:rsidR="008D6F13" w:rsidRPr="007F50D6" w:rsidRDefault="008D6F13" w:rsidP="008D6F13">
      <w:pPr>
        <w:pStyle w:val="Heading30"/>
        <w:rPr>
          <w:i/>
          <w:iCs/>
        </w:rPr>
      </w:pPr>
      <w:r w:rsidRPr="007F50D6">
        <w:rPr>
          <w:i/>
          <w:iCs/>
        </w:rPr>
        <w:t>Firefighters</w:t>
      </w:r>
      <w:r>
        <w:rPr>
          <w:i/>
          <w:iCs/>
        </w:rPr>
        <w:t>’</w:t>
      </w:r>
      <w:r w:rsidRPr="007F50D6">
        <w:rPr>
          <w:i/>
          <w:iCs/>
        </w:rPr>
        <w:t xml:space="preserve"> Presumptive Rights Compensation and Fire Services Legislation Amendment (Reform) Act 2019</w:t>
      </w:r>
    </w:p>
    <w:p w14:paraId="07343AB2" w14:textId="77777777" w:rsidR="008D6F13" w:rsidRPr="004304F6" w:rsidRDefault="008D6F13" w:rsidP="008D6F13">
      <w:r w:rsidRPr="004304F6">
        <w:t xml:space="preserve">The </w:t>
      </w:r>
      <w:r w:rsidRPr="004304F6">
        <w:rPr>
          <w:i/>
          <w:iCs/>
        </w:rPr>
        <w:t>Firefighters</w:t>
      </w:r>
      <w:r>
        <w:rPr>
          <w:i/>
          <w:iCs/>
        </w:rPr>
        <w:t>’</w:t>
      </w:r>
      <w:r w:rsidRPr="004304F6">
        <w:rPr>
          <w:i/>
          <w:iCs/>
        </w:rPr>
        <w:t xml:space="preserve"> Presumptive Rights Compensation and Fire Services Legislation Amendment (Reform) Act 2019</w:t>
      </w:r>
      <w:r w:rsidRPr="004304F6">
        <w:t xml:space="preserve"> (the Act) received royal assent on 2 July 2019.</w:t>
      </w:r>
    </w:p>
    <w:p w14:paraId="79BC6CBE" w14:textId="77777777" w:rsidR="008D6F13" w:rsidRPr="004304F6" w:rsidRDefault="008D6F13" w:rsidP="008D6F13">
      <w:r w:rsidRPr="004304F6">
        <w:t>Part 2 of the Act, which came into operation on 3 July 2019, provides for the establishment and operation of the Firefighters</w:t>
      </w:r>
      <w:r>
        <w:t>’</w:t>
      </w:r>
      <w:r w:rsidRPr="004304F6">
        <w:t xml:space="preserve"> Presumptive Rights Compensation scheme for both career and volunteer firefighters. At the time of the preparation of this report, it is impractical to quantify any possible contingent liabilities for the State arising from the scheme. </w:t>
      </w:r>
    </w:p>
    <w:p w14:paraId="4CA4AA10" w14:textId="77777777" w:rsidR="008D6F13" w:rsidRPr="004304F6" w:rsidRDefault="008D6F13" w:rsidP="008D6F13">
      <w:pPr>
        <w:pStyle w:val="Heading30"/>
      </w:pPr>
      <w:proofErr w:type="spellStart"/>
      <w:r w:rsidRPr="004304F6">
        <w:t>Fiskville</w:t>
      </w:r>
      <w:proofErr w:type="spellEnd"/>
      <w:r w:rsidRPr="004304F6">
        <w:t xml:space="preserve"> independent investigation and closure of training college </w:t>
      </w:r>
    </w:p>
    <w:p w14:paraId="641CF729" w14:textId="77777777" w:rsidR="008D6F13" w:rsidRPr="004304F6" w:rsidRDefault="008D6F13" w:rsidP="008D6F13">
      <w:r w:rsidRPr="004304F6">
        <w:t xml:space="preserve">An independent investigation was undertaken into the historical use of chemicals for live firefighting training at </w:t>
      </w:r>
      <w:proofErr w:type="spellStart"/>
      <w:r w:rsidRPr="004304F6">
        <w:t>Fiskville</w:t>
      </w:r>
      <w:proofErr w:type="spellEnd"/>
      <w:r w:rsidRPr="004304F6">
        <w:t xml:space="preserve"> Training College (</w:t>
      </w:r>
      <w:proofErr w:type="spellStart"/>
      <w:r w:rsidRPr="004304F6">
        <w:t>Fiskville</w:t>
      </w:r>
      <w:proofErr w:type="spellEnd"/>
      <w:r w:rsidRPr="004304F6">
        <w:t xml:space="preserve">) between 1971 and 1999. The report of the independent investigation has been released and the Country Fire Authority (CFA) has accepted </w:t>
      </w:r>
      <w:proofErr w:type="gramStart"/>
      <w:r w:rsidRPr="004304F6">
        <w:t>all of</w:t>
      </w:r>
      <w:proofErr w:type="gramEnd"/>
      <w:r w:rsidRPr="004304F6">
        <w:t xml:space="preserve"> the facts, recommendations and conclusions and is committed to implementing all recommendations. </w:t>
      </w:r>
    </w:p>
    <w:p w14:paraId="4642C772" w14:textId="77777777" w:rsidR="008D6F13" w:rsidRPr="004304F6" w:rsidRDefault="008D6F13" w:rsidP="008D6F13">
      <w:r w:rsidRPr="004304F6">
        <w:t xml:space="preserve">In August 2012, the CFA established a program office to manage the implementation of the report recommendations and an additional 11 management initiatives to which the CFA Board committed in its response to the report.  </w:t>
      </w:r>
    </w:p>
    <w:p w14:paraId="0AEA3B4E" w14:textId="77777777" w:rsidR="008D6F13" w:rsidRDefault="008D6F13" w:rsidP="008D6F13">
      <w:r w:rsidRPr="004304F6">
        <w:t xml:space="preserve">On 26 March 2015, the Government announced the permanent closure of </w:t>
      </w:r>
      <w:proofErr w:type="spellStart"/>
      <w:r w:rsidRPr="004304F6">
        <w:t>Fiskville</w:t>
      </w:r>
      <w:proofErr w:type="spellEnd"/>
      <w:r w:rsidRPr="004304F6">
        <w:t xml:space="preserve">. </w:t>
      </w:r>
      <w:proofErr w:type="spellStart"/>
      <w:r w:rsidRPr="004304F6">
        <w:t>Fiskville</w:t>
      </w:r>
      <w:proofErr w:type="spellEnd"/>
      <w:r w:rsidRPr="004304F6">
        <w:t xml:space="preserve"> and Victorian Emergency Management Training Centre training grounds owned by the CFA at Penshurst, Bangholme, West Sale, Wangaratta, Huntly, and </w:t>
      </w:r>
      <w:proofErr w:type="spellStart"/>
      <w:r w:rsidRPr="004304F6">
        <w:t>Longerenong</w:t>
      </w:r>
      <w:proofErr w:type="spellEnd"/>
      <w:r w:rsidRPr="004304F6">
        <w:t xml:space="preserve"> have been the subject of notices issued by the Environment Protection Authority Victoria (EPA). In addition, </w:t>
      </w:r>
      <w:r>
        <w:t xml:space="preserve">the </w:t>
      </w:r>
      <w:r w:rsidRPr="004304F6">
        <w:t>CFA has received a clean</w:t>
      </w:r>
      <w:r>
        <w:t>-</w:t>
      </w:r>
      <w:r w:rsidRPr="004304F6">
        <w:t xml:space="preserve">up notice to remediate the immediate neighbouring properties located downstream of the formal </w:t>
      </w:r>
      <w:proofErr w:type="spellStart"/>
      <w:r w:rsidRPr="004304F6">
        <w:t>Fiskville</w:t>
      </w:r>
      <w:proofErr w:type="spellEnd"/>
      <w:r w:rsidRPr="004304F6">
        <w:t xml:space="preserve"> Training centre.</w:t>
      </w:r>
    </w:p>
    <w:p w14:paraId="56F1DF79" w14:textId="77777777" w:rsidR="008D6F13" w:rsidRPr="004304F6" w:rsidRDefault="008D6F13" w:rsidP="008D6F13">
      <w:r w:rsidRPr="004304F6">
        <w:t>The Government</w:t>
      </w:r>
      <w:r>
        <w:t>’</w:t>
      </w:r>
      <w:r w:rsidRPr="004304F6">
        <w:t xml:space="preserve">s response to the </w:t>
      </w:r>
      <w:proofErr w:type="spellStart"/>
      <w:r w:rsidRPr="004304F6">
        <w:t>Fiskville</w:t>
      </w:r>
      <w:proofErr w:type="spellEnd"/>
      <w:r w:rsidRPr="004304F6">
        <w:t xml:space="preserve"> Inquiry was tabled in Parliament on </w:t>
      </w:r>
      <w:r>
        <w:br/>
      </w:r>
      <w:r w:rsidRPr="004304F6">
        <w:t xml:space="preserve">24 November 2016. The response supported </w:t>
      </w:r>
      <w:proofErr w:type="gramStart"/>
      <w:r w:rsidRPr="004304F6">
        <w:t>all of</w:t>
      </w:r>
      <w:proofErr w:type="gramEnd"/>
      <w:r w:rsidRPr="004304F6">
        <w:t xml:space="preserve"> the 31 recommendations of the Victorian Parliamentary Inquiry into the CFA Training College at </w:t>
      </w:r>
      <w:proofErr w:type="spellStart"/>
      <w:r w:rsidRPr="004304F6">
        <w:t>Fiskville</w:t>
      </w:r>
      <w:proofErr w:type="spellEnd"/>
      <w:r w:rsidRPr="004304F6">
        <w:t xml:space="preserve">, either in full, in principle or in part. </w:t>
      </w:r>
    </w:p>
    <w:p w14:paraId="18171162" w14:textId="77777777" w:rsidR="008D6F13" w:rsidRPr="004304F6" w:rsidRDefault="008D6F13" w:rsidP="008D6F13">
      <w:pPr>
        <w:rPr>
          <w:b/>
        </w:rPr>
      </w:pPr>
      <w:r w:rsidRPr="004304F6">
        <w:lastRenderedPageBreak/>
        <w:t xml:space="preserve">The CFA has </w:t>
      </w:r>
      <w:proofErr w:type="gramStart"/>
      <w:r w:rsidRPr="004304F6">
        <w:t>a number of</w:t>
      </w:r>
      <w:proofErr w:type="gramEnd"/>
      <w:r w:rsidRPr="004304F6">
        <w:t xml:space="preserve"> contingent liabilities arising from the closure of </w:t>
      </w:r>
      <w:proofErr w:type="spellStart"/>
      <w:r w:rsidRPr="004304F6">
        <w:t>Fiskville</w:t>
      </w:r>
      <w:proofErr w:type="spellEnd"/>
      <w:r w:rsidRPr="004304F6">
        <w:t xml:space="preserve"> and the notices issued by the EPA. These relate to any further notices that may be issued by the EPA, any regulatory infringements that may be imposed by the EPA, compensation that may be sought, any legal claims that may be made, and recommendations made by the inquiry.</w:t>
      </w:r>
    </w:p>
    <w:p w14:paraId="480289B5" w14:textId="77777777" w:rsidR="008D6F13" w:rsidRPr="004304F6" w:rsidRDefault="008D6F13" w:rsidP="008D6F13">
      <w:pPr>
        <w:rPr>
          <w:b/>
        </w:rPr>
      </w:pPr>
      <w:r w:rsidRPr="004304F6">
        <w:t>At this stage it is impractical to quantify the financial effects of these contingent liabilities.</w:t>
      </w:r>
    </w:p>
    <w:p w14:paraId="2469CBEF" w14:textId="77777777" w:rsidR="008D6F13" w:rsidRPr="004304F6" w:rsidRDefault="008D6F13" w:rsidP="008D6F13">
      <w:pPr>
        <w:pStyle w:val="Heading30"/>
      </w:pPr>
      <w:r w:rsidRPr="004304F6">
        <w:t>Compulsory property acquisitions</w:t>
      </w:r>
    </w:p>
    <w:p w14:paraId="09C147E0" w14:textId="77777777" w:rsidR="008D6F13" w:rsidRPr="004304F6" w:rsidRDefault="008D6F13" w:rsidP="008D6F13">
      <w:r w:rsidRPr="004304F6">
        <w:t xml:space="preserve">The State has compulsorily acquired </w:t>
      </w:r>
      <w:proofErr w:type="gramStart"/>
      <w:r w:rsidRPr="004304F6">
        <w:t>a number of</w:t>
      </w:r>
      <w:proofErr w:type="gramEnd"/>
      <w:r w:rsidRPr="004304F6">
        <w:t xml:space="preserve"> properties (residential and commercial) through the </w:t>
      </w:r>
      <w:r w:rsidRPr="004304F6">
        <w:rPr>
          <w:i/>
          <w:iCs/>
        </w:rPr>
        <w:t>Land Acquisition and Compensation Act 1986</w:t>
      </w:r>
      <w:r w:rsidRPr="004304F6">
        <w:t xml:space="preserve"> to facilitate delivery of various projects. Possible future claims for compensation arising from the compulsory acquisition of these properties cannot be quantified at this stage.</w:t>
      </w:r>
    </w:p>
    <w:p w14:paraId="56EF0AC1" w14:textId="77777777" w:rsidR="008D6F13" w:rsidRPr="004304F6" w:rsidRDefault="008D6F13" w:rsidP="008D6F13">
      <w:pPr>
        <w:pStyle w:val="Heading30"/>
      </w:pPr>
      <w:r w:rsidRPr="004304F6">
        <w:t>Land remediation – environmental concerns</w:t>
      </w:r>
    </w:p>
    <w:p w14:paraId="2B7C78AA" w14:textId="77777777" w:rsidR="008D6F13" w:rsidRPr="004304F6" w:rsidRDefault="008D6F13" w:rsidP="008D6F13">
      <w:r w:rsidRPr="004304F6">
        <w:t>In addition to properties for which remediation costs have been provided in the State</w:t>
      </w:r>
      <w:r>
        <w:t>’</w:t>
      </w:r>
      <w:r w:rsidRPr="004304F6">
        <w:t xml:space="preserve">s financial statements, certain other properties have been identified as potentially contaminated sites. The State does not admit any liability in respect of these sites. However, remedial expenditure may be incurred to restore the sites to an acceptable environmental standard in the event contamination is identified. </w:t>
      </w:r>
    </w:p>
    <w:p w14:paraId="612DD079" w14:textId="77777777" w:rsidR="008D6F13" w:rsidRDefault="008D6F13" w:rsidP="008D6F13">
      <w:pPr>
        <w:pStyle w:val="Heading30"/>
      </w:pPr>
      <w:r w:rsidRPr="004304F6">
        <w:t>Royal Melbourne Showgrounds redevelopment</w:t>
      </w:r>
    </w:p>
    <w:p w14:paraId="35A38D12" w14:textId="77777777" w:rsidR="008D6F13" w:rsidRPr="00570B3E" w:rsidRDefault="008D6F13" w:rsidP="008D6F13">
      <w:r w:rsidRPr="00570B3E">
        <w:t>The State has entered into an agreement with the Royal Agricultural Society of Victoria (RASV) pursuant to which the State agrees to support certain payment obligations of RASV that may arise under the Non-Core Development Agreement subject to the RASV complying with certain obligations as set out in that Deed</w:t>
      </w:r>
      <w:r>
        <w:t>.</w:t>
      </w:r>
    </w:p>
    <w:p w14:paraId="5E67C095" w14:textId="77777777" w:rsidR="008D6F13" w:rsidRPr="004304F6" w:rsidRDefault="008D6F13" w:rsidP="008D6F13">
      <w:pPr>
        <w:pStyle w:val="Heading30"/>
      </w:pPr>
      <w:r w:rsidRPr="004304F6">
        <w:t>Native Title</w:t>
      </w:r>
    </w:p>
    <w:p w14:paraId="4D53F430" w14:textId="77777777" w:rsidR="008D6F13" w:rsidRPr="004304F6" w:rsidRDefault="008D6F13" w:rsidP="008D6F13">
      <w:proofErr w:type="gramStart"/>
      <w:r w:rsidRPr="004304F6">
        <w:t>A number of</w:t>
      </w:r>
      <w:proofErr w:type="gramEnd"/>
      <w:r w:rsidRPr="004304F6">
        <w:t xml:space="preserve"> claims have been filed in the Federal Court under the Commonwealth </w:t>
      </w:r>
      <w:r w:rsidRPr="004304F6">
        <w:rPr>
          <w:i/>
          <w:iCs/>
        </w:rPr>
        <w:t>Native</w:t>
      </w:r>
      <w:r>
        <w:rPr>
          <w:i/>
          <w:iCs/>
        </w:rPr>
        <w:t> </w:t>
      </w:r>
      <w:r w:rsidRPr="004304F6">
        <w:rPr>
          <w:i/>
          <w:iCs/>
        </w:rPr>
        <w:t>Title Act 1993</w:t>
      </w:r>
      <w:r w:rsidRPr="004304F6">
        <w:t xml:space="preserve"> that affect Victoria. It is not feasible </w:t>
      </w:r>
      <w:proofErr w:type="gramStart"/>
      <w:r w:rsidRPr="004304F6">
        <w:t>at this time</w:t>
      </w:r>
      <w:proofErr w:type="gramEnd"/>
      <w:r w:rsidRPr="004304F6">
        <w:t xml:space="preserve"> to quantify any future liability. </w:t>
      </w:r>
    </w:p>
    <w:p w14:paraId="28CBAA09" w14:textId="77777777" w:rsidR="008D6F13" w:rsidRPr="004304F6" w:rsidRDefault="008D6F13" w:rsidP="008D6F13">
      <w:pPr>
        <w:pStyle w:val="Heading30"/>
      </w:pPr>
      <w:r w:rsidRPr="004304F6">
        <w:t>Victorian Managed Insurance Authority – insurance cover</w:t>
      </w:r>
    </w:p>
    <w:p w14:paraId="2846D185" w14:textId="77777777" w:rsidR="008D6F13" w:rsidRPr="004304F6" w:rsidRDefault="008D6F13" w:rsidP="008D6F13">
      <w:r w:rsidRPr="004304F6">
        <w:t xml:space="preserve">The Victorian Managed Insurance Authority (VMIA) was established in 1996 as an insurer for State Government departments, participating bodies and other entities as defined under the </w:t>
      </w:r>
      <w:r w:rsidRPr="004304F6">
        <w:rPr>
          <w:i/>
          <w:iCs/>
        </w:rPr>
        <w:t>Victorian Managed Insurance Authority Act 1996</w:t>
      </w:r>
      <w:r w:rsidRPr="004304F6">
        <w:t xml:space="preserve">. The VMIA </w:t>
      </w:r>
      <w:proofErr w:type="gramStart"/>
      <w:r w:rsidRPr="004304F6">
        <w:t>insures</w:t>
      </w:r>
      <w:proofErr w:type="gramEnd"/>
      <w:r w:rsidRPr="004304F6">
        <w:t xml:space="preserve"> its clients for property, public and products liability, professional indemnity, contract works and domestic building insurance for the Victorian residential builders. </w:t>
      </w:r>
    </w:p>
    <w:p w14:paraId="3FE0A246" w14:textId="77777777" w:rsidR="008D6F13" w:rsidRPr="004304F6" w:rsidRDefault="008D6F13" w:rsidP="008D6F13">
      <w:r w:rsidRPr="004304F6">
        <w:t>The VMIA reinsures in the private market up to limits that protect from events with</w:t>
      </w:r>
      <w:r>
        <w:t xml:space="preserve"> </w:t>
      </w:r>
      <w:r w:rsidRPr="004304F6">
        <w:t>a likelihood of at least 1 in 200 years and considers reinsurance on a cost benefit</w:t>
      </w:r>
      <w:r>
        <w:t xml:space="preserve"> </w:t>
      </w:r>
      <w:r w:rsidRPr="004304F6">
        <w:t xml:space="preserve">basis beyond that point. The risk of losses above what </w:t>
      </w:r>
      <w:r>
        <w:t xml:space="preserve">the </w:t>
      </w:r>
      <w:r w:rsidRPr="004304F6">
        <w:t>VMIA reinsures in the</w:t>
      </w:r>
      <w:r>
        <w:t xml:space="preserve"> </w:t>
      </w:r>
      <w:r w:rsidRPr="004304F6">
        <w:t>private market is borne by the State.</w:t>
      </w:r>
    </w:p>
    <w:p w14:paraId="27BE31CC" w14:textId="77777777" w:rsidR="008D6F13" w:rsidRDefault="008D6F13" w:rsidP="008D6F13">
      <w:pPr>
        <w:ind w:right="198"/>
      </w:pPr>
      <w:r w:rsidRPr="004304F6">
        <w:lastRenderedPageBreak/>
        <w:t xml:space="preserve">The VMIA also </w:t>
      </w:r>
      <w:proofErr w:type="gramStart"/>
      <w:r w:rsidRPr="004304F6">
        <w:t>insures</w:t>
      </w:r>
      <w:proofErr w:type="gramEnd"/>
      <w:r w:rsidRPr="004304F6">
        <w:t xml:space="preserve"> the Department of Health for all public sector medical indemnity claims incurred from 1 July 2003. Under the indemnity deed to provide stop loss protection for the VMIA, the Department of Treasury and Finance has agreed to reimburse the VMIA if the costs for the claims for a policy exceeds the initial estimate, on which the risk premium was based, by more than 20 per cent.</w:t>
      </w:r>
    </w:p>
    <w:p w14:paraId="468914D5" w14:textId="77777777" w:rsidR="008D6F13" w:rsidRPr="004304F6" w:rsidRDefault="008D6F13" w:rsidP="008D6F13">
      <w:r w:rsidRPr="00D34E08">
        <w:t>Under separate deed</w:t>
      </w:r>
      <w:r>
        <w:t>s</w:t>
      </w:r>
      <w:r w:rsidRPr="00D34E08">
        <w:t xml:space="preserve"> of indemnity, the State has agreed to reimburse </w:t>
      </w:r>
      <w:r>
        <w:t xml:space="preserve">the </w:t>
      </w:r>
      <w:r w:rsidRPr="00D34E08">
        <w:t xml:space="preserve">VMIA for losses above a certain limit that </w:t>
      </w:r>
      <w:r>
        <w:t xml:space="preserve">the </w:t>
      </w:r>
      <w:r w:rsidRPr="00D34E08">
        <w:t>VMIA may incur due to changes in the availability of reinsurance.</w:t>
      </w:r>
    </w:p>
    <w:p w14:paraId="13F1124A" w14:textId="77777777" w:rsidR="008D6F13" w:rsidRPr="004304F6" w:rsidRDefault="008D6F13" w:rsidP="008D6F13">
      <w:pPr>
        <w:pStyle w:val="Heading30"/>
      </w:pPr>
      <w:r w:rsidRPr="004304F6">
        <w:t>Coronavirus (COVID-19) class action – Victorian businesses</w:t>
      </w:r>
    </w:p>
    <w:p w14:paraId="22574B5F" w14:textId="77777777" w:rsidR="008D6F13" w:rsidRPr="004304F6" w:rsidRDefault="008D6F13" w:rsidP="008D6F13">
      <w:r w:rsidRPr="004304F6">
        <w:t xml:space="preserve">A class action has been filed in the Supreme Court of Victoria against the State of Victoria, the Ministers for Health and Jobs, and the Secretaries of the Department of Health and Human Services (DHHS) and the Department of Jobs, Precincts and Regions (DJPR) relating to </w:t>
      </w:r>
      <w:r>
        <w:t>S</w:t>
      </w:r>
      <w:r w:rsidRPr="004304F6">
        <w:t>tage 3 and 4 public health restrictions. The VMIA has been notified of this proceeding. VMIA</w:t>
      </w:r>
      <w:r>
        <w:t>’</w:t>
      </w:r>
      <w:r w:rsidRPr="004304F6">
        <w:t xml:space="preserve">s Combined Liability Policy will respond. </w:t>
      </w:r>
    </w:p>
    <w:p w14:paraId="09F32E9E" w14:textId="77777777" w:rsidR="008D6F13" w:rsidRPr="004304F6" w:rsidRDefault="008D6F13" w:rsidP="008D6F13">
      <w:r w:rsidRPr="004304F6">
        <w:t>At this stage it is impractical to quantify the financial effects of this contingent liability.</w:t>
      </w:r>
    </w:p>
    <w:p w14:paraId="5150123A" w14:textId="77777777" w:rsidR="008D6F13" w:rsidRPr="004304F6" w:rsidRDefault="008D6F13" w:rsidP="008D6F13">
      <w:pPr>
        <w:pStyle w:val="Heading30"/>
      </w:pPr>
      <w:r w:rsidRPr="004304F6">
        <w:t>Coronavirus (COVID-19) class action – Victorian residents</w:t>
      </w:r>
    </w:p>
    <w:p w14:paraId="07D82912" w14:textId="77777777" w:rsidR="008D6F13" w:rsidRPr="004304F6" w:rsidRDefault="008D6F13" w:rsidP="008D6F13">
      <w:r w:rsidRPr="004304F6">
        <w:t xml:space="preserve">A class action has been filed in the Supreme Court of Victoria against the State of Victoria, the Ministers for Health and Jobs, and the Secretaries of DHHS and DJPR, relating to the </w:t>
      </w:r>
      <w:r>
        <w:t>S</w:t>
      </w:r>
      <w:r w:rsidRPr="004304F6">
        <w:t>tage 3 and 4 public health restrictions. The VMIA has been notified of this proceeding. VMIA</w:t>
      </w:r>
      <w:r>
        <w:t>’</w:t>
      </w:r>
      <w:r w:rsidRPr="004304F6">
        <w:t>s Combined Liability Policy will respond.</w:t>
      </w:r>
    </w:p>
    <w:p w14:paraId="0AAC3D88" w14:textId="77777777" w:rsidR="008D6F13" w:rsidRPr="004304F6" w:rsidRDefault="008D6F13" w:rsidP="008D6F13">
      <w:r w:rsidRPr="004304F6">
        <w:t>At this stage it is impractical to quantify the financial effects of this contingent liability.</w:t>
      </w:r>
    </w:p>
    <w:p w14:paraId="0CC14168" w14:textId="77777777" w:rsidR="008D6F13" w:rsidRPr="004304F6" w:rsidRDefault="008D6F13" w:rsidP="008D6F13">
      <w:pPr>
        <w:pStyle w:val="Heading30"/>
      </w:pPr>
      <w:r w:rsidRPr="004304F6">
        <w:t xml:space="preserve">Coronavirus (COVID-19) related claim notifications </w:t>
      </w:r>
    </w:p>
    <w:p w14:paraId="6CF6F2B1" w14:textId="77777777" w:rsidR="008D6F13" w:rsidRPr="004304F6" w:rsidRDefault="008D6F13" w:rsidP="008D6F13">
      <w:r w:rsidRPr="004304F6">
        <w:t xml:space="preserve">The Department of Transport may receive notifications under the contractual agreements by the contractors in relation to the possible impact of COVID-19 on </w:t>
      </w:r>
      <w:proofErr w:type="gramStart"/>
      <w:r w:rsidRPr="004304F6">
        <w:t>a number of</w:t>
      </w:r>
      <w:proofErr w:type="gramEnd"/>
      <w:r w:rsidRPr="004304F6">
        <w:t xml:space="preserve"> projects. Possible future claims cannot be reliably estimated at this stage as quantifiable claims have not yet been provided under the contract. </w:t>
      </w:r>
    </w:p>
    <w:p w14:paraId="58C96E2E" w14:textId="77777777" w:rsidR="008D6F13" w:rsidRPr="004304F6" w:rsidRDefault="008D6F13" w:rsidP="008D6F13">
      <w:r w:rsidRPr="004304F6">
        <w:t>Until detailed claims have been submitted and substantiated by the contractors, it is not possible to estimate the financial effect of the claims.</w:t>
      </w:r>
    </w:p>
    <w:p w14:paraId="4294BA8B" w14:textId="77777777" w:rsidR="008D6F13" w:rsidRPr="004304F6" w:rsidRDefault="008D6F13" w:rsidP="008D6F13">
      <w:pPr>
        <w:pStyle w:val="Heading30"/>
      </w:pPr>
      <w:r w:rsidRPr="004304F6">
        <w:t>Coronavirus (COVID-19) class action – Public Housing Towers residents</w:t>
      </w:r>
    </w:p>
    <w:p w14:paraId="5EC54C8C" w14:textId="77777777" w:rsidR="008D6F13" w:rsidRPr="004304F6" w:rsidRDefault="008D6F13" w:rsidP="008D6F13">
      <w:r w:rsidRPr="004304F6">
        <w:t xml:space="preserve">A class action </w:t>
      </w:r>
      <w:r>
        <w:t>was</w:t>
      </w:r>
      <w:r w:rsidRPr="004304F6">
        <w:t xml:space="preserve"> filed in the Supreme Court of Victoria against the State of Victoria, the Chief Commissioner of Police, and Drs Annaliese </w:t>
      </w:r>
      <w:proofErr w:type="gramStart"/>
      <w:r w:rsidRPr="004304F6">
        <w:t>Van</w:t>
      </w:r>
      <w:proofErr w:type="gramEnd"/>
      <w:r w:rsidRPr="004304F6">
        <w:t xml:space="preserve"> Diemen and Finn Romanes in their capacity as authorised officers under the </w:t>
      </w:r>
      <w:r w:rsidRPr="004304F6">
        <w:rPr>
          <w:i/>
          <w:iCs/>
        </w:rPr>
        <w:t>Public Health and Wellbeing Act 2008</w:t>
      </w:r>
      <w:r w:rsidRPr="004304F6">
        <w:t xml:space="preserve"> (Vic) relating to the decision to declare localised public health restrictions</w:t>
      </w:r>
      <w:r>
        <w:t>.</w:t>
      </w:r>
      <w:r w:rsidRPr="004304F6">
        <w:t xml:space="preserve"> The VMIA has been notified of this proceeding. VMIA</w:t>
      </w:r>
      <w:r>
        <w:t>’</w:t>
      </w:r>
      <w:r w:rsidRPr="004304F6">
        <w:t xml:space="preserve">s Combined Liability Policy will respond. </w:t>
      </w:r>
    </w:p>
    <w:p w14:paraId="52167FD5" w14:textId="77777777" w:rsidR="008D6F13" w:rsidRPr="004304F6" w:rsidRDefault="008D6F13" w:rsidP="008D6F13">
      <w:r w:rsidRPr="004304F6">
        <w:t>At this stage it is impractical to quantify the financial effects of this contingent liability</w:t>
      </w:r>
      <w:r>
        <w:t>.</w:t>
      </w:r>
    </w:p>
    <w:p w14:paraId="4432FA93" w14:textId="77777777" w:rsidR="008D6F13" w:rsidRPr="004304F6" w:rsidRDefault="008D6F13" w:rsidP="008D6F13">
      <w:pPr>
        <w:pStyle w:val="Heading30"/>
      </w:pPr>
      <w:r w:rsidRPr="004304F6">
        <w:lastRenderedPageBreak/>
        <w:t>Southern Cross Target Capacity threshold</w:t>
      </w:r>
    </w:p>
    <w:p w14:paraId="72C3BE54" w14:textId="77777777" w:rsidR="008D6F13" w:rsidRPr="004304F6" w:rsidRDefault="008D6F13" w:rsidP="008D6F13">
      <w:r w:rsidRPr="004304F6">
        <w:t>The State has a possible liability relating to a claim from the contractor responsible for operating and maintaining Southern Cross Station. The claim relates to patronage levels at the station and the contract provides a process to assess whether modifications to the station, compensation to the contractor or changes to service standards are required. The claim is being considered and the financial effect is yet to be determined.</w:t>
      </w:r>
    </w:p>
    <w:p w14:paraId="5A69900E" w14:textId="77777777" w:rsidR="008D6F13" w:rsidRPr="004304F6" w:rsidRDefault="008D6F13" w:rsidP="008D6F13">
      <w:pPr>
        <w:pStyle w:val="Heading30"/>
      </w:pPr>
      <w:r w:rsidRPr="004304F6">
        <w:t xml:space="preserve">The Royal Commission into the Management of Police Informants </w:t>
      </w:r>
    </w:p>
    <w:p w14:paraId="1EC84686" w14:textId="77777777" w:rsidR="008D6F13" w:rsidRPr="004304F6" w:rsidRDefault="008D6F13" w:rsidP="008D6F13">
      <w:r w:rsidRPr="004304F6">
        <w:t xml:space="preserve">The Royal Commission into the Management of Police Informants commenced hearings in February 2019. The final report and recommendations were delivered to the </w:t>
      </w:r>
      <w:r>
        <w:br/>
      </w:r>
      <w:r w:rsidRPr="004304F6">
        <w:t xml:space="preserve">Governor of Victoria on 30 November 2020. </w:t>
      </w:r>
    </w:p>
    <w:p w14:paraId="04464991" w14:textId="77777777" w:rsidR="008D6F13" w:rsidRPr="004304F6" w:rsidRDefault="008D6F13" w:rsidP="008D6F13">
      <w:r w:rsidRPr="004304F6">
        <w:t xml:space="preserve">Victoria Police anticipates it may receive claims for compensation. Victoria Police will assess any litigation as it arises. </w:t>
      </w:r>
    </w:p>
    <w:p w14:paraId="1780ECB6" w14:textId="77777777" w:rsidR="008D6F13" w:rsidRPr="004304F6" w:rsidRDefault="008D6F13" w:rsidP="008D6F13">
      <w:r w:rsidRPr="004304F6">
        <w:t>At this stage it is impractical to quantify the financial effects of these contingent liabilities.</w:t>
      </w:r>
    </w:p>
    <w:p w14:paraId="4805BBF6" w14:textId="77777777" w:rsidR="008D6F13" w:rsidRPr="004304F6" w:rsidRDefault="008D6F13" w:rsidP="008D6F13">
      <w:pPr>
        <w:pStyle w:val="Heading30"/>
      </w:pPr>
      <w:r w:rsidRPr="004304F6">
        <w:t xml:space="preserve">Planning scheme compensation </w:t>
      </w:r>
    </w:p>
    <w:p w14:paraId="1F08AEE6" w14:textId="77777777" w:rsidR="008D6F13" w:rsidRPr="004304F6" w:rsidRDefault="008D6F13" w:rsidP="008D6F13">
      <w:r w:rsidRPr="004304F6">
        <w:t xml:space="preserve">Under section 98 of the </w:t>
      </w:r>
      <w:r w:rsidRPr="004304F6">
        <w:rPr>
          <w:i/>
          <w:iCs/>
        </w:rPr>
        <w:t>Planning and Environment Act 1987</w:t>
      </w:r>
      <w:r w:rsidRPr="004304F6">
        <w:t xml:space="preserve">, the owner or occupier of any land may claim compensation from the planning authority for financial loss suffered as the natural, </w:t>
      </w:r>
      <w:proofErr w:type="gramStart"/>
      <w:r w:rsidRPr="004304F6">
        <w:t>direct</w:t>
      </w:r>
      <w:proofErr w:type="gramEnd"/>
      <w:r w:rsidRPr="004304F6">
        <w:t xml:space="preserve"> and reasonable consequence of the land being reserved, or declared as reserved for a public purpose under a planning scheme. </w:t>
      </w:r>
    </w:p>
    <w:p w14:paraId="2B2A81ED" w14:textId="77777777" w:rsidR="008D6F13" w:rsidRPr="004304F6" w:rsidRDefault="008D6F13" w:rsidP="008D6F13">
      <w:r w:rsidRPr="004304F6">
        <w:t xml:space="preserve">The future liability depends on </w:t>
      </w:r>
      <w:proofErr w:type="gramStart"/>
      <w:r w:rsidRPr="004304F6">
        <w:t>a number of</w:t>
      </w:r>
      <w:proofErr w:type="gramEnd"/>
      <w:r w:rsidRPr="004304F6">
        <w:t xml:space="preserve"> factors and cannot be reliably quantified.</w:t>
      </w:r>
    </w:p>
    <w:p w14:paraId="2B753A28" w14:textId="77777777" w:rsidR="008D6F13" w:rsidRPr="004304F6" w:rsidRDefault="008D6F13" w:rsidP="008D6F13">
      <w:pPr>
        <w:pStyle w:val="Heading30"/>
      </w:pPr>
      <w:r w:rsidRPr="004304F6">
        <w:t xml:space="preserve">Yallourn Power Station Safety Net </w:t>
      </w:r>
    </w:p>
    <w:p w14:paraId="4B44E9C5" w14:textId="77777777" w:rsidR="008D6F13" w:rsidRPr="004304F6" w:rsidRDefault="008D6F13" w:rsidP="008D6F13">
      <w:r w:rsidRPr="004304F6">
        <w:t xml:space="preserve">The Government has reached an agreement with </w:t>
      </w:r>
      <w:proofErr w:type="spellStart"/>
      <w:r w:rsidRPr="004304F6">
        <w:t>EnergyAustralia</w:t>
      </w:r>
      <w:proofErr w:type="spellEnd"/>
      <w:r w:rsidRPr="004304F6">
        <w:t xml:space="preserve"> (EA) to ensure an orderly transition as EA implements the closure of the Yallourn Power Station in June</w:t>
      </w:r>
      <w:r>
        <w:t> </w:t>
      </w:r>
      <w:r w:rsidRPr="004304F6">
        <w:t xml:space="preserve">2028. </w:t>
      </w:r>
    </w:p>
    <w:p w14:paraId="2DC91138" w14:textId="77777777" w:rsidR="008D6F13" w:rsidRPr="004304F6" w:rsidRDefault="008D6F13" w:rsidP="008D6F13">
      <w:r w:rsidRPr="004304F6">
        <w:t xml:space="preserve">The agreement includes, should it be needed, a safety net to avoid an unplanned exit from Yallourn. </w:t>
      </w:r>
    </w:p>
    <w:p w14:paraId="15A66557" w14:textId="77777777" w:rsidR="008D6F13" w:rsidRPr="004304F6" w:rsidRDefault="008D6F13" w:rsidP="008D6F13">
      <w:r w:rsidRPr="004304F6">
        <w:t>As part of this safety net, under certain scenarios, the State agrees to provide partial support to EA in the event of exceptional costs incurred in the operation of the Yallourn Power Station.</w:t>
      </w:r>
    </w:p>
    <w:p w14:paraId="2B8A85D6" w14:textId="77777777" w:rsidR="008D6F13" w:rsidRPr="004304F6" w:rsidRDefault="008D6F13" w:rsidP="008D6F13">
      <w:r w:rsidRPr="004304F6">
        <w:t>This support will help to ensure Yallourn</w:t>
      </w:r>
      <w:r>
        <w:t>’</w:t>
      </w:r>
      <w:r w:rsidRPr="004304F6">
        <w:t>s workers and Victoria</w:t>
      </w:r>
      <w:r>
        <w:t>’</w:t>
      </w:r>
      <w:r w:rsidRPr="004304F6">
        <w:t>s energy system have sufficient time to plan for the plant</w:t>
      </w:r>
      <w:r>
        <w:t>’</w:t>
      </w:r>
      <w:r w:rsidRPr="004304F6">
        <w:t xml:space="preserve">s closure. The possible liability depends on </w:t>
      </w:r>
      <w:proofErr w:type="gramStart"/>
      <w:r w:rsidRPr="004304F6">
        <w:t>a number of</w:t>
      </w:r>
      <w:proofErr w:type="gramEnd"/>
      <w:r w:rsidRPr="004304F6">
        <w:t xml:space="preserve"> future events and cannot be reliably and readily quantified.</w:t>
      </w:r>
    </w:p>
    <w:p w14:paraId="47D1460B" w14:textId="77777777" w:rsidR="00694FFD" w:rsidRDefault="00694FFD">
      <w:pPr>
        <w:keepLines w:val="0"/>
        <w:rPr>
          <w:rFonts w:asciiTheme="majorHAnsi" w:eastAsiaTheme="majorEastAsia" w:hAnsiTheme="majorHAnsi" w:cstheme="majorBidi"/>
          <w:b/>
          <w:sz w:val="23"/>
          <w:szCs w:val="24"/>
        </w:rPr>
      </w:pPr>
      <w:r>
        <w:br w:type="page"/>
      </w:r>
    </w:p>
    <w:p w14:paraId="7C3D244D" w14:textId="34CA1696" w:rsidR="008D6F13" w:rsidRDefault="008D6F13" w:rsidP="008D6F13">
      <w:pPr>
        <w:pStyle w:val="Heading30"/>
      </w:pPr>
      <w:r w:rsidRPr="004304F6">
        <w:lastRenderedPageBreak/>
        <w:t>West Gate Tunnel Project</w:t>
      </w:r>
      <w:r>
        <w:t xml:space="preserve"> </w:t>
      </w:r>
    </w:p>
    <w:p w14:paraId="50A69BB4" w14:textId="77777777" w:rsidR="008D6F13" w:rsidRDefault="008D6F13" w:rsidP="008D6F13">
      <w:r>
        <w:t xml:space="preserve">The State and the Transurban Group </w:t>
      </w:r>
      <w:proofErr w:type="gramStart"/>
      <w:r>
        <w:t>entered into</w:t>
      </w:r>
      <w:proofErr w:type="gramEnd"/>
      <w:r>
        <w:t xml:space="preserve"> a public private partnership contract for the Transurban Group to build, operate and maintain the West Gate Tunnel project.</w:t>
      </w:r>
    </w:p>
    <w:p w14:paraId="22B01A70" w14:textId="77777777" w:rsidR="008D6F13" w:rsidRDefault="008D6F13" w:rsidP="008D6F13">
      <w:r w:rsidRPr="0024629B">
        <w:t>The project has experienced difficulties in its delivery program and as a result, Transurban has advised the Australian Stock Exchange that it no longer believes the project can be completed in 2023. In addition, parties to the Project Agreement and design and construction subcontract have lodged legal claims against the other parties. The State has engaged in active negotiations with all parties to resolve disputes in relation to the project.</w:t>
      </w:r>
    </w:p>
    <w:p w14:paraId="58F3108E" w14:textId="77777777" w:rsidR="008D6F13" w:rsidRDefault="008D6F13" w:rsidP="008D6F13"/>
    <w:p w14:paraId="314AF1E0" w14:textId="6885F8F8" w:rsidR="007F1FE4" w:rsidRDefault="007F1FE4">
      <w:pPr>
        <w:keepLines w:val="0"/>
      </w:pPr>
      <w:r>
        <w:br w:type="page"/>
      </w:r>
    </w:p>
    <w:p w14:paraId="6D0514F7" w14:textId="77777777" w:rsidR="008D6F13" w:rsidRDefault="008D6F13" w:rsidP="003610AD"/>
    <w:p w14:paraId="76AD26A5" w14:textId="6BB07F00" w:rsidR="007F1FE4" w:rsidRDefault="007F1FE4" w:rsidP="003610AD">
      <w:pPr>
        <w:sectPr w:rsidR="007F1FE4" w:rsidSect="00231812">
          <w:footerReference w:type="even" r:id="rId52"/>
          <w:footerReference w:type="default" r:id="rId53"/>
          <w:footerReference w:type="first" r:id="rId54"/>
          <w:pgSz w:w="9979" w:h="14175" w:code="9"/>
          <w:pgMar w:top="1134" w:right="1134" w:bottom="1134" w:left="1134" w:header="624" w:footer="567" w:gutter="0"/>
          <w:cols w:space="708"/>
          <w:docGrid w:linePitch="360"/>
        </w:sectPr>
      </w:pPr>
    </w:p>
    <w:p w14:paraId="20CAAC00" w14:textId="77777777" w:rsidR="008D6F13" w:rsidRDefault="008D6F13" w:rsidP="008D6F13">
      <w:pPr>
        <w:pStyle w:val="ChapterHeading"/>
      </w:pPr>
      <w:bookmarkStart w:id="116" w:name="_Toc9342174"/>
      <w:bookmarkStart w:id="117" w:name="_Toc71814108"/>
      <w:bookmarkStart w:id="118" w:name="_Toc89423596"/>
      <w:bookmarkStart w:id="119" w:name="_Toc472072539"/>
      <w:bookmarkStart w:id="120" w:name="_Toc512435576"/>
      <w:r w:rsidRPr="00C972C5">
        <w:lastRenderedPageBreak/>
        <w:t>A</w:t>
      </w:r>
      <w:r>
        <w:t>p</w:t>
      </w:r>
      <w:r w:rsidRPr="00C972C5">
        <w:t>pendix</w:t>
      </w:r>
      <w:r>
        <w:t xml:space="preserve"> A – </w:t>
      </w:r>
      <w:r w:rsidRPr="005568F8">
        <w:t>Specific policy initiatives affecting the budget position</w:t>
      </w:r>
      <w:bookmarkEnd w:id="116"/>
      <w:bookmarkEnd w:id="117"/>
      <w:bookmarkEnd w:id="118"/>
    </w:p>
    <w:p w14:paraId="1A35316D" w14:textId="77777777" w:rsidR="008D6F13" w:rsidRDefault="008D6F13" w:rsidP="008D6F13">
      <w:pPr>
        <w:ind w:right="-94"/>
      </w:pPr>
      <w:r>
        <w:t xml:space="preserve">Appendix A outlines specific policy initiatives that affect outputs and assets, including Treasurer’s Advances, agreed by the Government since the </w:t>
      </w:r>
      <w:r w:rsidRPr="0083184F">
        <w:rPr>
          <w:i/>
          <w:iCs/>
        </w:rPr>
        <w:t>2021-22 Budget</w:t>
      </w:r>
      <w:r>
        <w:t>.</w:t>
      </w:r>
    </w:p>
    <w:p w14:paraId="05B5E9A2" w14:textId="77777777" w:rsidR="008D6F13" w:rsidRDefault="008D6F13" w:rsidP="008D6F13">
      <w:pPr>
        <w:ind w:right="-94"/>
      </w:pPr>
      <w:r>
        <w:t>The following tables provide details of:</w:t>
      </w:r>
    </w:p>
    <w:p w14:paraId="2ED0A6D2" w14:textId="77777777" w:rsidR="008D6F13" w:rsidRDefault="008D6F13" w:rsidP="008D6F13">
      <w:pPr>
        <w:pStyle w:val="ListBullet"/>
      </w:pPr>
      <w:r>
        <w:t>revenue initiatives</w:t>
      </w:r>
    </w:p>
    <w:p w14:paraId="159C9E42" w14:textId="77777777" w:rsidR="008D6F13" w:rsidRDefault="008D6F13" w:rsidP="008D6F13">
      <w:pPr>
        <w:pStyle w:val="ListBullet"/>
      </w:pPr>
      <w:r>
        <w:t>output and asset initiatives for departments.</w:t>
      </w:r>
    </w:p>
    <w:p w14:paraId="347006E5" w14:textId="77777777" w:rsidR="008D6F13" w:rsidRDefault="008D6F13" w:rsidP="008D6F13">
      <w:pPr>
        <w:ind w:right="-94"/>
      </w:pPr>
      <w:r>
        <w:t>Appendix A also includes a cross reference between initiatives and their relevant departmental outputs, which indicates the impact of policy decisions on relevant portfolios.</w:t>
      </w:r>
    </w:p>
    <w:p w14:paraId="48C54C84" w14:textId="77777777" w:rsidR="008D6F13" w:rsidRDefault="008D6F13" w:rsidP="008D6F13">
      <w:pPr>
        <w:ind w:right="-94"/>
      </w:pPr>
      <w:r>
        <w:t>The figures included are generally the gross costs of decisions. Funding from reprioritisation and other sources has not been deducted from the total cost of new initiatives.</w:t>
      </w:r>
    </w:p>
    <w:p w14:paraId="508B486A" w14:textId="77777777" w:rsidR="008D6F13" w:rsidRPr="00D45697" w:rsidRDefault="008D6F13" w:rsidP="008D6F13">
      <w:pPr>
        <w:pStyle w:val="Heading10"/>
      </w:pPr>
      <w:bookmarkStart w:id="121" w:name="_Toc71814122"/>
      <w:bookmarkStart w:id="122" w:name="_Toc89418966"/>
      <w:bookmarkStart w:id="123" w:name="_Toc89419190"/>
      <w:bookmarkStart w:id="124" w:name="_Toc89420148"/>
      <w:bookmarkStart w:id="125" w:name="_Toc89423388"/>
      <w:bookmarkStart w:id="126" w:name="_Toc89423597"/>
      <w:bookmarkStart w:id="127" w:name="_Toc71814109"/>
      <w:bookmarkEnd w:id="119"/>
      <w:bookmarkEnd w:id="120"/>
      <w:r>
        <w:t xml:space="preserve">Revenue </w:t>
      </w:r>
      <w:r w:rsidRPr="00D45697">
        <w:t>initiatives</w:t>
      </w:r>
      <w:bookmarkEnd w:id="121"/>
      <w:bookmarkEnd w:id="122"/>
      <w:bookmarkEnd w:id="123"/>
      <w:bookmarkEnd w:id="124"/>
      <w:bookmarkEnd w:id="125"/>
      <w:bookmarkEnd w:id="126"/>
    </w:p>
    <w:p w14:paraId="0A65E6E6" w14:textId="77777777" w:rsidR="008D6F13" w:rsidRDefault="008D6F13" w:rsidP="008D6F13">
      <w:pPr>
        <w:pStyle w:val="TableHeading"/>
      </w:pPr>
      <w:r>
        <w:t>Table A.1:</w:t>
      </w:r>
      <w:r>
        <w:tab/>
        <w:t>Revenue initiatives</w:t>
      </w:r>
      <w:r>
        <w:tab/>
        <w:t>($ million)</w:t>
      </w:r>
    </w:p>
    <w:tbl>
      <w:tblPr>
        <w:tblStyle w:val="DTFTableNumeric"/>
        <w:tblW w:w="7710" w:type="dxa"/>
        <w:tblLayout w:type="fixed"/>
        <w:tblLook w:val="06A0" w:firstRow="1" w:lastRow="0" w:firstColumn="1" w:lastColumn="0" w:noHBand="1" w:noVBand="1"/>
      </w:tblPr>
      <w:tblGrid>
        <w:gridCol w:w="4534"/>
        <w:gridCol w:w="794"/>
        <w:gridCol w:w="794"/>
        <w:gridCol w:w="794"/>
        <w:gridCol w:w="794"/>
      </w:tblGrid>
      <w:tr w:rsidR="008D6F13" w14:paraId="0D077063"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0257B79C" w14:textId="4B50685B" w:rsidR="008D6F13" w:rsidRDefault="008D6F13" w:rsidP="0031078F"/>
        </w:tc>
        <w:tc>
          <w:tcPr>
            <w:tcW w:w="794" w:type="dxa"/>
          </w:tcPr>
          <w:p w14:paraId="7A2B9C08"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p>
        </w:tc>
        <w:tc>
          <w:tcPr>
            <w:tcW w:w="794" w:type="dxa"/>
          </w:tcPr>
          <w:p w14:paraId="760DE03B"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p>
        </w:tc>
        <w:tc>
          <w:tcPr>
            <w:tcW w:w="794" w:type="dxa"/>
          </w:tcPr>
          <w:p w14:paraId="0D603BFC"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p>
        </w:tc>
        <w:tc>
          <w:tcPr>
            <w:tcW w:w="794" w:type="dxa"/>
          </w:tcPr>
          <w:p w14:paraId="3FE9F276"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p>
        </w:tc>
      </w:tr>
      <w:tr w:rsidR="008D6F13" w14:paraId="71DEA789"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716F3F6F" w14:textId="77777777" w:rsidR="008D6F13" w:rsidRDefault="008D6F13" w:rsidP="0031078F">
            <w:r>
              <w:rPr>
                <w:b/>
              </w:rPr>
              <w:t>Revenue measures</w:t>
            </w:r>
          </w:p>
        </w:tc>
        <w:tc>
          <w:tcPr>
            <w:tcW w:w="794" w:type="dxa"/>
          </w:tcPr>
          <w:p w14:paraId="53E16B6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9E12B0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E3B72C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9AECC4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7C624D61"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05CE2F61" w14:textId="77777777" w:rsidR="008D6F13" w:rsidRDefault="008D6F13" w:rsidP="0031078F">
            <w:r>
              <w:t>Further payroll tax deferrals for universities</w:t>
            </w:r>
          </w:p>
        </w:tc>
        <w:tc>
          <w:tcPr>
            <w:tcW w:w="794" w:type="dxa"/>
            <w:tcBorders>
              <w:bottom w:val="single" w:sz="6" w:space="0" w:color="auto"/>
            </w:tcBorders>
          </w:tcPr>
          <w:p w14:paraId="51FC526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57F26C7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0A3922A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4CF2097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32ECE4DB"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623F8E0D" w14:textId="77777777" w:rsidR="008D6F13" w:rsidRDefault="008D6F13" w:rsidP="0031078F">
            <w:r>
              <w:rPr>
                <w:b/>
              </w:rPr>
              <w:t>Total revenue initiatives</w:t>
            </w:r>
          </w:p>
        </w:tc>
        <w:tc>
          <w:tcPr>
            <w:tcW w:w="794" w:type="dxa"/>
          </w:tcPr>
          <w:p w14:paraId="3B3986D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Pr>
          <w:p w14:paraId="28F6416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Pr>
          <w:p w14:paraId="0A37730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Pr>
          <w:p w14:paraId="0C444A8E" w14:textId="11F6FCE4"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w:t>
            </w:r>
          </w:p>
        </w:tc>
      </w:tr>
    </w:tbl>
    <w:p w14:paraId="45147309" w14:textId="77777777" w:rsidR="008D6F13" w:rsidRPr="00C972C5" w:rsidRDefault="008D6F13" w:rsidP="008D6F13">
      <w:pPr>
        <w:pStyle w:val="Source"/>
      </w:pPr>
      <w:r w:rsidRPr="00C972C5">
        <w:t>Source: Department of Treasury and Finance</w:t>
      </w:r>
    </w:p>
    <w:p w14:paraId="3C8DF311" w14:textId="77777777" w:rsidR="008D6F13" w:rsidRDefault="008D6F13" w:rsidP="008D6F13">
      <w:pPr>
        <w:pStyle w:val="Heading4"/>
      </w:pPr>
      <w:r>
        <w:t xml:space="preserve">Revenue initiatives </w:t>
      </w:r>
    </w:p>
    <w:p w14:paraId="2CB2A200" w14:textId="77777777" w:rsidR="008D6F13" w:rsidRPr="00697E16" w:rsidRDefault="008D6F13" w:rsidP="008D6F13">
      <w:pPr>
        <w:pStyle w:val="Heading5"/>
      </w:pPr>
      <w:r>
        <w:t>Further payroll tax deferrals for universities</w:t>
      </w:r>
    </w:p>
    <w:p w14:paraId="5BFDB722" w14:textId="77777777" w:rsidR="008D6F13" w:rsidRDefault="008D6F13" w:rsidP="008D6F13">
      <w:r w:rsidRPr="007418EB">
        <w:t>Universities will have more time to repay existing payroll tax deferrals worth $130 million that were granted in 2020</w:t>
      </w:r>
      <w:r>
        <w:t>, with the payment schedule extended from June 2023 to December of that year</w:t>
      </w:r>
      <w:r w:rsidRPr="007418EB">
        <w:t xml:space="preserve">. Universities will also be granted further payroll tax deferrals worth approximately $135 million for tax payable for 2021-22. These payments will be repaid in two instalments in </w:t>
      </w:r>
      <w:r>
        <w:t xml:space="preserve">June and December </w:t>
      </w:r>
      <w:r w:rsidRPr="007418EB">
        <w:t>2024.</w:t>
      </w:r>
    </w:p>
    <w:p w14:paraId="2F678B17" w14:textId="77777777" w:rsidR="008D6F13" w:rsidRDefault="008D6F13" w:rsidP="008D6F13">
      <w:r w:rsidRPr="00900915">
        <w:t>These deferrals will support universities that are experiencing ongoing revenue shortfalls due to the downturn of international student enrolments resulting from the COVID</w:t>
      </w:r>
      <w:r w:rsidRPr="00900915">
        <w:noBreakHyphen/>
        <w:t>19 pandemic and ensure universities retain as many staff as possible.</w:t>
      </w:r>
    </w:p>
    <w:p w14:paraId="324FAEDF" w14:textId="77777777" w:rsidR="008D6F13" w:rsidRDefault="008D6F13" w:rsidP="008D6F13">
      <w:pPr>
        <w:pStyle w:val="Heading10"/>
        <w:pageBreakBefore/>
      </w:pPr>
      <w:bookmarkStart w:id="128" w:name="_Toc71814111"/>
      <w:bookmarkStart w:id="129" w:name="_Toc89418967"/>
      <w:bookmarkStart w:id="130" w:name="_Toc89419191"/>
      <w:bookmarkStart w:id="131" w:name="_Toc89420149"/>
      <w:bookmarkStart w:id="132" w:name="_Toc89423389"/>
      <w:bookmarkStart w:id="133" w:name="_Toc89423598"/>
      <w:bookmarkEnd w:id="127"/>
      <w:r>
        <w:lastRenderedPageBreak/>
        <w:t>Department of Education and Training</w:t>
      </w:r>
      <w:bookmarkEnd w:id="128"/>
      <w:bookmarkEnd w:id="129"/>
      <w:bookmarkEnd w:id="130"/>
      <w:bookmarkEnd w:id="131"/>
      <w:bookmarkEnd w:id="132"/>
      <w:bookmarkEnd w:id="133"/>
    </w:p>
    <w:p w14:paraId="35F47FB9" w14:textId="77777777" w:rsidR="008D6F13" w:rsidRDefault="008D6F13" w:rsidP="008D6F13">
      <w:pPr>
        <w:pStyle w:val="Heading20"/>
      </w:pPr>
      <w:r>
        <w:t>Output initiatives</w:t>
      </w:r>
    </w:p>
    <w:p w14:paraId="7FD4A675" w14:textId="77777777" w:rsidR="008D6F13" w:rsidRDefault="008D6F13" w:rsidP="008D6F13">
      <w:pPr>
        <w:pStyle w:val="TableHeading"/>
      </w:pPr>
      <w:r>
        <w:t>Table A.2:</w:t>
      </w:r>
      <w:r>
        <w:tab/>
        <w:t>Output initiatives – Department of Education and Training</w:t>
      </w:r>
      <w:r>
        <w:tab/>
        <w:t>($ million)</w:t>
      </w:r>
    </w:p>
    <w:tbl>
      <w:tblPr>
        <w:tblStyle w:val="DTFTableNumeric"/>
        <w:tblW w:w="7710" w:type="dxa"/>
        <w:tblLayout w:type="fixed"/>
        <w:tblLook w:val="06A0" w:firstRow="1" w:lastRow="0" w:firstColumn="1" w:lastColumn="0" w:noHBand="1" w:noVBand="1"/>
      </w:tblPr>
      <w:tblGrid>
        <w:gridCol w:w="4534"/>
        <w:gridCol w:w="794"/>
        <w:gridCol w:w="794"/>
        <w:gridCol w:w="794"/>
        <w:gridCol w:w="794"/>
      </w:tblGrid>
      <w:tr w:rsidR="008D6F13" w14:paraId="2C26FDFA"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1C02D6EF" w14:textId="0C2A9AF0" w:rsidR="008D6F13" w:rsidRDefault="008D6F13" w:rsidP="0031078F"/>
        </w:tc>
        <w:tc>
          <w:tcPr>
            <w:tcW w:w="794" w:type="dxa"/>
          </w:tcPr>
          <w:p w14:paraId="33FC4F30"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p>
        </w:tc>
        <w:tc>
          <w:tcPr>
            <w:tcW w:w="794" w:type="dxa"/>
          </w:tcPr>
          <w:p w14:paraId="7176BF66"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p>
        </w:tc>
        <w:tc>
          <w:tcPr>
            <w:tcW w:w="794" w:type="dxa"/>
          </w:tcPr>
          <w:p w14:paraId="73999986"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p>
        </w:tc>
        <w:tc>
          <w:tcPr>
            <w:tcW w:w="794" w:type="dxa"/>
          </w:tcPr>
          <w:p w14:paraId="66A3920E"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p>
        </w:tc>
      </w:tr>
      <w:tr w:rsidR="008D6F13" w14:paraId="2AB21DC2"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6EEA1FF5" w14:textId="77777777" w:rsidR="008D6F13" w:rsidRDefault="008D6F13" w:rsidP="0031078F">
            <w:r>
              <w:rPr>
                <w:b/>
              </w:rPr>
              <w:t>School Education</w:t>
            </w:r>
          </w:p>
        </w:tc>
        <w:tc>
          <w:tcPr>
            <w:tcW w:w="794" w:type="dxa"/>
          </w:tcPr>
          <w:p w14:paraId="26D8E66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A0CB72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4DACE3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9263AF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6A823C6E"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0E2C5C25" w14:textId="77777777" w:rsidR="008D6F13" w:rsidRDefault="008D6F13" w:rsidP="0031078F">
            <w:r>
              <w:t>Air purification and shade sails for schools</w:t>
            </w:r>
          </w:p>
        </w:tc>
        <w:tc>
          <w:tcPr>
            <w:tcW w:w="794" w:type="dxa"/>
          </w:tcPr>
          <w:p w14:paraId="56D7A18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147.3</w:t>
            </w:r>
          </w:p>
        </w:tc>
        <w:tc>
          <w:tcPr>
            <w:tcW w:w="794" w:type="dxa"/>
          </w:tcPr>
          <w:p w14:paraId="295D7B3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24C8A0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D5900D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596D3CBB"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21553043" w14:textId="77777777" w:rsidR="008D6F13" w:rsidRDefault="008D6F13" w:rsidP="0031078F">
            <w:r>
              <w:t>COVID</w:t>
            </w:r>
            <w:r>
              <w:noBreakHyphen/>
              <w:t>19 school and kindergarten services cleaning Terms 3 and 4</w:t>
            </w:r>
          </w:p>
        </w:tc>
        <w:tc>
          <w:tcPr>
            <w:tcW w:w="794" w:type="dxa"/>
          </w:tcPr>
          <w:p w14:paraId="5C294E2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45.6</w:t>
            </w:r>
          </w:p>
        </w:tc>
        <w:tc>
          <w:tcPr>
            <w:tcW w:w="794" w:type="dxa"/>
          </w:tcPr>
          <w:p w14:paraId="37A944B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3BE83B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ED0C04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4A28EE32"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4EBFC326" w14:textId="663542DB" w:rsidR="008D6F13" w:rsidRDefault="008D6F13" w:rsidP="0031078F">
            <w:r>
              <w:t xml:space="preserve">Positive start </w:t>
            </w:r>
            <w:r w:rsidR="005A7369">
              <w:t>in</w:t>
            </w:r>
            <w:r>
              <w:t xml:space="preserve"> 2022</w:t>
            </w:r>
          </w:p>
        </w:tc>
        <w:tc>
          <w:tcPr>
            <w:tcW w:w="794" w:type="dxa"/>
          </w:tcPr>
          <w:p w14:paraId="2DAE744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69.1</w:t>
            </w:r>
          </w:p>
        </w:tc>
        <w:tc>
          <w:tcPr>
            <w:tcW w:w="794" w:type="dxa"/>
          </w:tcPr>
          <w:p w14:paraId="18AEA73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43.9</w:t>
            </w:r>
          </w:p>
        </w:tc>
        <w:tc>
          <w:tcPr>
            <w:tcW w:w="794" w:type="dxa"/>
          </w:tcPr>
          <w:p w14:paraId="7F5205B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8B2B07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1CFBD443"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1F46BEA5" w14:textId="77777777" w:rsidR="008D6F13" w:rsidRDefault="008D6F13" w:rsidP="0031078F">
            <w:r>
              <w:t>Tutor learning initiative extension</w:t>
            </w:r>
          </w:p>
        </w:tc>
        <w:tc>
          <w:tcPr>
            <w:tcW w:w="794" w:type="dxa"/>
          </w:tcPr>
          <w:p w14:paraId="780C888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116.5</w:t>
            </w:r>
          </w:p>
        </w:tc>
        <w:tc>
          <w:tcPr>
            <w:tcW w:w="794" w:type="dxa"/>
          </w:tcPr>
          <w:p w14:paraId="13DF3D1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113.9</w:t>
            </w:r>
          </w:p>
        </w:tc>
        <w:tc>
          <w:tcPr>
            <w:tcW w:w="794" w:type="dxa"/>
          </w:tcPr>
          <w:p w14:paraId="7636D00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FD86DD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148EBEC4"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040AD66D" w14:textId="77777777" w:rsidR="008D6F13" w:rsidRDefault="008D6F13" w:rsidP="0031078F">
            <w:r>
              <w:rPr>
                <w:b/>
              </w:rPr>
              <w:t>Training, Higher Education and Workforce Development</w:t>
            </w:r>
          </w:p>
        </w:tc>
        <w:tc>
          <w:tcPr>
            <w:tcW w:w="794" w:type="dxa"/>
          </w:tcPr>
          <w:p w14:paraId="2ED0BD0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8F0C6E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80B747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A7EFBC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00A363D0"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43393022" w14:textId="77777777" w:rsidR="008D6F13" w:rsidRDefault="008D6F13" w:rsidP="0031078F">
            <w:r>
              <w:t>A new TAFE funding arrangement</w:t>
            </w:r>
          </w:p>
        </w:tc>
        <w:tc>
          <w:tcPr>
            <w:tcW w:w="794" w:type="dxa"/>
            <w:tcBorders>
              <w:bottom w:val="single" w:sz="6" w:space="0" w:color="auto"/>
            </w:tcBorders>
          </w:tcPr>
          <w:p w14:paraId="03F8546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72.1</w:t>
            </w:r>
          </w:p>
        </w:tc>
        <w:tc>
          <w:tcPr>
            <w:tcW w:w="794" w:type="dxa"/>
            <w:tcBorders>
              <w:bottom w:val="single" w:sz="6" w:space="0" w:color="auto"/>
            </w:tcBorders>
          </w:tcPr>
          <w:p w14:paraId="68CADB4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55.5</w:t>
            </w:r>
          </w:p>
        </w:tc>
        <w:tc>
          <w:tcPr>
            <w:tcW w:w="794" w:type="dxa"/>
            <w:tcBorders>
              <w:bottom w:val="single" w:sz="6" w:space="0" w:color="auto"/>
            </w:tcBorders>
          </w:tcPr>
          <w:p w14:paraId="494AB67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28.6</w:t>
            </w:r>
          </w:p>
        </w:tc>
        <w:tc>
          <w:tcPr>
            <w:tcW w:w="794" w:type="dxa"/>
            <w:tcBorders>
              <w:bottom w:val="single" w:sz="6" w:space="0" w:color="auto"/>
            </w:tcBorders>
          </w:tcPr>
          <w:p w14:paraId="5246C93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5B4D66DF"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1738C196" w14:textId="77777777" w:rsidR="008D6F13" w:rsidRDefault="008D6F13" w:rsidP="0031078F">
            <w:r>
              <w:rPr>
                <w:b/>
              </w:rPr>
              <w:t xml:space="preserve">Total output initiatives </w:t>
            </w:r>
            <w:r>
              <w:rPr>
                <w:b/>
                <w:vertAlign w:val="superscript"/>
              </w:rPr>
              <w:t>(a)</w:t>
            </w:r>
          </w:p>
        </w:tc>
        <w:tc>
          <w:tcPr>
            <w:tcW w:w="794" w:type="dxa"/>
          </w:tcPr>
          <w:p w14:paraId="7767529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450.6</w:t>
            </w:r>
          </w:p>
        </w:tc>
        <w:tc>
          <w:tcPr>
            <w:tcW w:w="794" w:type="dxa"/>
          </w:tcPr>
          <w:p w14:paraId="51D91C1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213.3</w:t>
            </w:r>
          </w:p>
        </w:tc>
        <w:tc>
          <w:tcPr>
            <w:tcW w:w="794" w:type="dxa"/>
          </w:tcPr>
          <w:p w14:paraId="1116EEA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28.6</w:t>
            </w:r>
          </w:p>
        </w:tc>
        <w:tc>
          <w:tcPr>
            <w:tcW w:w="794" w:type="dxa"/>
          </w:tcPr>
          <w:p w14:paraId="37CD5547" w14:textId="125619DB"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w:t>
            </w:r>
          </w:p>
        </w:tc>
      </w:tr>
    </w:tbl>
    <w:p w14:paraId="4370704C" w14:textId="77777777" w:rsidR="008D6F13" w:rsidRDefault="008D6F13" w:rsidP="008D6F13">
      <w:pPr>
        <w:pStyle w:val="Source"/>
      </w:pPr>
      <w:r w:rsidRPr="00252ED7">
        <w:t>Source: Department of Treasury and Finance</w:t>
      </w:r>
    </w:p>
    <w:p w14:paraId="4B90F40B" w14:textId="77777777" w:rsidR="008D6F13" w:rsidRDefault="008D6F13" w:rsidP="008D6F13">
      <w:pPr>
        <w:pStyle w:val="Note"/>
      </w:pPr>
      <w:r>
        <w:t>Note:</w:t>
      </w:r>
    </w:p>
    <w:p w14:paraId="12EF1B12" w14:textId="77777777" w:rsidR="008D6F13" w:rsidRDefault="008D6F13" w:rsidP="008D6F13">
      <w:pPr>
        <w:pStyle w:val="Note"/>
      </w:pPr>
      <w:r>
        <w:t xml:space="preserve">(a) </w:t>
      </w:r>
      <w:r>
        <w:tab/>
      </w:r>
      <w:r w:rsidRPr="00B82015">
        <w:t>Table may not add due to rounding.</w:t>
      </w:r>
    </w:p>
    <w:p w14:paraId="79EE498B" w14:textId="77777777" w:rsidR="008D6F13" w:rsidRDefault="008D6F13" w:rsidP="008D6F13">
      <w:pPr>
        <w:pStyle w:val="Heading4"/>
      </w:pPr>
      <w:r>
        <w:t>School Education</w:t>
      </w:r>
    </w:p>
    <w:p w14:paraId="458848B1" w14:textId="77777777" w:rsidR="008D6F13" w:rsidRPr="00697E16" w:rsidRDefault="008D6F13" w:rsidP="008D6F13">
      <w:pPr>
        <w:pStyle w:val="Heading5"/>
      </w:pPr>
      <w:r>
        <w:t>Air purification and shade sails for schools</w:t>
      </w:r>
    </w:p>
    <w:p w14:paraId="1859770F" w14:textId="77777777" w:rsidR="008D6F13" w:rsidRDefault="008D6F13" w:rsidP="008D6F13">
      <w:r>
        <w:t>Funding is provided for air purification devices in government and low-fee non</w:t>
      </w:r>
      <w:r>
        <w:noBreakHyphen/>
        <w:t>government schools to help reduce the risk of COVID-19 transmission</w:t>
      </w:r>
      <w:r w:rsidDel="00AA28A9">
        <w:t>.</w:t>
      </w:r>
      <w:r>
        <w:t xml:space="preserve"> Funding is also provided to support ventilation assessments in schools to support a safe learning environment.</w:t>
      </w:r>
      <w:r w:rsidDel="00AA28A9">
        <w:t xml:space="preserve"> </w:t>
      </w:r>
    </w:p>
    <w:p w14:paraId="3B393C3D" w14:textId="77777777" w:rsidR="008D6F13" w:rsidRPr="007A1B3C" w:rsidRDefault="008D6F13" w:rsidP="008D6F13">
      <w:r w:rsidDel="00AA28A9">
        <w:t>In</w:t>
      </w:r>
      <w:r>
        <w:t xml:space="preserve"> addition, the School Shade Sails Fund will assist with the purchase of new shade sails to create more outdoor learning spaces at government and non-government schools. </w:t>
      </w:r>
    </w:p>
    <w:p w14:paraId="1DC8B612" w14:textId="77777777" w:rsidR="008D6F13" w:rsidRDefault="008D6F13" w:rsidP="008D6F13">
      <w:r>
        <w:t xml:space="preserve">This initiative contributes to the Department of Education and Training’s: </w:t>
      </w:r>
    </w:p>
    <w:p w14:paraId="37FD9613" w14:textId="77777777" w:rsidR="008D6F13" w:rsidRDefault="008D6F13" w:rsidP="008D6F13">
      <w:pPr>
        <w:pStyle w:val="ListBullet"/>
      </w:pPr>
      <w:r w:rsidRPr="009E2865">
        <w:t>School Education – Primary output</w:t>
      </w:r>
      <w:r>
        <w:t xml:space="preserve"> </w:t>
      </w:r>
    </w:p>
    <w:p w14:paraId="16731FF6" w14:textId="77777777" w:rsidR="008D6F13" w:rsidRDefault="008D6F13" w:rsidP="008D6F13">
      <w:pPr>
        <w:pStyle w:val="ListBullet"/>
      </w:pPr>
      <w:r>
        <w:t>School Education – Secondary output.</w:t>
      </w:r>
    </w:p>
    <w:p w14:paraId="599DD7AA" w14:textId="77777777" w:rsidR="008D6F13" w:rsidRPr="00697E16" w:rsidRDefault="008D6F13" w:rsidP="008D6F13">
      <w:pPr>
        <w:pStyle w:val="Heading5"/>
      </w:pPr>
      <w:r>
        <w:t>COVID-19 school and kindergarten services cleaning Terms 3 and 4</w:t>
      </w:r>
    </w:p>
    <w:p w14:paraId="1767708C" w14:textId="77777777" w:rsidR="008D6F13" w:rsidRDefault="008D6F13" w:rsidP="008D6F13">
      <w:r>
        <w:t xml:space="preserve">Additional funding is provided for enhanced cleaning of kindergarten services and government schools in Terms 3 and 4. This will support enhanced cleaning, including of high-touch surfaces to help minimise the risk of COVID-19 transmission, and deep cleans for areas where there has been a child, </w:t>
      </w:r>
      <w:proofErr w:type="gramStart"/>
      <w:r>
        <w:t>student</w:t>
      </w:r>
      <w:proofErr w:type="gramEnd"/>
      <w:r>
        <w:t xml:space="preserve"> or staff member with COVID-19.</w:t>
      </w:r>
    </w:p>
    <w:p w14:paraId="765571E3" w14:textId="77777777" w:rsidR="008D6F13" w:rsidRDefault="008D6F13" w:rsidP="008D6F13">
      <w:r>
        <w:t xml:space="preserve">This initiative contributes to the Department of Education and Training’s: </w:t>
      </w:r>
    </w:p>
    <w:p w14:paraId="46FF1929" w14:textId="77777777" w:rsidR="008D6F13" w:rsidRDefault="008D6F13" w:rsidP="008D6F13">
      <w:pPr>
        <w:pStyle w:val="ListBullet"/>
      </w:pPr>
      <w:r>
        <w:t>Early Childhood Education output</w:t>
      </w:r>
    </w:p>
    <w:p w14:paraId="437511EF" w14:textId="77777777" w:rsidR="008D6F13" w:rsidRDefault="008D6F13" w:rsidP="008D6F13">
      <w:pPr>
        <w:pStyle w:val="ListBullet"/>
      </w:pPr>
      <w:r>
        <w:t xml:space="preserve">School Education – Primary output </w:t>
      </w:r>
    </w:p>
    <w:p w14:paraId="7D3DE812" w14:textId="77777777" w:rsidR="008D6F13" w:rsidRDefault="008D6F13" w:rsidP="008D6F13">
      <w:pPr>
        <w:pStyle w:val="ListBullet"/>
      </w:pPr>
      <w:r>
        <w:t>School Education – Secondary output.</w:t>
      </w:r>
    </w:p>
    <w:p w14:paraId="4AFCEA1B" w14:textId="34FAC187" w:rsidR="008D6F13" w:rsidRDefault="008D6F13" w:rsidP="008D6F13">
      <w:pPr>
        <w:pStyle w:val="Heading5"/>
      </w:pPr>
      <w:r>
        <w:lastRenderedPageBreak/>
        <w:t xml:space="preserve">Positive start </w:t>
      </w:r>
      <w:r w:rsidR="005A7369">
        <w:t>in</w:t>
      </w:r>
      <w:r>
        <w:t xml:space="preserve"> 2022</w:t>
      </w:r>
    </w:p>
    <w:p w14:paraId="63ADF97B" w14:textId="57E59962" w:rsidR="008D6F13" w:rsidRDefault="008D6F13" w:rsidP="008D6F13">
      <w:r w:rsidRPr="00A120CB">
        <w:t xml:space="preserve">Funding is provided to support primary, secondary and specialist schools to re-engage students and boost their physical and emotional wellbeing. Funding supports the delivery of </w:t>
      </w:r>
      <w:r w:rsidR="005A7369">
        <w:t>additional</w:t>
      </w:r>
      <w:r w:rsidRPr="00A120CB">
        <w:t xml:space="preserve"> camps targeted at </w:t>
      </w:r>
      <w:r w:rsidR="005A7369">
        <w:t xml:space="preserve">students in </w:t>
      </w:r>
      <w:r w:rsidRPr="00A120CB">
        <w:t>government and low</w:t>
      </w:r>
      <w:r>
        <w:t>-</w:t>
      </w:r>
      <w:r w:rsidRPr="00A120CB">
        <w:t>fee non-government school</w:t>
      </w:r>
      <w:r w:rsidR="005A7369">
        <w:t>s who have been most affected by COVID-19 school closures – as well as other disadvantaged students and schools</w:t>
      </w:r>
      <w:r w:rsidRPr="00A120CB">
        <w:t>. It will also provide centrally procured programs and experiences for students as well as additional swimming lessons for government and Catholic primary schools.</w:t>
      </w:r>
    </w:p>
    <w:p w14:paraId="2448BE33" w14:textId="77777777" w:rsidR="008D6F13" w:rsidRDefault="008D6F13" w:rsidP="008D6F13">
      <w:r>
        <w:t xml:space="preserve">This initiative contributes to the Department of Education and Training’s: </w:t>
      </w:r>
    </w:p>
    <w:p w14:paraId="15B56E31" w14:textId="77777777" w:rsidR="008D6F13" w:rsidRDefault="008D6F13" w:rsidP="008D6F13">
      <w:pPr>
        <w:pStyle w:val="ListBullet"/>
      </w:pPr>
      <w:r>
        <w:t xml:space="preserve">School Education – Primary output </w:t>
      </w:r>
    </w:p>
    <w:p w14:paraId="6C510219" w14:textId="77777777" w:rsidR="008D6F13" w:rsidRDefault="008D6F13" w:rsidP="008D6F13">
      <w:pPr>
        <w:pStyle w:val="ListBullet"/>
      </w:pPr>
      <w:r>
        <w:t>School Education – Secondary output.</w:t>
      </w:r>
    </w:p>
    <w:p w14:paraId="7ACA710A" w14:textId="77777777" w:rsidR="008D6F13" w:rsidRPr="00697E16" w:rsidRDefault="008D6F13" w:rsidP="008D6F13">
      <w:pPr>
        <w:pStyle w:val="Heading5"/>
      </w:pPr>
      <w:r>
        <w:t>Tutor learning initiative extension</w:t>
      </w:r>
    </w:p>
    <w:p w14:paraId="435F857E" w14:textId="77777777" w:rsidR="008D6F13" w:rsidRPr="007A1B3C" w:rsidRDefault="008D6F13" w:rsidP="008D6F13">
      <w:r>
        <w:t xml:space="preserve">Funding is provided to enable government and non-government schools to continue to deliver small group learning support in 2022 to students who need it, to address the impact of interrupted face-to-face schooling on their learning. </w:t>
      </w:r>
    </w:p>
    <w:p w14:paraId="42910C2A" w14:textId="77777777" w:rsidR="008D6F13" w:rsidRDefault="008D6F13" w:rsidP="008D6F13">
      <w:r>
        <w:t xml:space="preserve">This initiative contributes to the Department of Education and Training’s: </w:t>
      </w:r>
    </w:p>
    <w:p w14:paraId="518C757B" w14:textId="77777777" w:rsidR="008D6F13" w:rsidRDefault="008D6F13" w:rsidP="008D6F13">
      <w:pPr>
        <w:pStyle w:val="ListBullet"/>
      </w:pPr>
      <w:r>
        <w:t xml:space="preserve">School Education – Primary output </w:t>
      </w:r>
    </w:p>
    <w:p w14:paraId="1483E1CD" w14:textId="77777777" w:rsidR="008D6F13" w:rsidRDefault="008D6F13" w:rsidP="008D6F13">
      <w:pPr>
        <w:pStyle w:val="ListBullet"/>
      </w:pPr>
      <w:r>
        <w:t>School Education – Secondary output.</w:t>
      </w:r>
    </w:p>
    <w:p w14:paraId="227A4174" w14:textId="77777777" w:rsidR="008D6F13" w:rsidRDefault="008D6F13" w:rsidP="008D6F13">
      <w:pPr>
        <w:pStyle w:val="Heading4"/>
      </w:pPr>
      <w:r>
        <w:t>Training, Higher Education and Workforce Development</w:t>
      </w:r>
    </w:p>
    <w:p w14:paraId="472DB9A9" w14:textId="77777777" w:rsidR="008D6F13" w:rsidRPr="00697E16" w:rsidRDefault="008D6F13" w:rsidP="008D6F13">
      <w:pPr>
        <w:pStyle w:val="Heading5"/>
      </w:pPr>
      <w:r>
        <w:t>A new TAFE funding arrangement</w:t>
      </w:r>
    </w:p>
    <w:p w14:paraId="40385CEA" w14:textId="77777777" w:rsidR="008D6F13" w:rsidRPr="007A1B3C" w:rsidRDefault="008D6F13" w:rsidP="008D6F13">
      <w:pPr>
        <w:ind w:right="190"/>
      </w:pPr>
      <w:r>
        <w:t>Funding is provided to support the introduction of a new TAFE funding arrangement. The new funding arrangement will more closely link funding for TAFEs and dual sector providers to the costs of public provision of skills and training, including driving quality teaching and learning outcomes, broad access for students, and delivery of community and support services. Funding includes additional support for TAFEs in 2021-22 to assist with managing the decline in training revenue during the COVID-19 pandemic.</w:t>
      </w:r>
    </w:p>
    <w:p w14:paraId="4D5152A6" w14:textId="77777777" w:rsidR="008D6F13" w:rsidRDefault="008D6F13" w:rsidP="008D6F13">
      <w:r>
        <w:t>T</w:t>
      </w:r>
      <w:r w:rsidRPr="00B078B7">
        <w:t xml:space="preserve">his initiative contributes to </w:t>
      </w:r>
      <w:r>
        <w:t xml:space="preserve">the </w:t>
      </w:r>
      <w:r w:rsidRPr="00CB1C35">
        <w:t>Department of Education and Training</w:t>
      </w:r>
      <w:r>
        <w:t>’s Training, Higher Education and Workforce Development output.</w:t>
      </w:r>
    </w:p>
    <w:p w14:paraId="43DC9BBF" w14:textId="77777777" w:rsidR="008D6F13" w:rsidRDefault="008D6F13" w:rsidP="008D6F13"/>
    <w:p w14:paraId="014FC861" w14:textId="77777777" w:rsidR="008D6F13" w:rsidRDefault="008D6F13" w:rsidP="008D6F13">
      <w:pPr>
        <w:rPr>
          <w:rFonts w:asciiTheme="majorHAnsi" w:eastAsiaTheme="majorEastAsia" w:hAnsiTheme="majorHAnsi" w:cstheme="majorBidi"/>
          <w:b/>
          <w:spacing w:val="-2"/>
          <w:sz w:val="26"/>
          <w:szCs w:val="26"/>
        </w:rPr>
      </w:pPr>
      <w:r>
        <w:br w:type="page"/>
      </w:r>
    </w:p>
    <w:p w14:paraId="6CC6EA7B" w14:textId="77777777" w:rsidR="008D6F13" w:rsidRDefault="008D6F13" w:rsidP="008D6F13">
      <w:pPr>
        <w:pStyle w:val="Heading20"/>
      </w:pPr>
      <w:r>
        <w:lastRenderedPageBreak/>
        <w:t>Asset initiatives</w:t>
      </w:r>
    </w:p>
    <w:p w14:paraId="261E6833" w14:textId="77777777" w:rsidR="008D6F13" w:rsidRDefault="008D6F13" w:rsidP="008D6F13">
      <w:pPr>
        <w:pStyle w:val="TableHeading"/>
      </w:pPr>
      <w:r>
        <w:t>Table A.3:</w:t>
      </w:r>
      <w:r>
        <w:tab/>
        <w:t>Asset initiatives – Department of Education and Training</w:t>
      </w:r>
      <w:r>
        <w:tab/>
        <w:t>($ million)</w:t>
      </w:r>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3187CA17"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779020C0" w14:textId="203FC77A" w:rsidR="008D6F13" w:rsidRDefault="008D6F13" w:rsidP="0031078F"/>
        </w:tc>
        <w:tc>
          <w:tcPr>
            <w:tcW w:w="794" w:type="dxa"/>
            <w:tcBorders>
              <w:top w:val="single" w:sz="6" w:space="0" w:color="auto"/>
              <w:bottom w:val="single" w:sz="6" w:space="0" w:color="auto"/>
            </w:tcBorders>
          </w:tcPr>
          <w:p w14:paraId="6F4556BD"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p>
        </w:tc>
        <w:tc>
          <w:tcPr>
            <w:tcW w:w="794" w:type="dxa"/>
            <w:tcBorders>
              <w:top w:val="single" w:sz="6" w:space="0" w:color="auto"/>
              <w:bottom w:val="single" w:sz="6" w:space="0" w:color="auto"/>
            </w:tcBorders>
          </w:tcPr>
          <w:p w14:paraId="521D8D9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p>
        </w:tc>
        <w:tc>
          <w:tcPr>
            <w:tcW w:w="794" w:type="dxa"/>
            <w:tcBorders>
              <w:top w:val="single" w:sz="6" w:space="0" w:color="auto"/>
              <w:bottom w:val="single" w:sz="6" w:space="0" w:color="auto"/>
            </w:tcBorders>
          </w:tcPr>
          <w:p w14:paraId="52CCC5B9"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p>
        </w:tc>
        <w:tc>
          <w:tcPr>
            <w:tcW w:w="794" w:type="dxa"/>
            <w:tcBorders>
              <w:top w:val="single" w:sz="6" w:space="0" w:color="auto"/>
              <w:bottom w:val="single" w:sz="6" w:space="0" w:color="auto"/>
            </w:tcBorders>
          </w:tcPr>
          <w:p w14:paraId="14CA2014"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p>
        </w:tc>
        <w:tc>
          <w:tcPr>
            <w:tcW w:w="794" w:type="dxa"/>
            <w:tcBorders>
              <w:top w:val="single" w:sz="6" w:space="0" w:color="auto"/>
              <w:bottom w:val="single" w:sz="6" w:space="0" w:color="auto"/>
            </w:tcBorders>
          </w:tcPr>
          <w:p w14:paraId="293D58E3"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TEI</w:t>
            </w:r>
          </w:p>
        </w:tc>
      </w:tr>
      <w:tr w:rsidR="008D6F13" w14:paraId="2F3BB957"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4160B517" w14:textId="77777777" w:rsidR="008D6F13" w:rsidRDefault="008D6F13" w:rsidP="0031078F">
            <w:r>
              <w:rPr>
                <w:b/>
              </w:rPr>
              <w:t>School Education</w:t>
            </w:r>
          </w:p>
        </w:tc>
        <w:tc>
          <w:tcPr>
            <w:tcW w:w="794" w:type="dxa"/>
            <w:tcBorders>
              <w:top w:val="single" w:sz="6" w:space="0" w:color="auto"/>
            </w:tcBorders>
          </w:tcPr>
          <w:p w14:paraId="360FF9F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DF44A1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FCA853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766097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085FCB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6D2CF4BC"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21420A70" w14:textId="77777777" w:rsidR="008D6F13" w:rsidRDefault="008D6F13" w:rsidP="0031078F">
            <w:r>
              <w:t>Air purification and shade sails for schools</w:t>
            </w:r>
          </w:p>
        </w:tc>
        <w:tc>
          <w:tcPr>
            <w:tcW w:w="794" w:type="dxa"/>
            <w:tcBorders>
              <w:bottom w:val="single" w:sz="6" w:space="0" w:color="auto"/>
            </w:tcBorders>
          </w:tcPr>
          <w:p w14:paraId="7D9722C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45.0</w:t>
            </w:r>
          </w:p>
        </w:tc>
        <w:tc>
          <w:tcPr>
            <w:tcW w:w="794" w:type="dxa"/>
            <w:tcBorders>
              <w:bottom w:val="single" w:sz="6" w:space="0" w:color="auto"/>
            </w:tcBorders>
          </w:tcPr>
          <w:p w14:paraId="2A1DCAF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5400AE2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392656D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0EDDC72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45.0</w:t>
            </w:r>
          </w:p>
        </w:tc>
      </w:tr>
      <w:tr w:rsidR="008D6F13" w14:paraId="7CD93B0E"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0B5AF87" w14:textId="77777777" w:rsidR="008D6F13" w:rsidRDefault="008D6F13" w:rsidP="0031078F">
            <w:r>
              <w:rPr>
                <w:b/>
              </w:rPr>
              <w:t>Total asset initiatives</w:t>
            </w:r>
          </w:p>
        </w:tc>
        <w:tc>
          <w:tcPr>
            <w:tcW w:w="794" w:type="dxa"/>
          </w:tcPr>
          <w:p w14:paraId="051BC92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45.0</w:t>
            </w:r>
          </w:p>
        </w:tc>
        <w:tc>
          <w:tcPr>
            <w:tcW w:w="794" w:type="dxa"/>
          </w:tcPr>
          <w:p w14:paraId="1600A16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Pr>
          <w:p w14:paraId="313DBEA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Pr>
          <w:p w14:paraId="28C796E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Pr>
          <w:p w14:paraId="0BF6243F" w14:textId="64580835"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45.0</w:t>
            </w:r>
          </w:p>
        </w:tc>
      </w:tr>
    </w:tbl>
    <w:p w14:paraId="34BB94CD" w14:textId="77777777" w:rsidR="008D6F13" w:rsidRDefault="008D6F13" w:rsidP="008D6F13">
      <w:pPr>
        <w:pStyle w:val="Source"/>
      </w:pPr>
      <w:r w:rsidRPr="00252ED7">
        <w:t>Source: Department of Treasury and Finance</w:t>
      </w:r>
    </w:p>
    <w:p w14:paraId="1B485B1C" w14:textId="77777777" w:rsidR="008D6F13" w:rsidRDefault="008D6F13" w:rsidP="008D6F13">
      <w:pPr>
        <w:pStyle w:val="Heading4"/>
      </w:pPr>
      <w:bookmarkStart w:id="134" w:name="_Hlk87537755"/>
      <w:r>
        <w:t>School Education</w:t>
      </w:r>
    </w:p>
    <w:p w14:paraId="41DC0475" w14:textId="77777777" w:rsidR="008D6F13" w:rsidRDefault="008D6F13" w:rsidP="008D6F13">
      <w:pPr>
        <w:pStyle w:val="Heading5"/>
      </w:pPr>
      <w:r>
        <w:t>Air purification and shade sails for schools</w:t>
      </w:r>
    </w:p>
    <w:p w14:paraId="30A3DAB1" w14:textId="77777777" w:rsidR="008D6F13" w:rsidRDefault="008D6F13" w:rsidP="008D6F13">
      <w:r w:rsidRPr="008D58DF">
        <w:t xml:space="preserve">Refer to the </w:t>
      </w:r>
      <w:r>
        <w:t>output</w:t>
      </w:r>
      <w:r w:rsidRPr="008D58DF">
        <w:t xml:space="preserve"> initiative for a description of this initiative</w:t>
      </w:r>
      <w:r>
        <w:t>.</w:t>
      </w:r>
    </w:p>
    <w:bookmarkEnd w:id="134"/>
    <w:p w14:paraId="19097824" w14:textId="77777777" w:rsidR="008D6F13" w:rsidRPr="007F7047" w:rsidRDefault="008D6F13" w:rsidP="008D6F13"/>
    <w:p w14:paraId="1B52CDA1" w14:textId="77777777" w:rsidR="008D6F13" w:rsidRDefault="008D6F13" w:rsidP="00694FFD">
      <w:pPr>
        <w:pStyle w:val="Heading10"/>
        <w:pageBreakBefore/>
      </w:pPr>
      <w:bookmarkStart w:id="135" w:name="_Toc71814112"/>
      <w:bookmarkStart w:id="136" w:name="_Toc89418968"/>
      <w:bookmarkStart w:id="137" w:name="_Toc89419192"/>
      <w:bookmarkStart w:id="138" w:name="_Toc89420150"/>
      <w:bookmarkStart w:id="139" w:name="_Toc89423390"/>
      <w:bookmarkStart w:id="140" w:name="_Toc89423599"/>
      <w:r>
        <w:lastRenderedPageBreak/>
        <w:t>Department of Environment, Land, Water and Planning</w:t>
      </w:r>
      <w:bookmarkEnd w:id="135"/>
      <w:bookmarkEnd w:id="136"/>
      <w:bookmarkEnd w:id="137"/>
      <w:bookmarkEnd w:id="138"/>
      <w:bookmarkEnd w:id="139"/>
      <w:bookmarkEnd w:id="140"/>
    </w:p>
    <w:p w14:paraId="52A75714" w14:textId="77777777" w:rsidR="008D6F13" w:rsidRDefault="008D6F13" w:rsidP="008D6F13">
      <w:pPr>
        <w:pStyle w:val="Heading20"/>
        <w:spacing w:before="180"/>
      </w:pPr>
      <w:r>
        <w:t>Output initiatives</w:t>
      </w:r>
    </w:p>
    <w:p w14:paraId="78C47FF1" w14:textId="77777777" w:rsidR="008D6F13" w:rsidRDefault="008D6F13" w:rsidP="008D6F13">
      <w:pPr>
        <w:pStyle w:val="TableHeading"/>
      </w:pPr>
      <w:r>
        <w:t>Table A.4:</w:t>
      </w:r>
      <w:r>
        <w:tab/>
        <w:t xml:space="preserve">Output initiatives – Department of Environment, Land, </w:t>
      </w:r>
      <w:r>
        <w:br/>
        <w:t xml:space="preserve">Water and Planning </w:t>
      </w:r>
      <w:r>
        <w:tab/>
        <w:t>($ million)</w:t>
      </w:r>
    </w:p>
    <w:tbl>
      <w:tblPr>
        <w:tblStyle w:val="DTFTableNumeric"/>
        <w:tblW w:w="7710" w:type="dxa"/>
        <w:tblLayout w:type="fixed"/>
        <w:tblLook w:val="06A0" w:firstRow="1" w:lastRow="0" w:firstColumn="1" w:lastColumn="0" w:noHBand="1" w:noVBand="1"/>
      </w:tblPr>
      <w:tblGrid>
        <w:gridCol w:w="4534"/>
        <w:gridCol w:w="794"/>
        <w:gridCol w:w="794"/>
        <w:gridCol w:w="794"/>
        <w:gridCol w:w="794"/>
      </w:tblGrid>
      <w:tr w:rsidR="008D6F13" w14:paraId="622DE749"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256D2D0D" w14:textId="4F4901A8" w:rsidR="008D6F13" w:rsidRDefault="008D6F13" w:rsidP="0031078F"/>
        </w:tc>
        <w:tc>
          <w:tcPr>
            <w:tcW w:w="794" w:type="dxa"/>
          </w:tcPr>
          <w:p w14:paraId="6865FFCC"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p>
        </w:tc>
        <w:tc>
          <w:tcPr>
            <w:tcW w:w="794" w:type="dxa"/>
          </w:tcPr>
          <w:p w14:paraId="2C13182B"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p>
        </w:tc>
        <w:tc>
          <w:tcPr>
            <w:tcW w:w="794" w:type="dxa"/>
          </w:tcPr>
          <w:p w14:paraId="7392E20A"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p>
        </w:tc>
        <w:tc>
          <w:tcPr>
            <w:tcW w:w="794" w:type="dxa"/>
          </w:tcPr>
          <w:p w14:paraId="64F69137"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p>
        </w:tc>
      </w:tr>
      <w:tr w:rsidR="008D6F13" w14:paraId="34993345"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160EC279" w14:textId="77777777" w:rsidR="008D6F13" w:rsidRDefault="008D6F13" w:rsidP="0031078F">
            <w:r>
              <w:rPr>
                <w:b/>
              </w:rPr>
              <w:t xml:space="preserve">Energy </w:t>
            </w:r>
          </w:p>
        </w:tc>
        <w:tc>
          <w:tcPr>
            <w:tcW w:w="794" w:type="dxa"/>
          </w:tcPr>
          <w:p w14:paraId="4F47657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10C40F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E2579E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EC19C6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28904BE1"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7450A578" w14:textId="77777777" w:rsidR="008D6F13" w:rsidRDefault="008D6F13" w:rsidP="0031078F">
            <w:r>
              <w:t>Prolonged power outage support payment</w:t>
            </w:r>
          </w:p>
        </w:tc>
        <w:tc>
          <w:tcPr>
            <w:tcW w:w="794" w:type="dxa"/>
          </w:tcPr>
          <w:p w14:paraId="54E8F0C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5.0</w:t>
            </w:r>
          </w:p>
        </w:tc>
        <w:tc>
          <w:tcPr>
            <w:tcW w:w="794" w:type="dxa"/>
          </w:tcPr>
          <w:p w14:paraId="076978E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451013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2A9D65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4EC83BFD"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42BBB7C7" w14:textId="77777777" w:rsidR="008D6F13" w:rsidRDefault="008D6F13" w:rsidP="0031078F">
            <w:r>
              <w:rPr>
                <w:b/>
              </w:rPr>
              <w:t>Fire and Emergency Management</w:t>
            </w:r>
          </w:p>
        </w:tc>
        <w:tc>
          <w:tcPr>
            <w:tcW w:w="794" w:type="dxa"/>
          </w:tcPr>
          <w:p w14:paraId="36861A3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1A9AB4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51C3B5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71EAC6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47CB20EE"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72B23392" w14:textId="77777777" w:rsidR="008D6F13" w:rsidRDefault="008D6F13" w:rsidP="0031078F">
            <w:r>
              <w:t>Storm and flood emergency works</w:t>
            </w:r>
          </w:p>
        </w:tc>
        <w:tc>
          <w:tcPr>
            <w:tcW w:w="794" w:type="dxa"/>
          </w:tcPr>
          <w:p w14:paraId="3971600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74.6</w:t>
            </w:r>
          </w:p>
        </w:tc>
        <w:tc>
          <w:tcPr>
            <w:tcW w:w="794" w:type="dxa"/>
          </w:tcPr>
          <w:p w14:paraId="4D7CB27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3D88B7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56AA86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14B57412"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56BB1610" w14:textId="77777777" w:rsidR="008D6F13" w:rsidRDefault="008D6F13" w:rsidP="0031078F">
            <w:r>
              <w:rPr>
                <w:b/>
              </w:rPr>
              <w:t xml:space="preserve">Planning, Building and Heritage </w:t>
            </w:r>
          </w:p>
        </w:tc>
        <w:tc>
          <w:tcPr>
            <w:tcW w:w="794" w:type="dxa"/>
          </w:tcPr>
          <w:p w14:paraId="624A483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6C14F1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104929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778147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27528917"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1032866C" w14:textId="77777777" w:rsidR="008D6F13" w:rsidRDefault="008D6F13" w:rsidP="0031078F">
            <w:r>
              <w:t>Decriminalisation of sex work in Victoria</w:t>
            </w:r>
          </w:p>
        </w:tc>
        <w:tc>
          <w:tcPr>
            <w:tcW w:w="794" w:type="dxa"/>
          </w:tcPr>
          <w:p w14:paraId="7D5B935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0.4</w:t>
            </w:r>
          </w:p>
        </w:tc>
        <w:tc>
          <w:tcPr>
            <w:tcW w:w="794" w:type="dxa"/>
          </w:tcPr>
          <w:p w14:paraId="3D30034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5FA040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379162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2C03585F"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24620B6D" w14:textId="77777777" w:rsidR="008D6F13" w:rsidRDefault="008D6F13" w:rsidP="0031078F">
            <w:r>
              <w:t>Digital Twin Victoria</w:t>
            </w:r>
          </w:p>
        </w:tc>
        <w:tc>
          <w:tcPr>
            <w:tcW w:w="794" w:type="dxa"/>
          </w:tcPr>
          <w:p w14:paraId="605D26C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5.4</w:t>
            </w:r>
          </w:p>
        </w:tc>
        <w:tc>
          <w:tcPr>
            <w:tcW w:w="794" w:type="dxa"/>
          </w:tcPr>
          <w:p w14:paraId="70A61D8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5.8</w:t>
            </w:r>
          </w:p>
        </w:tc>
        <w:tc>
          <w:tcPr>
            <w:tcW w:w="794" w:type="dxa"/>
          </w:tcPr>
          <w:p w14:paraId="2FC881F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4.3</w:t>
            </w:r>
          </w:p>
        </w:tc>
        <w:tc>
          <w:tcPr>
            <w:tcW w:w="794" w:type="dxa"/>
          </w:tcPr>
          <w:p w14:paraId="3A2EAF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w:t>
            </w:r>
          </w:p>
        </w:tc>
      </w:tr>
      <w:tr w:rsidR="008D6F13" w14:paraId="2509DD26"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1761F421" w14:textId="77777777" w:rsidR="008D6F13" w:rsidRDefault="008D6F13" w:rsidP="0031078F">
            <w:r>
              <w:t>Safe building ventilation – supporting Victoria’s roadmap to open</w:t>
            </w:r>
            <w:r>
              <w:noBreakHyphen/>
              <w:t>up the economy</w:t>
            </w:r>
          </w:p>
        </w:tc>
        <w:tc>
          <w:tcPr>
            <w:tcW w:w="794" w:type="dxa"/>
          </w:tcPr>
          <w:p w14:paraId="23DF51A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7.2</w:t>
            </w:r>
          </w:p>
        </w:tc>
        <w:tc>
          <w:tcPr>
            <w:tcW w:w="794" w:type="dxa"/>
          </w:tcPr>
          <w:p w14:paraId="494B7DC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0262C6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381C90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3E1DBB1F"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0675B8D9" w14:textId="77777777" w:rsidR="008D6F13" w:rsidRDefault="008D6F13" w:rsidP="0031078F">
            <w:r>
              <w:rPr>
                <w:b/>
              </w:rPr>
              <w:t>Statutory Activities and Environment Protection</w:t>
            </w:r>
          </w:p>
        </w:tc>
        <w:tc>
          <w:tcPr>
            <w:tcW w:w="794" w:type="dxa"/>
          </w:tcPr>
          <w:p w14:paraId="6D411F9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665DDF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D020FB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322EE5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4F6A5E16"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15A06D5B" w14:textId="77777777" w:rsidR="008D6F13" w:rsidRDefault="008D6F13" w:rsidP="0031078F">
            <w:r>
              <w:t>EPA step</w:t>
            </w:r>
            <w:r>
              <w:noBreakHyphen/>
              <w:t>in high</w:t>
            </w:r>
            <w:r>
              <w:noBreakHyphen/>
              <w:t>risk waste sites</w:t>
            </w:r>
          </w:p>
        </w:tc>
        <w:tc>
          <w:tcPr>
            <w:tcW w:w="794" w:type="dxa"/>
            <w:tcBorders>
              <w:bottom w:val="single" w:sz="6" w:space="0" w:color="auto"/>
            </w:tcBorders>
          </w:tcPr>
          <w:p w14:paraId="468FEE6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8.7</w:t>
            </w:r>
          </w:p>
        </w:tc>
        <w:tc>
          <w:tcPr>
            <w:tcW w:w="794" w:type="dxa"/>
            <w:tcBorders>
              <w:bottom w:val="single" w:sz="6" w:space="0" w:color="auto"/>
            </w:tcBorders>
          </w:tcPr>
          <w:p w14:paraId="1ABA0E6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6EC6901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52923E3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45761E17"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3EA8471C" w14:textId="77777777" w:rsidR="008D6F13" w:rsidRDefault="008D6F13" w:rsidP="0031078F">
            <w:r>
              <w:rPr>
                <w:b/>
              </w:rPr>
              <w:t xml:space="preserve">Total output initiatives </w:t>
            </w:r>
            <w:r>
              <w:rPr>
                <w:b/>
                <w:vertAlign w:val="superscript"/>
              </w:rPr>
              <w:t>(a)</w:t>
            </w:r>
          </w:p>
        </w:tc>
        <w:tc>
          <w:tcPr>
            <w:tcW w:w="794" w:type="dxa"/>
          </w:tcPr>
          <w:p w14:paraId="58BCE43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101.3</w:t>
            </w:r>
          </w:p>
        </w:tc>
        <w:tc>
          <w:tcPr>
            <w:tcW w:w="794" w:type="dxa"/>
          </w:tcPr>
          <w:p w14:paraId="618B490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5.8</w:t>
            </w:r>
          </w:p>
        </w:tc>
        <w:tc>
          <w:tcPr>
            <w:tcW w:w="794" w:type="dxa"/>
          </w:tcPr>
          <w:p w14:paraId="377C61F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4.3</w:t>
            </w:r>
          </w:p>
        </w:tc>
        <w:tc>
          <w:tcPr>
            <w:tcW w:w="794" w:type="dxa"/>
          </w:tcPr>
          <w:p w14:paraId="39C7EA59" w14:textId="7933B238"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2.6</w:t>
            </w:r>
          </w:p>
        </w:tc>
      </w:tr>
    </w:tbl>
    <w:p w14:paraId="5F6D3650" w14:textId="77777777" w:rsidR="008D6F13" w:rsidRDefault="008D6F13" w:rsidP="008D6F13">
      <w:pPr>
        <w:pStyle w:val="Source"/>
      </w:pPr>
      <w:r w:rsidRPr="00252ED7">
        <w:t>Source: Department of Treasury and Finance</w:t>
      </w:r>
    </w:p>
    <w:p w14:paraId="7BC992B8" w14:textId="77777777" w:rsidR="008D6F13" w:rsidRDefault="008D6F13" w:rsidP="008D6F13">
      <w:pPr>
        <w:pStyle w:val="Note"/>
      </w:pPr>
      <w:r>
        <w:t xml:space="preserve">Note: </w:t>
      </w:r>
    </w:p>
    <w:p w14:paraId="7F0EA01D" w14:textId="77777777" w:rsidR="008D6F13" w:rsidRDefault="008D6F13" w:rsidP="008D6F13">
      <w:pPr>
        <w:pStyle w:val="Note"/>
      </w:pPr>
      <w:r>
        <w:t xml:space="preserve">(a) </w:t>
      </w:r>
      <w:r>
        <w:tab/>
      </w:r>
      <w:r w:rsidRPr="00B82015">
        <w:t>Table may not add due to rounding.</w:t>
      </w:r>
    </w:p>
    <w:p w14:paraId="6F2181BA" w14:textId="77777777" w:rsidR="008D6F13" w:rsidRDefault="008D6F13" w:rsidP="008D6F13">
      <w:pPr>
        <w:pStyle w:val="Heading4"/>
      </w:pPr>
      <w:r>
        <w:t>Energy</w:t>
      </w:r>
    </w:p>
    <w:p w14:paraId="737AACE3" w14:textId="77777777" w:rsidR="008D6F13" w:rsidRPr="00697E16" w:rsidRDefault="008D6F13" w:rsidP="008D6F13">
      <w:pPr>
        <w:pStyle w:val="Heading5"/>
      </w:pPr>
      <w:r w:rsidRPr="00B92BB7">
        <w:t>Prolonged power outage support payment</w:t>
      </w:r>
    </w:p>
    <w:p w14:paraId="44476518" w14:textId="77777777" w:rsidR="008D6F13" w:rsidRDefault="008D6F13" w:rsidP="008D6F13">
      <w:r>
        <w:t xml:space="preserve">To support those impacted by energy outages, funding is provided for weekly payments to households and businesses without power for more than seven days </w:t>
      </w:r>
      <w:proofErr w:type="gramStart"/>
      <w:r>
        <w:t>as a result of</w:t>
      </w:r>
      <w:proofErr w:type="gramEnd"/>
      <w:r>
        <w:t xml:space="preserve"> the October 2021 storm event. </w:t>
      </w:r>
    </w:p>
    <w:p w14:paraId="01FE2177" w14:textId="77777777" w:rsidR="008D6F13" w:rsidRDefault="008D6F13" w:rsidP="008D6F13">
      <w:r>
        <w:t>T</w:t>
      </w:r>
      <w:r w:rsidRPr="00B078B7">
        <w:t>his initiative contributes to the</w:t>
      </w:r>
      <w:r>
        <w:t xml:space="preserve"> Department of Environment, Land, Water and Planning’s Energy output.</w:t>
      </w:r>
      <w:r w:rsidRPr="00242736">
        <w:rPr>
          <w:highlight w:val="yellow"/>
        </w:rPr>
        <w:t xml:space="preserve"> </w:t>
      </w:r>
    </w:p>
    <w:p w14:paraId="0D567A3F" w14:textId="77777777" w:rsidR="008D6F13" w:rsidRDefault="008D6F13" w:rsidP="008D6F13">
      <w:pPr>
        <w:pStyle w:val="Heading4"/>
      </w:pPr>
      <w:r>
        <w:t>Fire and Emergency Management</w:t>
      </w:r>
    </w:p>
    <w:p w14:paraId="499C7637" w14:textId="77777777" w:rsidR="008D6F13" w:rsidRPr="00697E16" w:rsidRDefault="008D6F13" w:rsidP="008D6F13">
      <w:pPr>
        <w:pStyle w:val="Heading5"/>
      </w:pPr>
      <w:r w:rsidRPr="00B92BB7">
        <w:t>Storm and flood emergency works</w:t>
      </w:r>
    </w:p>
    <w:p w14:paraId="126FF6B6" w14:textId="77777777" w:rsidR="008D6F13" w:rsidRPr="007A1B3C" w:rsidRDefault="008D6F13" w:rsidP="008D6F13">
      <w:r>
        <w:t xml:space="preserve">Funding is provided to deliver emergency works and activities to protect </w:t>
      </w:r>
      <w:r w:rsidRPr="00354C0B">
        <w:t>threatened species</w:t>
      </w:r>
      <w:r>
        <w:t xml:space="preserve">, public safety, critical infrastructure, the strategic fire network, and waterway catchments impacted by the June and October 2021 storm and flood events. </w:t>
      </w:r>
    </w:p>
    <w:p w14:paraId="6C586D65" w14:textId="77777777" w:rsidR="008D6F13" w:rsidRDefault="008D6F13" w:rsidP="008D6F13">
      <w:r>
        <w:t>T</w:t>
      </w:r>
      <w:r w:rsidRPr="00B078B7">
        <w:t>his initiative contributes to the</w:t>
      </w:r>
      <w:r>
        <w:t xml:space="preserve"> Department of Environment, Land, Water and Planning’s Fire and Emergency Management output.</w:t>
      </w:r>
    </w:p>
    <w:p w14:paraId="1769AE42" w14:textId="77777777" w:rsidR="008D6F13" w:rsidRDefault="008D6F13" w:rsidP="00A51211">
      <w:pPr>
        <w:pStyle w:val="Heading4"/>
        <w:pageBreakBefore/>
      </w:pPr>
      <w:r w:rsidRPr="00521A31">
        <w:lastRenderedPageBreak/>
        <w:t xml:space="preserve">Planning, Building and Heritage </w:t>
      </w:r>
    </w:p>
    <w:p w14:paraId="4C4EE97A" w14:textId="77777777" w:rsidR="008D6F13" w:rsidRPr="009E562A" w:rsidRDefault="008D6F13" w:rsidP="008D6F13">
      <w:pPr>
        <w:pStyle w:val="Heading5"/>
      </w:pPr>
      <w:bookmarkStart w:id="141" w:name="_Hlk70090303"/>
      <w:r w:rsidRPr="001F0C49">
        <w:t>Decriminalisation of sex work in Victoria</w:t>
      </w:r>
    </w:p>
    <w:p w14:paraId="0A5FBC73" w14:textId="77777777" w:rsidR="008D6F13" w:rsidRDefault="008D6F13" w:rsidP="008D6F13">
      <w:r>
        <w:t>Refer to the Department of Justice and Community Safety for a description of this initiative.</w:t>
      </w:r>
    </w:p>
    <w:p w14:paraId="15CD3410" w14:textId="77777777" w:rsidR="008D6F13" w:rsidRPr="009E562A" w:rsidRDefault="008D6F13" w:rsidP="008D6F13">
      <w:pPr>
        <w:pStyle w:val="Heading5"/>
      </w:pPr>
      <w:r w:rsidRPr="001F0C49">
        <w:t xml:space="preserve">Digital Twin Victoria </w:t>
      </w:r>
    </w:p>
    <w:bookmarkEnd w:id="141"/>
    <w:p w14:paraId="7C530AB2" w14:textId="77777777" w:rsidR="008D6F13" w:rsidRDefault="008D6F13" w:rsidP="008D6F13">
      <w:r w:rsidRPr="008D58DF">
        <w:t>Refer to the asset initiative for a description of this initiative</w:t>
      </w:r>
      <w:r>
        <w:t>.</w:t>
      </w:r>
    </w:p>
    <w:p w14:paraId="18CE5A68" w14:textId="77777777" w:rsidR="008D6F13" w:rsidRDefault="008D6F13" w:rsidP="008D6F13">
      <w:pPr>
        <w:pStyle w:val="Heading5"/>
      </w:pPr>
      <w:r w:rsidRPr="00515F88">
        <w:t xml:space="preserve">Safe building ventilation </w:t>
      </w:r>
      <w:r>
        <w:t>–</w:t>
      </w:r>
      <w:r w:rsidRPr="00515F88">
        <w:t xml:space="preserve"> supporting Victoria's roadmap to open-up the economy</w:t>
      </w:r>
    </w:p>
    <w:p w14:paraId="3F6F187B" w14:textId="77777777" w:rsidR="008D6F13" w:rsidRPr="006D5AB8" w:rsidRDefault="008D6F13" w:rsidP="008D6F13">
      <w:r w:rsidRPr="006D5AB8">
        <w:t>Funding is provided to establish the Ventilation Technical Advisory Panel</w:t>
      </w:r>
      <w:r>
        <w:t>,</w:t>
      </w:r>
      <w:r w:rsidRPr="006D5AB8">
        <w:t xml:space="preserve"> which will undertake risk assessments of high-risk public buildings and facilities to ensure </w:t>
      </w:r>
      <w:proofErr w:type="spellStart"/>
      <w:r w:rsidRPr="006D5AB8">
        <w:t>COVIDSafe</w:t>
      </w:r>
      <w:proofErr w:type="spellEnd"/>
      <w:r w:rsidRPr="006D5AB8">
        <w:t xml:space="preserve"> settings.  </w:t>
      </w:r>
    </w:p>
    <w:p w14:paraId="240AF237" w14:textId="77777777" w:rsidR="008D6F13" w:rsidRDefault="008D6F13" w:rsidP="008D6F13">
      <w:r>
        <w:t xml:space="preserve">In addition, support will be provided to local manufacturers and distributors of ventilation, </w:t>
      </w:r>
      <w:proofErr w:type="gramStart"/>
      <w:r>
        <w:t>filtration</w:t>
      </w:r>
      <w:proofErr w:type="gramEnd"/>
      <w:r>
        <w:t xml:space="preserve"> and monitoring products to increase local manufacturing capability and availability. </w:t>
      </w:r>
    </w:p>
    <w:p w14:paraId="52FADF0D" w14:textId="77777777" w:rsidR="008D6F13" w:rsidRDefault="008D6F13" w:rsidP="008D6F13">
      <w:r>
        <w:t>T</w:t>
      </w:r>
      <w:r w:rsidRPr="00B078B7">
        <w:t>his initiative contributes to the</w:t>
      </w:r>
      <w:r>
        <w:t xml:space="preserve"> Department of Environment, Land, Water and Planning’s Planning, Building and Heritage output.</w:t>
      </w:r>
    </w:p>
    <w:p w14:paraId="7D4BE2F7" w14:textId="77777777" w:rsidR="008D6F13" w:rsidRDefault="008D6F13" w:rsidP="008D6F13">
      <w:r>
        <w:t>This initiative contributes to the Department of Jobs, Precincts and Regions’ Industry, Innovation, Medical Research and Small Business output.</w:t>
      </w:r>
    </w:p>
    <w:p w14:paraId="634F177D" w14:textId="77777777" w:rsidR="008D6F13" w:rsidRDefault="008D6F13" w:rsidP="008D6F13">
      <w:pPr>
        <w:pStyle w:val="Heading4"/>
      </w:pPr>
      <w:r w:rsidRPr="00B92BB7">
        <w:t>Statutory Activities and Environment Protection</w:t>
      </w:r>
    </w:p>
    <w:p w14:paraId="6C44F6B1" w14:textId="77777777" w:rsidR="008D6F13" w:rsidRPr="00697E16" w:rsidRDefault="008D6F13" w:rsidP="008D6F13">
      <w:pPr>
        <w:pStyle w:val="Heading5"/>
      </w:pPr>
      <w:r>
        <w:t>EPA step-in high-risk waste sites</w:t>
      </w:r>
    </w:p>
    <w:p w14:paraId="2CB8CDCD" w14:textId="77777777" w:rsidR="008D6F13" w:rsidRDefault="008D6F13" w:rsidP="008D6F13">
      <w:r>
        <w:t xml:space="preserve">Funding is provided to the Environment Protection Authority (EPA) to continue its clean-up operations at a high-risk waste site located in </w:t>
      </w:r>
      <w:proofErr w:type="spellStart"/>
      <w:r>
        <w:t>Kanvia</w:t>
      </w:r>
      <w:proofErr w:type="spellEnd"/>
      <w:r>
        <w:t xml:space="preserve"> and fully remediate the site by the end of 2022 to protect the community and the environment. </w:t>
      </w:r>
    </w:p>
    <w:p w14:paraId="48BC01B8" w14:textId="77777777" w:rsidR="008D6F13" w:rsidRDefault="008D6F13" w:rsidP="008D6F13">
      <w:r>
        <w:t>T</w:t>
      </w:r>
      <w:r w:rsidRPr="00B078B7">
        <w:t>his initiative contributes to the</w:t>
      </w:r>
      <w:r>
        <w:t xml:space="preserve"> </w:t>
      </w:r>
      <w:r w:rsidRPr="00521A31">
        <w:t xml:space="preserve">Department of Environment, Land, Water and Planning’s </w:t>
      </w:r>
      <w:r>
        <w:t>Statutory Activities and Environment Protection output.</w:t>
      </w:r>
    </w:p>
    <w:p w14:paraId="6F9ADE49" w14:textId="77777777" w:rsidR="008D6F13" w:rsidRDefault="008D6F13" w:rsidP="008D6F13"/>
    <w:p w14:paraId="234E8CAF" w14:textId="77777777" w:rsidR="008D6F13" w:rsidRDefault="008D6F13" w:rsidP="008D6F13">
      <w:pPr>
        <w:pStyle w:val="Heading20"/>
        <w:pageBreakBefore/>
      </w:pPr>
      <w:r>
        <w:lastRenderedPageBreak/>
        <w:t>Asset initiatives</w:t>
      </w:r>
    </w:p>
    <w:p w14:paraId="1777DA49" w14:textId="77777777" w:rsidR="008D6F13" w:rsidRDefault="008D6F13" w:rsidP="008D6F13">
      <w:pPr>
        <w:pStyle w:val="TableHeading"/>
      </w:pPr>
      <w:r>
        <w:t>Table A.5:</w:t>
      </w:r>
      <w:r>
        <w:tab/>
        <w:t xml:space="preserve">Asset initiatives – Department of Environment, Land, Water </w:t>
      </w:r>
      <w:r>
        <w:br/>
        <w:t xml:space="preserve">and Planning </w:t>
      </w:r>
      <w:r>
        <w:tab/>
        <w:t>($ million)</w:t>
      </w:r>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5004E228"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6BFDEBA6" w14:textId="068F1FBC" w:rsidR="008D6F13" w:rsidRDefault="008D6F13" w:rsidP="0031078F"/>
        </w:tc>
        <w:tc>
          <w:tcPr>
            <w:tcW w:w="794" w:type="dxa"/>
            <w:tcBorders>
              <w:top w:val="single" w:sz="6" w:space="0" w:color="auto"/>
              <w:bottom w:val="single" w:sz="6" w:space="0" w:color="auto"/>
            </w:tcBorders>
          </w:tcPr>
          <w:p w14:paraId="074623F0"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p>
        </w:tc>
        <w:tc>
          <w:tcPr>
            <w:tcW w:w="794" w:type="dxa"/>
            <w:tcBorders>
              <w:top w:val="single" w:sz="6" w:space="0" w:color="auto"/>
              <w:bottom w:val="single" w:sz="6" w:space="0" w:color="auto"/>
            </w:tcBorders>
          </w:tcPr>
          <w:p w14:paraId="28DD5F9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p>
        </w:tc>
        <w:tc>
          <w:tcPr>
            <w:tcW w:w="794" w:type="dxa"/>
            <w:tcBorders>
              <w:top w:val="single" w:sz="6" w:space="0" w:color="auto"/>
              <w:bottom w:val="single" w:sz="6" w:space="0" w:color="auto"/>
            </w:tcBorders>
          </w:tcPr>
          <w:p w14:paraId="4FA80C0D"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p>
        </w:tc>
        <w:tc>
          <w:tcPr>
            <w:tcW w:w="794" w:type="dxa"/>
            <w:tcBorders>
              <w:top w:val="single" w:sz="6" w:space="0" w:color="auto"/>
              <w:bottom w:val="single" w:sz="6" w:space="0" w:color="auto"/>
            </w:tcBorders>
          </w:tcPr>
          <w:p w14:paraId="7CE32869"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p>
        </w:tc>
        <w:tc>
          <w:tcPr>
            <w:tcW w:w="794" w:type="dxa"/>
            <w:tcBorders>
              <w:top w:val="single" w:sz="6" w:space="0" w:color="auto"/>
              <w:bottom w:val="single" w:sz="6" w:space="0" w:color="auto"/>
            </w:tcBorders>
          </w:tcPr>
          <w:p w14:paraId="31922E3F"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TEI</w:t>
            </w:r>
          </w:p>
        </w:tc>
      </w:tr>
      <w:tr w:rsidR="008D6F13" w14:paraId="7B970A1C"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6664E601" w14:textId="77777777" w:rsidR="008D6F13" w:rsidRDefault="008D6F13" w:rsidP="0031078F">
            <w:r>
              <w:rPr>
                <w:b/>
              </w:rPr>
              <w:t xml:space="preserve">Planning, Building and Heritage </w:t>
            </w:r>
          </w:p>
        </w:tc>
        <w:tc>
          <w:tcPr>
            <w:tcW w:w="794" w:type="dxa"/>
            <w:tcBorders>
              <w:top w:val="single" w:sz="6" w:space="0" w:color="auto"/>
            </w:tcBorders>
          </w:tcPr>
          <w:p w14:paraId="47D8AD8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E85BC8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B9D7E0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3F7975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C76FB6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37DE9E7E"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6C6BCBD4" w14:textId="77777777" w:rsidR="008D6F13" w:rsidRDefault="008D6F13" w:rsidP="0031078F">
            <w:r>
              <w:t>Digital Twin Victoria</w:t>
            </w:r>
          </w:p>
        </w:tc>
        <w:tc>
          <w:tcPr>
            <w:tcW w:w="794" w:type="dxa"/>
            <w:tcBorders>
              <w:bottom w:val="single" w:sz="6" w:space="0" w:color="auto"/>
            </w:tcBorders>
          </w:tcPr>
          <w:p w14:paraId="7E77875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7.8</w:t>
            </w:r>
          </w:p>
        </w:tc>
        <w:tc>
          <w:tcPr>
            <w:tcW w:w="794" w:type="dxa"/>
            <w:tcBorders>
              <w:bottom w:val="single" w:sz="6" w:space="0" w:color="auto"/>
            </w:tcBorders>
          </w:tcPr>
          <w:p w14:paraId="4A90E4A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6.7</w:t>
            </w:r>
          </w:p>
        </w:tc>
        <w:tc>
          <w:tcPr>
            <w:tcW w:w="794" w:type="dxa"/>
            <w:tcBorders>
              <w:bottom w:val="single" w:sz="6" w:space="0" w:color="auto"/>
            </w:tcBorders>
          </w:tcPr>
          <w:p w14:paraId="33A0F43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5.2</w:t>
            </w:r>
          </w:p>
        </w:tc>
        <w:tc>
          <w:tcPr>
            <w:tcW w:w="794" w:type="dxa"/>
            <w:tcBorders>
              <w:bottom w:val="single" w:sz="6" w:space="0" w:color="auto"/>
            </w:tcBorders>
          </w:tcPr>
          <w:p w14:paraId="40C502F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610FD80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19.7</w:t>
            </w:r>
          </w:p>
        </w:tc>
      </w:tr>
      <w:tr w:rsidR="008D6F13" w14:paraId="5895213F"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2731279" w14:textId="77777777" w:rsidR="008D6F13" w:rsidRDefault="008D6F13" w:rsidP="0031078F">
            <w:r>
              <w:rPr>
                <w:b/>
              </w:rPr>
              <w:t>Total asset initiatives</w:t>
            </w:r>
          </w:p>
        </w:tc>
        <w:tc>
          <w:tcPr>
            <w:tcW w:w="794" w:type="dxa"/>
          </w:tcPr>
          <w:p w14:paraId="4398AFD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7.8</w:t>
            </w:r>
          </w:p>
        </w:tc>
        <w:tc>
          <w:tcPr>
            <w:tcW w:w="794" w:type="dxa"/>
          </w:tcPr>
          <w:p w14:paraId="539E4C3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6.7</w:t>
            </w:r>
          </w:p>
        </w:tc>
        <w:tc>
          <w:tcPr>
            <w:tcW w:w="794" w:type="dxa"/>
          </w:tcPr>
          <w:p w14:paraId="7ADF42B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5.2</w:t>
            </w:r>
          </w:p>
        </w:tc>
        <w:tc>
          <w:tcPr>
            <w:tcW w:w="794" w:type="dxa"/>
          </w:tcPr>
          <w:p w14:paraId="620EFA5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Pr>
          <w:p w14:paraId="73A69453" w14:textId="3A5C6B5A"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19.7</w:t>
            </w:r>
          </w:p>
        </w:tc>
      </w:tr>
    </w:tbl>
    <w:p w14:paraId="6C2959B5" w14:textId="77777777" w:rsidR="008D6F13" w:rsidRDefault="008D6F13" w:rsidP="008D6F13">
      <w:pPr>
        <w:pStyle w:val="Source"/>
      </w:pPr>
      <w:r w:rsidRPr="00252ED7">
        <w:t>Source: Department of Treasury and Finance</w:t>
      </w:r>
    </w:p>
    <w:p w14:paraId="09635D35" w14:textId="77777777" w:rsidR="008D6F13" w:rsidRDefault="008D6F13" w:rsidP="008D6F13">
      <w:pPr>
        <w:pStyle w:val="Heading5"/>
        <w:rPr>
          <w:b w:val="0"/>
          <w:i/>
          <w:sz w:val="23"/>
        </w:rPr>
      </w:pPr>
      <w:r w:rsidRPr="006A3256">
        <w:rPr>
          <w:b w:val="0"/>
          <w:i/>
          <w:sz w:val="23"/>
        </w:rPr>
        <w:t>Planning, Building and Heritage</w:t>
      </w:r>
      <w:r w:rsidRPr="00F76A18">
        <w:rPr>
          <w:b w:val="0"/>
          <w:i/>
          <w:sz w:val="23"/>
        </w:rPr>
        <w:t xml:space="preserve"> </w:t>
      </w:r>
    </w:p>
    <w:p w14:paraId="43FB75D2" w14:textId="77777777" w:rsidR="008D6F13" w:rsidRPr="00472246" w:rsidRDefault="008D6F13" w:rsidP="008D6F13">
      <w:pPr>
        <w:pStyle w:val="Heading5"/>
      </w:pPr>
      <w:r w:rsidRPr="00472246">
        <w:t xml:space="preserve">Digital Twin Victoria </w:t>
      </w:r>
    </w:p>
    <w:p w14:paraId="20E3E2A4" w14:textId="77777777" w:rsidR="008D6F13" w:rsidRPr="00805496" w:rsidRDefault="008D6F13" w:rsidP="008D6F13">
      <w:r w:rsidRPr="00805496">
        <w:t xml:space="preserve">Funding is provided to progress the development of an advanced digital platform </w:t>
      </w:r>
      <w:r>
        <w:t>that brings together rich 3D models, artificial intelligence and real</w:t>
      </w:r>
      <w:r>
        <w:noBreakHyphen/>
        <w:t>time sensor data. This information has</w:t>
      </w:r>
      <w:r w:rsidRPr="00805496">
        <w:t xml:space="preserve"> the potential to transform Victoria’s management of its built and natural environments using 3D models and spatial data innovation. This will increase efficiencies in planning, construction and infrastructure initiatives, and service delivery. The </w:t>
      </w:r>
      <w:r w:rsidRPr="00D25C10">
        <w:rPr>
          <w:i/>
          <w:iCs/>
        </w:rPr>
        <w:t>2020-21 Budget</w:t>
      </w:r>
      <w:r w:rsidRPr="00805496">
        <w:t xml:space="preserve"> allocated funds for a pilot for this work.</w:t>
      </w:r>
    </w:p>
    <w:p w14:paraId="617A6FE3" w14:textId="77777777" w:rsidR="008D6F13" w:rsidRDefault="008D6F13" w:rsidP="008D6F13">
      <w:r w:rsidRPr="00805496">
        <w:t>This initiative contributes to the Department of Environment, Land, Water and Planning’s Planning, Building and Heritage output.</w:t>
      </w:r>
    </w:p>
    <w:p w14:paraId="31234E27" w14:textId="77777777" w:rsidR="008D6F13" w:rsidRDefault="008D6F13" w:rsidP="008D6F13"/>
    <w:p w14:paraId="3279FD38" w14:textId="77777777" w:rsidR="008D6F13" w:rsidRPr="007F7047" w:rsidRDefault="008D6F13" w:rsidP="008D6F13"/>
    <w:p w14:paraId="0CF41906" w14:textId="77777777" w:rsidR="008D6F13" w:rsidRDefault="008D6F13" w:rsidP="00694FFD">
      <w:pPr>
        <w:pStyle w:val="Heading10"/>
        <w:pageBreakBefore/>
      </w:pPr>
      <w:bookmarkStart w:id="142" w:name="_Toc9342181"/>
      <w:bookmarkStart w:id="143" w:name="_Toc71814113"/>
      <w:bookmarkStart w:id="144" w:name="_Toc89418969"/>
      <w:bookmarkStart w:id="145" w:name="_Toc89419193"/>
      <w:bookmarkStart w:id="146" w:name="_Toc89420151"/>
      <w:bookmarkStart w:id="147" w:name="_Toc89423391"/>
      <w:bookmarkStart w:id="148" w:name="_Toc89423600"/>
      <w:bookmarkStart w:id="149" w:name="_Hlk69132370"/>
      <w:r>
        <w:lastRenderedPageBreak/>
        <w:t>Department of</w:t>
      </w:r>
      <w:bookmarkEnd w:id="142"/>
      <w:r>
        <w:t xml:space="preserve"> Families, Fairness and </w:t>
      </w:r>
      <w:r w:rsidRPr="007076F1">
        <w:t>Housing</w:t>
      </w:r>
      <w:bookmarkEnd w:id="143"/>
      <w:bookmarkEnd w:id="144"/>
      <w:bookmarkEnd w:id="145"/>
      <w:bookmarkEnd w:id="146"/>
      <w:bookmarkEnd w:id="147"/>
      <w:bookmarkEnd w:id="148"/>
      <w:r>
        <w:t xml:space="preserve"> </w:t>
      </w:r>
    </w:p>
    <w:p w14:paraId="0B70C031" w14:textId="77777777" w:rsidR="008D6F13" w:rsidRDefault="008D6F13" w:rsidP="008D6F13">
      <w:pPr>
        <w:pStyle w:val="Heading20"/>
      </w:pPr>
      <w:r>
        <w:t>Output initiatives</w:t>
      </w:r>
    </w:p>
    <w:p w14:paraId="7F89D670" w14:textId="77777777" w:rsidR="008D6F13" w:rsidRDefault="008D6F13" w:rsidP="008D6F13">
      <w:pPr>
        <w:pStyle w:val="TableHeading"/>
      </w:pPr>
      <w:r>
        <w:t>Table A.6:</w:t>
      </w:r>
      <w:r>
        <w:tab/>
        <w:t>Output initiatives – Department of Families, Fairness and Housing</w:t>
      </w:r>
      <w:r>
        <w:tab/>
        <w:t>($ million)</w:t>
      </w:r>
    </w:p>
    <w:tbl>
      <w:tblPr>
        <w:tblStyle w:val="DTFTableNumeric"/>
        <w:tblW w:w="7710" w:type="dxa"/>
        <w:tblLayout w:type="fixed"/>
        <w:tblLook w:val="06A0" w:firstRow="1" w:lastRow="0" w:firstColumn="1" w:lastColumn="0" w:noHBand="1" w:noVBand="1"/>
      </w:tblPr>
      <w:tblGrid>
        <w:gridCol w:w="4592"/>
        <w:gridCol w:w="736"/>
        <w:gridCol w:w="794"/>
        <w:gridCol w:w="794"/>
        <w:gridCol w:w="794"/>
      </w:tblGrid>
      <w:tr w:rsidR="008D6F13" w14:paraId="4B961458"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92" w:type="dxa"/>
          </w:tcPr>
          <w:p w14:paraId="65F48131" w14:textId="5E94523E" w:rsidR="008D6F13" w:rsidRDefault="008D6F13" w:rsidP="0031078F"/>
        </w:tc>
        <w:tc>
          <w:tcPr>
            <w:tcW w:w="736" w:type="dxa"/>
          </w:tcPr>
          <w:p w14:paraId="700D3467"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p>
        </w:tc>
        <w:tc>
          <w:tcPr>
            <w:tcW w:w="794" w:type="dxa"/>
          </w:tcPr>
          <w:p w14:paraId="45A03A12"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p>
        </w:tc>
        <w:tc>
          <w:tcPr>
            <w:tcW w:w="794" w:type="dxa"/>
          </w:tcPr>
          <w:p w14:paraId="2EE098AF"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p>
        </w:tc>
        <w:tc>
          <w:tcPr>
            <w:tcW w:w="794" w:type="dxa"/>
          </w:tcPr>
          <w:p w14:paraId="794E4ABC"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p>
        </w:tc>
      </w:tr>
      <w:tr w:rsidR="008D6F13" w14:paraId="4A810171" w14:textId="77777777" w:rsidTr="0031078F">
        <w:tc>
          <w:tcPr>
            <w:cnfStyle w:val="001000000000" w:firstRow="0" w:lastRow="0" w:firstColumn="1" w:lastColumn="0" w:oddVBand="0" w:evenVBand="0" w:oddHBand="0" w:evenHBand="0" w:firstRowFirstColumn="0" w:firstRowLastColumn="0" w:lastRowFirstColumn="0" w:lastRowLastColumn="0"/>
            <w:tcW w:w="4592" w:type="dxa"/>
          </w:tcPr>
          <w:p w14:paraId="57974C29" w14:textId="77777777" w:rsidR="008D6F13" w:rsidRDefault="008D6F13" w:rsidP="0031078F">
            <w:r>
              <w:rPr>
                <w:b/>
              </w:rPr>
              <w:t>Child Protection and Family Services</w:t>
            </w:r>
          </w:p>
        </w:tc>
        <w:tc>
          <w:tcPr>
            <w:tcW w:w="736" w:type="dxa"/>
          </w:tcPr>
          <w:p w14:paraId="625192B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E765DC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DF9942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AB69BB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2E11E1F3" w14:textId="77777777" w:rsidTr="0031078F">
        <w:tc>
          <w:tcPr>
            <w:cnfStyle w:val="001000000000" w:firstRow="0" w:lastRow="0" w:firstColumn="1" w:lastColumn="0" w:oddVBand="0" w:evenVBand="0" w:oddHBand="0" w:evenHBand="0" w:firstRowFirstColumn="0" w:firstRowLastColumn="0" w:lastRowFirstColumn="0" w:lastRowLastColumn="0"/>
            <w:tcW w:w="4592" w:type="dxa"/>
          </w:tcPr>
          <w:p w14:paraId="522121FE" w14:textId="77777777" w:rsidR="008D6F13" w:rsidRDefault="008D6F13" w:rsidP="0031078F">
            <w:r>
              <w:t>Phone support for carers</w:t>
            </w:r>
          </w:p>
        </w:tc>
        <w:tc>
          <w:tcPr>
            <w:tcW w:w="736" w:type="dxa"/>
          </w:tcPr>
          <w:p w14:paraId="5C21F43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0.3</w:t>
            </w:r>
          </w:p>
        </w:tc>
        <w:tc>
          <w:tcPr>
            <w:tcW w:w="794" w:type="dxa"/>
          </w:tcPr>
          <w:p w14:paraId="1DA31E9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5D8CE8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9773AA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153D74E2" w14:textId="77777777" w:rsidTr="0031078F">
        <w:tc>
          <w:tcPr>
            <w:cnfStyle w:val="001000000000" w:firstRow="0" w:lastRow="0" w:firstColumn="1" w:lastColumn="0" w:oddVBand="0" w:evenVBand="0" w:oddHBand="0" w:evenHBand="0" w:firstRowFirstColumn="0" w:firstRowLastColumn="0" w:lastRowFirstColumn="0" w:lastRowLastColumn="0"/>
            <w:tcW w:w="4592" w:type="dxa"/>
          </w:tcPr>
          <w:p w14:paraId="7F15F37A" w14:textId="77777777" w:rsidR="008D6F13" w:rsidRDefault="008D6F13" w:rsidP="0031078F">
            <w:r>
              <w:rPr>
                <w:b/>
              </w:rPr>
              <w:t>Community Participation</w:t>
            </w:r>
          </w:p>
        </w:tc>
        <w:tc>
          <w:tcPr>
            <w:tcW w:w="736" w:type="dxa"/>
          </w:tcPr>
          <w:p w14:paraId="082A851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2414B5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DF3AC4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8252D0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41AA8131" w14:textId="77777777" w:rsidTr="0031078F">
        <w:tc>
          <w:tcPr>
            <w:cnfStyle w:val="001000000000" w:firstRow="0" w:lastRow="0" w:firstColumn="1" w:lastColumn="0" w:oddVBand="0" w:evenVBand="0" w:oddHBand="0" w:evenHBand="0" w:firstRowFirstColumn="0" w:firstRowLastColumn="0" w:lastRowFirstColumn="0" w:lastRowLastColumn="0"/>
            <w:tcW w:w="4592" w:type="dxa"/>
          </w:tcPr>
          <w:p w14:paraId="71B9C7EF" w14:textId="77777777" w:rsidR="008D6F13" w:rsidRDefault="008D6F13" w:rsidP="0031078F">
            <w:r>
              <w:t>Extension of the Extreme Hardship Support Program</w:t>
            </w:r>
          </w:p>
        </w:tc>
        <w:tc>
          <w:tcPr>
            <w:tcW w:w="736" w:type="dxa"/>
          </w:tcPr>
          <w:p w14:paraId="7F3800C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5.9</w:t>
            </w:r>
          </w:p>
        </w:tc>
        <w:tc>
          <w:tcPr>
            <w:tcW w:w="794" w:type="dxa"/>
          </w:tcPr>
          <w:p w14:paraId="2281B95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5B1091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3B77FB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719F92BE" w14:textId="77777777" w:rsidTr="0031078F">
        <w:tc>
          <w:tcPr>
            <w:cnfStyle w:val="001000000000" w:firstRow="0" w:lastRow="0" w:firstColumn="1" w:lastColumn="0" w:oddVBand="0" w:evenVBand="0" w:oddHBand="0" w:evenHBand="0" w:firstRowFirstColumn="0" w:firstRowLastColumn="0" w:lastRowFirstColumn="0" w:lastRowLastColumn="0"/>
            <w:tcW w:w="4592" w:type="dxa"/>
          </w:tcPr>
          <w:p w14:paraId="452B111D" w14:textId="77777777" w:rsidR="008D6F13" w:rsidRDefault="008D6F13" w:rsidP="0031078F">
            <w:r>
              <w:t>Social recovery programs following the June 2021 storms and floods</w:t>
            </w:r>
          </w:p>
        </w:tc>
        <w:tc>
          <w:tcPr>
            <w:tcW w:w="736" w:type="dxa"/>
          </w:tcPr>
          <w:p w14:paraId="203C56F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14.0</w:t>
            </w:r>
          </w:p>
        </w:tc>
        <w:tc>
          <w:tcPr>
            <w:tcW w:w="794" w:type="dxa"/>
          </w:tcPr>
          <w:p w14:paraId="45E1C60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176FB8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C9B01C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4A366C94" w14:textId="77777777" w:rsidTr="0031078F">
        <w:tc>
          <w:tcPr>
            <w:cnfStyle w:val="001000000000" w:firstRow="0" w:lastRow="0" w:firstColumn="1" w:lastColumn="0" w:oddVBand="0" w:evenVBand="0" w:oddHBand="0" w:evenHBand="0" w:firstRowFirstColumn="0" w:firstRowLastColumn="0" w:lastRowFirstColumn="0" w:lastRowLastColumn="0"/>
            <w:tcW w:w="4592" w:type="dxa"/>
          </w:tcPr>
          <w:p w14:paraId="11CD86D3" w14:textId="77777777" w:rsidR="008D6F13" w:rsidRDefault="008D6F13" w:rsidP="0031078F">
            <w:r>
              <w:t>Support for asylum seekers</w:t>
            </w:r>
          </w:p>
        </w:tc>
        <w:tc>
          <w:tcPr>
            <w:tcW w:w="736" w:type="dxa"/>
          </w:tcPr>
          <w:p w14:paraId="14BA139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w:t>
            </w:r>
          </w:p>
        </w:tc>
        <w:tc>
          <w:tcPr>
            <w:tcW w:w="794" w:type="dxa"/>
          </w:tcPr>
          <w:p w14:paraId="418F220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B198F5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E9D78F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65CB10F7" w14:textId="77777777" w:rsidTr="0031078F">
        <w:tc>
          <w:tcPr>
            <w:cnfStyle w:val="001000000000" w:firstRow="0" w:lastRow="0" w:firstColumn="1" w:lastColumn="0" w:oddVBand="0" w:evenVBand="0" w:oddHBand="0" w:evenHBand="0" w:firstRowFirstColumn="0" w:firstRowLastColumn="0" w:lastRowFirstColumn="0" w:lastRowLastColumn="0"/>
            <w:tcW w:w="4592" w:type="dxa"/>
          </w:tcPr>
          <w:p w14:paraId="24F0433B" w14:textId="77777777" w:rsidR="008D6F13" w:rsidRDefault="008D6F13" w:rsidP="0031078F">
            <w:r>
              <w:rPr>
                <w:b/>
              </w:rPr>
              <w:t>Concessions to Pensioners and Beneficiaries</w:t>
            </w:r>
          </w:p>
        </w:tc>
        <w:tc>
          <w:tcPr>
            <w:tcW w:w="736" w:type="dxa"/>
          </w:tcPr>
          <w:p w14:paraId="305003A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8A7FF2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FF3149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B6AA86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1A71932B" w14:textId="77777777" w:rsidTr="0031078F">
        <w:tc>
          <w:tcPr>
            <w:cnfStyle w:val="001000000000" w:firstRow="0" w:lastRow="0" w:firstColumn="1" w:lastColumn="0" w:oddVBand="0" w:evenVBand="0" w:oddHBand="0" w:evenHBand="0" w:firstRowFirstColumn="0" w:firstRowLastColumn="0" w:lastRowFirstColumn="0" w:lastRowLastColumn="0"/>
            <w:tcW w:w="4592" w:type="dxa"/>
          </w:tcPr>
          <w:p w14:paraId="3A56D19C" w14:textId="77777777" w:rsidR="008D6F13" w:rsidRDefault="008D6F13" w:rsidP="0031078F">
            <w:r>
              <w:t>COVID</w:t>
            </w:r>
            <w:r>
              <w:noBreakHyphen/>
              <w:t>19 food relief support</w:t>
            </w:r>
          </w:p>
        </w:tc>
        <w:tc>
          <w:tcPr>
            <w:tcW w:w="736" w:type="dxa"/>
          </w:tcPr>
          <w:p w14:paraId="2FB42D8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13.7</w:t>
            </w:r>
          </w:p>
        </w:tc>
        <w:tc>
          <w:tcPr>
            <w:tcW w:w="794" w:type="dxa"/>
          </w:tcPr>
          <w:p w14:paraId="2E4293E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B3160F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062696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49DCA90F" w14:textId="77777777" w:rsidTr="0031078F">
        <w:tc>
          <w:tcPr>
            <w:cnfStyle w:val="001000000000" w:firstRow="0" w:lastRow="0" w:firstColumn="1" w:lastColumn="0" w:oddVBand="0" w:evenVBand="0" w:oddHBand="0" w:evenHBand="0" w:firstRowFirstColumn="0" w:firstRowLastColumn="0" w:lastRowFirstColumn="0" w:lastRowLastColumn="0"/>
            <w:tcW w:w="4592" w:type="dxa"/>
          </w:tcPr>
          <w:p w14:paraId="1227A5CD" w14:textId="77777777" w:rsidR="008D6F13" w:rsidRDefault="008D6F13" w:rsidP="0031078F">
            <w:r>
              <w:t>Utility Relief Grant Scheme additional capacity</w:t>
            </w:r>
          </w:p>
        </w:tc>
        <w:tc>
          <w:tcPr>
            <w:tcW w:w="736" w:type="dxa"/>
          </w:tcPr>
          <w:p w14:paraId="1610606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0.4</w:t>
            </w:r>
          </w:p>
        </w:tc>
        <w:tc>
          <w:tcPr>
            <w:tcW w:w="794" w:type="dxa"/>
          </w:tcPr>
          <w:p w14:paraId="0D4EE20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640F5A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51C4DA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621611C9" w14:textId="77777777" w:rsidTr="0031078F">
        <w:tc>
          <w:tcPr>
            <w:cnfStyle w:val="001000000000" w:firstRow="0" w:lastRow="0" w:firstColumn="1" w:lastColumn="0" w:oddVBand="0" w:evenVBand="0" w:oddHBand="0" w:evenHBand="0" w:firstRowFirstColumn="0" w:firstRowLastColumn="0" w:lastRowFirstColumn="0" w:lastRowLastColumn="0"/>
            <w:tcW w:w="4592" w:type="dxa"/>
          </w:tcPr>
          <w:p w14:paraId="314E7BAB" w14:textId="77777777" w:rsidR="008D6F13" w:rsidRDefault="008D6F13" w:rsidP="0031078F">
            <w:r>
              <w:rPr>
                <w:b/>
              </w:rPr>
              <w:t>Family Violence Service Delivery</w:t>
            </w:r>
          </w:p>
        </w:tc>
        <w:tc>
          <w:tcPr>
            <w:tcW w:w="736" w:type="dxa"/>
          </w:tcPr>
          <w:p w14:paraId="2AEB131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747DCC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AEE8BF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C7BBD3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6CDD56D8" w14:textId="77777777" w:rsidTr="0031078F">
        <w:tc>
          <w:tcPr>
            <w:cnfStyle w:val="001000000000" w:firstRow="0" w:lastRow="0" w:firstColumn="1" w:lastColumn="0" w:oddVBand="0" w:evenVBand="0" w:oddHBand="0" w:evenHBand="0" w:firstRowFirstColumn="0" w:firstRowLastColumn="0" w:lastRowFirstColumn="0" w:lastRowLastColumn="0"/>
            <w:tcW w:w="4592" w:type="dxa"/>
          </w:tcPr>
          <w:p w14:paraId="03B53825" w14:textId="77777777" w:rsidR="008D6F13" w:rsidRDefault="008D6F13" w:rsidP="0031078F">
            <w:r>
              <w:t>Addressing demand pressures on specialist sexual assault services</w:t>
            </w:r>
          </w:p>
        </w:tc>
        <w:tc>
          <w:tcPr>
            <w:tcW w:w="736" w:type="dxa"/>
          </w:tcPr>
          <w:p w14:paraId="5A379B0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w:t>
            </w:r>
          </w:p>
        </w:tc>
        <w:tc>
          <w:tcPr>
            <w:tcW w:w="794" w:type="dxa"/>
          </w:tcPr>
          <w:p w14:paraId="22439FE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3.4</w:t>
            </w:r>
          </w:p>
        </w:tc>
        <w:tc>
          <w:tcPr>
            <w:tcW w:w="794" w:type="dxa"/>
          </w:tcPr>
          <w:p w14:paraId="175B4A6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441015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6B53355C" w14:textId="77777777" w:rsidTr="0031078F">
        <w:tc>
          <w:tcPr>
            <w:cnfStyle w:val="001000000000" w:firstRow="0" w:lastRow="0" w:firstColumn="1" w:lastColumn="0" w:oddVBand="0" w:evenVBand="0" w:oddHBand="0" w:evenHBand="0" w:firstRowFirstColumn="0" w:firstRowLastColumn="0" w:lastRowFirstColumn="0" w:lastRowLastColumn="0"/>
            <w:tcW w:w="4592" w:type="dxa"/>
          </w:tcPr>
          <w:p w14:paraId="0259A06C" w14:textId="77777777" w:rsidR="008D6F13" w:rsidRDefault="008D6F13" w:rsidP="0031078F">
            <w:r>
              <w:t>Further support for victim</w:t>
            </w:r>
            <w:r>
              <w:noBreakHyphen/>
              <w:t>survivors during COVID</w:t>
            </w:r>
            <w:r>
              <w:noBreakHyphen/>
              <w:t>19 lockdowns</w:t>
            </w:r>
          </w:p>
        </w:tc>
        <w:tc>
          <w:tcPr>
            <w:tcW w:w="736" w:type="dxa"/>
          </w:tcPr>
          <w:p w14:paraId="436BFDC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2.3</w:t>
            </w:r>
          </w:p>
        </w:tc>
        <w:tc>
          <w:tcPr>
            <w:tcW w:w="794" w:type="dxa"/>
          </w:tcPr>
          <w:p w14:paraId="20F31A5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945D5F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72F441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66AAF295" w14:textId="77777777" w:rsidTr="0031078F">
        <w:tc>
          <w:tcPr>
            <w:cnfStyle w:val="001000000000" w:firstRow="0" w:lastRow="0" w:firstColumn="1" w:lastColumn="0" w:oddVBand="0" w:evenVBand="0" w:oddHBand="0" w:evenHBand="0" w:firstRowFirstColumn="0" w:firstRowLastColumn="0" w:lastRowFirstColumn="0" w:lastRowLastColumn="0"/>
            <w:tcW w:w="4592" w:type="dxa"/>
          </w:tcPr>
          <w:p w14:paraId="72330DEB" w14:textId="77777777" w:rsidR="008D6F13" w:rsidRDefault="008D6F13" w:rsidP="0031078F">
            <w:r>
              <w:rPr>
                <w:b/>
              </w:rPr>
              <w:t>Housing Assistance</w:t>
            </w:r>
          </w:p>
        </w:tc>
        <w:tc>
          <w:tcPr>
            <w:tcW w:w="736" w:type="dxa"/>
          </w:tcPr>
          <w:p w14:paraId="2BA9E82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03D17A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2C0836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E7E19A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7E5F5BEA" w14:textId="77777777" w:rsidTr="0031078F">
        <w:tc>
          <w:tcPr>
            <w:cnfStyle w:val="001000000000" w:firstRow="0" w:lastRow="0" w:firstColumn="1" w:lastColumn="0" w:oddVBand="0" w:evenVBand="0" w:oddHBand="0" w:evenHBand="0" w:firstRowFirstColumn="0" w:firstRowLastColumn="0" w:lastRowFirstColumn="0" w:lastRowLastColumn="0"/>
            <w:tcW w:w="4592" w:type="dxa"/>
          </w:tcPr>
          <w:p w14:paraId="472932F1" w14:textId="77777777" w:rsidR="008D6F13" w:rsidRDefault="008D6F13" w:rsidP="0031078F">
            <w:r>
              <w:t>COVID</w:t>
            </w:r>
            <w:r>
              <w:noBreakHyphen/>
              <w:t>19 Isolation and Recovery Facility</w:t>
            </w:r>
          </w:p>
        </w:tc>
        <w:tc>
          <w:tcPr>
            <w:tcW w:w="736" w:type="dxa"/>
          </w:tcPr>
          <w:p w14:paraId="1294283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9.6</w:t>
            </w:r>
          </w:p>
        </w:tc>
        <w:tc>
          <w:tcPr>
            <w:tcW w:w="794" w:type="dxa"/>
          </w:tcPr>
          <w:p w14:paraId="58D75F3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96D3C7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EB4850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5C5B43A6" w14:textId="77777777" w:rsidTr="0031078F">
        <w:tc>
          <w:tcPr>
            <w:cnfStyle w:val="001000000000" w:firstRow="0" w:lastRow="0" w:firstColumn="1" w:lastColumn="0" w:oddVBand="0" w:evenVBand="0" w:oddHBand="0" w:evenHBand="0" w:firstRowFirstColumn="0" w:firstRowLastColumn="0" w:lastRowFirstColumn="0" w:lastRowLastColumn="0"/>
            <w:tcW w:w="4592" w:type="dxa"/>
          </w:tcPr>
          <w:p w14:paraId="2B561712" w14:textId="77777777" w:rsidR="008D6F13" w:rsidRDefault="008D6F13" w:rsidP="0031078F">
            <w:r>
              <w:t>Emergency hotel accommodation for people experiencing homelessness during COVID</w:t>
            </w:r>
            <w:r>
              <w:noBreakHyphen/>
              <w:t>19 lockdowns</w:t>
            </w:r>
          </w:p>
        </w:tc>
        <w:tc>
          <w:tcPr>
            <w:tcW w:w="736" w:type="dxa"/>
          </w:tcPr>
          <w:p w14:paraId="20BFD92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tbc</w:t>
            </w:r>
          </w:p>
        </w:tc>
        <w:tc>
          <w:tcPr>
            <w:tcW w:w="794" w:type="dxa"/>
          </w:tcPr>
          <w:p w14:paraId="7AFA1E7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tbc</w:t>
            </w:r>
          </w:p>
        </w:tc>
        <w:tc>
          <w:tcPr>
            <w:tcW w:w="794" w:type="dxa"/>
          </w:tcPr>
          <w:p w14:paraId="68703DC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tbc</w:t>
            </w:r>
          </w:p>
        </w:tc>
        <w:tc>
          <w:tcPr>
            <w:tcW w:w="794" w:type="dxa"/>
          </w:tcPr>
          <w:p w14:paraId="3500020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4DCC4C45" w14:textId="77777777" w:rsidTr="0031078F">
        <w:tc>
          <w:tcPr>
            <w:cnfStyle w:val="001000000000" w:firstRow="0" w:lastRow="0" w:firstColumn="1" w:lastColumn="0" w:oddVBand="0" w:evenVBand="0" w:oddHBand="0" w:evenHBand="0" w:firstRowFirstColumn="0" w:firstRowLastColumn="0" w:lastRowFirstColumn="0" w:lastRowLastColumn="0"/>
            <w:tcW w:w="4592" w:type="dxa"/>
          </w:tcPr>
          <w:p w14:paraId="343F2779" w14:textId="77777777" w:rsidR="008D6F13" w:rsidRDefault="008D6F13" w:rsidP="0031078F">
            <w:r>
              <w:rPr>
                <w:b/>
              </w:rPr>
              <w:t>Multicultural Affairs Policy and Programs</w:t>
            </w:r>
          </w:p>
        </w:tc>
        <w:tc>
          <w:tcPr>
            <w:tcW w:w="736" w:type="dxa"/>
          </w:tcPr>
          <w:p w14:paraId="75DA239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C93975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521D5D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E14C4B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025A9ED4" w14:textId="77777777" w:rsidTr="0031078F">
        <w:tc>
          <w:tcPr>
            <w:cnfStyle w:val="001000000000" w:firstRow="0" w:lastRow="0" w:firstColumn="1" w:lastColumn="0" w:oddVBand="0" w:evenVBand="0" w:oddHBand="0" w:evenHBand="0" w:firstRowFirstColumn="0" w:firstRowLastColumn="0" w:lastRowFirstColumn="0" w:lastRowLastColumn="0"/>
            <w:tcW w:w="4592" w:type="dxa"/>
          </w:tcPr>
          <w:p w14:paraId="3196C317" w14:textId="77777777" w:rsidR="008D6F13" w:rsidRDefault="008D6F13" w:rsidP="0031078F">
            <w:r>
              <w:t>Continuation of the Culturally and Linguistically Diverse (CALD) Communities Taskforce</w:t>
            </w:r>
          </w:p>
        </w:tc>
        <w:tc>
          <w:tcPr>
            <w:tcW w:w="736" w:type="dxa"/>
          </w:tcPr>
          <w:p w14:paraId="7FC722E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19.3</w:t>
            </w:r>
          </w:p>
        </w:tc>
        <w:tc>
          <w:tcPr>
            <w:tcW w:w="794" w:type="dxa"/>
          </w:tcPr>
          <w:p w14:paraId="1592875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15F71B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59A7A8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77D9C629" w14:textId="77777777" w:rsidTr="0031078F">
        <w:tc>
          <w:tcPr>
            <w:cnfStyle w:val="001000000000" w:firstRow="0" w:lastRow="0" w:firstColumn="1" w:lastColumn="0" w:oddVBand="0" w:evenVBand="0" w:oddHBand="0" w:evenHBand="0" w:firstRowFirstColumn="0" w:firstRowLastColumn="0" w:lastRowFirstColumn="0" w:lastRowLastColumn="0"/>
            <w:tcW w:w="4592" w:type="dxa"/>
          </w:tcPr>
          <w:p w14:paraId="698BD712" w14:textId="77777777" w:rsidR="008D6F13" w:rsidRDefault="008D6F13" w:rsidP="0031078F">
            <w:r>
              <w:t>Promoting vaccine uptake in priority communities</w:t>
            </w:r>
          </w:p>
        </w:tc>
        <w:tc>
          <w:tcPr>
            <w:tcW w:w="736" w:type="dxa"/>
          </w:tcPr>
          <w:p w14:paraId="34C6C64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20.3</w:t>
            </w:r>
          </w:p>
        </w:tc>
        <w:tc>
          <w:tcPr>
            <w:tcW w:w="794" w:type="dxa"/>
          </w:tcPr>
          <w:p w14:paraId="48B067A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284784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F07587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6CBDA0AC" w14:textId="77777777" w:rsidTr="0031078F">
        <w:tc>
          <w:tcPr>
            <w:cnfStyle w:val="001000000000" w:firstRow="0" w:lastRow="0" w:firstColumn="1" w:lastColumn="0" w:oddVBand="0" w:evenVBand="0" w:oddHBand="0" w:evenHBand="0" w:firstRowFirstColumn="0" w:firstRowLastColumn="0" w:lastRowFirstColumn="0" w:lastRowLastColumn="0"/>
            <w:tcW w:w="4592" w:type="dxa"/>
          </w:tcPr>
          <w:p w14:paraId="7894198A" w14:textId="77777777" w:rsidR="008D6F13" w:rsidRDefault="008D6F13" w:rsidP="0031078F">
            <w:r>
              <w:rPr>
                <w:b/>
              </w:rPr>
              <w:t>Women’s Policy</w:t>
            </w:r>
          </w:p>
        </w:tc>
        <w:tc>
          <w:tcPr>
            <w:tcW w:w="736" w:type="dxa"/>
          </w:tcPr>
          <w:p w14:paraId="64A4ACB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C82730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3845E4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82208F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6A9BAF19" w14:textId="77777777" w:rsidTr="0031078F">
        <w:tc>
          <w:tcPr>
            <w:cnfStyle w:val="001000000000" w:firstRow="0" w:lastRow="0" w:firstColumn="1" w:lastColumn="0" w:oddVBand="0" w:evenVBand="0" w:oddHBand="0" w:evenHBand="0" w:firstRowFirstColumn="0" w:firstRowLastColumn="0" w:lastRowFirstColumn="0" w:lastRowLastColumn="0"/>
            <w:tcW w:w="4592" w:type="dxa"/>
            <w:tcBorders>
              <w:bottom w:val="single" w:sz="6" w:space="0" w:color="auto"/>
            </w:tcBorders>
          </w:tcPr>
          <w:p w14:paraId="41C9DD3F" w14:textId="77777777" w:rsidR="008D6F13" w:rsidRDefault="008D6F13" w:rsidP="0031078F">
            <w:r>
              <w:t>Additional supports for vulnerable women during the COVID</w:t>
            </w:r>
            <w:r>
              <w:noBreakHyphen/>
              <w:t>19 pandemic</w:t>
            </w:r>
          </w:p>
        </w:tc>
        <w:tc>
          <w:tcPr>
            <w:tcW w:w="736" w:type="dxa"/>
            <w:tcBorders>
              <w:bottom w:val="single" w:sz="6" w:space="0" w:color="auto"/>
            </w:tcBorders>
          </w:tcPr>
          <w:p w14:paraId="78398FF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0.9</w:t>
            </w:r>
          </w:p>
        </w:tc>
        <w:tc>
          <w:tcPr>
            <w:tcW w:w="794" w:type="dxa"/>
            <w:tcBorders>
              <w:bottom w:val="single" w:sz="6" w:space="0" w:color="auto"/>
            </w:tcBorders>
          </w:tcPr>
          <w:p w14:paraId="53555EB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0D1F2D6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001CC41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53D6A4AF" w14:textId="77777777" w:rsidTr="0031078F">
        <w:tc>
          <w:tcPr>
            <w:cnfStyle w:val="001000000000" w:firstRow="0" w:lastRow="0" w:firstColumn="1" w:lastColumn="0" w:oddVBand="0" w:evenVBand="0" w:oddHBand="0" w:evenHBand="0" w:firstRowFirstColumn="0" w:firstRowLastColumn="0" w:lastRowFirstColumn="0" w:lastRowLastColumn="0"/>
            <w:tcW w:w="4592" w:type="dxa"/>
          </w:tcPr>
          <w:p w14:paraId="71993EE0" w14:textId="77777777" w:rsidR="008D6F13" w:rsidRDefault="008D6F13" w:rsidP="0031078F">
            <w:r>
              <w:rPr>
                <w:b/>
              </w:rPr>
              <w:t xml:space="preserve">Total output initiatives </w:t>
            </w:r>
            <w:r>
              <w:rPr>
                <w:b/>
                <w:vertAlign w:val="superscript"/>
              </w:rPr>
              <w:t>(a)</w:t>
            </w:r>
          </w:p>
        </w:tc>
        <w:tc>
          <w:tcPr>
            <w:tcW w:w="736" w:type="dxa"/>
          </w:tcPr>
          <w:p w14:paraId="1F0E1C1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90.5</w:t>
            </w:r>
          </w:p>
        </w:tc>
        <w:tc>
          <w:tcPr>
            <w:tcW w:w="794" w:type="dxa"/>
          </w:tcPr>
          <w:p w14:paraId="7B57D2C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3.4</w:t>
            </w:r>
          </w:p>
        </w:tc>
        <w:tc>
          <w:tcPr>
            <w:tcW w:w="794" w:type="dxa"/>
          </w:tcPr>
          <w:p w14:paraId="733D056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Pr>
          <w:p w14:paraId="070487B3" w14:textId="24F82446"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w:t>
            </w:r>
          </w:p>
        </w:tc>
      </w:tr>
    </w:tbl>
    <w:p w14:paraId="6C78B26D" w14:textId="77777777" w:rsidR="008D6F13" w:rsidRDefault="008D6F13" w:rsidP="008D6F13">
      <w:pPr>
        <w:pStyle w:val="Source"/>
      </w:pPr>
      <w:r w:rsidRPr="00252ED7">
        <w:t>Source: Department of Treasury and Finance</w:t>
      </w:r>
    </w:p>
    <w:p w14:paraId="6D61EC2B" w14:textId="77777777" w:rsidR="008D6F13" w:rsidRDefault="008D6F13" w:rsidP="008D6F13">
      <w:pPr>
        <w:pStyle w:val="Note"/>
      </w:pPr>
      <w:bookmarkStart w:id="150" w:name="_Toc9342186"/>
      <w:r>
        <w:t xml:space="preserve">Note: </w:t>
      </w:r>
    </w:p>
    <w:p w14:paraId="60AE0F1A" w14:textId="77777777" w:rsidR="008D6F13" w:rsidRDefault="008D6F13" w:rsidP="008D6F13">
      <w:pPr>
        <w:pStyle w:val="Note"/>
      </w:pPr>
      <w:r w:rsidRPr="00B82015">
        <w:t>(</w:t>
      </w:r>
      <w:r>
        <w:t>a</w:t>
      </w:r>
      <w:r w:rsidRPr="00B82015">
        <w:t xml:space="preserve">) </w:t>
      </w:r>
      <w:r w:rsidRPr="00B82015">
        <w:tab/>
        <w:t>Table may not add due to rounding.</w:t>
      </w:r>
    </w:p>
    <w:p w14:paraId="10863E6D" w14:textId="77777777" w:rsidR="008D6F13" w:rsidRDefault="008D6F13" w:rsidP="008D6F13">
      <w:pPr>
        <w:pStyle w:val="Heading4"/>
      </w:pPr>
      <w:r>
        <w:t>Child Protection and Family Services</w:t>
      </w:r>
    </w:p>
    <w:p w14:paraId="0915973F" w14:textId="77777777" w:rsidR="008D6F13" w:rsidRDefault="008D6F13" w:rsidP="008D6F13">
      <w:pPr>
        <w:pStyle w:val="Heading5"/>
      </w:pPr>
      <w:r>
        <w:t>Phone support for carers</w:t>
      </w:r>
    </w:p>
    <w:p w14:paraId="1C57EF7B" w14:textId="77777777" w:rsidR="008D6F13" w:rsidRDefault="008D6F13" w:rsidP="008D6F13">
      <w:r>
        <w:t xml:space="preserve">Funding is provided for phone support to foster, kinship and permanent carers about assistance available in response to the COVID-19 pandemic, as well as assistance for carers to navigate the children and </w:t>
      </w:r>
      <w:proofErr w:type="gramStart"/>
      <w:r>
        <w:t>families</w:t>
      </w:r>
      <w:proofErr w:type="gramEnd"/>
      <w:r>
        <w:t xml:space="preserve"> system.</w:t>
      </w:r>
    </w:p>
    <w:p w14:paraId="748AFFDF" w14:textId="77777777" w:rsidR="008D6F13" w:rsidRDefault="008D6F13" w:rsidP="008D6F13">
      <w:r>
        <w:t xml:space="preserve">This initiative contributes to the Department of Families, Fairness and Housing’s Child Protection and Family Services output. </w:t>
      </w:r>
    </w:p>
    <w:p w14:paraId="13870513" w14:textId="77777777" w:rsidR="008D6F13" w:rsidRDefault="008D6F13" w:rsidP="008D6F13">
      <w:pPr>
        <w:pStyle w:val="Heading4"/>
      </w:pPr>
      <w:r>
        <w:lastRenderedPageBreak/>
        <w:t>Community Participation</w:t>
      </w:r>
    </w:p>
    <w:p w14:paraId="3DDA7581" w14:textId="77777777" w:rsidR="008D6F13" w:rsidRDefault="008D6F13" w:rsidP="008D6F13">
      <w:pPr>
        <w:pStyle w:val="Heading5"/>
      </w:pPr>
      <w:r>
        <w:t>Extension of the Extreme Hardship Support Program</w:t>
      </w:r>
    </w:p>
    <w:p w14:paraId="00DABA45" w14:textId="77777777" w:rsidR="008D6F13" w:rsidRDefault="008D6F13" w:rsidP="008D6F13">
      <w:pPr>
        <w:ind w:right="-94"/>
      </w:pPr>
      <w:r>
        <w:t xml:space="preserve">Funding is provided for the extension of the Extreme Hardship Support Program (EHSP) to assist people experiencing financial hardship from successive lockdowns. The EHSP is targeted at temporary visa holders, international students and undocumented migrants who are ineligible for Commonwealth </w:t>
      </w:r>
      <w:proofErr w:type="gramStart"/>
      <w:r>
        <w:t>support, and</w:t>
      </w:r>
      <w:proofErr w:type="gramEnd"/>
      <w:r>
        <w:t xml:space="preserve"> is administered by the Australian Red Cross.</w:t>
      </w:r>
    </w:p>
    <w:p w14:paraId="6228ABD3" w14:textId="77777777" w:rsidR="008D6F13" w:rsidRDefault="008D6F13" w:rsidP="008D6F13">
      <w:r>
        <w:t>This initiative contributes to the Department of Families, Fairness and Housing’s Community Participation output.</w:t>
      </w:r>
    </w:p>
    <w:p w14:paraId="4D54B7C9" w14:textId="77777777" w:rsidR="008D6F13" w:rsidRDefault="008D6F13" w:rsidP="008D6F13">
      <w:pPr>
        <w:pStyle w:val="Heading5"/>
      </w:pPr>
      <w:r>
        <w:t>Social recovery programs following the June 2021 storms and floods</w:t>
      </w:r>
    </w:p>
    <w:p w14:paraId="461B822B" w14:textId="77777777" w:rsidR="008D6F13" w:rsidRDefault="008D6F13" w:rsidP="008D6F13">
      <w:r>
        <w:t xml:space="preserve">Funding is provided for a package of measures to assist in social recovery and support for Victorians directly impacted by the June 2021 flood and storm emergency. </w:t>
      </w:r>
      <w:r w:rsidRPr="00596339">
        <w:t>This includes support for</w:t>
      </w:r>
      <w:r>
        <w:t xml:space="preserve"> housing and accommodation; psychosocial services; cohort specific programs (including children, youth, </w:t>
      </w:r>
      <w:proofErr w:type="gramStart"/>
      <w:r>
        <w:t>families</w:t>
      </w:r>
      <w:proofErr w:type="gramEnd"/>
      <w:r>
        <w:t xml:space="preserve"> and seniors); prevention of family violence; individual and household financial assistance and the recovery support program. </w:t>
      </w:r>
    </w:p>
    <w:p w14:paraId="285D97E5" w14:textId="77777777" w:rsidR="008D6F13" w:rsidRDefault="008D6F13" w:rsidP="008D6F13">
      <w:r>
        <w:t xml:space="preserve">This initiative contributes to the Department of Families, Fairness and Housing’s Community Participation output. </w:t>
      </w:r>
    </w:p>
    <w:p w14:paraId="2998F1BA" w14:textId="77777777" w:rsidR="008D6F13" w:rsidRPr="003D2CF8" w:rsidRDefault="008D6F13" w:rsidP="008D6F13">
      <w:pPr>
        <w:pStyle w:val="Heading5"/>
        <w:rPr>
          <w:b w:val="0"/>
          <w:iCs w:val="0"/>
        </w:rPr>
      </w:pPr>
      <w:r w:rsidRPr="003F5374">
        <w:t>Support for asylum seekers</w:t>
      </w:r>
    </w:p>
    <w:p w14:paraId="6B7E35A0" w14:textId="77777777" w:rsidR="008D6F13" w:rsidRDefault="008D6F13" w:rsidP="008D6F13">
      <w:r>
        <w:t xml:space="preserve">Funding is provided for asylum seekers severely impacted by the pandemic and at risk of not being able to access other services. The initiative provides caseworkers for complex and high-risk clients, and funding for client brokerage and meeting basic needs. </w:t>
      </w:r>
    </w:p>
    <w:p w14:paraId="63DC18C9" w14:textId="77777777" w:rsidR="008D6F13" w:rsidRDefault="008D6F13" w:rsidP="008D6F13">
      <w:r>
        <w:t>This initiative contributes to the Department of Families, Fairness and Housing’s Community Participation output.</w:t>
      </w:r>
    </w:p>
    <w:p w14:paraId="0DAFB2F6" w14:textId="77777777" w:rsidR="008D6F13" w:rsidRDefault="008D6F13" w:rsidP="008D6F13">
      <w:pPr>
        <w:pStyle w:val="Heading4"/>
      </w:pPr>
      <w:r>
        <w:t>Concessions to Pensioners and Beneficiaries</w:t>
      </w:r>
    </w:p>
    <w:p w14:paraId="287135F9" w14:textId="77777777" w:rsidR="008D6F13" w:rsidRDefault="008D6F13" w:rsidP="008D6F13">
      <w:pPr>
        <w:pStyle w:val="Heading5"/>
      </w:pPr>
      <w:r>
        <w:t xml:space="preserve">COVID-19 food relief support </w:t>
      </w:r>
    </w:p>
    <w:p w14:paraId="1A306A8D" w14:textId="77777777" w:rsidR="008D6F13" w:rsidRDefault="008D6F13" w:rsidP="008D6F13">
      <w:r>
        <w:t>Funding is provided for food relief and additional capacity for key food relief organisations during the COVID-19 pandemic. This includes:</w:t>
      </w:r>
    </w:p>
    <w:p w14:paraId="4E745593" w14:textId="77777777" w:rsidR="008D6F13" w:rsidRDefault="008D6F13" w:rsidP="008D6F13">
      <w:pPr>
        <w:pStyle w:val="ListBullet"/>
        <w:spacing w:before="40"/>
      </w:pPr>
      <w:r>
        <w:t>an extended program delivered by local government for immediate, local food relief and other practical supports for people in mandatory self-isolation</w:t>
      </w:r>
    </w:p>
    <w:p w14:paraId="6003C4A3" w14:textId="77777777" w:rsidR="008D6F13" w:rsidRDefault="008D6F13" w:rsidP="008D6F13">
      <w:pPr>
        <w:pStyle w:val="ListBullet"/>
        <w:spacing w:before="40"/>
      </w:pPr>
      <w:r>
        <w:t>Australian Red Cross emergency relief packages containing food and personal care items</w:t>
      </w:r>
    </w:p>
    <w:p w14:paraId="0B9B920F" w14:textId="77777777" w:rsidR="008D6F13" w:rsidRDefault="008D6F13" w:rsidP="008D6F13">
      <w:pPr>
        <w:pStyle w:val="ListBullet"/>
        <w:spacing w:before="40"/>
      </w:pPr>
      <w:r>
        <w:t>food relief workforce grants to employ staff in the absence of a volunteer workforce</w:t>
      </w:r>
    </w:p>
    <w:p w14:paraId="6A3F120D" w14:textId="77777777" w:rsidR="008D6F13" w:rsidRDefault="008D6F13" w:rsidP="008D6F13">
      <w:pPr>
        <w:pStyle w:val="ListBullet"/>
        <w:spacing w:before="40"/>
      </w:pPr>
      <w:r>
        <w:t>funding to</w:t>
      </w:r>
      <w:r>
        <w:rPr>
          <w:i/>
          <w:iCs/>
        </w:rPr>
        <w:t xml:space="preserve"> </w:t>
      </w:r>
      <w:r>
        <w:t>enhance and maintain capacity in the food relief system during lockdowns, through delivering more food to vulnerable Victorians and boosting the capacity of key community food relief organisations.</w:t>
      </w:r>
    </w:p>
    <w:p w14:paraId="10A47D4E" w14:textId="77777777" w:rsidR="008D6F13" w:rsidRDefault="008D6F13" w:rsidP="008D6F13">
      <w:r>
        <w:t>This initiative contributes to the Department of Families, Fairness and Housing’s Concessions to Pensioners and Beneficiaries output.</w:t>
      </w:r>
    </w:p>
    <w:p w14:paraId="1167C120" w14:textId="77777777" w:rsidR="008D6F13" w:rsidRDefault="008D6F13" w:rsidP="008D6F13">
      <w:pPr>
        <w:pStyle w:val="Heading5"/>
      </w:pPr>
      <w:r>
        <w:lastRenderedPageBreak/>
        <w:t>Utility Relief Grant Scheme additional capacity</w:t>
      </w:r>
    </w:p>
    <w:p w14:paraId="5468AD69" w14:textId="77777777" w:rsidR="008D6F13" w:rsidRDefault="008D6F13" w:rsidP="008D6F13">
      <w:pPr>
        <w:rPr>
          <w:rFonts w:eastAsiaTheme="minorEastAsia"/>
          <w:lang w:eastAsia="ko-KR"/>
        </w:rPr>
      </w:pPr>
      <w:r>
        <w:t>Funding is provided to increase</w:t>
      </w:r>
      <w:r>
        <w:rPr>
          <w:rFonts w:eastAsiaTheme="minorEastAsia"/>
          <w:lang w:eastAsia="ko-KR"/>
        </w:rPr>
        <w:t xml:space="preserve"> application processing capacity and consumer information and advice through the Utility Relief Grant Scheme (URGS) to meet rising demand for utility concessions resulting from COVID-19 lockdowns.</w:t>
      </w:r>
    </w:p>
    <w:p w14:paraId="4ED1653E" w14:textId="77777777" w:rsidR="008D6F13" w:rsidRDefault="008D6F13" w:rsidP="008D6F13">
      <w:pPr>
        <w:rPr>
          <w:rFonts w:eastAsiaTheme="minorEastAsia"/>
          <w:lang w:eastAsia="ko-KR"/>
        </w:rPr>
      </w:pPr>
      <w:r>
        <w:t>This initiative contributes to the Department of Families, Fairness and Housing’s Concessions to Pensioners and Beneficiaries output.</w:t>
      </w:r>
    </w:p>
    <w:p w14:paraId="5225DC08" w14:textId="77777777" w:rsidR="008D6F13" w:rsidRDefault="008D6F13" w:rsidP="008D6F13">
      <w:pPr>
        <w:pStyle w:val="Heading4"/>
      </w:pPr>
      <w:r>
        <w:t>Family Violence Service Delivery</w:t>
      </w:r>
    </w:p>
    <w:p w14:paraId="1176F6F3" w14:textId="77777777" w:rsidR="008D6F13" w:rsidRPr="00E872CE" w:rsidRDefault="008D6F13" w:rsidP="008D6F13">
      <w:pPr>
        <w:pStyle w:val="Heading5"/>
        <w:rPr>
          <w:b w:val="0"/>
          <w:iCs w:val="0"/>
        </w:rPr>
      </w:pPr>
      <w:r w:rsidRPr="003D1ED8">
        <w:t>Addressing demand pressures on specialist sexual assault services</w:t>
      </w:r>
    </w:p>
    <w:p w14:paraId="1BEC8C2A" w14:textId="77777777" w:rsidR="008D6F13" w:rsidRDefault="008D6F13" w:rsidP="008D6F13">
      <w:pPr>
        <w:rPr>
          <w:rFonts w:eastAsiaTheme="minorEastAsia"/>
          <w:lang w:eastAsia="ko-KR"/>
        </w:rPr>
      </w:pPr>
      <w:r>
        <w:rPr>
          <w:rFonts w:eastAsiaTheme="minorEastAsia"/>
          <w:lang w:eastAsia="ko-KR"/>
        </w:rPr>
        <w:t xml:space="preserve">Funding is provided to address immediate demand pressures on frontline victim-survivor sexual assault support services in response to the Victorian Law Reform Commission’s </w:t>
      </w:r>
      <w:r w:rsidRPr="00C0096E">
        <w:rPr>
          <w:rFonts w:eastAsiaTheme="minorEastAsia"/>
          <w:i/>
          <w:iCs/>
          <w:lang w:eastAsia="ko-KR"/>
        </w:rPr>
        <w:t>Improving the Justice System Response to Sexual Offences</w:t>
      </w:r>
      <w:r>
        <w:rPr>
          <w:rFonts w:eastAsiaTheme="minorEastAsia"/>
          <w:lang w:eastAsia="ko-KR"/>
        </w:rPr>
        <w:t xml:space="preserve"> report. </w:t>
      </w:r>
    </w:p>
    <w:p w14:paraId="5CC9F076" w14:textId="77777777" w:rsidR="008D6F13" w:rsidRPr="00E9088C" w:rsidRDefault="008D6F13" w:rsidP="008D6F13">
      <w:r>
        <w:t>This initiative contributes to the Department of Families, Fairness and Housing’s Family Violence Service Delivery output.</w:t>
      </w:r>
    </w:p>
    <w:p w14:paraId="4A1ACA77" w14:textId="77777777" w:rsidR="008D6F13" w:rsidRPr="00E872CE" w:rsidRDefault="008D6F13" w:rsidP="008D6F13">
      <w:pPr>
        <w:pStyle w:val="Heading5"/>
        <w:rPr>
          <w:b w:val="0"/>
          <w:iCs w:val="0"/>
        </w:rPr>
      </w:pPr>
      <w:r w:rsidRPr="007672D5">
        <w:t>Further support for victim-survivors during COVID-19 lockdowns</w:t>
      </w:r>
    </w:p>
    <w:p w14:paraId="00D60AC8" w14:textId="77777777" w:rsidR="008D6F13" w:rsidRDefault="008D6F13" w:rsidP="008D6F13">
      <w:r>
        <w:rPr>
          <w:rFonts w:eastAsiaTheme="minorEastAsia"/>
          <w:lang w:eastAsia="ko-KR"/>
        </w:rPr>
        <w:t xml:space="preserve">Funding is provided for additional family violence crisis brokerage services to address hardship experienced by victim-survivors and to support safety and stability during COVID-19 lockdowns. </w:t>
      </w:r>
    </w:p>
    <w:p w14:paraId="2E683C13" w14:textId="77777777" w:rsidR="008D6F13" w:rsidRDefault="008D6F13" w:rsidP="008D6F13">
      <w:r>
        <w:t>This initiative contributes to the Department of Families, Fairness and Housing’s Family Violence Service Delivery output.</w:t>
      </w:r>
    </w:p>
    <w:p w14:paraId="6FD57F31" w14:textId="77777777" w:rsidR="008D6F13" w:rsidRDefault="008D6F13" w:rsidP="008D6F13">
      <w:pPr>
        <w:pStyle w:val="Heading4"/>
      </w:pPr>
      <w:r>
        <w:t>Housing Assistance</w:t>
      </w:r>
    </w:p>
    <w:p w14:paraId="6C7D5B6B" w14:textId="77777777" w:rsidR="008D6F13" w:rsidRPr="003D2CF8" w:rsidRDefault="008D6F13" w:rsidP="008D6F13">
      <w:pPr>
        <w:pStyle w:val="Heading5"/>
        <w:rPr>
          <w:b w:val="0"/>
          <w:iCs w:val="0"/>
        </w:rPr>
      </w:pPr>
      <w:r w:rsidRPr="003D2CF8">
        <w:t>COVID-19 Isolation and Recovery Facility</w:t>
      </w:r>
    </w:p>
    <w:p w14:paraId="20290D96" w14:textId="77777777" w:rsidR="008D6F13" w:rsidRPr="003D2CF8" w:rsidRDefault="008D6F13" w:rsidP="008D6F13">
      <w:r w:rsidRPr="003D2CF8">
        <w:t xml:space="preserve">Funding is provided </w:t>
      </w:r>
      <w:r>
        <w:t>for</w:t>
      </w:r>
      <w:r w:rsidRPr="003D2CF8">
        <w:t xml:space="preserve"> the COVID-19 Isolation and Recovery Facility (CIRF). The CIRF provides temporary accommodation and support to people with multiple complex needs with a suspected or confirmed case of COVID-19 to self-isolate. </w:t>
      </w:r>
    </w:p>
    <w:p w14:paraId="61FAF4C1" w14:textId="77777777" w:rsidR="008D6F13" w:rsidRDefault="008D6F13" w:rsidP="008D6F13">
      <w:r w:rsidRPr="003D2CF8">
        <w:t>This initiative contributes to the Department of Families, Fairness and Housing’s Housing Assistance output.</w:t>
      </w:r>
    </w:p>
    <w:p w14:paraId="738C71F8" w14:textId="77777777" w:rsidR="008D6F13" w:rsidRPr="00E872CE" w:rsidRDefault="008D6F13" w:rsidP="008D6F13">
      <w:pPr>
        <w:pStyle w:val="Heading5"/>
        <w:rPr>
          <w:b w:val="0"/>
          <w:iCs w:val="0"/>
        </w:rPr>
      </w:pPr>
      <w:r w:rsidRPr="007672D5">
        <w:t>Emergency hotel accommodation for people experiencing homelessness during COVID</w:t>
      </w:r>
      <w:r w:rsidRPr="007672D5">
        <w:noBreakHyphen/>
        <w:t>19 lockdowns</w:t>
      </w:r>
    </w:p>
    <w:p w14:paraId="6DFD1979" w14:textId="77777777" w:rsidR="008D6F13" w:rsidRDefault="008D6F13" w:rsidP="008D6F13">
      <w:r>
        <w:t xml:space="preserve">Funding is provided for emergency hotel accommodation for people experiencing homelessness during COVID-19 lockdowns. </w:t>
      </w:r>
    </w:p>
    <w:p w14:paraId="21C723D4" w14:textId="77777777" w:rsidR="008D6F13" w:rsidRDefault="008D6F13" w:rsidP="008D6F13">
      <w:r>
        <w:t xml:space="preserve">Funding is also provided to support exit pathways for households with children in hotels, and provide gradual exits for households, including alternative accommodation where possible, after COVID-19 lockdowns conclude. </w:t>
      </w:r>
    </w:p>
    <w:p w14:paraId="6FB65301" w14:textId="77777777" w:rsidR="008D6F13" w:rsidRDefault="008D6F13" w:rsidP="008D6F13">
      <w:r>
        <w:t>This initiative contributes to the Department of Families, Fairness and Housing’s Housing Assistance output.</w:t>
      </w:r>
    </w:p>
    <w:p w14:paraId="409B4925" w14:textId="77777777" w:rsidR="008D6F13" w:rsidRDefault="008D6F13" w:rsidP="008D6F13">
      <w:pPr>
        <w:keepLines w:val="0"/>
        <w:rPr>
          <w:rFonts w:asciiTheme="majorHAnsi" w:eastAsiaTheme="majorEastAsia" w:hAnsiTheme="majorHAnsi" w:cstheme="majorBidi"/>
          <w:i/>
          <w:iCs/>
          <w:sz w:val="23"/>
          <w:szCs w:val="24"/>
        </w:rPr>
      </w:pPr>
      <w:r>
        <w:br w:type="page"/>
      </w:r>
    </w:p>
    <w:p w14:paraId="2051ECFB" w14:textId="77777777" w:rsidR="008D6F13" w:rsidRDefault="008D6F13" w:rsidP="008D6F13">
      <w:pPr>
        <w:pStyle w:val="Heading4"/>
      </w:pPr>
      <w:r>
        <w:lastRenderedPageBreak/>
        <w:t>Multicultural Affairs Policy and Programs</w:t>
      </w:r>
    </w:p>
    <w:p w14:paraId="01FD192D" w14:textId="77777777" w:rsidR="008D6F13" w:rsidRDefault="008D6F13" w:rsidP="008D6F13">
      <w:pPr>
        <w:pStyle w:val="Heading5"/>
      </w:pPr>
      <w:r>
        <w:t>Continuation of the Culturally and Linguistically Diverse (CALD) Communities Taskforce</w:t>
      </w:r>
    </w:p>
    <w:p w14:paraId="65BB8B78" w14:textId="77777777" w:rsidR="008D6F13" w:rsidRDefault="008D6F13" w:rsidP="008D6F13">
      <w:pPr>
        <w:keepNext/>
      </w:pPr>
      <w:r>
        <w:t xml:space="preserve">Funding is provided for a range of activities to support CALD communities during the COVID-19 pandemic including: </w:t>
      </w:r>
    </w:p>
    <w:p w14:paraId="66E2564E" w14:textId="77777777" w:rsidR="008D6F13" w:rsidRDefault="008D6F13" w:rsidP="008D6F13">
      <w:pPr>
        <w:pStyle w:val="ListBullet"/>
      </w:pPr>
      <w:r>
        <w:t>targeted communications to support critical public health messaging, including vaccinations, to priority multicultural communities</w:t>
      </w:r>
    </w:p>
    <w:p w14:paraId="1415EBC5" w14:textId="77777777" w:rsidR="008D6F13" w:rsidRDefault="008D6F13" w:rsidP="008D6F13">
      <w:pPr>
        <w:pStyle w:val="ListBullet"/>
      </w:pPr>
      <w:r>
        <w:t>the Priority Response for Multicultural Communities (PRMC) grants program to deliver direct support to local multicultural communities including culturally appropriate food support, vaccination promotion and social support</w:t>
      </w:r>
    </w:p>
    <w:p w14:paraId="28029A97" w14:textId="77777777" w:rsidR="008D6F13" w:rsidRDefault="008D6F13" w:rsidP="008D6F13">
      <w:pPr>
        <w:pStyle w:val="ListBullet"/>
      </w:pPr>
      <w:r>
        <w:t>extension and expansion of the Local Partnerships model to engage local councils to support COVID-19 preparedness, outbreak response and emergency relief for CALD communities. Funding also provides additional vaccine support for Local Government Areas with low vaccine uptake rates.</w:t>
      </w:r>
    </w:p>
    <w:p w14:paraId="06F16B46" w14:textId="77777777" w:rsidR="008D6F13" w:rsidRDefault="008D6F13" w:rsidP="008D6F13">
      <w:r>
        <w:t>This initiative contributes to the Department of Families, Fairness and Housing’s Multicultural Affairs Policy and Programs output.</w:t>
      </w:r>
    </w:p>
    <w:p w14:paraId="76AD1CCA" w14:textId="77777777" w:rsidR="008D6F13" w:rsidRDefault="008D6F13" w:rsidP="008D6F13">
      <w:pPr>
        <w:pStyle w:val="Heading5"/>
      </w:pPr>
      <w:r w:rsidRPr="00F05363">
        <w:t>Promoting vaccine uptake in priority communities</w:t>
      </w:r>
    </w:p>
    <w:p w14:paraId="6A3672B5" w14:textId="77777777" w:rsidR="008D6F13" w:rsidRDefault="008D6F13" w:rsidP="008D6F13">
      <w:r>
        <w:t>Funding is provided for a package of initiatives to address barriers to vaccine uptake for disadvantaged and vulnerable Victorians. The initiatives aim to reduce social and economic disadvantage and maximise vaccine uptake in Victoria. This includes funding to:</w:t>
      </w:r>
    </w:p>
    <w:p w14:paraId="45DB7760" w14:textId="77777777" w:rsidR="008D6F13" w:rsidRDefault="008D6F13" w:rsidP="008D6F13">
      <w:pPr>
        <w:pStyle w:val="ListBullet"/>
      </w:pPr>
      <w:r>
        <w:t xml:space="preserve">support vaccine access for children, </w:t>
      </w:r>
      <w:proofErr w:type="gramStart"/>
      <w:r>
        <w:t>families</w:t>
      </w:r>
      <w:proofErr w:type="gramEnd"/>
      <w:r>
        <w:t xml:space="preserve"> and clients with complex needs, including targeted case management and localised and specialised support. This includes flexible funding to improve vaccine access and to develop a vaccine support model, with funding to cover case management, targeted interventions, coordination and brokerage for transport, home-based in-</w:t>
      </w:r>
      <w:proofErr w:type="gramStart"/>
      <w:r>
        <w:t>reach</w:t>
      </w:r>
      <w:proofErr w:type="gramEnd"/>
      <w:r>
        <w:t xml:space="preserve"> and other supports</w:t>
      </w:r>
    </w:p>
    <w:p w14:paraId="0F7F6DC0" w14:textId="77777777" w:rsidR="008D6F13" w:rsidRDefault="008D6F13" w:rsidP="008D6F13">
      <w:pPr>
        <w:pStyle w:val="ListBullet"/>
      </w:pPr>
      <w:r>
        <w:t xml:space="preserve">support vaccine access for priority Culturally and Linguistically Diverse (CALD) communities. This initiative provides targeted and flexible funding for community-led and culturally specific vaccine case management for vulnerable clients and households with complex needs, and includes funding for eight Community Support </w:t>
      </w:r>
      <w:r>
        <w:rPr>
          <w:color w:val="000000"/>
          <w:shd w:val="clear" w:color="auto" w:fill="FFFFFF"/>
        </w:rPr>
        <w:t>Groups (CSGs)</w:t>
      </w:r>
    </w:p>
    <w:p w14:paraId="26A22A5B" w14:textId="77777777" w:rsidR="008D6F13" w:rsidRDefault="008D6F13" w:rsidP="008D6F13">
      <w:pPr>
        <w:pStyle w:val="ListBullet"/>
      </w:pPr>
      <w:r>
        <w:t>Local Community Access grants for local community, volunteer-based and grassroots organisations to promote vaccine access</w:t>
      </w:r>
    </w:p>
    <w:p w14:paraId="363FA31A" w14:textId="77777777" w:rsidR="008D6F13" w:rsidRDefault="008D6F13" w:rsidP="008D6F13">
      <w:pPr>
        <w:pStyle w:val="ListBullet"/>
      </w:pPr>
      <w:r>
        <w:t>support vaccine access for young people exiting youth justice facilities and community youth justice clients through intensive and culturally specific outreach, targeted video messaging and other assistance</w:t>
      </w:r>
    </w:p>
    <w:p w14:paraId="4260DF35" w14:textId="77777777" w:rsidR="008D6F13" w:rsidRDefault="008D6F13" w:rsidP="008D6F13">
      <w:pPr>
        <w:pStyle w:val="ListBullet"/>
      </w:pPr>
      <w:r>
        <w:t>expand the Disability Liaison Officer Program to include outreach capacity to reach unvaccinated people with disability</w:t>
      </w:r>
    </w:p>
    <w:p w14:paraId="195FC807" w14:textId="77777777" w:rsidR="008D6F13" w:rsidRDefault="008D6F13" w:rsidP="008D6F13">
      <w:pPr>
        <w:pStyle w:val="ListBullet"/>
      </w:pPr>
      <w:r>
        <w:t>implement the COVID-19 Vaccination Women’s Health Engagement Program, to increase vaccine literacy, address hesitancy and support service navigation for CALD women, women that are carers, women that are of child-bearing age or pregnant, and women living in rural and regional Victoria</w:t>
      </w:r>
    </w:p>
    <w:p w14:paraId="0A896ADF" w14:textId="77777777" w:rsidR="008D6F13" w:rsidRDefault="008D6F13" w:rsidP="008D6F13">
      <w:pPr>
        <w:pStyle w:val="ListBullet"/>
      </w:pPr>
      <w:r>
        <w:lastRenderedPageBreak/>
        <w:t>expand the Program for Refugee Monitoring and Education (PRIME) in partnership with the Department of Health to deliver tailored coordination and activities for people seeking asylum and other at-risk temporary migrants</w:t>
      </w:r>
    </w:p>
    <w:p w14:paraId="54D59493" w14:textId="77777777" w:rsidR="008D6F13" w:rsidRDefault="008D6F13" w:rsidP="008D6F13">
      <w:pPr>
        <w:pStyle w:val="ListBullet"/>
      </w:pPr>
      <w:r>
        <w:t>u</w:t>
      </w:r>
      <w:r w:rsidRPr="00E872CE">
        <w:t>ndertake an LGBTIQ+ Vaccination Drive - Rainbow Week to provide LGBTIQ+ specific health services as well as a tailored and targeted communications campaign</w:t>
      </w:r>
    </w:p>
    <w:p w14:paraId="20B1A1A6" w14:textId="77777777" w:rsidR="008D6F13" w:rsidRDefault="008D6F13" w:rsidP="008D6F13">
      <w:pPr>
        <w:pStyle w:val="ListBullet"/>
      </w:pPr>
      <w:r>
        <w:t>provide capacity to work with communities to identify, advocate for and broker opportunities for localised, community-specific vaccinations.</w:t>
      </w:r>
    </w:p>
    <w:p w14:paraId="59931367" w14:textId="77777777" w:rsidR="008D6F13" w:rsidRDefault="008D6F13" w:rsidP="008D6F13">
      <w:r>
        <w:t>This initiative contributes to the Department of Families, Fairness and Housing’s:</w:t>
      </w:r>
    </w:p>
    <w:p w14:paraId="7A5C35CC" w14:textId="77777777" w:rsidR="008D6F13" w:rsidRDefault="008D6F13" w:rsidP="008D6F13">
      <w:pPr>
        <w:pStyle w:val="ListBullet"/>
      </w:pPr>
      <w:r>
        <w:t>Disability Services output</w:t>
      </w:r>
    </w:p>
    <w:p w14:paraId="3E88DC14" w14:textId="77777777" w:rsidR="008D6F13" w:rsidRDefault="008D6F13" w:rsidP="008D6F13">
      <w:pPr>
        <w:pStyle w:val="ListBullet"/>
      </w:pPr>
      <w:r>
        <w:t>Multicultural Affairs Policy and Programs output.</w:t>
      </w:r>
    </w:p>
    <w:p w14:paraId="236FC69B" w14:textId="77777777" w:rsidR="008D6F13" w:rsidRDefault="008D6F13" w:rsidP="008D6F13">
      <w:r>
        <w:t>This initiative contributes to the Department of Justice and Community Safety’s:</w:t>
      </w:r>
    </w:p>
    <w:p w14:paraId="1222EBE6" w14:textId="77777777" w:rsidR="008D6F13" w:rsidRDefault="008D6F13" w:rsidP="008D6F13">
      <w:pPr>
        <w:pStyle w:val="ListBullet"/>
      </w:pPr>
      <w:r>
        <w:t>Community Based Offender Supervision output</w:t>
      </w:r>
    </w:p>
    <w:p w14:paraId="60C083E2" w14:textId="77777777" w:rsidR="008D6F13" w:rsidRDefault="008D6F13" w:rsidP="008D6F13">
      <w:pPr>
        <w:pStyle w:val="ListBullet"/>
      </w:pPr>
      <w:r>
        <w:t xml:space="preserve">Youth Justice Community Based Services output. </w:t>
      </w:r>
    </w:p>
    <w:p w14:paraId="5490712F" w14:textId="77777777" w:rsidR="008D6F13" w:rsidRDefault="008D6F13" w:rsidP="008D6F13">
      <w:pPr>
        <w:pStyle w:val="Heading4"/>
      </w:pPr>
      <w:r>
        <w:t>Women’s Policy</w:t>
      </w:r>
    </w:p>
    <w:p w14:paraId="4452EA1F" w14:textId="77777777" w:rsidR="008D6F13" w:rsidRPr="00E872CE" w:rsidRDefault="008D6F13" w:rsidP="008D6F13">
      <w:pPr>
        <w:pStyle w:val="Heading5"/>
        <w:rPr>
          <w:b w:val="0"/>
          <w:iCs w:val="0"/>
        </w:rPr>
      </w:pPr>
      <w:r w:rsidRPr="007672D5">
        <w:t>Additional supports for vulnerable women during the COVID-19 pandemic</w:t>
      </w:r>
    </w:p>
    <w:p w14:paraId="3BEC7D21" w14:textId="77777777" w:rsidR="008D6F13" w:rsidRDefault="008D6F13" w:rsidP="008D6F13">
      <w:r>
        <w:rPr>
          <w:rFonts w:eastAsiaTheme="minorEastAsia"/>
          <w:lang w:eastAsia="ko-KR"/>
        </w:rPr>
        <w:t xml:space="preserve">Funding is provided to bolster case worker capacity </w:t>
      </w:r>
      <w:r>
        <w:t>in the Council of Single Mothers and their Children (CSMC) to assist single mothers in acute need experiencing health and mental health issues, poverty and financial duress, housing stress, and recovery from family violence.</w:t>
      </w:r>
    </w:p>
    <w:p w14:paraId="7A893AF8" w14:textId="77777777" w:rsidR="008D6F13" w:rsidRDefault="008D6F13" w:rsidP="008D6F13">
      <w:r>
        <w:t xml:space="preserve">Funding is also provided to 12 women’s health services to address women’s mental health issues and to continue and extend the reach of existing programs, addressing the impact of COVID-19 on women’s mental health. </w:t>
      </w:r>
    </w:p>
    <w:p w14:paraId="7DA83014" w14:textId="77777777" w:rsidR="008D6F13" w:rsidRDefault="008D6F13" w:rsidP="008D6F13">
      <w:r>
        <w:t>This initiative contributes to the Department of Families, Fairness and Housing’s Women’s policy output.</w:t>
      </w:r>
    </w:p>
    <w:p w14:paraId="3849765D" w14:textId="77777777" w:rsidR="008D6F13" w:rsidRDefault="008D6F13" w:rsidP="008D6F13"/>
    <w:bookmarkEnd w:id="149"/>
    <w:bookmarkEnd w:id="150"/>
    <w:p w14:paraId="754E9471" w14:textId="77777777" w:rsidR="008D6F13" w:rsidRDefault="008D6F13" w:rsidP="008D6F13"/>
    <w:p w14:paraId="62A197E7" w14:textId="77777777" w:rsidR="008D6F13" w:rsidRDefault="008D6F13" w:rsidP="00694FFD">
      <w:pPr>
        <w:pStyle w:val="Heading10"/>
        <w:pageBreakBefore/>
      </w:pPr>
      <w:bookmarkStart w:id="151" w:name="_Toc71814114"/>
      <w:bookmarkStart w:id="152" w:name="_Toc89418970"/>
      <w:bookmarkStart w:id="153" w:name="_Toc89419194"/>
      <w:bookmarkStart w:id="154" w:name="_Toc89420152"/>
      <w:bookmarkStart w:id="155" w:name="_Toc89423392"/>
      <w:bookmarkStart w:id="156" w:name="_Toc89423601"/>
      <w:r>
        <w:lastRenderedPageBreak/>
        <w:t>Department of Health</w:t>
      </w:r>
      <w:bookmarkEnd w:id="151"/>
      <w:bookmarkEnd w:id="152"/>
      <w:bookmarkEnd w:id="153"/>
      <w:bookmarkEnd w:id="154"/>
      <w:bookmarkEnd w:id="155"/>
      <w:bookmarkEnd w:id="156"/>
    </w:p>
    <w:p w14:paraId="6C4D65A3" w14:textId="77777777" w:rsidR="008D6F13" w:rsidRDefault="008D6F13" w:rsidP="008D6F13">
      <w:pPr>
        <w:pStyle w:val="Heading20"/>
        <w:spacing w:before="180"/>
      </w:pPr>
      <w:bookmarkStart w:id="157" w:name="_Hlk68879179"/>
      <w:r>
        <w:t>Output initiatives</w:t>
      </w:r>
    </w:p>
    <w:p w14:paraId="70410D8E" w14:textId="77777777" w:rsidR="008D6F13" w:rsidRDefault="008D6F13" w:rsidP="008D6F13">
      <w:pPr>
        <w:pStyle w:val="TableHeading"/>
        <w:spacing w:before="140"/>
      </w:pPr>
      <w:r w:rsidRPr="00784CF0">
        <w:t xml:space="preserve">Table </w:t>
      </w:r>
      <w:r>
        <w:t>A.7</w:t>
      </w:r>
      <w:r w:rsidRPr="00784CF0">
        <w:t>:</w:t>
      </w:r>
      <w:r w:rsidRPr="00784CF0">
        <w:tab/>
        <w:t>Output initiatives – Department of Health</w:t>
      </w:r>
      <w:r>
        <w:tab/>
        <w:t>($ million)</w:t>
      </w:r>
    </w:p>
    <w:tbl>
      <w:tblPr>
        <w:tblStyle w:val="DTFTableNumeric"/>
        <w:tblW w:w="7710" w:type="dxa"/>
        <w:tblLayout w:type="fixed"/>
        <w:tblLook w:val="06A0" w:firstRow="1" w:lastRow="0" w:firstColumn="1" w:lastColumn="0" w:noHBand="1" w:noVBand="1"/>
      </w:tblPr>
      <w:tblGrid>
        <w:gridCol w:w="4534"/>
        <w:gridCol w:w="794"/>
        <w:gridCol w:w="794"/>
        <w:gridCol w:w="794"/>
        <w:gridCol w:w="794"/>
      </w:tblGrid>
      <w:tr w:rsidR="008D6F13" w14:paraId="06B04B00"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0AB1FDCB" w14:textId="6BF287A7" w:rsidR="008D6F13" w:rsidRDefault="008D6F13" w:rsidP="0031078F">
            <w:pPr>
              <w:spacing w:after="0"/>
            </w:pPr>
          </w:p>
        </w:tc>
        <w:tc>
          <w:tcPr>
            <w:tcW w:w="794" w:type="dxa"/>
          </w:tcPr>
          <w:p w14:paraId="69621C4D" w14:textId="77777777" w:rsidR="008D6F13" w:rsidRDefault="008D6F13" w:rsidP="0031078F">
            <w:pPr>
              <w:spacing w:after="0"/>
              <w:cnfStyle w:val="100000000000" w:firstRow="1" w:lastRow="0" w:firstColumn="0" w:lastColumn="0" w:oddVBand="0" w:evenVBand="0" w:oddHBand="0" w:evenHBand="0" w:firstRowFirstColumn="0" w:firstRowLastColumn="0" w:lastRowFirstColumn="0" w:lastRowLastColumn="0"/>
            </w:pPr>
            <w:r>
              <w:t>2021</w:t>
            </w:r>
            <w:r>
              <w:noBreakHyphen/>
              <w:t>22</w:t>
            </w:r>
          </w:p>
        </w:tc>
        <w:tc>
          <w:tcPr>
            <w:tcW w:w="794" w:type="dxa"/>
          </w:tcPr>
          <w:p w14:paraId="73E4A1B7" w14:textId="77777777" w:rsidR="008D6F13" w:rsidRDefault="008D6F13" w:rsidP="0031078F">
            <w:pPr>
              <w:spacing w:after="0"/>
              <w:cnfStyle w:val="100000000000" w:firstRow="1" w:lastRow="0" w:firstColumn="0" w:lastColumn="0" w:oddVBand="0" w:evenVBand="0" w:oddHBand="0" w:evenHBand="0" w:firstRowFirstColumn="0" w:firstRowLastColumn="0" w:lastRowFirstColumn="0" w:lastRowLastColumn="0"/>
            </w:pPr>
            <w:r>
              <w:t>2022</w:t>
            </w:r>
            <w:r>
              <w:noBreakHyphen/>
              <w:t>23</w:t>
            </w:r>
          </w:p>
        </w:tc>
        <w:tc>
          <w:tcPr>
            <w:tcW w:w="794" w:type="dxa"/>
          </w:tcPr>
          <w:p w14:paraId="251CF154" w14:textId="77777777" w:rsidR="008D6F13" w:rsidRDefault="008D6F13" w:rsidP="0031078F">
            <w:pPr>
              <w:spacing w:after="0"/>
              <w:cnfStyle w:val="100000000000" w:firstRow="1" w:lastRow="0" w:firstColumn="0" w:lastColumn="0" w:oddVBand="0" w:evenVBand="0" w:oddHBand="0" w:evenHBand="0" w:firstRowFirstColumn="0" w:firstRowLastColumn="0" w:lastRowFirstColumn="0" w:lastRowLastColumn="0"/>
            </w:pPr>
            <w:r>
              <w:t>2023</w:t>
            </w:r>
            <w:r>
              <w:noBreakHyphen/>
              <w:t>24</w:t>
            </w:r>
          </w:p>
        </w:tc>
        <w:tc>
          <w:tcPr>
            <w:tcW w:w="794" w:type="dxa"/>
          </w:tcPr>
          <w:p w14:paraId="6262E321" w14:textId="77777777" w:rsidR="008D6F13" w:rsidRDefault="008D6F13" w:rsidP="0031078F">
            <w:pPr>
              <w:spacing w:after="0"/>
              <w:cnfStyle w:val="100000000000" w:firstRow="1" w:lastRow="0" w:firstColumn="0" w:lastColumn="0" w:oddVBand="0" w:evenVBand="0" w:oddHBand="0" w:evenHBand="0" w:firstRowFirstColumn="0" w:firstRowLastColumn="0" w:lastRowFirstColumn="0" w:lastRowLastColumn="0"/>
            </w:pPr>
            <w:r>
              <w:t>2024</w:t>
            </w:r>
            <w:r>
              <w:noBreakHyphen/>
              <w:t>25</w:t>
            </w:r>
          </w:p>
        </w:tc>
      </w:tr>
      <w:tr w:rsidR="008D6F13" w14:paraId="194F9FDD"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3439E298" w14:textId="77777777" w:rsidR="008D6F13" w:rsidRDefault="008D6F13" w:rsidP="0031078F">
            <w:pPr>
              <w:spacing w:after="0"/>
            </w:pPr>
            <w:r>
              <w:rPr>
                <w:b/>
              </w:rPr>
              <w:t>Admitted Services</w:t>
            </w:r>
          </w:p>
        </w:tc>
        <w:tc>
          <w:tcPr>
            <w:tcW w:w="794" w:type="dxa"/>
          </w:tcPr>
          <w:p w14:paraId="2BB69F6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80E4FD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7819DCF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340001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r>
      <w:tr w:rsidR="008D6F13" w14:paraId="021EB5E2"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1EB4954A" w14:textId="77777777" w:rsidR="008D6F13" w:rsidRDefault="008D6F13" w:rsidP="0031078F">
            <w:pPr>
              <w:spacing w:after="0"/>
            </w:pPr>
            <w:r>
              <w:t>COVID</w:t>
            </w:r>
            <w:r>
              <w:noBreakHyphen/>
              <w:t xml:space="preserve">19 health response </w:t>
            </w:r>
            <w:r>
              <w:rPr>
                <w:vertAlign w:val="superscript"/>
              </w:rPr>
              <w:t>(a)</w:t>
            </w:r>
          </w:p>
        </w:tc>
        <w:tc>
          <w:tcPr>
            <w:tcW w:w="794" w:type="dxa"/>
          </w:tcPr>
          <w:p w14:paraId="10CFED9C" w14:textId="03DBA1B0"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w:t>
            </w:r>
            <w:r w:rsidR="00A51211">
              <w:t xml:space="preserve"> </w:t>
            </w:r>
            <w:r>
              <w:t>451.8</w:t>
            </w:r>
          </w:p>
        </w:tc>
        <w:tc>
          <w:tcPr>
            <w:tcW w:w="794" w:type="dxa"/>
          </w:tcPr>
          <w:p w14:paraId="13DB3638"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5BBBACD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49E21A7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r>
      <w:tr w:rsidR="008D6F13" w14:paraId="2D7BC402"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6F34405E" w14:textId="77777777" w:rsidR="008D6F13" w:rsidRDefault="008D6F13" w:rsidP="0031078F">
            <w:pPr>
              <w:spacing w:after="0"/>
            </w:pPr>
            <w:r>
              <w:t xml:space="preserve">Securing and maintaining a PPE stockpile </w:t>
            </w:r>
            <w:r>
              <w:rPr>
                <w:vertAlign w:val="superscript"/>
              </w:rPr>
              <w:t>(a)</w:t>
            </w:r>
          </w:p>
        </w:tc>
        <w:tc>
          <w:tcPr>
            <w:tcW w:w="794" w:type="dxa"/>
          </w:tcPr>
          <w:p w14:paraId="429648D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639.4</w:t>
            </w:r>
          </w:p>
        </w:tc>
        <w:tc>
          <w:tcPr>
            <w:tcW w:w="794" w:type="dxa"/>
          </w:tcPr>
          <w:p w14:paraId="1A763AA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44B4CF8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6789D34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r>
      <w:tr w:rsidR="008D6F13" w14:paraId="20FF2FAE"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001B3974" w14:textId="77777777" w:rsidR="008D6F13" w:rsidRDefault="008D6F13" w:rsidP="0031078F">
            <w:pPr>
              <w:spacing w:after="0"/>
            </w:pPr>
            <w:r>
              <w:rPr>
                <w:b/>
              </w:rPr>
              <w:t>Clinical Care</w:t>
            </w:r>
          </w:p>
        </w:tc>
        <w:tc>
          <w:tcPr>
            <w:tcW w:w="794" w:type="dxa"/>
          </w:tcPr>
          <w:p w14:paraId="2F77B78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1EC7E20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7537DD3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7B2DA42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r>
      <w:tr w:rsidR="008D6F13" w14:paraId="46EB1352"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78D4F302" w14:textId="77777777" w:rsidR="008D6F13" w:rsidRDefault="008D6F13" w:rsidP="0031078F">
            <w:pPr>
              <w:spacing w:after="0"/>
            </w:pPr>
            <w:r>
              <w:t>COVID</w:t>
            </w:r>
            <w:r>
              <w:noBreakHyphen/>
              <w:t>19 mental health and wellbeing response</w:t>
            </w:r>
          </w:p>
        </w:tc>
        <w:tc>
          <w:tcPr>
            <w:tcW w:w="794" w:type="dxa"/>
          </w:tcPr>
          <w:p w14:paraId="1C7B9AE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29.9</w:t>
            </w:r>
          </w:p>
        </w:tc>
        <w:tc>
          <w:tcPr>
            <w:tcW w:w="794" w:type="dxa"/>
          </w:tcPr>
          <w:p w14:paraId="4CF2371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0338E09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380C321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r>
      <w:tr w:rsidR="008D6F13" w14:paraId="605A532C"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435115A5" w14:textId="77777777" w:rsidR="008D6F13" w:rsidRDefault="008D6F13" w:rsidP="0031078F">
            <w:pPr>
              <w:spacing w:after="0"/>
            </w:pPr>
            <w:r>
              <w:rPr>
                <w:b/>
              </w:rPr>
              <w:t>Health Protection</w:t>
            </w:r>
          </w:p>
        </w:tc>
        <w:tc>
          <w:tcPr>
            <w:tcW w:w="794" w:type="dxa"/>
          </w:tcPr>
          <w:p w14:paraId="18B8212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6ADC9036"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2A95468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c>
          <w:tcPr>
            <w:tcW w:w="794" w:type="dxa"/>
          </w:tcPr>
          <w:p w14:paraId="3BC06E7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p>
        </w:tc>
      </w:tr>
      <w:tr w:rsidR="008D6F13" w14:paraId="558D5E2E"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0435A291" w14:textId="77777777" w:rsidR="008D6F13" w:rsidRDefault="008D6F13" w:rsidP="0031078F">
            <w:pPr>
              <w:spacing w:after="0"/>
            </w:pPr>
            <w:r>
              <w:t>COVID</w:t>
            </w:r>
            <w:r>
              <w:noBreakHyphen/>
              <w:t xml:space="preserve">19 Capability and Response </w:t>
            </w:r>
          </w:p>
        </w:tc>
        <w:tc>
          <w:tcPr>
            <w:tcW w:w="794" w:type="dxa"/>
          </w:tcPr>
          <w:p w14:paraId="18AA578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1.0</w:t>
            </w:r>
          </w:p>
        </w:tc>
        <w:tc>
          <w:tcPr>
            <w:tcW w:w="794" w:type="dxa"/>
          </w:tcPr>
          <w:p w14:paraId="59EC175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5147CA1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4A2055EE"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r>
      <w:tr w:rsidR="008D6F13" w14:paraId="393E2E2B"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2B62F8EF" w14:textId="77777777" w:rsidR="008D6F13" w:rsidRDefault="008D6F13" w:rsidP="0031078F">
            <w:pPr>
              <w:spacing w:after="0"/>
            </w:pPr>
            <w:r>
              <w:t>Decriminalisation of sex work in Victoria</w:t>
            </w:r>
          </w:p>
        </w:tc>
        <w:tc>
          <w:tcPr>
            <w:tcW w:w="794" w:type="dxa"/>
          </w:tcPr>
          <w:p w14:paraId="0EF4A3B9"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1.8</w:t>
            </w:r>
          </w:p>
        </w:tc>
        <w:tc>
          <w:tcPr>
            <w:tcW w:w="794" w:type="dxa"/>
          </w:tcPr>
          <w:p w14:paraId="5A399AD7"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6EF6118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Pr>
          <w:p w14:paraId="710A752D"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r>
      <w:tr w:rsidR="008D6F13" w14:paraId="62A955FA"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217DF3FA" w14:textId="77777777" w:rsidR="008D6F13" w:rsidRDefault="008D6F13" w:rsidP="0031078F">
            <w:pPr>
              <w:spacing w:after="0"/>
            </w:pPr>
            <w:r>
              <w:t>Improving outbreak responses to the COVID</w:t>
            </w:r>
            <w:r>
              <w:noBreakHyphen/>
              <w:t xml:space="preserve">19 Delta variant </w:t>
            </w:r>
            <w:r>
              <w:rPr>
                <w:vertAlign w:val="superscript"/>
              </w:rPr>
              <w:t>(a)</w:t>
            </w:r>
          </w:p>
        </w:tc>
        <w:tc>
          <w:tcPr>
            <w:tcW w:w="794" w:type="dxa"/>
            <w:tcBorders>
              <w:bottom w:val="single" w:sz="6" w:space="0" w:color="auto"/>
            </w:tcBorders>
          </w:tcPr>
          <w:p w14:paraId="780574D1"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314.3</w:t>
            </w:r>
          </w:p>
        </w:tc>
        <w:tc>
          <w:tcPr>
            <w:tcW w:w="794" w:type="dxa"/>
            <w:tcBorders>
              <w:bottom w:val="single" w:sz="6" w:space="0" w:color="auto"/>
            </w:tcBorders>
          </w:tcPr>
          <w:p w14:paraId="045F5C35"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59610E7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7B756B7B"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t>..</w:t>
            </w:r>
          </w:p>
        </w:tc>
      </w:tr>
      <w:tr w:rsidR="008D6F13" w14:paraId="6DBA6700"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1554413F" w14:textId="77777777" w:rsidR="008D6F13" w:rsidRDefault="008D6F13" w:rsidP="0031078F">
            <w:pPr>
              <w:spacing w:after="0"/>
            </w:pPr>
            <w:r>
              <w:rPr>
                <w:b/>
              </w:rPr>
              <w:t xml:space="preserve">Total output initiatives </w:t>
            </w:r>
            <w:r>
              <w:rPr>
                <w:b/>
                <w:vertAlign w:val="superscript"/>
              </w:rPr>
              <w:t>(b)</w:t>
            </w:r>
          </w:p>
        </w:tc>
        <w:tc>
          <w:tcPr>
            <w:tcW w:w="794" w:type="dxa"/>
          </w:tcPr>
          <w:p w14:paraId="5C57D72A" w14:textId="1BD67C43"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2</w:t>
            </w:r>
            <w:r w:rsidR="00A51211">
              <w:rPr>
                <w:b/>
              </w:rPr>
              <w:t xml:space="preserve"> </w:t>
            </w:r>
            <w:r>
              <w:rPr>
                <w:b/>
              </w:rPr>
              <w:t>438.2</w:t>
            </w:r>
          </w:p>
        </w:tc>
        <w:tc>
          <w:tcPr>
            <w:tcW w:w="794" w:type="dxa"/>
          </w:tcPr>
          <w:p w14:paraId="30E658D3"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794" w:type="dxa"/>
          </w:tcPr>
          <w:p w14:paraId="0FEA6614" w14:textId="77777777"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794" w:type="dxa"/>
          </w:tcPr>
          <w:p w14:paraId="2E5AD56C" w14:textId="7B2F984C" w:rsidR="008D6F13" w:rsidRDefault="008D6F13" w:rsidP="0031078F">
            <w:pPr>
              <w:spacing w:after="0"/>
              <w:cnfStyle w:val="000000000000" w:firstRow="0" w:lastRow="0" w:firstColumn="0" w:lastColumn="0" w:oddVBand="0" w:evenVBand="0" w:oddHBand="0" w:evenHBand="0" w:firstRowFirstColumn="0" w:firstRowLastColumn="0" w:lastRowFirstColumn="0" w:lastRowLastColumn="0"/>
            </w:pPr>
            <w:r>
              <w:rPr>
                <w:b/>
              </w:rPr>
              <w:t>..</w:t>
            </w:r>
          </w:p>
        </w:tc>
      </w:tr>
    </w:tbl>
    <w:p w14:paraId="230E51E1" w14:textId="77777777" w:rsidR="008D6F13" w:rsidRDefault="008D6F13" w:rsidP="008D6F13">
      <w:pPr>
        <w:pStyle w:val="Source"/>
      </w:pPr>
      <w:r w:rsidRPr="00252ED7">
        <w:t>Source: Department of Treasury and Finance</w:t>
      </w:r>
    </w:p>
    <w:p w14:paraId="7767E759" w14:textId="77777777" w:rsidR="008D6F13" w:rsidRDefault="008D6F13" w:rsidP="008D6F13">
      <w:pPr>
        <w:pStyle w:val="Note"/>
      </w:pPr>
      <w:r>
        <w:t>Notes:</w:t>
      </w:r>
    </w:p>
    <w:p w14:paraId="68232D87" w14:textId="77777777" w:rsidR="008D6F13" w:rsidRDefault="008D6F13" w:rsidP="008D6F13">
      <w:pPr>
        <w:pStyle w:val="Note"/>
      </w:pPr>
      <w:r>
        <w:t xml:space="preserve">(a) </w:t>
      </w:r>
      <w:r>
        <w:tab/>
      </w:r>
      <w:r w:rsidRPr="00511F81">
        <w:t>These initiatives contribute to activity that attracts Commonwealth funding under the National Partnership on COVID-19 Response. Estimates of the Commonwealth’s contribution are included.</w:t>
      </w:r>
    </w:p>
    <w:p w14:paraId="289678F9" w14:textId="77777777" w:rsidR="008D6F13" w:rsidRDefault="008D6F13" w:rsidP="008D6F13">
      <w:pPr>
        <w:pStyle w:val="Note"/>
      </w:pPr>
      <w:r>
        <w:t>(b)</w:t>
      </w:r>
      <w:r>
        <w:tab/>
        <w:t>Table may not add due to rounding.</w:t>
      </w:r>
    </w:p>
    <w:p w14:paraId="2FABB5A2" w14:textId="77777777" w:rsidR="008D6F13" w:rsidRDefault="008D6F13" w:rsidP="008D6F13">
      <w:pPr>
        <w:pStyle w:val="Heading4"/>
      </w:pPr>
      <w:bookmarkStart w:id="158" w:name="_Hlk86341130"/>
      <w:r>
        <w:t>Admitted Services</w:t>
      </w:r>
    </w:p>
    <w:p w14:paraId="6963E523" w14:textId="77777777" w:rsidR="008D6F13" w:rsidRPr="00957CA4" w:rsidRDefault="008D6F13" w:rsidP="008D6F13">
      <w:pPr>
        <w:pStyle w:val="Heading5"/>
        <w:spacing w:before="120"/>
      </w:pPr>
      <w:r w:rsidRPr="00FA79D5">
        <w:t>COVID-19</w:t>
      </w:r>
      <w:r>
        <w:t xml:space="preserve"> </w:t>
      </w:r>
      <w:r w:rsidRPr="00FA79D5">
        <w:t>health response</w:t>
      </w:r>
    </w:p>
    <w:bookmarkEnd w:id="158"/>
    <w:p w14:paraId="385A4F06" w14:textId="77777777" w:rsidR="008D6F13" w:rsidRPr="00957CA4" w:rsidRDefault="008D6F13" w:rsidP="008D6F13">
      <w:pPr>
        <w:spacing w:before="100"/>
      </w:pPr>
      <w:r w:rsidRPr="00957CA4">
        <w:t xml:space="preserve">Funding is provided to </w:t>
      </w:r>
      <w:r>
        <w:t>continue</w:t>
      </w:r>
      <w:r w:rsidRPr="00957CA4">
        <w:t xml:space="preserve"> Victoria’s response to the COVID-19 pandemic. This includes </w:t>
      </w:r>
      <w:r>
        <w:t>funding</w:t>
      </w:r>
      <w:r w:rsidRPr="00957CA4">
        <w:t xml:space="preserve"> for health services to respond to the projected COVID-19 caseload as Victoria reopens, including utilising private hospital capacity, increasing care in the </w:t>
      </w:r>
      <w:proofErr w:type="gramStart"/>
      <w:r w:rsidRPr="00957CA4">
        <w:t>home</w:t>
      </w:r>
      <w:proofErr w:type="gramEnd"/>
      <w:r w:rsidRPr="00957CA4">
        <w:t xml:space="preserve"> and enabling primary treatment pathways. Further support is provided to establish the Hospital Surge Support Allowance for public hospital and Ambulance Victoria employees who work patient-facing shifts.  </w:t>
      </w:r>
    </w:p>
    <w:p w14:paraId="7B9674D0" w14:textId="77777777" w:rsidR="008D6F13" w:rsidRPr="00957CA4" w:rsidRDefault="008D6F13" w:rsidP="008D6F13">
      <w:pPr>
        <w:spacing w:before="100"/>
      </w:pPr>
      <w:r w:rsidRPr="00957CA4">
        <w:t xml:space="preserve">Funding is also provided to continue delivering COVID-19 vaccines to </w:t>
      </w:r>
      <w:r>
        <w:t>the community</w:t>
      </w:r>
      <w:r w:rsidRPr="00957CA4">
        <w:t xml:space="preserve"> by establishing, </w:t>
      </w:r>
      <w:proofErr w:type="gramStart"/>
      <w:r w:rsidRPr="00957CA4">
        <w:t>equipping</w:t>
      </w:r>
      <w:proofErr w:type="gramEnd"/>
      <w:r>
        <w:t xml:space="preserve"> and</w:t>
      </w:r>
      <w:r w:rsidRPr="00957CA4">
        <w:t xml:space="preserve"> staffing</w:t>
      </w:r>
      <w:r>
        <w:t xml:space="preserve"> </w:t>
      </w:r>
      <w:r w:rsidRPr="00957CA4">
        <w:t>Victorian-run vaccination clinics throughout the state. This includes further develop</w:t>
      </w:r>
      <w:r>
        <w:t>ing</w:t>
      </w:r>
      <w:r w:rsidRPr="00957CA4">
        <w:t xml:space="preserve"> vaccination data management, engag</w:t>
      </w:r>
      <w:r>
        <w:t>ing</w:t>
      </w:r>
      <w:r w:rsidRPr="00957CA4">
        <w:t xml:space="preserve"> with key communities about the benefits of vaccination, </w:t>
      </w:r>
      <w:r>
        <w:t xml:space="preserve">and </w:t>
      </w:r>
      <w:r w:rsidRPr="00957CA4">
        <w:t>provid</w:t>
      </w:r>
      <w:r>
        <w:t>ing</w:t>
      </w:r>
      <w:r w:rsidRPr="00957CA4">
        <w:t xml:space="preserve"> oversight of the rollout. This initiative will reduce the impact and risk of future COVID-19 outbreaks.</w:t>
      </w:r>
    </w:p>
    <w:p w14:paraId="560C5562" w14:textId="77777777" w:rsidR="008D6F13" w:rsidRDefault="008D6F13" w:rsidP="008D6F13">
      <w:pPr>
        <w:spacing w:before="100"/>
      </w:pPr>
      <w:r>
        <w:t>This initiative contributes to the Department of Health’s:</w:t>
      </w:r>
    </w:p>
    <w:p w14:paraId="32347A54" w14:textId="77777777" w:rsidR="008D6F13" w:rsidRDefault="008D6F13" w:rsidP="008D6F13">
      <w:pPr>
        <w:pStyle w:val="ListBullet"/>
        <w:spacing w:before="40"/>
      </w:pPr>
      <w:r>
        <w:t>A</w:t>
      </w:r>
      <w:r w:rsidRPr="00FA79D5">
        <w:t>dmitted Services</w:t>
      </w:r>
      <w:r>
        <w:t xml:space="preserve"> output</w:t>
      </w:r>
    </w:p>
    <w:p w14:paraId="2245A74F" w14:textId="77777777" w:rsidR="008D6F13" w:rsidRDefault="008D6F13" w:rsidP="008D6F13">
      <w:pPr>
        <w:pStyle w:val="ListBullet"/>
        <w:spacing w:before="40"/>
      </w:pPr>
      <w:r w:rsidRPr="00FA79D5">
        <w:t>Non-Admitted Services</w:t>
      </w:r>
      <w:r>
        <w:t xml:space="preserve"> output</w:t>
      </w:r>
    </w:p>
    <w:p w14:paraId="65303D6A" w14:textId="77777777" w:rsidR="008D6F13" w:rsidRDefault="008D6F13" w:rsidP="008D6F13">
      <w:pPr>
        <w:pStyle w:val="ListBullet"/>
        <w:spacing w:before="40"/>
      </w:pPr>
      <w:r w:rsidRPr="00FA79D5">
        <w:t>Acute Training and Development</w:t>
      </w:r>
      <w:r>
        <w:t xml:space="preserve"> output</w:t>
      </w:r>
      <w:r w:rsidRPr="00FA79D5">
        <w:t xml:space="preserve"> </w:t>
      </w:r>
    </w:p>
    <w:p w14:paraId="06B102CC" w14:textId="77777777" w:rsidR="008D6F13" w:rsidRDefault="008D6F13" w:rsidP="008D6F13">
      <w:pPr>
        <w:pStyle w:val="ListBullet"/>
        <w:spacing w:before="40"/>
      </w:pPr>
      <w:r w:rsidRPr="00FA79D5">
        <w:t>Ambulance Emergency Services</w:t>
      </w:r>
      <w:r>
        <w:t xml:space="preserve"> output</w:t>
      </w:r>
    </w:p>
    <w:p w14:paraId="4FC5062E" w14:textId="77777777" w:rsidR="008D6F13" w:rsidRDefault="008D6F13" w:rsidP="008D6F13">
      <w:pPr>
        <w:pStyle w:val="ListBullet"/>
        <w:spacing w:before="40"/>
      </w:pPr>
      <w:r w:rsidRPr="00FA79D5">
        <w:t>Residential Aged Care</w:t>
      </w:r>
      <w:r>
        <w:t xml:space="preserve"> output</w:t>
      </w:r>
      <w:r w:rsidRPr="00FA79D5">
        <w:t xml:space="preserve"> </w:t>
      </w:r>
    </w:p>
    <w:p w14:paraId="548AE3C8" w14:textId="77777777" w:rsidR="008D6F13" w:rsidRDefault="008D6F13" w:rsidP="008D6F13">
      <w:pPr>
        <w:pStyle w:val="ListBullet"/>
        <w:spacing w:before="40"/>
      </w:pPr>
      <w:r w:rsidRPr="00FA79D5">
        <w:t>Community Health Care</w:t>
      </w:r>
      <w:r>
        <w:t xml:space="preserve"> output</w:t>
      </w:r>
    </w:p>
    <w:p w14:paraId="6F515E06" w14:textId="77777777" w:rsidR="008D6F13" w:rsidRDefault="008D6F13" w:rsidP="008D6F13">
      <w:pPr>
        <w:pStyle w:val="ListBullet"/>
        <w:spacing w:before="40"/>
      </w:pPr>
      <w:r>
        <w:t>Health Protection output</w:t>
      </w:r>
    </w:p>
    <w:p w14:paraId="1F90FB60" w14:textId="77777777" w:rsidR="008D6F13" w:rsidRDefault="008D6F13" w:rsidP="008D6F13">
      <w:pPr>
        <w:pStyle w:val="ListBullet"/>
        <w:spacing w:before="40"/>
      </w:pPr>
      <w:r w:rsidRPr="00FA79D5">
        <w:t>Small Rural Services</w:t>
      </w:r>
      <w:r>
        <w:t xml:space="preserve"> – Acute Health</w:t>
      </w:r>
      <w:r w:rsidRPr="00FA79D5">
        <w:t xml:space="preserve"> </w:t>
      </w:r>
      <w:r>
        <w:t xml:space="preserve">output. </w:t>
      </w:r>
    </w:p>
    <w:p w14:paraId="18085AA2" w14:textId="77777777" w:rsidR="008D6F13" w:rsidRPr="00957CA4" w:rsidRDefault="008D6F13" w:rsidP="008D6F13">
      <w:pPr>
        <w:pStyle w:val="Heading5"/>
      </w:pPr>
      <w:r>
        <w:lastRenderedPageBreak/>
        <w:t>Securing</w:t>
      </w:r>
      <w:r w:rsidRPr="00FA79D5">
        <w:t xml:space="preserve"> and maintaining a PPE stockpile</w:t>
      </w:r>
    </w:p>
    <w:p w14:paraId="1389BAA4" w14:textId="77777777" w:rsidR="008D6F13" w:rsidRDefault="008D6F13" w:rsidP="008D6F13">
      <w:r>
        <w:t>Funding is provided to ensure Victoria’s personal protective equipment (PPE) stockpile is maintained to enable healthcare workers to continue to safely provide critical healthcare services. This includes warehousing of PPE and repayment of stock drawn down from the National Medical Stockpile.</w:t>
      </w:r>
    </w:p>
    <w:p w14:paraId="25C9EB7D" w14:textId="77777777" w:rsidR="008D6F13" w:rsidRPr="0083184F" w:rsidRDefault="008D6F13" w:rsidP="008D6F13">
      <w:r>
        <w:t>The initiative contributes to the Department of Health’s Admitted Services output.</w:t>
      </w:r>
    </w:p>
    <w:p w14:paraId="4E5BDFF1" w14:textId="77777777" w:rsidR="008D6F13" w:rsidRDefault="008D6F13" w:rsidP="008D6F13">
      <w:pPr>
        <w:pStyle w:val="Heading4"/>
      </w:pPr>
      <w:r>
        <w:t>Clinical Care</w:t>
      </w:r>
    </w:p>
    <w:p w14:paraId="35AB0FF8" w14:textId="77777777" w:rsidR="008D6F13" w:rsidRPr="00957CA4" w:rsidRDefault="008D6F13" w:rsidP="008D6F13">
      <w:pPr>
        <w:pStyle w:val="Heading5"/>
      </w:pPr>
      <w:r w:rsidRPr="00A8213C">
        <w:t>COVID-19 mental health and wellbeing response</w:t>
      </w:r>
    </w:p>
    <w:p w14:paraId="7E907AC0" w14:textId="77777777" w:rsidR="008D6F13" w:rsidRDefault="008D6F13" w:rsidP="008D6F13">
      <w:r>
        <w:t xml:space="preserve">Funding is provided to deliver a range of priority initiatives to help support the mental health and wellbeing of Victorians during the COVID-19 pandemic. The package includes funding for 20 new pop-up community mental health services to provide additional wellbeing checks, counselling and targeted support for parents, families and priority cohorts including LGBTIQ+ communities and Aboriginal Victorians. </w:t>
      </w:r>
    </w:p>
    <w:p w14:paraId="07C219E7" w14:textId="77777777" w:rsidR="008D6F13" w:rsidRDefault="008D6F13" w:rsidP="008D6F13">
      <w:r>
        <w:t>Funding is also provided to increase the capacity of helplines and digital connections to support early interventions for vulnerable Victorians. Support is provided for six metropolitan health services to provide care for Victorians with eating disorders, collaborate with local headspace centres and reduce the waiting list for young Victorians seeking help.</w:t>
      </w:r>
    </w:p>
    <w:p w14:paraId="3C687A07" w14:textId="77777777" w:rsidR="008D6F13" w:rsidRDefault="008D6F13" w:rsidP="008D6F13">
      <w:r>
        <w:t>This initiative contributes to the Department of Health’s Clinical Care output.</w:t>
      </w:r>
    </w:p>
    <w:p w14:paraId="0F1E207C" w14:textId="77777777" w:rsidR="008D6F13" w:rsidRDefault="008D6F13" w:rsidP="008D6F13">
      <w:pPr>
        <w:pStyle w:val="Heading4"/>
      </w:pPr>
      <w:r>
        <w:t>Health Protection</w:t>
      </w:r>
    </w:p>
    <w:p w14:paraId="11D0E288" w14:textId="77777777" w:rsidR="008D6F13" w:rsidRDefault="008D6F13" w:rsidP="008D6F13">
      <w:pPr>
        <w:pStyle w:val="Heading5"/>
      </w:pPr>
      <w:r w:rsidRPr="00282608">
        <w:t>COVID</w:t>
      </w:r>
      <w:r>
        <w:t>-19</w:t>
      </w:r>
      <w:r w:rsidRPr="00282608">
        <w:t xml:space="preserve"> Capability and Response</w:t>
      </w:r>
    </w:p>
    <w:p w14:paraId="158F38B3" w14:textId="77777777" w:rsidR="008D6F13" w:rsidRPr="00282608" w:rsidRDefault="008D6F13" w:rsidP="008D6F13">
      <w:r w:rsidRPr="00282608">
        <w:t xml:space="preserve">Refer to the Department of </w:t>
      </w:r>
      <w:r>
        <w:t>Premier and Cabinet</w:t>
      </w:r>
      <w:r w:rsidRPr="00282608">
        <w:t xml:space="preserve"> for a description of this initiative.</w:t>
      </w:r>
    </w:p>
    <w:p w14:paraId="327EF4D5" w14:textId="77777777" w:rsidR="008D6F13" w:rsidRPr="00957CA4" w:rsidRDefault="008D6F13" w:rsidP="008D6F13">
      <w:pPr>
        <w:pStyle w:val="Heading5"/>
      </w:pPr>
      <w:r>
        <w:t>Decriminalisation of sex work in Victoria</w:t>
      </w:r>
    </w:p>
    <w:p w14:paraId="4B8365FF" w14:textId="77777777" w:rsidR="008D6F13" w:rsidRDefault="008D6F13" w:rsidP="008D6F13">
      <w:r w:rsidRPr="0036063F">
        <w:t xml:space="preserve">Refer to the Department of </w:t>
      </w:r>
      <w:r>
        <w:t>Justice and Community Safety</w:t>
      </w:r>
      <w:r w:rsidRPr="0036063F">
        <w:t xml:space="preserve"> for a description of this initiative.</w:t>
      </w:r>
    </w:p>
    <w:p w14:paraId="0AECC095" w14:textId="77777777" w:rsidR="008D6F13" w:rsidRPr="00957CA4" w:rsidRDefault="008D6F13" w:rsidP="008D6F13">
      <w:pPr>
        <w:pStyle w:val="Heading5"/>
      </w:pPr>
      <w:r w:rsidRPr="00FA79D5">
        <w:t>Improving outbreak responses to the</w:t>
      </w:r>
      <w:r>
        <w:t xml:space="preserve"> </w:t>
      </w:r>
      <w:r w:rsidRPr="00FA79D5">
        <w:t>COVID-19</w:t>
      </w:r>
      <w:r>
        <w:t xml:space="preserve"> </w:t>
      </w:r>
      <w:r w:rsidRPr="00FA79D5">
        <w:t>Delta variant</w:t>
      </w:r>
    </w:p>
    <w:p w14:paraId="37A4B88B" w14:textId="77777777" w:rsidR="008D6F13" w:rsidRDefault="008D6F13" w:rsidP="008D6F13">
      <w:r>
        <w:t xml:space="preserve">Funding is provided for Victoria’s surge response to the COVID-19 Delta variant including new operational teams to engage with increased numbers of primary close </w:t>
      </w:r>
      <w:proofErr w:type="gramStart"/>
      <w:r>
        <w:t>contacts, and</w:t>
      </w:r>
      <w:proofErr w:type="gramEnd"/>
      <w:r>
        <w:t xml:space="preserve"> manage containment activities at high-risk sites. Additionally, new multidisciplinary teams consisting of medical, operational, data and epidemiology staff are established to be deployed at short notice to support the State’s response to the COVID</w:t>
      </w:r>
      <w:r>
        <w:noBreakHyphen/>
        <w:t xml:space="preserve">19 Delta variant. </w:t>
      </w:r>
    </w:p>
    <w:p w14:paraId="454890FA" w14:textId="77777777" w:rsidR="008D6F13" w:rsidRDefault="008D6F13" w:rsidP="008D6F13">
      <w:r>
        <w:t xml:space="preserve">This initiative also supports a significant enhancement in testing capacity, improved COVID-19 call-centre operations, and awareness campaigns relating to border vaccinations, exposure sites and other topics. Funding also expands the capability of the contact tracing unit. </w:t>
      </w:r>
    </w:p>
    <w:p w14:paraId="0BEE908E" w14:textId="77777777" w:rsidR="008D6F13" w:rsidRPr="0036063F" w:rsidRDefault="008D6F13" w:rsidP="008D6F13">
      <w:r>
        <w:t>This initiative contributes to the Department of Health’s Health Protection output.</w:t>
      </w:r>
    </w:p>
    <w:p w14:paraId="5A2C40DF" w14:textId="77777777" w:rsidR="008D6F13" w:rsidRDefault="008D6F13" w:rsidP="008D6F13">
      <w:pPr>
        <w:pStyle w:val="Heading20"/>
      </w:pPr>
      <w:r>
        <w:lastRenderedPageBreak/>
        <w:t>Asset initiatives</w:t>
      </w:r>
    </w:p>
    <w:p w14:paraId="6EC18812" w14:textId="77777777" w:rsidR="008D6F13" w:rsidRDefault="008D6F13" w:rsidP="008D6F13">
      <w:pPr>
        <w:pStyle w:val="TableHeading"/>
      </w:pPr>
      <w:r>
        <w:t>Table A.8:</w:t>
      </w:r>
      <w:r>
        <w:tab/>
        <w:t>Asset initiatives – Department of Health</w:t>
      </w:r>
      <w:r>
        <w:tab/>
        <w:t>($ million)</w:t>
      </w:r>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5120F1A6"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118E0B4F" w14:textId="3DF2EF8C" w:rsidR="008D6F13" w:rsidRDefault="008D6F13" w:rsidP="0031078F"/>
        </w:tc>
        <w:tc>
          <w:tcPr>
            <w:tcW w:w="794" w:type="dxa"/>
            <w:tcBorders>
              <w:top w:val="single" w:sz="6" w:space="0" w:color="auto"/>
              <w:bottom w:val="single" w:sz="6" w:space="0" w:color="auto"/>
            </w:tcBorders>
          </w:tcPr>
          <w:p w14:paraId="1154976A"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p>
        </w:tc>
        <w:tc>
          <w:tcPr>
            <w:tcW w:w="794" w:type="dxa"/>
            <w:tcBorders>
              <w:top w:val="single" w:sz="6" w:space="0" w:color="auto"/>
              <w:bottom w:val="single" w:sz="6" w:space="0" w:color="auto"/>
            </w:tcBorders>
          </w:tcPr>
          <w:p w14:paraId="75417C72"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p>
        </w:tc>
        <w:tc>
          <w:tcPr>
            <w:tcW w:w="794" w:type="dxa"/>
            <w:tcBorders>
              <w:top w:val="single" w:sz="6" w:space="0" w:color="auto"/>
              <w:bottom w:val="single" w:sz="6" w:space="0" w:color="auto"/>
            </w:tcBorders>
          </w:tcPr>
          <w:p w14:paraId="6C50116E"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p>
        </w:tc>
        <w:tc>
          <w:tcPr>
            <w:tcW w:w="794" w:type="dxa"/>
            <w:tcBorders>
              <w:top w:val="single" w:sz="6" w:space="0" w:color="auto"/>
              <w:bottom w:val="single" w:sz="6" w:space="0" w:color="auto"/>
            </w:tcBorders>
          </w:tcPr>
          <w:p w14:paraId="56B99814"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p>
        </w:tc>
        <w:tc>
          <w:tcPr>
            <w:tcW w:w="794" w:type="dxa"/>
            <w:tcBorders>
              <w:top w:val="single" w:sz="6" w:space="0" w:color="auto"/>
              <w:bottom w:val="single" w:sz="6" w:space="0" w:color="auto"/>
            </w:tcBorders>
          </w:tcPr>
          <w:p w14:paraId="290C1F7E"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TEI</w:t>
            </w:r>
          </w:p>
        </w:tc>
      </w:tr>
      <w:tr w:rsidR="008D6F13" w14:paraId="6A1FBE97"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77E35514" w14:textId="77777777" w:rsidR="008D6F13" w:rsidRDefault="008D6F13" w:rsidP="0031078F">
            <w:r>
              <w:rPr>
                <w:b/>
              </w:rPr>
              <w:t>Admitted Services</w:t>
            </w:r>
          </w:p>
        </w:tc>
        <w:tc>
          <w:tcPr>
            <w:tcW w:w="794" w:type="dxa"/>
            <w:tcBorders>
              <w:top w:val="single" w:sz="6" w:space="0" w:color="auto"/>
            </w:tcBorders>
          </w:tcPr>
          <w:p w14:paraId="6743D00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F91A99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223CD0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27DC18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D769AD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3D3ACDB5"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5EDF8A6F" w14:textId="77777777" w:rsidR="008D6F13" w:rsidRDefault="008D6F13" w:rsidP="0031078F">
            <w:r>
              <w:t>COVID</w:t>
            </w:r>
            <w:r>
              <w:noBreakHyphen/>
              <w:t>19 health response</w:t>
            </w:r>
          </w:p>
        </w:tc>
        <w:tc>
          <w:tcPr>
            <w:tcW w:w="794" w:type="dxa"/>
            <w:tcBorders>
              <w:bottom w:val="single" w:sz="6" w:space="0" w:color="auto"/>
            </w:tcBorders>
          </w:tcPr>
          <w:p w14:paraId="40CEAD8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86.7</w:t>
            </w:r>
          </w:p>
        </w:tc>
        <w:tc>
          <w:tcPr>
            <w:tcW w:w="794" w:type="dxa"/>
            <w:tcBorders>
              <w:bottom w:val="single" w:sz="6" w:space="0" w:color="auto"/>
            </w:tcBorders>
          </w:tcPr>
          <w:p w14:paraId="53E3C86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648C896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7E815BF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43B2CBA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86.7</w:t>
            </w:r>
          </w:p>
        </w:tc>
      </w:tr>
      <w:tr w:rsidR="008D6F13" w14:paraId="5D9FC81F"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3F27A04" w14:textId="77777777" w:rsidR="008D6F13" w:rsidRDefault="008D6F13" w:rsidP="0031078F">
            <w:r>
              <w:rPr>
                <w:b/>
              </w:rPr>
              <w:t>Total asset initiatives</w:t>
            </w:r>
          </w:p>
        </w:tc>
        <w:tc>
          <w:tcPr>
            <w:tcW w:w="794" w:type="dxa"/>
          </w:tcPr>
          <w:p w14:paraId="583F961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86.7</w:t>
            </w:r>
          </w:p>
        </w:tc>
        <w:tc>
          <w:tcPr>
            <w:tcW w:w="794" w:type="dxa"/>
          </w:tcPr>
          <w:p w14:paraId="1A6DB16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Pr>
          <w:p w14:paraId="7D3B3CA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Pr>
          <w:p w14:paraId="64924E5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Pr>
          <w:p w14:paraId="5BD38B9C" w14:textId="0D7433C6"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86.7</w:t>
            </w:r>
          </w:p>
        </w:tc>
      </w:tr>
    </w:tbl>
    <w:p w14:paraId="55CD2F0B" w14:textId="77777777" w:rsidR="008D6F13" w:rsidRDefault="008D6F13" w:rsidP="008D6F13">
      <w:pPr>
        <w:pStyle w:val="Source"/>
      </w:pPr>
      <w:r w:rsidRPr="00252ED7">
        <w:t>Source: Department of Treasury and Finance</w:t>
      </w:r>
    </w:p>
    <w:bookmarkEnd w:id="157"/>
    <w:p w14:paraId="3B929469" w14:textId="77777777" w:rsidR="008D6F13" w:rsidRDefault="008D6F13" w:rsidP="008D6F13">
      <w:pPr>
        <w:pStyle w:val="Heading4"/>
      </w:pPr>
      <w:r>
        <w:t>Admitted Services</w:t>
      </w:r>
    </w:p>
    <w:p w14:paraId="01544AB4" w14:textId="77777777" w:rsidR="008D6F13" w:rsidRDefault="008D6F13" w:rsidP="008D6F13">
      <w:pPr>
        <w:pStyle w:val="Heading5"/>
      </w:pPr>
      <w:r w:rsidRPr="00247E9F">
        <w:t>COVID-19 health response</w:t>
      </w:r>
    </w:p>
    <w:p w14:paraId="19C2849B" w14:textId="77777777" w:rsidR="008D6F13" w:rsidRPr="007F7047" w:rsidRDefault="008D6F13" w:rsidP="008D6F13">
      <w:r>
        <w:t xml:space="preserve">Refer to the output initiative for a description of this initiative. </w:t>
      </w:r>
    </w:p>
    <w:p w14:paraId="5665DE0A" w14:textId="77777777" w:rsidR="008D6F13" w:rsidRDefault="008D6F13" w:rsidP="008D6F13">
      <w:pPr>
        <w:pStyle w:val="Heading10"/>
        <w:pageBreakBefore/>
      </w:pPr>
      <w:bookmarkStart w:id="159" w:name="_Toc71814115"/>
      <w:bookmarkStart w:id="160" w:name="_Toc89418971"/>
      <w:bookmarkStart w:id="161" w:name="_Toc89419195"/>
      <w:bookmarkStart w:id="162" w:name="_Toc89420153"/>
      <w:bookmarkStart w:id="163" w:name="_Toc89423393"/>
      <w:bookmarkStart w:id="164" w:name="_Toc89423602"/>
      <w:r w:rsidRPr="00F90077">
        <w:lastRenderedPageBreak/>
        <w:t>Department</w:t>
      </w:r>
      <w:r>
        <w:t xml:space="preserve"> of Jobs, Precincts and Regions</w:t>
      </w:r>
      <w:bookmarkEnd w:id="159"/>
      <w:bookmarkEnd w:id="160"/>
      <w:bookmarkEnd w:id="161"/>
      <w:bookmarkEnd w:id="162"/>
      <w:bookmarkEnd w:id="163"/>
      <w:bookmarkEnd w:id="164"/>
    </w:p>
    <w:p w14:paraId="1D03FFA9" w14:textId="77777777" w:rsidR="008D6F13" w:rsidRDefault="008D6F13" w:rsidP="008D6F13">
      <w:pPr>
        <w:pStyle w:val="Heading20"/>
      </w:pPr>
      <w:r>
        <w:t>Output initiatives</w:t>
      </w:r>
    </w:p>
    <w:p w14:paraId="3D73C645" w14:textId="77777777" w:rsidR="008D6F13" w:rsidRDefault="008D6F13" w:rsidP="008D6F13">
      <w:pPr>
        <w:pStyle w:val="TableHeading"/>
        <w:spacing w:before="200"/>
      </w:pPr>
      <w:r>
        <w:t>Table A.9:</w:t>
      </w:r>
      <w:r>
        <w:tab/>
        <w:t xml:space="preserve">Output initiatives – Department of Jobs, Precincts and Regions </w:t>
      </w:r>
      <w:r>
        <w:tab/>
        <w:t>($ million)</w:t>
      </w:r>
    </w:p>
    <w:tbl>
      <w:tblPr>
        <w:tblStyle w:val="DTFTableNumeric"/>
        <w:tblW w:w="7710" w:type="dxa"/>
        <w:tblLayout w:type="fixed"/>
        <w:tblLook w:val="06A0" w:firstRow="1" w:lastRow="0" w:firstColumn="1" w:lastColumn="0" w:noHBand="1" w:noVBand="1"/>
      </w:tblPr>
      <w:tblGrid>
        <w:gridCol w:w="4534"/>
        <w:gridCol w:w="794"/>
        <w:gridCol w:w="794"/>
        <w:gridCol w:w="794"/>
        <w:gridCol w:w="794"/>
      </w:tblGrid>
      <w:tr w:rsidR="008D6F13" w14:paraId="52B74990"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1D8A10AC" w14:textId="57FCE49F" w:rsidR="008D6F13" w:rsidRDefault="008D6F13" w:rsidP="0031078F"/>
        </w:tc>
        <w:tc>
          <w:tcPr>
            <w:tcW w:w="794" w:type="dxa"/>
          </w:tcPr>
          <w:p w14:paraId="54AE5486"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p>
        </w:tc>
        <w:tc>
          <w:tcPr>
            <w:tcW w:w="794" w:type="dxa"/>
          </w:tcPr>
          <w:p w14:paraId="3EED81CE"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p>
        </w:tc>
        <w:tc>
          <w:tcPr>
            <w:tcW w:w="794" w:type="dxa"/>
          </w:tcPr>
          <w:p w14:paraId="38998F9B"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p>
        </w:tc>
        <w:tc>
          <w:tcPr>
            <w:tcW w:w="794" w:type="dxa"/>
          </w:tcPr>
          <w:p w14:paraId="762709FE"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p>
        </w:tc>
      </w:tr>
      <w:tr w:rsidR="008D6F13" w14:paraId="63AC2899"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5C8DEF8E" w14:textId="77777777" w:rsidR="008D6F13" w:rsidRDefault="008D6F13" w:rsidP="0031078F">
            <w:r>
              <w:rPr>
                <w:b/>
              </w:rPr>
              <w:t>Agriculture</w:t>
            </w:r>
          </w:p>
        </w:tc>
        <w:tc>
          <w:tcPr>
            <w:tcW w:w="794" w:type="dxa"/>
          </w:tcPr>
          <w:p w14:paraId="4C2BF70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DB166B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9BF69A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F4420D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29B197CD"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5E9E6FA4" w14:textId="77777777" w:rsidR="008D6F13" w:rsidRDefault="008D6F13" w:rsidP="0031078F">
            <w:r>
              <w:t xml:space="preserve">Continued support for Pacific Mobility Schemes </w:t>
            </w:r>
            <w:r>
              <w:rPr>
                <w:vertAlign w:val="superscript"/>
              </w:rPr>
              <w:t>(a)</w:t>
            </w:r>
          </w:p>
        </w:tc>
        <w:tc>
          <w:tcPr>
            <w:tcW w:w="794" w:type="dxa"/>
          </w:tcPr>
          <w:p w14:paraId="7F2DBC4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22.4</w:t>
            </w:r>
          </w:p>
        </w:tc>
        <w:tc>
          <w:tcPr>
            <w:tcW w:w="794" w:type="dxa"/>
          </w:tcPr>
          <w:p w14:paraId="189D81A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D83DFF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7343A6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09BFBB4B"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1D195C3B" w14:textId="77777777" w:rsidR="008D6F13" w:rsidRDefault="008D6F13" w:rsidP="0031078F">
            <w:r>
              <w:t xml:space="preserve">June 2021 flood and storm event – recovery package </w:t>
            </w:r>
            <w:r>
              <w:rPr>
                <w:vertAlign w:val="superscript"/>
              </w:rPr>
              <w:t>(b)</w:t>
            </w:r>
          </w:p>
        </w:tc>
        <w:tc>
          <w:tcPr>
            <w:tcW w:w="794" w:type="dxa"/>
          </w:tcPr>
          <w:p w14:paraId="70F4053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13.5</w:t>
            </w:r>
          </w:p>
        </w:tc>
        <w:tc>
          <w:tcPr>
            <w:tcW w:w="794" w:type="dxa"/>
          </w:tcPr>
          <w:p w14:paraId="5C79219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E0B700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7D4CCC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4519E93F"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1B80E20C" w14:textId="77777777" w:rsidR="008D6F13" w:rsidRDefault="008D6F13" w:rsidP="0031078F">
            <w:r>
              <w:t xml:space="preserve">Melbourne Showgrounds Future Sustainability </w:t>
            </w:r>
          </w:p>
        </w:tc>
        <w:tc>
          <w:tcPr>
            <w:tcW w:w="794" w:type="dxa"/>
          </w:tcPr>
          <w:p w14:paraId="3A6CA9D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7.6</w:t>
            </w:r>
          </w:p>
        </w:tc>
        <w:tc>
          <w:tcPr>
            <w:tcW w:w="794" w:type="dxa"/>
          </w:tcPr>
          <w:p w14:paraId="75BD9CB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4.5</w:t>
            </w:r>
          </w:p>
        </w:tc>
        <w:tc>
          <w:tcPr>
            <w:tcW w:w="794" w:type="dxa"/>
          </w:tcPr>
          <w:p w14:paraId="0632D88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7A8783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388703BD"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0E15DFFF" w14:textId="77777777" w:rsidR="008D6F13" w:rsidRDefault="008D6F13" w:rsidP="0031078F">
            <w:r>
              <w:rPr>
                <w:b/>
              </w:rPr>
              <w:t xml:space="preserve">Creative Industries </w:t>
            </w:r>
          </w:p>
        </w:tc>
        <w:tc>
          <w:tcPr>
            <w:tcW w:w="794" w:type="dxa"/>
          </w:tcPr>
          <w:p w14:paraId="783EDF6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F0D3AE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9986FB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8030FE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00683848"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2EA7412E" w14:textId="77777777" w:rsidR="008D6F13" w:rsidRDefault="008D6F13" w:rsidP="0031078F">
            <w:r>
              <w:t>Melbourne Arts Precinct Transformation</w:t>
            </w:r>
          </w:p>
        </w:tc>
        <w:tc>
          <w:tcPr>
            <w:tcW w:w="794" w:type="dxa"/>
          </w:tcPr>
          <w:p w14:paraId="617C3B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5F739C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3.4</w:t>
            </w:r>
          </w:p>
        </w:tc>
        <w:tc>
          <w:tcPr>
            <w:tcW w:w="794" w:type="dxa"/>
          </w:tcPr>
          <w:p w14:paraId="286FD6D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13.0</w:t>
            </w:r>
          </w:p>
        </w:tc>
        <w:tc>
          <w:tcPr>
            <w:tcW w:w="794" w:type="dxa"/>
          </w:tcPr>
          <w:p w14:paraId="6590D5D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24.5</w:t>
            </w:r>
          </w:p>
        </w:tc>
      </w:tr>
      <w:tr w:rsidR="008D6F13" w14:paraId="163299A2"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3943C4D9" w14:textId="77777777" w:rsidR="008D6F13" w:rsidRDefault="008D6F13" w:rsidP="0031078F">
            <w:r>
              <w:t xml:space="preserve">Supporting Victoria’s creative, live </w:t>
            </w:r>
            <w:proofErr w:type="gramStart"/>
            <w:r>
              <w:t>music</w:t>
            </w:r>
            <w:proofErr w:type="gramEnd"/>
            <w:r>
              <w:t xml:space="preserve"> and events sectors</w:t>
            </w:r>
          </w:p>
        </w:tc>
        <w:tc>
          <w:tcPr>
            <w:tcW w:w="794" w:type="dxa"/>
          </w:tcPr>
          <w:p w14:paraId="77E3967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68.2</w:t>
            </w:r>
          </w:p>
        </w:tc>
        <w:tc>
          <w:tcPr>
            <w:tcW w:w="794" w:type="dxa"/>
          </w:tcPr>
          <w:p w14:paraId="711149F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0.2</w:t>
            </w:r>
          </w:p>
        </w:tc>
        <w:tc>
          <w:tcPr>
            <w:tcW w:w="794" w:type="dxa"/>
          </w:tcPr>
          <w:p w14:paraId="3F4EB19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8FFBE4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2ED460B3"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2E3CA369" w14:textId="77777777" w:rsidR="008D6F13" w:rsidRDefault="008D6F13" w:rsidP="0031078F">
            <w:r>
              <w:rPr>
                <w:b/>
              </w:rPr>
              <w:t>Industry, Innovation, Medical Research and Small Business</w:t>
            </w:r>
          </w:p>
        </w:tc>
        <w:tc>
          <w:tcPr>
            <w:tcW w:w="794" w:type="dxa"/>
          </w:tcPr>
          <w:p w14:paraId="6755B88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E94F48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3759E9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251952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3C45A785"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248E70D8" w14:textId="77777777" w:rsidR="008D6F13" w:rsidRDefault="008D6F13" w:rsidP="0031078F">
            <w:r>
              <w:t>Brain Cancer Centre Investment</w:t>
            </w:r>
          </w:p>
        </w:tc>
        <w:tc>
          <w:tcPr>
            <w:tcW w:w="794" w:type="dxa"/>
          </w:tcPr>
          <w:p w14:paraId="078BE2B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4.1</w:t>
            </w:r>
          </w:p>
        </w:tc>
        <w:tc>
          <w:tcPr>
            <w:tcW w:w="794" w:type="dxa"/>
          </w:tcPr>
          <w:p w14:paraId="1C845A1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4.1</w:t>
            </w:r>
          </w:p>
        </w:tc>
        <w:tc>
          <w:tcPr>
            <w:tcW w:w="794" w:type="dxa"/>
          </w:tcPr>
          <w:p w14:paraId="1C80401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3.9</w:t>
            </w:r>
          </w:p>
        </w:tc>
        <w:tc>
          <w:tcPr>
            <w:tcW w:w="794" w:type="dxa"/>
          </w:tcPr>
          <w:p w14:paraId="7F27FDE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3.9</w:t>
            </w:r>
          </w:p>
        </w:tc>
      </w:tr>
      <w:tr w:rsidR="008D6F13" w14:paraId="2E657CC8"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57387028" w14:textId="77777777" w:rsidR="008D6F13" w:rsidRDefault="008D6F13" w:rsidP="0031078F">
            <w:r>
              <w:t xml:space="preserve">Business support </w:t>
            </w:r>
            <w:r>
              <w:rPr>
                <w:vertAlign w:val="superscript"/>
              </w:rPr>
              <w:t>(c)</w:t>
            </w:r>
          </w:p>
        </w:tc>
        <w:tc>
          <w:tcPr>
            <w:tcW w:w="794" w:type="dxa"/>
          </w:tcPr>
          <w:p w14:paraId="2B339C61" w14:textId="0E69DDF7" w:rsidR="008D6F13" w:rsidRDefault="008D6F13" w:rsidP="0031078F">
            <w:pPr>
              <w:cnfStyle w:val="000000000000" w:firstRow="0" w:lastRow="0" w:firstColumn="0" w:lastColumn="0" w:oddVBand="0" w:evenVBand="0" w:oddHBand="0" w:evenHBand="0" w:firstRowFirstColumn="0" w:firstRowLastColumn="0" w:lastRowFirstColumn="0" w:lastRowLastColumn="0"/>
            </w:pPr>
            <w:r>
              <w:t>7</w:t>
            </w:r>
            <w:r w:rsidR="00A51211">
              <w:t xml:space="preserve"> </w:t>
            </w:r>
            <w:r>
              <w:t>161.9</w:t>
            </w:r>
          </w:p>
        </w:tc>
        <w:tc>
          <w:tcPr>
            <w:tcW w:w="794" w:type="dxa"/>
          </w:tcPr>
          <w:p w14:paraId="7602F3A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A4A334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B9DC39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4333FB2F"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0670C0FA" w14:textId="77777777" w:rsidR="008D6F13" w:rsidRDefault="008D6F13" w:rsidP="0031078F">
            <w:r>
              <w:t>COVID</w:t>
            </w:r>
            <w:r>
              <w:noBreakHyphen/>
              <w:t>19 Capability and Response</w:t>
            </w:r>
          </w:p>
        </w:tc>
        <w:tc>
          <w:tcPr>
            <w:tcW w:w="794" w:type="dxa"/>
          </w:tcPr>
          <w:p w14:paraId="2EA7F2C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8.1</w:t>
            </w:r>
          </w:p>
        </w:tc>
        <w:tc>
          <w:tcPr>
            <w:tcW w:w="794" w:type="dxa"/>
          </w:tcPr>
          <w:p w14:paraId="7C1908A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76E5C3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FD3962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37D23A03"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3C380993" w14:textId="77777777" w:rsidR="008D6F13" w:rsidRDefault="008D6F13" w:rsidP="0031078F">
            <w:r>
              <w:t>Delivering the Australian Institute for Infectious Disease</w:t>
            </w:r>
          </w:p>
        </w:tc>
        <w:tc>
          <w:tcPr>
            <w:tcW w:w="794" w:type="dxa"/>
          </w:tcPr>
          <w:p w14:paraId="4CD41B8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90.1</w:t>
            </w:r>
          </w:p>
        </w:tc>
        <w:tc>
          <w:tcPr>
            <w:tcW w:w="794" w:type="dxa"/>
          </w:tcPr>
          <w:p w14:paraId="0030DCB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77.5</w:t>
            </w:r>
          </w:p>
        </w:tc>
        <w:tc>
          <w:tcPr>
            <w:tcW w:w="794" w:type="dxa"/>
          </w:tcPr>
          <w:p w14:paraId="6D8F333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77.5</w:t>
            </w:r>
          </w:p>
        </w:tc>
        <w:tc>
          <w:tcPr>
            <w:tcW w:w="794" w:type="dxa"/>
          </w:tcPr>
          <w:p w14:paraId="29AB9DD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2BB9FA33"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17084BD3" w14:textId="77777777" w:rsidR="008D6F13" w:rsidRDefault="008D6F13" w:rsidP="0031078F">
            <w:r>
              <w:t>Safe building ventilation – supporting Victoria’s roadmap to open</w:t>
            </w:r>
            <w:r>
              <w:noBreakHyphen/>
              <w:t>up the economy</w:t>
            </w:r>
          </w:p>
        </w:tc>
        <w:tc>
          <w:tcPr>
            <w:tcW w:w="794" w:type="dxa"/>
          </w:tcPr>
          <w:p w14:paraId="3451A31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6.0</w:t>
            </w:r>
          </w:p>
        </w:tc>
        <w:tc>
          <w:tcPr>
            <w:tcW w:w="794" w:type="dxa"/>
          </w:tcPr>
          <w:p w14:paraId="3AEB519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0A7228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6E509E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419595FF"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18C0461B" w14:textId="77777777" w:rsidR="008D6F13" w:rsidRDefault="008D6F13" w:rsidP="0031078F">
            <w:r>
              <w:rPr>
                <w:b/>
              </w:rPr>
              <w:t>Jobs</w:t>
            </w:r>
          </w:p>
        </w:tc>
        <w:tc>
          <w:tcPr>
            <w:tcW w:w="794" w:type="dxa"/>
          </w:tcPr>
          <w:p w14:paraId="234E298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89C61A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25B51A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4587BE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6D2A46ED"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22A82C02" w14:textId="77777777" w:rsidR="008D6F13" w:rsidRDefault="008D6F13" w:rsidP="0031078F">
            <w:r>
              <w:t>Test Isolation Payments and Pandemic Leave Disaster Payments</w:t>
            </w:r>
          </w:p>
        </w:tc>
        <w:tc>
          <w:tcPr>
            <w:tcW w:w="794" w:type="dxa"/>
          </w:tcPr>
          <w:p w14:paraId="28AD106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198.8</w:t>
            </w:r>
          </w:p>
        </w:tc>
        <w:tc>
          <w:tcPr>
            <w:tcW w:w="794" w:type="dxa"/>
          </w:tcPr>
          <w:p w14:paraId="125C45A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8E8A4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FEF5F5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056F26E0"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09EFF1A1" w14:textId="77777777" w:rsidR="008D6F13" w:rsidRDefault="008D6F13" w:rsidP="0031078F">
            <w:r>
              <w:rPr>
                <w:b/>
              </w:rPr>
              <w:t>Local Government and Suburban Development</w:t>
            </w:r>
          </w:p>
        </w:tc>
        <w:tc>
          <w:tcPr>
            <w:tcW w:w="794" w:type="dxa"/>
          </w:tcPr>
          <w:p w14:paraId="551566F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11BAB0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D7E211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AC728A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71293581"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14330631" w14:textId="77777777" w:rsidR="008D6F13" w:rsidRDefault="008D6F13" w:rsidP="0031078F">
            <w:proofErr w:type="spellStart"/>
            <w:r>
              <w:t>COVIDSafe</w:t>
            </w:r>
            <w:proofErr w:type="spellEnd"/>
            <w:r>
              <w:t xml:space="preserve"> Outdoor Activation</w:t>
            </w:r>
          </w:p>
        </w:tc>
        <w:tc>
          <w:tcPr>
            <w:tcW w:w="794" w:type="dxa"/>
          </w:tcPr>
          <w:p w14:paraId="04813CB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54.5</w:t>
            </w:r>
          </w:p>
        </w:tc>
        <w:tc>
          <w:tcPr>
            <w:tcW w:w="794" w:type="dxa"/>
          </w:tcPr>
          <w:p w14:paraId="6D03648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633F79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2AE3B6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6B561F71"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54F68F53" w14:textId="77777777" w:rsidR="008D6F13" w:rsidRDefault="008D6F13" w:rsidP="0031078F">
            <w:r>
              <w:rPr>
                <w:b/>
              </w:rPr>
              <w:t>Sport, Recreation and Racing</w:t>
            </w:r>
          </w:p>
        </w:tc>
        <w:tc>
          <w:tcPr>
            <w:tcW w:w="794" w:type="dxa"/>
          </w:tcPr>
          <w:p w14:paraId="11E53E7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29B2B5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5DB3C1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69E209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32A30BE1"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62012E48" w14:textId="77777777" w:rsidR="008D6F13" w:rsidRDefault="008D6F13" w:rsidP="0031078F">
            <w:r>
              <w:t>Contribution towards the Tokyo 2020 Team Appeal</w:t>
            </w:r>
          </w:p>
        </w:tc>
        <w:tc>
          <w:tcPr>
            <w:tcW w:w="794" w:type="dxa"/>
          </w:tcPr>
          <w:p w14:paraId="6259604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w:t>
            </w:r>
          </w:p>
        </w:tc>
        <w:tc>
          <w:tcPr>
            <w:tcW w:w="794" w:type="dxa"/>
          </w:tcPr>
          <w:p w14:paraId="19CFD27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4C937E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672869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18FA55D1"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340B7E39" w14:textId="77777777" w:rsidR="008D6F13" w:rsidRDefault="008D6F13" w:rsidP="0031078F">
            <w:r>
              <w:t>Supporting Victoria’s Sporting Clubs</w:t>
            </w:r>
          </w:p>
        </w:tc>
        <w:tc>
          <w:tcPr>
            <w:tcW w:w="794" w:type="dxa"/>
          </w:tcPr>
          <w:p w14:paraId="37F60F2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10.5</w:t>
            </w:r>
          </w:p>
        </w:tc>
        <w:tc>
          <w:tcPr>
            <w:tcW w:w="794" w:type="dxa"/>
          </w:tcPr>
          <w:p w14:paraId="75AEFDD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54DECD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982C63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11C40EF0"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56BAEABF" w14:textId="77777777" w:rsidR="008D6F13" w:rsidRDefault="008D6F13" w:rsidP="0031078F">
            <w:r>
              <w:rPr>
                <w:b/>
              </w:rPr>
              <w:t>Tourism and Major Events</w:t>
            </w:r>
          </w:p>
        </w:tc>
        <w:tc>
          <w:tcPr>
            <w:tcW w:w="794" w:type="dxa"/>
          </w:tcPr>
          <w:p w14:paraId="5BCC879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07A7C6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6035F6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A6EA53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010241A5"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297DC144" w14:textId="77777777" w:rsidR="008D6F13" w:rsidRDefault="008D6F13" w:rsidP="0031078F">
            <w:r>
              <w:t>Melbourne Convention and Exhibition Trust (MCET)</w:t>
            </w:r>
          </w:p>
        </w:tc>
        <w:tc>
          <w:tcPr>
            <w:tcW w:w="794" w:type="dxa"/>
          </w:tcPr>
          <w:p w14:paraId="586C0A6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59.0</w:t>
            </w:r>
          </w:p>
        </w:tc>
        <w:tc>
          <w:tcPr>
            <w:tcW w:w="794" w:type="dxa"/>
          </w:tcPr>
          <w:p w14:paraId="43D7A37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2A7508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7C9BA7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09A9035B"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4E9CFA15" w14:textId="77777777" w:rsidR="008D6F13" w:rsidRDefault="008D6F13" w:rsidP="0031078F">
            <w:r>
              <w:rPr>
                <w:b/>
              </w:rPr>
              <w:t>Trade and Global Engagement</w:t>
            </w:r>
          </w:p>
        </w:tc>
        <w:tc>
          <w:tcPr>
            <w:tcW w:w="794" w:type="dxa"/>
          </w:tcPr>
          <w:p w14:paraId="7732D8B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4B1992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C4E87B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BB8BFF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26B82235"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33F27C5F" w14:textId="77777777" w:rsidR="008D6F13" w:rsidRDefault="008D6F13" w:rsidP="0031078F">
            <w:r>
              <w:t>Expanded resources for the Victorian Government Trade and Investment Network in the United States</w:t>
            </w:r>
          </w:p>
        </w:tc>
        <w:tc>
          <w:tcPr>
            <w:tcW w:w="794" w:type="dxa"/>
          </w:tcPr>
          <w:p w14:paraId="789A18D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2.9</w:t>
            </w:r>
          </w:p>
        </w:tc>
        <w:tc>
          <w:tcPr>
            <w:tcW w:w="794" w:type="dxa"/>
          </w:tcPr>
          <w:p w14:paraId="4AB798C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2.6</w:t>
            </w:r>
          </w:p>
        </w:tc>
        <w:tc>
          <w:tcPr>
            <w:tcW w:w="794" w:type="dxa"/>
          </w:tcPr>
          <w:p w14:paraId="006D6F8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2.7</w:t>
            </w:r>
          </w:p>
        </w:tc>
        <w:tc>
          <w:tcPr>
            <w:tcW w:w="794" w:type="dxa"/>
          </w:tcPr>
          <w:p w14:paraId="015B4D7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2.7</w:t>
            </w:r>
          </w:p>
        </w:tc>
      </w:tr>
      <w:tr w:rsidR="008D6F13" w14:paraId="1971E3D8"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010504EA" w14:textId="77777777" w:rsidR="008D6F13" w:rsidRDefault="008D6F13" w:rsidP="0031078F">
            <w:r>
              <w:t>International education resilience</w:t>
            </w:r>
          </w:p>
        </w:tc>
        <w:tc>
          <w:tcPr>
            <w:tcW w:w="794" w:type="dxa"/>
            <w:tcBorders>
              <w:bottom w:val="single" w:sz="6" w:space="0" w:color="auto"/>
            </w:tcBorders>
          </w:tcPr>
          <w:p w14:paraId="389A2BE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49.8</w:t>
            </w:r>
          </w:p>
        </w:tc>
        <w:tc>
          <w:tcPr>
            <w:tcW w:w="794" w:type="dxa"/>
            <w:tcBorders>
              <w:bottom w:val="single" w:sz="6" w:space="0" w:color="auto"/>
            </w:tcBorders>
          </w:tcPr>
          <w:p w14:paraId="0D94446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0.2</w:t>
            </w:r>
          </w:p>
        </w:tc>
        <w:tc>
          <w:tcPr>
            <w:tcW w:w="794" w:type="dxa"/>
            <w:tcBorders>
              <w:bottom w:val="single" w:sz="6" w:space="0" w:color="auto"/>
            </w:tcBorders>
          </w:tcPr>
          <w:p w14:paraId="0C10350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64CFF83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1ABD3723"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413EA019" w14:textId="77777777" w:rsidR="008D6F13" w:rsidRDefault="008D6F13" w:rsidP="0031078F">
            <w:r>
              <w:rPr>
                <w:b/>
              </w:rPr>
              <w:t xml:space="preserve">Total output initiatives </w:t>
            </w:r>
            <w:r>
              <w:rPr>
                <w:b/>
                <w:vertAlign w:val="superscript"/>
              </w:rPr>
              <w:t>(d)</w:t>
            </w:r>
          </w:p>
        </w:tc>
        <w:tc>
          <w:tcPr>
            <w:tcW w:w="794" w:type="dxa"/>
          </w:tcPr>
          <w:p w14:paraId="1A90B5A0" w14:textId="0E7509D6"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w:t>
            </w:r>
            <w:r w:rsidR="00A51211">
              <w:rPr>
                <w:b/>
              </w:rPr>
              <w:t xml:space="preserve"> </w:t>
            </w:r>
            <w:r>
              <w:rPr>
                <w:b/>
              </w:rPr>
              <w:t>758.6</w:t>
            </w:r>
          </w:p>
        </w:tc>
        <w:tc>
          <w:tcPr>
            <w:tcW w:w="794" w:type="dxa"/>
          </w:tcPr>
          <w:p w14:paraId="3C948D1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92.5</w:t>
            </w:r>
          </w:p>
        </w:tc>
        <w:tc>
          <w:tcPr>
            <w:tcW w:w="794" w:type="dxa"/>
          </w:tcPr>
          <w:p w14:paraId="29F5C6F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97.0</w:t>
            </w:r>
          </w:p>
        </w:tc>
        <w:tc>
          <w:tcPr>
            <w:tcW w:w="794" w:type="dxa"/>
          </w:tcPr>
          <w:p w14:paraId="54DF6F49" w14:textId="2A03345F"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31.1</w:t>
            </w:r>
          </w:p>
        </w:tc>
      </w:tr>
    </w:tbl>
    <w:p w14:paraId="67F8F79A" w14:textId="77777777" w:rsidR="008D6F13" w:rsidRDefault="008D6F13" w:rsidP="008D6F13">
      <w:pPr>
        <w:pStyle w:val="Source"/>
      </w:pPr>
      <w:r w:rsidRPr="00252ED7">
        <w:t>Source: Department of Treasury and Finance</w:t>
      </w:r>
    </w:p>
    <w:p w14:paraId="553FD07F" w14:textId="77777777" w:rsidR="008D6F13" w:rsidRDefault="008D6F13" w:rsidP="008D6F13">
      <w:pPr>
        <w:pStyle w:val="Note"/>
      </w:pPr>
      <w:r>
        <w:t xml:space="preserve">Notes: </w:t>
      </w:r>
    </w:p>
    <w:p w14:paraId="0C2E7427" w14:textId="77777777" w:rsidR="008D6F13" w:rsidRDefault="008D6F13" w:rsidP="008D6F13">
      <w:pPr>
        <w:pStyle w:val="Note"/>
      </w:pPr>
      <w:r>
        <w:t>(a)</w:t>
      </w:r>
      <w:r>
        <w:tab/>
      </w:r>
      <w:r w:rsidRPr="00DA5160">
        <w:t>Includes an industry contribution of $6 million towards quarantine costs.</w:t>
      </w:r>
    </w:p>
    <w:p w14:paraId="6D2AB1BD" w14:textId="77777777" w:rsidR="008D6F13" w:rsidRDefault="008D6F13" w:rsidP="008D6F13">
      <w:pPr>
        <w:pStyle w:val="Note"/>
      </w:pPr>
      <w:r>
        <w:t>(b)</w:t>
      </w:r>
      <w:r>
        <w:tab/>
        <w:t>A c</w:t>
      </w:r>
      <w:r w:rsidRPr="004653B9">
        <w:t>omponent of th</w:t>
      </w:r>
      <w:r>
        <w:t xml:space="preserve">is </w:t>
      </w:r>
      <w:r w:rsidRPr="004653B9">
        <w:t xml:space="preserve">initiative </w:t>
      </w:r>
      <w:r>
        <w:t>is</w:t>
      </w:r>
      <w:r w:rsidRPr="004653B9">
        <w:t xml:space="preserve"> co-funded with the Commonwealth. Estimates of the Commonwealth’s contribution are included.</w:t>
      </w:r>
    </w:p>
    <w:p w14:paraId="19F19AFF" w14:textId="77777777" w:rsidR="008D6F13" w:rsidRDefault="008D6F13" w:rsidP="008D6F13">
      <w:pPr>
        <w:pStyle w:val="Note"/>
      </w:pPr>
      <w:r>
        <w:t>(c)</w:t>
      </w:r>
      <w:r>
        <w:tab/>
      </w:r>
      <w:r w:rsidRPr="004653B9">
        <w:t xml:space="preserve">Components of </w:t>
      </w:r>
      <w:r>
        <w:t>this</w:t>
      </w:r>
      <w:r w:rsidRPr="004653B9">
        <w:t xml:space="preserve"> initiative are co-funded with the Commonwealth. Estimates of the Commonwealth’s contribution are included.</w:t>
      </w:r>
    </w:p>
    <w:p w14:paraId="64D3DB83" w14:textId="77777777" w:rsidR="008D6F13" w:rsidRDefault="008D6F13" w:rsidP="008D6F13">
      <w:pPr>
        <w:pStyle w:val="Note"/>
      </w:pPr>
      <w:r>
        <w:t>(d)</w:t>
      </w:r>
      <w:r>
        <w:tab/>
      </w:r>
      <w:r w:rsidRPr="00B82015">
        <w:t>Table may not add due to rounding.</w:t>
      </w:r>
    </w:p>
    <w:p w14:paraId="2E99173E" w14:textId="77777777" w:rsidR="008D6F13" w:rsidRDefault="008D6F13" w:rsidP="008D6F13">
      <w:pPr>
        <w:keepLines w:val="0"/>
        <w:rPr>
          <w:rFonts w:asciiTheme="majorHAnsi" w:eastAsiaTheme="majorEastAsia" w:hAnsiTheme="majorHAnsi" w:cstheme="majorBidi"/>
          <w:i/>
          <w:iCs/>
          <w:sz w:val="23"/>
          <w:szCs w:val="24"/>
        </w:rPr>
      </w:pPr>
      <w:r>
        <w:br w:type="page"/>
      </w:r>
    </w:p>
    <w:p w14:paraId="421D7985" w14:textId="77777777" w:rsidR="008D6F13" w:rsidRDefault="008D6F13" w:rsidP="008D6F13">
      <w:pPr>
        <w:pStyle w:val="Heading4"/>
      </w:pPr>
      <w:r w:rsidRPr="00815A32">
        <w:lastRenderedPageBreak/>
        <w:t>Agriculture</w:t>
      </w:r>
    </w:p>
    <w:p w14:paraId="7FCBAE8A" w14:textId="77777777" w:rsidR="008D6F13" w:rsidRPr="00697E16" w:rsidRDefault="008D6F13" w:rsidP="008D6F13">
      <w:pPr>
        <w:pStyle w:val="Heading5"/>
        <w:spacing w:before="140"/>
      </w:pPr>
      <w:r w:rsidRPr="00AF1A4A">
        <w:t>Continued support for Pacific Mobility Schemes</w:t>
      </w:r>
    </w:p>
    <w:p w14:paraId="43F3F26C" w14:textId="77777777" w:rsidR="008D6F13" w:rsidRPr="007A1B3C" w:rsidRDefault="008D6F13" w:rsidP="008D6F13">
      <w:r>
        <w:t xml:space="preserve">Additional funding is provided to </w:t>
      </w:r>
      <w:r w:rsidRPr="00FD033B">
        <w:t xml:space="preserve">minimise supply chain disruptions </w:t>
      </w:r>
      <w:r>
        <w:t xml:space="preserve">in Victoria’s agriculture industry </w:t>
      </w:r>
      <w:r w:rsidRPr="00FD033B">
        <w:t xml:space="preserve">caused by </w:t>
      </w:r>
      <w:r>
        <w:t xml:space="preserve">continued </w:t>
      </w:r>
      <w:r w:rsidRPr="00FD033B">
        <w:t>labou</w:t>
      </w:r>
      <w:r>
        <w:t xml:space="preserve">r </w:t>
      </w:r>
      <w:r w:rsidRPr="00FD033B">
        <w:t>shortages due</w:t>
      </w:r>
      <w:r>
        <w:t xml:space="preserve"> </w:t>
      </w:r>
      <w:r w:rsidRPr="00FD033B">
        <w:t>to COVID</w:t>
      </w:r>
      <w:r w:rsidRPr="0086451F">
        <w:rPr>
          <w:rFonts w:ascii="Times New Roman" w:hAnsi="Times New Roman" w:cs="Times New Roman"/>
        </w:rPr>
        <w:t>‐</w:t>
      </w:r>
      <w:r w:rsidRPr="00FD033B">
        <w:t>19 international travel restrictions.</w:t>
      </w:r>
      <w:r>
        <w:t xml:space="preserve"> This includes a co-contribution to quarantine costs for workers under the Commonwealth Government’s Pacific mobility schemes to </w:t>
      </w:r>
      <w:r w:rsidRPr="00A4076B">
        <w:t xml:space="preserve">support </w:t>
      </w:r>
      <w:r>
        <w:t>at least 1 5</w:t>
      </w:r>
      <w:r w:rsidRPr="00A4076B">
        <w:t>00 Pacific workers until 30 June 2022.</w:t>
      </w:r>
      <w:r>
        <w:t xml:space="preserve"> </w:t>
      </w:r>
      <w:r w:rsidRPr="0086451F">
        <w:t xml:space="preserve"> </w:t>
      </w:r>
    </w:p>
    <w:p w14:paraId="00A7F0AE" w14:textId="77777777" w:rsidR="008D6F13" w:rsidRDefault="008D6F13" w:rsidP="008D6F13">
      <w:r>
        <w:t>T</w:t>
      </w:r>
      <w:r w:rsidRPr="00B078B7">
        <w:t>his initiative contributes to the</w:t>
      </w:r>
      <w:r>
        <w:t xml:space="preserve"> Department of Jobs Precincts and Regions’ Agriculture output.</w:t>
      </w:r>
    </w:p>
    <w:p w14:paraId="45C8F5B6" w14:textId="77777777" w:rsidR="008D6F13" w:rsidRPr="00D759AC" w:rsidRDefault="008D6F13" w:rsidP="008D6F13">
      <w:pPr>
        <w:pStyle w:val="Heading5"/>
      </w:pPr>
      <w:r w:rsidRPr="00D759AC">
        <w:t>June 2021 flood and storm event – recovery package</w:t>
      </w:r>
    </w:p>
    <w:p w14:paraId="4987314B" w14:textId="77777777" w:rsidR="008D6F13" w:rsidRDefault="008D6F13" w:rsidP="008D6F13">
      <w:r w:rsidRPr="00DC7A0D">
        <w:t xml:space="preserve">Refer to the Department of </w:t>
      </w:r>
      <w:r>
        <w:t>Justice and Community Safety for a</w:t>
      </w:r>
      <w:r w:rsidRPr="00DC7A0D">
        <w:t xml:space="preserve"> description of this initiative.</w:t>
      </w:r>
    </w:p>
    <w:p w14:paraId="627AD7F2" w14:textId="77777777" w:rsidR="008D6F13" w:rsidRPr="00697E16" w:rsidRDefault="008D6F13" w:rsidP="008D6F13">
      <w:pPr>
        <w:pStyle w:val="Heading5"/>
      </w:pPr>
      <w:r>
        <w:t xml:space="preserve">Melbourne Showgrounds Future Sustainability </w:t>
      </w:r>
    </w:p>
    <w:p w14:paraId="1DBB469E" w14:textId="77777777" w:rsidR="008D6F13" w:rsidRDefault="008D6F13" w:rsidP="008D6F13">
      <w:r>
        <w:t xml:space="preserve">Funding is provided to review and support the financial sustainability of the Melbourne Showgrounds </w:t>
      </w:r>
      <w:r w:rsidRPr="005A36D8">
        <w:t>following significant disruption du</w:t>
      </w:r>
      <w:r>
        <w:t>ring</w:t>
      </w:r>
      <w:r w:rsidRPr="005A36D8">
        <w:t xml:space="preserve"> </w:t>
      </w:r>
      <w:r>
        <w:t>the COVID</w:t>
      </w:r>
      <w:r>
        <w:noBreakHyphen/>
        <w:t>19 pandemic.</w:t>
      </w:r>
    </w:p>
    <w:p w14:paraId="3490DDDC" w14:textId="77777777" w:rsidR="008D6F13" w:rsidRDefault="008D6F13" w:rsidP="008D6F13">
      <w:r>
        <w:t>T</w:t>
      </w:r>
      <w:r w:rsidRPr="00B078B7">
        <w:t>his initiative contributes to the</w:t>
      </w:r>
      <w:r>
        <w:t xml:space="preserve"> Department of Jobs, Precincts and Regions’ Agriculture output.</w:t>
      </w:r>
    </w:p>
    <w:p w14:paraId="349C1F2F" w14:textId="77777777" w:rsidR="008D6F13" w:rsidRDefault="008D6F13" w:rsidP="008D6F13">
      <w:pPr>
        <w:pStyle w:val="Heading4"/>
      </w:pPr>
      <w:r>
        <w:t>Creative Industries</w:t>
      </w:r>
    </w:p>
    <w:p w14:paraId="646514E1" w14:textId="77777777" w:rsidR="008D6F13" w:rsidRPr="00697E16" w:rsidRDefault="008D6F13" w:rsidP="008D6F13">
      <w:pPr>
        <w:pStyle w:val="Heading5"/>
      </w:pPr>
      <w:r>
        <w:t xml:space="preserve">Melbourne Arts Precinct Transformation </w:t>
      </w:r>
    </w:p>
    <w:p w14:paraId="14DEEE88" w14:textId="77777777" w:rsidR="008D6F13" w:rsidRPr="00363ECF" w:rsidRDefault="008D6F13" w:rsidP="008D6F13">
      <w:r w:rsidRPr="006861B4">
        <w:t>Refer to the asset initiative for a description of this initiative.</w:t>
      </w:r>
    </w:p>
    <w:p w14:paraId="4771955F" w14:textId="77777777" w:rsidR="008D6F13" w:rsidRDefault="008D6F13" w:rsidP="008D6F13">
      <w:pPr>
        <w:pStyle w:val="Heading5"/>
      </w:pPr>
      <w:bookmarkStart w:id="165" w:name="_Hlk89173358"/>
      <w:r w:rsidRPr="00EF5C8F">
        <w:t xml:space="preserve">Supporting Victoria’s creative, live </w:t>
      </w:r>
      <w:proofErr w:type="gramStart"/>
      <w:r w:rsidRPr="00EF5C8F">
        <w:t>music</w:t>
      </w:r>
      <w:proofErr w:type="gramEnd"/>
      <w:r w:rsidRPr="00EF5C8F">
        <w:t xml:space="preserve"> and events sectors</w:t>
      </w:r>
      <w:r w:rsidRPr="00363ECF">
        <w:t xml:space="preserve"> </w:t>
      </w:r>
      <w:bookmarkEnd w:id="165"/>
    </w:p>
    <w:p w14:paraId="6B7C3FAA" w14:textId="77777777" w:rsidR="008D6F13" w:rsidRDefault="008D6F13" w:rsidP="008D6F13">
      <w:r>
        <w:t>Funding is provided to support Victoria’s creative, live music and event sectors impacted by the COVID-19 pandemic, including:</w:t>
      </w:r>
    </w:p>
    <w:p w14:paraId="18A35B04" w14:textId="77777777" w:rsidR="008D6F13" w:rsidRDefault="008D6F13" w:rsidP="008D6F13">
      <w:pPr>
        <w:pStyle w:val="ListBullet"/>
        <w:numPr>
          <w:ilvl w:val="0"/>
          <w:numId w:val="30"/>
        </w:numPr>
      </w:pPr>
      <w:r>
        <w:t xml:space="preserve">the 2021 Live Music Restart Program, a package of supports helping to accelerate the recovery of Victoria’s live music sector. This package includes extending support towards live music venues, helping revive music festivals and events, and additional Melbourne CBD music performances </w:t>
      </w:r>
    </w:p>
    <w:p w14:paraId="4DE75E7A" w14:textId="77777777" w:rsidR="008D6F13" w:rsidRDefault="008D6F13" w:rsidP="008D6F13">
      <w:pPr>
        <w:pStyle w:val="ListBullet"/>
        <w:numPr>
          <w:ilvl w:val="0"/>
          <w:numId w:val="30"/>
        </w:numPr>
      </w:pPr>
      <w:r>
        <w:t>a Live Performance Support Program, assisting organisers, venues and supply chain businesses impacted by postponements or cancellations</w:t>
      </w:r>
    </w:p>
    <w:p w14:paraId="402046BC" w14:textId="77777777" w:rsidR="008D6F13" w:rsidRDefault="008D6F13" w:rsidP="008D6F13">
      <w:pPr>
        <w:pStyle w:val="ListBullet"/>
        <w:numPr>
          <w:ilvl w:val="0"/>
          <w:numId w:val="30"/>
        </w:numPr>
      </w:pPr>
      <w:r>
        <w:t>an extension of the Impacted Public Events Support Program, providing grants to organisers of registered public events that were cancelled or postponed</w:t>
      </w:r>
    </w:p>
    <w:p w14:paraId="31468106" w14:textId="77777777" w:rsidR="008D6F13" w:rsidRPr="00521CD1" w:rsidRDefault="008D6F13" w:rsidP="008D6F13">
      <w:pPr>
        <w:pStyle w:val="ListBullet"/>
        <w:numPr>
          <w:ilvl w:val="0"/>
          <w:numId w:val="30"/>
        </w:numPr>
      </w:pPr>
      <w:r w:rsidRPr="00521CD1">
        <w:t>a new Sustaining Creative Organisations Program</w:t>
      </w:r>
      <w:r>
        <w:t>,</w:t>
      </w:r>
      <w:r w:rsidRPr="00521CD1">
        <w:t xml:space="preserve"> support</w:t>
      </w:r>
      <w:r>
        <w:t>ing</w:t>
      </w:r>
      <w:r w:rsidRPr="00521CD1">
        <w:t xml:space="preserve"> creative industry organisations to remain financially viable, retain connection with their workers and recover as restrictions ease and commercial operating conditions resume</w:t>
      </w:r>
    </w:p>
    <w:p w14:paraId="78D09E24" w14:textId="77777777" w:rsidR="008D6F13" w:rsidRDefault="008D6F13" w:rsidP="008D6F13">
      <w:pPr>
        <w:pStyle w:val="ListBullet"/>
        <w:numPr>
          <w:ilvl w:val="0"/>
          <w:numId w:val="30"/>
        </w:numPr>
      </w:pPr>
      <w:r w:rsidRPr="00521CD1">
        <w:t>grants to enable creative workers to continue to produce art through a second round of the Sustaining Creative Workers Program</w:t>
      </w:r>
    </w:p>
    <w:p w14:paraId="764FB88C" w14:textId="77777777" w:rsidR="008D6F13" w:rsidRPr="00521CD1" w:rsidRDefault="008D6F13" w:rsidP="00CD0448">
      <w:pPr>
        <w:pStyle w:val="ListBullet"/>
        <w:keepNext/>
        <w:numPr>
          <w:ilvl w:val="0"/>
          <w:numId w:val="30"/>
        </w:numPr>
      </w:pPr>
      <w:r w:rsidRPr="00521CD1">
        <w:lastRenderedPageBreak/>
        <w:t>grants to support the viability of major productions and commercial theatres</w:t>
      </w:r>
    </w:p>
    <w:p w14:paraId="6B67BB3B" w14:textId="77777777" w:rsidR="008D6F13" w:rsidRDefault="008D6F13" w:rsidP="008D6F13">
      <w:pPr>
        <w:pStyle w:val="ListBullet"/>
        <w:numPr>
          <w:ilvl w:val="0"/>
          <w:numId w:val="30"/>
        </w:numPr>
      </w:pPr>
      <w:r>
        <w:t>a 12-month</w:t>
      </w:r>
      <w:r w:rsidRPr="002D038A">
        <w:t xml:space="preserve"> COVID-19 event interruption insurance product provided by the Victorian Managed Insurance Authority. The program is open to creative, sports and business events between $20</w:t>
      </w:r>
      <w:r>
        <w:t xml:space="preserve"> </w:t>
      </w:r>
      <w:r w:rsidRPr="002D038A">
        <w:t>000 and $10 million in value.</w:t>
      </w:r>
    </w:p>
    <w:p w14:paraId="0586C7B0" w14:textId="77777777" w:rsidR="008D6F13" w:rsidRDefault="008D6F13" w:rsidP="008D6F13">
      <w:pPr>
        <w:keepNext/>
      </w:pPr>
      <w:r>
        <w:t>This initiative contributes to the Department of Jobs Precincts and Regions’:</w:t>
      </w:r>
    </w:p>
    <w:p w14:paraId="1EA76B27" w14:textId="77777777" w:rsidR="008D6F13" w:rsidRPr="00773F8A" w:rsidRDefault="008D6F13" w:rsidP="008D6F13">
      <w:pPr>
        <w:pStyle w:val="ListBullet"/>
        <w:numPr>
          <w:ilvl w:val="0"/>
          <w:numId w:val="30"/>
        </w:numPr>
      </w:pPr>
      <w:r w:rsidRPr="00773F8A">
        <w:t xml:space="preserve">Creative Industries Access, </w:t>
      </w:r>
      <w:proofErr w:type="gramStart"/>
      <w:r w:rsidRPr="00773F8A">
        <w:t>Development</w:t>
      </w:r>
      <w:proofErr w:type="gramEnd"/>
      <w:r w:rsidRPr="00773F8A">
        <w:t xml:space="preserve"> and Innovation output</w:t>
      </w:r>
    </w:p>
    <w:p w14:paraId="17C68432" w14:textId="77777777" w:rsidR="008D6F13" w:rsidRDefault="008D6F13" w:rsidP="008D6F13">
      <w:pPr>
        <w:pStyle w:val="ListBullet"/>
        <w:numPr>
          <w:ilvl w:val="0"/>
          <w:numId w:val="30"/>
        </w:numPr>
      </w:pPr>
      <w:r>
        <w:t>Industry, Innovation, Medical Research and Small Business output.</w:t>
      </w:r>
    </w:p>
    <w:p w14:paraId="35CA4184" w14:textId="77777777" w:rsidR="008D6F13" w:rsidRPr="00DA5160" w:rsidRDefault="008D6F13" w:rsidP="008D6F13">
      <w:r w:rsidRPr="007B4C41">
        <w:t>This initiative contributes to the Department of Treasury and Finance’s Co</w:t>
      </w:r>
      <w:r w:rsidRPr="006423EA">
        <w:t>mmercial and Infrastructure Advice output.</w:t>
      </w:r>
    </w:p>
    <w:p w14:paraId="2B402624" w14:textId="77777777" w:rsidR="008D6F13" w:rsidRDefault="008D6F13" w:rsidP="008D6F13">
      <w:pPr>
        <w:pStyle w:val="Heading4"/>
      </w:pPr>
      <w:r>
        <w:t>Industry, Innovation, Medical Research and Small Business</w:t>
      </w:r>
    </w:p>
    <w:p w14:paraId="57040DF7" w14:textId="77777777" w:rsidR="008D6F13" w:rsidRPr="00697E16" w:rsidRDefault="008D6F13" w:rsidP="008D6F13">
      <w:pPr>
        <w:pStyle w:val="Heading5"/>
      </w:pPr>
      <w:r>
        <w:t>Brain Cancer Centre Investment</w:t>
      </w:r>
    </w:p>
    <w:p w14:paraId="5198A33B" w14:textId="77777777" w:rsidR="008D6F13" w:rsidRPr="002119A8" w:rsidRDefault="008D6F13" w:rsidP="008D6F13">
      <w:r>
        <w:t>Funding is provided to the Brain Cancer Centre for the establishment of</w:t>
      </w:r>
      <w:r w:rsidRPr="009C74E5">
        <w:t xml:space="preserve"> a Brain</w:t>
      </w:r>
      <w:r>
        <w:t xml:space="preserve"> </w:t>
      </w:r>
      <w:r w:rsidRPr="009C74E5">
        <w:t>Perioperative Clinical Trial Program (Brain</w:t>
      </w:r>
      <w:r w:rsidRPr="000F4312">
        <w:rPr>
          <w:rFonts w:ascii="Times New Roman" w:hAnsi="Times New Roman" w:cs="Times New Roman"/>
        </w:rPr>
        <w:t>‐</w:t>
      </w:r>
      <w:r w:rsidRPr="009C74E5">
        <w:t>POP)</w:t>
      </w:r>
      <w:r>
        <w:t xml:space="preserve">. This initiative will </w:t>
      </w:r>
      <w:r w:rsidRPr="001D7766">
        <w:t>strengthen Victoria’s position as a leader in cancer research and enhanc</w:t>
      </w:r>
      <w:r>
        <w:t>e</w:t>
      </w:r>
      <w:r w:rsidRPr="001D7766">
        <w:t xml:space="preserve"> brain cancer treatment options and outcomes through improved diagnosis and prognosis</w:t>
      </w:r>
      <w:r w:rsidRPr="002119A8">
        <w:t>.</w:t>
      </w:r>
    </w:p>
    <w:p w14:paraId="67BAFADA" w14:textId="77777777" w:rsidR="008D6F13" w:rsidRDefault="008D6F13" w:rsidP="008D6F13">
      <w:pPr>
        <w:rPr>
          <w:rFonts w:asciiTheme="majorHAnsi" w:eastAsiaTheme="majorEastAsia" w:hAnsiTheme="majorHAnsi" w:cstheme="majorBidi"/>
          <w:b/>
          <w:iCs/>
          <w:sz w:val="21"/>
          <w:szCs w:val="24"/>
        </w:rPr>
      </w:pPr>
      <w:r>
        <w:t>T</w:t>
      </w:r>
      <w:r w:rsidRPr="00B078B7">
        <w:t>his initiative contributes to the</w:t>
      </w:r>
      <w:r>
        <w:t xml:space="preserve"> Department of Jobs Precincts and Regions’ Industry, Innovation, Medical Research and Small Business output.</w:t>
      </w:r>
      <w:bookmarkStart w:id="166" w:name="_Hlk86857464"/>
    </w:p>
    <w:p w14:paraId="0B367708" w14:textId="77777777" w:rsidR="008D6F13" w:rsidRDefault="008D6F13" w:rsidP="008D6F13">
      <w:pPr>
        <w:pStyle w:val="Heading5"/>
      </w:pPr>
      <w:r w:rsidRPr="00F73C2C">
        <w:t>Business support</w:t>
      </w:r>
      <w:r>
        <w:t xml:space="preserve"> </w:t>
      </w:r>
    </w:p>
    <w:p w14:paraId="43812EB8" w14:textId="77777777" w:rsidR="008D6F13" w:rsidRDefault="008D6F13" w:rsidP="008D6F13">
      <w:r>
        <w:t>Funding is provided to support Victorian businesses impacted by public health restrictions since late May 2021, including:</w:t>
      </w:r>
    </w:p>
    <w:p w14:paraId="4DEA2741" w14:textId="77777777" w:rsidR="008D6F13" w:rsidRPr="0048247F" w:rsidRDefault="008D6F13" w:rsidP="008D6F13">
      <w:pPr>
        <w:pStyle w:val="ListBullet"/>
        <w:numPr>
          <w:ilvl w:val="0"/>
          <w:numId w:val="30"/>
        </w:numPr>
      </w:pPr>
      <w:r w:rsidRPr="0048247F">
        <w:t xml:space="preserve">grant payments through successive rounds of the Business Costs Assistance Program (BCAP), providing direct financial support to eligible employing and non-employing businesses including in the hospitality, tourism, </w:t>
      </w:r>
      <w:proofErr w:type="gramStart"/>
      <w:r w:rsidRPr="0048247F">
        <w:t>events</w:t>
      </w:r>
      <w:proofErr w:type="gramEnd"/>
      <w:r w:rsidRPr="0048247F">
        <w:t xml:space="preserve"> and selected retail industries, helping businesses to survive restricted trading conditions and keep Victorians in jobs</w:t>
      </w:r>
    </w:p>
    <w:p w14:paraId="2AF0BD5C" w14:textId="77777777" w:rsidR="008D6F13" w:rsidRPr="0048247F" w:rsidRDefault="008D6F13" w:rsidP="008D6F13">
      <w:pPr>
        <w:pStyle w:val="ListBullet"/>
        <w:numPr>
          <w:ilvl w:val="0"/>
          <w:numId w:val="30"/>
        </w:numPr>
      </w:pPr>
      <w:r w:rsidRPr="0048247F">
        <w:t xml:space="preserve">grant payments through successive rounds of the Licensed Hospitality Venue Fund to support liquor </w:t>
      </w:r>
      <w:proofErr w:type="spellStart"/>
      <w:r w:rsidRPr="0048247F">
        <w:t>licensees</w:t>
      </w:r>
      <w:proofErr w:type="spellEnd"/>
      <w:r w:rsidRPr="0048247F">
        <w:t xml:space="preserve"> to continue operations, meet business expenses during public health restrictions and perform business continuity planning</w:t>
      </w:r>
    </w:p>
    <w:p w14:paraId="709D369B" w14:textId="77777777" w:rsidR="008D6F13" w:rsidRPr="0048247F" w:rsidRDefault="008D6F13" w:rsidP="008D6F13">
      <w:pPr>
        <w:pStyle w:val="ListBullet"/>
        <w:numPr>
          <w:ilvl w:val="0"/>
          <w:numId w:val="30"/>
        </w:numPr>
      </w:pPr>
      <w:r w:rsidRPr="0048247F">
        <w:t>the creation of a Small Business COVID Hardship Fund, providing one-off $20 000 grants to small businesses ineligible for other Victorian Government supports</w:t>
      </w:r>
      <w:r>
        <w:t xml:space="preserve"> who</w:t>
      </w:r>
      <w:r w:rsidRPr="0048247F">
        <w:t xml:space="preserve"> could demonstrate a reduction in turnover of at least 70 per cent</w:t>
      </w:r>
    </w:p>
    <w:p w14:paraId="5A44BD63" w14:textId="77777777" w:rsidR="008D6F13" w:rsidRPr="0048247F" w:rsidRDefault="008D6F13" w:rsidP="008D6F13">
      <w:pPr>
        <w:pStyle w:val="ListBullet"/>
        <w:numPr>
          <w:ilvl w:val="0"/>
          <w:numId w:val="30"/>
        </w:numPr>
      </w:pPr>
      <w:r w:rsidRPr="0048247F">
        <w:t xml:space="preserve">one-off BCAP Round 4 </w:t>
      </w:r>
      <w:r>
        <w:t>–</w:t>
      </w:r>
      <w:r w:rsidRPr="0048247F">
        <w:t xml:space="preserve"> Construction</w:t>
      </w:r>
      <w:r>
        <w:t xml:space="preserve"> grants</w:t>
      </w:r>
      <w:r w:rsidRPr="0048247F">
        <w:t xml:space="preserve"> to assist eligible construction businesses for the period 21 September to 4 October 2021 for direct costs incurred due to operating restrictions </w:t>
      </w:r>
    </w:p>
    <w:p w14:paraId="1A225A28" w14:textId="77777777" w:rsidR="008D6F13" w:rsidRDefault="008D6F13" w:rsidP="008D6F13">
      <w:pPr>
        <w:pStyle w:val="ListBullet"/>
        <w:numPr>
          <w:ilvl w:val="0"/>
          <w:numId w:val="30"/>
        </w:numPr>
      </w:pPr>
      <w:r w:rsidRPr="0048247F">
        <w:t xml:space="preserve">a one-off continuity payment to businesses operating in sectors of the economy which remained highly impacted by restrictions following the lifting of </w:t>
      </w:r>
      <w:r>
        <w:t xml:space="preserve">the </w:t>
      </w:r>
      <w:r w:rsidRPr="0048247F">
        <w:t>lockdown on 27</w:t>
      </w:r>
      <w:r>
        <w:t> </w:t>
      </w:r>
      <w:r w:rsidRPr="0048247F">
        <w:t>July 2021</w:t>
      </w:r>
    </w:p>
    <w:p w14:paraId="32E9662E" w14:textId="77777777" w:rsidR="008D6F13" w:rsidRPr="000868FF" w:rsidRDefault="008D6F13" w:rsidP="008D6F13">
      <w:pPr>
        <w:pStyle w:val="ListBullet"/>
        <w:numPr>
          <w:ilvl w:val="0"/>
          <w:numId w:val="30"/>
        </w:numPr>
      </w:pPr>
      <w:r w:rsidRPr="000868FF">
        <w:t>a second round of the First Peoples’ COVID-19 Business Support Fund, providing grant</w:t>
      </w:r>
      <w:r>
        <w:t>s</w:t>
      </w:r>
      <w:r w:rsidRPr="000868FF">
        <w:t xml:space="preserve"> of $6 000 to eligible Aboriginal businesses to help them to meet business costs, develop marketing activities, or pivot their business offering</w:t>
      </w:r>
    </w:p>
    <w:p w14:paraId="3F01CEA6" w14:textId="77777777" w:rsidR="008D6F13" w:rsidRPr="000868FF" w:rsidRDefault="008D6F13" w:rsidP="008D6F13">
      <w:pPr>
        <w:pStyle w:val="ListBullet"/>
        <w:numPr>
          <w:ilvl w:val="0"/>
          <w:numId w:val="30"/>
        </w:numPr>
      </w:pPr>
      <w:r w:rsidRPr="000868FF">
        <w:lastRenderedPageBreak/>
        <w:t>an Alpine Business Support Program to help businesses manage the impacts of restrictions and offer a COVID-Safe Alpine winter visitor experience, with further support for Alpine Resort Management Boards</w:t>
      </w:r>
    </w:p>
    <w:p w14:paraId="43618B46" w14:textId="77777777" w:rsidR="008D6F13" w:rsidRPr="000868FF" w:rsidRDefault="008D6F13" w:rsidP="008D6F13">
      <w:pPr>
        <w:pStyle w:val="ListBullet"/>
        <w:numPr>
          <w:ilvl w:val="0"/>
          <w:numId w:val="30"/>
        </w:numPr>
      </w:pPr>
      <w:r w:rsidRPr="000868FF">
        <w:t xml:space="preserve">additional rounds of the Regional Travel Voucher Scheme to deliver a stimulus to the visitor economy following the easing of travel restrictions across the </w:t>
      </w:r>
      <w:r>
        <w:t>s</w:t>
      </w:r>
      <w:r w:rsidRPr="000868FF">
        <w:t>tate</w:t>
      </w:r>
    </w:p>
    <w:p w14:paraId="1028D586" w14:textId="77777777" w:rsidR="008D6F13" w:rsidRPr="000868FF" w:rsidRDefault="008D6F13" w:rsidP="008D6F13">
      <w:pPr>
        <w:pStyle w:val="ListBullet"/>
        <w:numPr>
          <w:ilvl w:val="0"/>
          <w:numId w:val="30"/>
        </w:numPr>
      </w:pPr>
      <w:r w:rsidRPr="000868FF">
        <w:t xml:space="preserve">the re-introduction of a Commercial Landlord Hardship Fund, providing grants to landlords who experienced hardship </w:t>
      </w:r>
      <w:r>
        <w:t>due to</w:t>
      </w:r>
      <w:r w:rsidRPr="000868FF">
        <w:t xml:space="preserve"> providing rent relief to tenants during the pandemic under the Commercial Tenanc</w:t>
      </w:r>
      <w:r>
        <w:t>y</w:t>
      </w:r>
      <w:r w:rsidRPr="000868FF">
        <w:t xml:space="preserve"> Relief Scheme (CTRS)</w:t>
      </w:r>
    </w:p>
    <w:p w14:paraId="09942809" w14:textId="77777777" w:rsidR="008D6F13" w:rsidRDefault="008D6F13" w:rsidP="008D6F13">
      <w:pPr>
        <w:pStyle w:val="ListBullet"/>
        <w:numPr>
          <w:ilvl w:val="0"/>
          <w:numId w:val="30"/>
        </w:numPr>
      </w:pPr>
      <w:r w:rsidRPr="000868FF">
        <w:t>additional resourcing to enable the Victorian Small Business Commission to manage increased demand for mediation services under the new CTRS</w:t>
      </w:r>
    </w:p>
    <w:p w14:paraId="13D09725" w14:textId="77777777" w:rsidR="008D6F13" w:rsidRDefault="008D6F13" w:rsidP="008D6F13">
      <w:pPr>
        <w:pStyle w:val="ListBullet"/>
        <w:numPr>
          <w:ilvl w:val="0"/>
          <w:numId w:val="30"/>
        </w:numPr>
      </w:pPr>
      <w:r w:rsidRPr="000868FF">
        <w:t xml:space="preserve">a </w:t>
      </w:r>
      <w:r>
        <w:t xml:space="preserve">Business Victoria Microbusiness Concierge Service </w:t>
      </w:r>
      <w:r w:rsidRPr="000868FF">
        <w:t xml:space="preserve">to support Victorian microbusinesses </w:t>
      </w:r>
      <w:r>
        <w:t xml:space="preserve">and sole traders </w:t>
      </w:r>
      <w:r w:rsidRPr="000868FF">
        <w:t>to navigate and access available State and Commonwealth Government supports</w:t>
      </w:r>
    </w:p>
    <w:p w14:paraId="444330EC" w14:textId="77777777" w:rsidR="008D6F13" w:rsidRDefault="008D6F13" w:rsidP="008D6F13">
      <w:pPr>
        <w:pStyle w:val="ListBullet"/>
        <w:numPr>
          <w:ilvl w:val="0"/>
          <w:numId w:val="30"/>
        </w:numPr>
      </w:pPr>
      <w:r w:rsidRPr="000868FF">
        <w:t xml:space="preserve">an extension of the Business Recovery and Resilience Mentoring program </w:t>
      </w:r>
      <w:r>
        <w:t>to provide additional</w:t>
      </w:r>
      <w:r w:rsidRPr="000868FF">
        <w:t xml:space="preserve"> mentoring program places</w:t>
      </w:r>
      <w:r>
        <w:t xml:space="preserve"> funded</w:t>
      </w:r>
      <w:r w:rsidRPr="000868FF">
        <w:t>,</w:t>
      </w:r>
      <w:r>
        <w:t xml:space="preserve"> </w:t>
      </w:r>
      <w:r w:rsidRPr="000868FF">
        <w:t>co-delivered with the Victorian Chamber of Commerce and Industry</w:t>
      </w:r>
      <w:r>
        <w:t>.</w:t>
      </w:r>
    </w:p>
    <w:p w14:paraId="60B89657" w14:textId="77777777" w:rsidR="008D6F13" w:rsidRDefault="008D6F13" w:rsidP="008D6F13">
      <w:pPr>
        <w:keepNext/>
      </w:pPr>
      <w:r>
        <w:t>This initiative contributes to the Department of Jobs, Precincts and Regions’:</w:t>
      </w:r>
    </w:p>
    <w:p w14:paraId="246C61D2" w14:textId="77777777" w:rsidR="008D6F13" w:rsidRDefault="008D6F13" w:rsidP="008D6F13">
      <w:pPr>
        <w:pStyle w:val="ListBullet"/>
        <w:numPr>
          <w:ilvl w:val="0"/>
          <w:numId w:val="30"/>
        </w:numPr>
      </w:pPr>
      <w:r>
        <w:t>Industry, Innovation, Medical Research and Small Business output</w:t>
      </w:r>
    </w:p>
    <w:p w14:paraId="6CF18370" w14:textId="77777777" w:rsidR="008D6F13" w:rsidRDefault="008D6F13" w:rsidP="008D6F13">
      <w:pPr>
        <w:pStyle w:val="ListBullet"/>
        <w:numPr>
          <w:ilvl w:val="0"/>
          <w:numId w:val="30"/>
        </w:numPr>
      </w:pPr>
      <w:proofErr w:type="gramStart"/>
      <w:r>
        <w:t>Jobs</w:t>
      </w:r>
      <w:proofErr w:type="gramEnd"/>
      <w:r>
        <w:t xml:space="preserve"> output</w:t>
      </w:r>
    </w:p>
    <w:p w14:paraId="084C4AD7" w14:textId="77777777" w:rsidR="008D6F13" w:rsidRDefault="008D6F13" w:rsidP="008D6F13">
      <w:pPr>
        <w:pStyle w:val="ListBullet"/>
        <w:numPr>
          <w:ilvl w:val="0"/>
          <w:numId w:val="30"/>
        </w:numPr>
      </w:pPr>
      <w:r>
        <w:t>Sport, Recreation and Racing output</w:t>
      </w:r>
    </w:p>
    <w:p w14:paraId="71DFC3FD" w14:textId="77777777" w:rsidR="008D6F13" w:rsidRPr="009C678B" w:rsidRDefault="008D6F13" w:rsidP="008D6F13">
      <w:pPr>
        <w:pStyle w:val="ListBullet"/>
        <w:numPr>
          <w:ilvl w:val="0"/>
          <w:numId w:val="30"/>
        </w:numPr>
      </w:pPr>
      <w:r>
        <w:t>Tourism and Major Events output.</w:t>
      </w:r>
    </w:p>
    <w:p w14:paraId="306EAF5B" w14:textId="77777777" w:rsidR="008D6F13" w:rsidRPr="006423EA" w:rsidRDefault="008D6F13" w:rsidP="008D6F13">
      <w:pPr>
        <w:pStyle w:val="Heading5"/>
      </w:pPr>
      <w:bookmarkStart w:id="167" w:name="_Hlk88574988"/>
      <w:r w:rsidRPr="007B4C41">
        <w:t>COVID</w:t>
      </w:r>
      <w:r>
        <w:t>-19</w:t>
      </w:r>
      <w:r w:rsidRPr="007B4C41">
        <w:t xml:space="preserve"> Capability and Response </w:t>
      </w:r>
    </w:p>
    <w:bookmarkEnd w:id="167"/>
    <w:p w14:paraId="214A0602" w14:textId="77777777" w:rsidR="008D6F13" w:rsidRDefault="008D6F13" w:rsidP="008D6F13">
      <w:r w:rsidRPr="00DC7A0D">
        <w:t xml:space="preserve">Refer to the Department of </w:t>
      </w:r>
      <w:r>
        <w:t>Premier and Cabinet</w:t>
      </w:r>
      <w:r w:rsidRPr="00DC7A0D">
        <w:t xml:space="preserve"> for a description of this initiative.</w:t>
      </w:r>
    </w:p>
    <w:p w14:paraId="2FD54D4D" w14:textId="77777777" w:rsidR="008D6F13" w:rsidRPr="00735FEE" w:rsidRDefault="008D6F13" w:rsidP="008D6F13">
      <w:pPr>
        <w:pStyle w:val="Heading5"/>
        <w:rPr>
          <w:b w:val="0"/>
        </w:rPr>
      </w:pPr>
      <w:r w:rsidRPr="00CE1793">
        <w:t xml:space="preserve">Delivering </w:t>
      </w:r>
      <w:r>
        <w:t>the Australian</w:t>
      </w:r>
      <w:r w:rsidRPr="00CE1793">
        <w:t xml:space="preserve"> Institute </w:t>
      </w:r>
      <w:r>
        <w:t>for</w:t>
      </w:r>
      <w:r w:rsidRPr="00CE1793">
        <w:t xml:space="preserve"> Infectious Disease</w:t>
      </w:r>
    </w:p>
    <w:p w14:paraId="25033CE5" w14:textId="77777777" w:rsidR="008D6F13" w:rsidRDefault="008D6F13" w:rsidP="008D6F13">
      <w:r>
        <w:t xml:space="preserve">Following the State’s contribution announced in the </w:t>
      </w:r>
      <w:r w:rsidRPr="00E25BBB">
        <w:rPr>
          <w:i/>
          <w:iCs/>
        </w:rPr>
        <w:t>2020-21 Budget</w:t>
      </w:r>
      <w:r>
        <w:t>, further funding is provided to establish a new Australian Institute for Infectious Disease in Victoria as a co</w:t>
      </w:r>
      <w:r>
        <w:noBreakHyphen/>
        <w:t>contribution from the Commonwealth Government was not provided. The institute will be the largest centre of expertise in the Southern Hemisphere region, boosting ongoing research efforts through Victoria’s universities and medical research institutes to</w:t>
      </w:r>
      <w:r w:rsidRPr="005A3440">
        <w:t xml:space="preserve"> help protect the State against future pandemics</w:t>
      </w:r>
      <w:r>
        <w:t xml:space="preserve">.  </w:t>
      </w:r>
    </w:p>
    <w:p w14:paraId="0843E055" w14:textId="77777777" w:rsidR="008D6F13" w:rsidRDefault="008D6F13" w:rsidP="008D6F13">
      <w:r>
        <w:t>T</w:t>
      </w:r>
      <w:r w:rsidRPr="00B078B7">
        <w:t>his initiative contributes to the</w:t>
      </w:r>
      <w:r>
        <w:t xml:space="preserve"> Department of Jobs Precincts and Regions’ Industry, Innovation, Medical Research and Small Business output.</w:t>
      </w:r>
    </w:p>
    <w:p w14:paraId="2F01C6C4" w14:textId="77777777" w:rsidR="008D6F13" w:rsidRPr="0012361A" w:rsidRDefault="008D6F13" w:rsidP="008D6F13">
      <w:pPr>
        <w:pStyle w:val="Heading5"/>
      </w:pPr>
      <w:r w:rsidRPr="0012361A">
        <w:t>Safe building ventilation – supporting Victoria’s roadmap to open-up the economy</w:t>
      </w:r>
    </w:p>
    <w:p w14:paraId="72331548" w14:textId="77777777" w:rsidR="008D6F13" w:rsidRPr="004C155B" w:rsidRDefault="008D6F13" w:rsidP="00CD0448">
      <w:r w:rsidRPr="00DC7A0D">
        <w:t xml:space="preserve">Refer to the Department of </w:t>
      </w:r>
      <w:r>
        <w:t>Environment</w:t>
      </w:r>
      <w:r w:rsidRPr="00DC7A0D">
        <w:t xml:space="preserve">, </w:t>
      </w:r>
      <w:r>
        <w:t>Land, Water and Planning for a</w:t>
      </w:r>
      <w:r w:rsidRPr="00DC7A0D">
        <w:t xml:space="preserve"> description of this </w:t>
      </w:r>
      <w:r w:rsidRPr="00CD0448">
        <w:t>initiative</w:t>
      </w:r>
      <w:r w:rsidRPr="00DC7A0D">
        <w:t>.</w:t>
      </w:r>
      <w:bookmarkEnd w:id="166"/>
    </w:p>
    <w:p w14:paraId="2CC46152" w14:textId="77777777" w:rsidR="008D6F13" w:rsidRPr="002119A8" w:rsidRDefault="008D6F13" w:rsidP="00A51211">
      <w:pPr>
        <w:pStyle w:val="Heading4"/>
        <w:spacing w:before="120"/>
        <w:rPr>
          <w:i w:val="0"/>
          <w:iCs w:val="0"/>
        </w:rPr>
      </w:pPr>
      <w:r w:rsidRPr="00F73C2C">
        <w:lastRenderedPageBreak/>
        <w:t xml:space="preserve">Jobs </w:t>
      </w:r>
    </w:p>
    <w:p w14:paraId="04D64B81" w14:textId="77777777" w:rsidR="008D6F13" w:rsidRPr="00DA5160" w:rsidRDefault="008D6F13" w:rsidP="00A51211">
      <w:pPr>
        <w:pStyle w:val="Heading5"/>
        <w:spacing w:before="120"/>
        <w:rPr>
          <w:b w:val="0"/>
          <w:iCs w:val="0"/>
        </w:rPr>
      </w:pPr>
      <w:r w:rsidRPr="007B4C41">
        <w:t xml:space="preserve">Test Isolation Payments and Pandemic Leave Disaster </w:t>
      </w:r>
      <w:r w:rsidRPr="006423EA">
        <w:t>Payments</w:t>
      </w:r>
    </w:p>
    <w:p w14:paraId="2C1B36A2" w14:textId="77777777" w:rsidR="008D6F13" w:rsidRPr="00304581" w:rsidRDefault="008D6F13" w:rsidP="00A51211">
      <w:pPr>
        <w:spacing w:before="80"/>
      </w:pPr>
      <w:r w:rsidRPr="00F47331">
        <w:t>Funding is provided to extend the delivery of Test Isolation Payments to support people without leave entitlements or existing financial support to self-isolate while awaiting COVID-19 test results</w:t>
      </w:r>
      <w:r>
        <w:t xml:space="preserve">. </w:t>
      </w:r>
    </w:p>
    <w:p w14:paraId="2B0BA31E" w14:textId="77777777" w:rsidR="008D6F13" w:rsidRPr="00304581" w:rsidRDefault="008D6F13" w:rsidP="00A51211">
      <w:pPr>
        <w:spacing w:before="80"/>
      </w:pPr>
      <w:r>
        <w:t>Further, the Victorian Government will continue to fund</w:t>
      </w:r>
      <w:r w:rsidRPr="000B0A9C">
        <w:t xml:space="preserve"> Pandemic Leave Disaster Payments</w:t>
      </w:r>
      <w:r w:rsidRPr="00F7099B">
        <w:t xml:space="preserve"> to recipients who are not Australian citizens or permanent residents, who would otherwise be excluded from the Commonwealth scheme.</w:t>
      </w:r>
      <w:r>
        <w:t xml:space="preserve"> These payments are made available to people who</w:t>
      </w:r>
      <w:r w:rsidRPr="00F7099B">
        <w:t xml:space="preserve"> must self-isolate or quarantine</w:t>
      </w:r>
      <w:r>
        <w:t xml:space="preserve"> due to contracting COVID</w:t>
      </w:r>
      <w:r>
        <w:noBreakHyphen/>
        <w:t>19, are a close contact of a confirmed case</w:t>
      </w:r>
      <w:r w:rsidRPr="00F7099B">
        <w:t>, or are caring for someone with COVID-19</w:t>
      </w:r>
      <w:r>
        <w:t>.</w:t>
      </w:r>
    </w:p>
    <w:p w14:paraId="787D8D90" w14:textId="77777777" w:rsidR="008D6F13" w:rsidRPr="00F47331" w:rsidRDefault="008D6F13" w:rsidP="00A51211">
      <w:pPr>
        <w:spacing w:before="80"/>
      </w:pPr>
      <w:r>
        <w:t xml:space="preserve">These programs </w:t>
      </w:r>
      <w:r w:rsidRPr="00F7099B">
        <w:t xml:space="preserve">assist </w:t>
      </w:r>
      <w:r>
        <w:t xml:space="preserve">Victorians to comply with public health advice and reduces the risk of </w:t>
      </w:r>
      <w:r w:rsidRPr="00F7099B">
        <w:t>COVID-19</w:t>
      </w:r>
      <w:r>
        <w:t xml:space="preserve"> community transmission. </w:t>
      </w:r>
    </w:p>
    <w:p w14:paraId="03ACBB16" w14:textId="77777777" w:rsidR="008D6F13" w:rsidRDefault="008D6F13" w:rsidP="00A51211">
      <w:pPr>
        <w:spacing w:before="80"/>
      </w:pPr>
      <w:r w:rsidRPr="000B0A9C">
        <w:t>This initiative contributes to the Department of Jobs, Precincts and Regions’ Jobs output.</w:t>
      </w:r>
    </w:p>
    <w:p w14:paraId="1491F284" w14:textId="77777777" w:rsidR="008D6F13" w:rsidRDefault="008D6F13" w:rsidP="00A51211">
      <w:pPr>
        <w:pStyle w:val="Heading4"/>
        <w:spacing w:before="120"/>
      </w:pPr>
      <w:r w:rsidRPr="00940284">
        <w:t>Local Government and Suburban Development</w:t>
      </w:r>
    </w:p>
    <w:p w14:paraId="3E117C48" w14:textId="77777777" w:rsidR="008D6F13" w:rsidRPr="002119A8" w:rsidRDefault="008D6F13" w:rsidP="00A51211">
      <w:pPr>
        <w:pStyle w:val="Heading5"/>
        <w:spacing w:before="120"/>
        <w:rPr>
          <w:b w:val="0"/>
          <w:iCs w:val="0"/>
        </w:rPr>
      </w:pPr>
      <w:proofErr w:type="spellStart"/>
      <w:r w:rsidRPr="00F73C2C">
        <w:t>COVIDSafe</w:t>
      </w:r>
      <w:proofErr w:type="spellEnd"/>
      <w:r w:rsidRPr="00F73C2C">
        <w:t xml:space="preserve"> Outdoor Activation</w:t>
      </w:r>
    </w:p>
    <w:p w14:paraId="3FD9B730" w14:textId="77777777" w:rsidR="008D6F13" w:rsidRPr="007A1B3C" w:rsidRDefault="008D6F13" w:rsidP="00A51211">
      <w:pPr>
        <w:spacing w:before="80"/>
      </w:pPr>
      <w:r>
        <w:t xml:space="preserve">Funding is provided to establish a </w:t>
      </w:r>
      <w:proofErr w:type="spellStart"/>
      <w:r>
        <w:t>COVIDSafe</w:t>
      </w:r>
      <w:proofErr w:type="spellEnd"/>
      <w:r>
        <w:t xml:space="preserve"> Outdoor Activation Fund for grants to local government to support immediate temporary outdoor activation. Funding is also provided for a new </w:t>
      </w:r>
      <w:proofErr w:type="spellStart"/>
      <w:r>
        <w:t>COVIDSafe</w:t>
      </w:r>
      <w:proofErr w:type="spellEnd"/>
      <w:r>
        <w:t xml:space="preserve"> Outdoor Activation Voucher Program to help businesses reopen by moving activities outdoor. These programs will assist businesses to adapt by transitioning to outdoor operations and operate in a </w:t>
      </w:r>
      <w:proofErr w:type="spellStart"/>
      <w:r>
        <w:t>COVIDSafe</w:t>
      </w:r>
      <w:proofErr w:type="spellEnd"/>
      <w:r>
        <w:t xml:space="preserve"> manner.</w:t>
      </w:r>
    </w:p>
    <w:p w14:paraId="1E558EE5" w14:textId="77777777" w:rsidR="008D6F13" w:rsidRDefault="008D6F13" w:rsidP="00A51211">
      <w:pPr>
        <w:spacing w:before="80"/>
      </w:pPr>
      <w:r>
        <w:t>T</w:t>
      </w:r>
      <w:r w:rsidRPr="00B078B7">
        <w:t>his initiative contributes to the</w:t>
      </w:r>
      <w:r>
        <w:t xml:space="preserve"> Department of Jobs, Precincts and Regions’:</w:t>
      </w:r>
    </w:p>
    <w:p w14:paraId="5357B497" w14:textId="77777777" w:rsidR="008D6F13" w:rsidRDefault="008D6F13" w:rsidP="00A51211">
      <w:pPr>
        <w:pStyle w:val="ListBullet"/>
        <w:numPr>
          <w:ilvl w:val="0"/>
          <w:numId w:val="30"/>
        </w:numPr>
        <w:spacing w:before="40"/>
      </w:pPr>
      <w:r>
        <w:t>Industry, Innovation, Medical Research and Small Business output</w:t>
      </w:r>
    </w:p>
    <w:p w14:paraId="66B7F70B" w14:textId="77777777" w:rsidR="008D6F13" w:rsidRDefault="008D6F13" w:rsidP="00A51211">
      <w:pPr>
        <w:pStyle w:val="ListBullet"/>
        <w:numPr>
          <w:ilvl w:val="0"/>
          <w:numId w:val="30"/>
        </w:numPr>
        <w:spacing w:before="40"/>
      </w:pPr>
      <w:r>
        <w:t>Local Government and Suburban Development output.</w:t>
      </w:r>
    </w:p>
    <w:p w14:paraId="3A8D5A4E" w14:textId="77777777" w:rsidR="008D6F13" w:rsidRDefault="008D6F13" w:rsidP="008D6F13">
      <w:pPr>
        <w:pStyle w:val="Heading4"/>
        <w:spacing w:before="140"/>
      </w:pPr>
      <w:r>
        <w:t>Sport, Recreation and Racing</w:t>
      </w:r>
    </w:p>
    <w:p w14:paraId="5BCE3F19" w14:textId="77777777" w:rsidR="008D6F13" w:rsidRPr="002119A8" w:rsidRDefault="008D6F13" w:rsidP="00A51211">
      <w:pPr>
        <w:pStyle w:val="Heading5"/>
        <w:spacing w:before="120"/>
        <w:rPr>
          <w:b w:val="0"/>
          <w:iCs w:val="0"/>
        </w:rPr>
      </w:pPr>
      <w:r w:rsidRPr="00F73C2C">
        <w:t>Contribution towards the Tokyo 2020 Team Appeal</w:t>
      </w:r>
    </w:p>
    <w:p w14:paraId="125776FB" w14:textId="77777777" w:rsidR="008D6F13" w:rsidRPr="007A1B3C" w:rsidRDefault="008D6F13" w:rsidP="00A51211">
      <w:pPr>
        <w:spacing w:before="80"/>
      </w:pPr>
      <w:r w:rsidRPr="00C9523A">
        <w:t>Funding is provided towards the Tokyo 2020 Team Appeal, supporting Victorian athletes who were part of the 2020 Tokyo Olympic and Paralympic teams, including Victorian team support staff and officials.</w:t>
      </w:r>
      <w:r w:rsidRPr="00C9523A" w:rsidDel="00C9523A">
        <w:rPr>
          <w:highlight w:val="yellow"/>
        </w:rPr>
        <w:t xml:space="preserve"> </w:t>
      </w:r>
    </w:p>
    <w:p w14:paraId="407C26F1" w14:textId="77777777" w:rsidR="008D6F13" w:rsidRDefault="008D6F13" w:rsidP="00A51211">
      <w:pPr>
        <w:spacing w:before="80"/>
      </w:pPr>
      <w:r w:rsidRPr="009364E7">
        <w:t>This initiative contributes to the</w:t>
      </w:r>
      <w:r w:rsidRPr="000C6097">
        <w:t xml:space="preserve"> Department of Jobs, Precincts and Regions’</w:t>
      </w:r>
      <w:r w:rsidRPr="009364E7">
        <w:t xml:space="preserve"> Sport, Recreation and Racing output.</w:t>
      </w:r>
    </w:p>
    <w:p w14:paraId="648A59D3" w14:textId="77777777" w:rsidR="008D6F13" w:rsidRPr="00CD0448" w:rsidRDefault="008D6F13" w:rsidP="00A51211">
      <w:pPr>
        <w:pStyle w:val="Heading5"/>
        <w:spacing w:before="120"/>
      </w:pPr>
      <w:r w:rsidRPr="00CD0448">
        <w:t>Supporting Victoria’s Sporting Clubs</w:t>
      </w:r>
    </w:p>
    <w:p w14:paraId="2AA4E82B" w14:textId="77777777" w:rsidR="008D6F13" w:rsidRDefault="008D6F13" w:rsidP="00A51211">
      <w:pPr>
        <w:spacing w:before="80"/>
      </w:pPr>
      <w:r>
        <w:t>Funding is provided to support Victorian sporting clubs impacted by public health restrictions since late May 2021, including:</w:t>
      </w:r>
      <w:r w:rsidRPr="00AC0656">
        <w:t xml:space="preserve">  </w:t>
      </w:r>
    </w:p>
    <w:p w14:paraId="136B7E69" w14:textId="77777777" w:rsidR="008D6F13" w:rsidRPr="006174E0" w:rsidRDefault="008D6F13" w:rsidP="00A51211">
      <w:pPr>
        <w:pStyle w:val="ListBullet"/>
        <w:numPr>
          <w:ilvl w:val="0"/>
          <w:numId w:val="31"/>
        </w:numPr>
        <w:spacing w:before="40"/>
      </w:pPr>
      <w:r w:rsidRPr="006174E0">
        <w:t>a new round of the Sporting Club Grants Program, providing $2 000 grants to assist community sport and recreation organisations recoup irrecoverable costs</w:t>
      </w:r>
    </w:p>
    <w:p w14:paraId="1DDD2BE2" w14:textId="77777777" w:rsidR="008D6F13" w:rsidRPr="006174E0" w:rsidRDefault="008D6F13" w:rsidP="00A51211">
      <w:pPr>
        <w:pStyle w:val="ListBullet"/>
        <w:numPr>
          <w:ilvl w:val="0"/>
          <w:numId w:val="30"/>
        </w:numPr>
        <w:spacing w:before="40"/>
      </w:pPr>
      <w:r w:rsidRPr="006174E0">
        <w:t xml:space="preserve">additional grants to </w:t>
      </w:r>
      <w:r>
        <w:t xml:space="preserve">more than 6 500 </w:t>
      </w:r>
      <w:r w:rsidRPr="006174E0">
        <w:t xml:space="preserve">community sporting clubs, </w:t>
      </w:r>
      <w:proofErr w:type="gramStart"/>
      <w:r w:rsidRPr="006174E0">
        <w:t>leagues</w:t>
      </w:r>
      <w:proofErr w:type="gramEnd"/>
      <w:r w:rsidRPr="006174E0">
        <w:t xml:space="preserve"> and associations through a fourth round of the Community Sport Sector Short-term Survival Package.</w:t>
      </w:r>
    </w:p>
    <w:p w14:paraId="48E9373F" w14:textId="77777777" w:rsidR="008D6F13" w:rsidRDefault="008D6F13" w:rsidP="00A51211">
      <w:pPr>
        <w:spacing w:before="80"/>
      </w:pPr>
      <w:r w:rsidRPr="009364E7">
        <w:lastRenderedPageBreak/>
        <w:t>This initiative contributes to the</w:t>
      </w:r>
      <w:r w:rsidRPr="000C6097">
        <w:t xml:space="preserve"> Department of Jobs, Precincts and Regions’</w:t>
      </w:r>
      <w:r w:rsidRPr="009364E7">
        <w:t xml:space="preserve"> Sport, Recreation and Racing output.</w:t>
      </w:r>
    </w:p>
    <w:p w14:paraId="35F943EE" w14:textId="77777777" w:rsidR="008D6F13" w:rsidRPr="005A6F64" w:rsidRDefault="008D6F13" w:rsidP="008D6F13">
      <w:pPr>
        <w:pStyle w:val="Heading4"/>
        <w:spacing w:before="140"/>
      </w:pPr>
      <w:r w:rsidRPr="005A6F64">
        <w:t>Tourism and Major Events</w:t>
      </w:r>
    </w:p>
    <w:p w14:paraId="36AFC559" w14:textId="77777777" w:rsidR="008D6F13" w:rsidRPr="00CD0448" w:rsidRDefault="008D6F13" w:rsidP="00CD0448">
      <w:pPr>
        <w:pStyle w:val="Heading5"/>
        <w:spacing w:before="120"/>
      </w:pPr>
      <w:r w:rsidRPr="00CD0448">
        <w:t>Melbourne Convention and Exhibition Trust (MCET)</w:t>
      </w:r>
    </w:p>
    <w:p w14:paraId="1032B08A" w14:textId="77777777" w:rsidR="008D6F13" w:rsidRDefault="008D6F13" w:rsidP="00CD0448">
      <w:pPr>
        <w:spacing w:before="80"/>
      </w:pPr>
      <w:r>
        <w:t xml:space="preserve">Funding is provided to the Melbourne Convention and Exhibition Centre to support its operations following the impacts of the COVID-19 pandemic on the events sector. This will help keep the organisation active, retain its workforce, ensure its immediate </w:t>
      </w:r>
      <w:proofErr w:type="gramStart"/>
      <w:r>
        <w:t>solvency</w:t>
      </w:r>
      <w:proofErr w:type="gramEnd"/>
      <w:r>
        <w:t xml:space="preserve"> and enable the business to undertake recovery and relaunch activities through to the end of 2021-22. </w:t>
      </w:r>
    </w:p>
    <w:p w14:paraId="03AB635F" w14:textId="77777777" w:rsidR="008D6F13" w:rsidRDefault="008D6F13" w:rsidP="00CD0448">
      <w:pPr>
        <w:spacing w:before="80"/>
      </w:pPr>
      <w:r>
        <w:t>T</w:t>
      </w:r>
      <w:r w:rsidRPr="00B078B7">
        <w:t>his initiative contributes to the</w:t>
      </w:r>
      <w:r>
        <w:t xml:space="preserve"> Department of Jobs, Precincts and Regions’ Tourism and Major Events output.</w:t>
      </w:r>
    </w:p>
    <w:p w14:paraId="610FE0B1" w14:textId="77777777" w:rsidR="008D6F13" w:rsidRDefault="008D6F13" w:rsidP="008D6F13">
      <w:pPr>
        <w:pStyle w:val="Heading4"/>
        <w:spacing w:before="140"/>
      </w:pPr>
      <w:r>
        <w:t>Trade and Global Engagement</w:t>
      </w:r>
    </w:p>
    <w:p w14:paraId="392BD472" w14:textId="77777777" w:rsidR="008D6F13" w:rsidRPr="00CD0448" w:rsidRDefault="008D6F13" w:rsidP="00CD0448">
      <w:pPr>
        <w:pStyle w:val="Heading5"/>
        <w:spacing w:before="120"/>
      </w:pPr>
      <w:r w:rsidRPr="00CD0448">
        <w:t>Expanded resources for the Victorian Government Trade and Investment Network in the United States</w:t>
      </w:r>
    </w:p>
    <w:p w14:paraId="6181F3B3" w14:textId="77777777" w:rsidR="008D6F13" w:rsidRPr="007A1B3C" w:rsidRDefault="008D6F13" w:rsidP="00CD0448">
      <w:pPr>
        <w:spacing w:before="80"/>
      </w:pPr>
      <w:r>
        <w:t>Funding is provided to support the continued operations of the Victorian Government Trade and Investment Network on the East Coast of the United States. The appointment of new trade and investment professionals will help to stimulate export growth and foreign investment attraction. This will continue to assist the trade sector to recover from the impacts of the COVID-19 pandemic and support the State’s longer-term economic recovery.</w:t>
      </w:r>
    </w:p>
    <w:p w14:paraId="516F1582" w14:textId="77777777" w:rsidR="008D6F13" w:rsidRPr="000C6097" w:rsidRDefault="008D6F13" w:rsidP="00CD0448">
      <w:pPr>
        <w:spacing w:before="80"/>
      </w:pPr>
      <w:r w:rsidRPr="009364E7">
        <w:t xml:space="preserve">This initiative contributes to the </w:t>
      </w:r>
      <w:r w:rsidRPr="000C6097">
        <w:t xml:space="preserve">Department of Jobs, Precincts and Regions’ </w:t>
      </w:r>
      <w:r w:rsidRPr="009364E7">
        <w:t>Trade and Global Engagement</w:t>
      </w:r>
      <w:r>
        <w:t xml:space="preserve"> output. </w:t>
      </w:r>
    </w:p>
    <w:p w14:paraId="2D990341" w14:textId="77777777" w:rsidR="008D6F13" w:rsidRDefault="008D6F13" w:rsidP="00CD0448">
      <w:pPr>
        <w:spacing w:before="80"/>
        <w:rPr>
          <w:highlight w:val="cyan"/>
        </w:rPr>
      </w:pPr>
      <w:r>
        <w:t xml:space="preserve">This initiative contributes to the Department of Treasury and Finance’s Invest Victoria output. </w:t>
      </w:r>
    </w:p>
    <w:p w14:paraId="621EA516" w14:textId="77777777" w:rsidR="008D6F13" w:rsidRPr="00CD0448" w:rsidRDefault="008D6F13" w:rsidP="00CD0448">
      <w:pPr>
        <w:pStyle w:val="Heading5"/>
        <w:spacing w:before="120"/>
      </w:pPr>
      <w:r w:rsidRPr="00CD0448">
        <w:t xml:space="preserve">International education resilience </w:t>
      </w:r>
    </w:p>
    <w:p w14:paraId="4CB019FA" w14:textId="77777777" w:rsidR="008D6F13" w:rsidRPr="007A1B3C" w:rsidRDefault="008D6F13" w:rsidP="00CD0448">
      <w:pPr>
        <w:spacing w:before="80"/>
        <w:ind w:right="198"/>
      </w:pPr>
      <w:r>
        <w:t xml:space="preserve">Funding is provided for the International Education Resilience Fund for grants to universities to stabilise their current and future international student pipeline. The funding supports </w:t>
      </w:r>
      <w:r w:rsidRPr="00B00F81">
        <w:t xml:space="preserve">international student welfare and support services, </w:t>
      </w:r>
      <w:r>
        <w:t xml:space="preserve">enhanced </w:t>
      </w:r>
      <w:r w:rsidRPr="00B00F81">
        <w:t>delivery of remote and offshore teaching and learning, and increase</w:t>
      </w:r>
      <w:r>
        <w:t>d</w:t>
      </w:r>
      <w:r w:rsidRPr="00B00F81">
        <w:t xml:space="preserve"> student engagement programs and events.</w:t>
      </w:r>
      <w:r>
        <w:t xml:space="preserve"> This investment positions the international education sector for economic recovery from the COVID-19 pandemic. </w:t>
      </w:r>
    </w:p>
    <w:p w14:paraId="1AE1759F" w14:textId="77777777" w:rsidR="008D6F13" w:rsidRDefault="008D6F13" w:rsidP="00CD0448">
      <w:pPr>
        <w:spacing w:before="80"/>
      </w:pPr>
      <w:r>
        <w:t>T</w:t>
      </w:r>
      <w:r w:rsidRPr="00B078B7">
        <w:t>his initiative contributes to the</w:t>
      </w:r>
      <w:r>
        <w:t xml:space="preserve"> Department of Jobs, Precincts and Regions’ Trade and Globe Engagement output.</w:t>
      </w:r>
    </w:p>
    <w:p w14:paraId="3F883E47" w14:textId="77777777" w:rsidR="008D6F13" w:rsidRDefault="008D6F13" w:rsidP="008D6F13">
      <w:pPr>
        <w:pStyle w:val="Heading20"/>
        <w:pageBreakBefore/>
      </w:pPr>
      <w:r>
        <w:lastRenderedPageBreak/>
        <w:t>Asset initiatives</w:t>
      </w:r>
    </w:p>
    <w:p w14:paraId="68C9FB17" w14:textId="77777777" w:rsidR="008D6F13" w:rsidRDefault="008D6F13" w:rsidP="008D6F13">
      <w:pPr>
        <w:pStyle w:val="TableHeading"/>
      </w:pPr>
      <w:r>
        <w:t>Table A.10:</w:t>
      </w:r>
      <w:r>
        <w:tab/>
        <w:t xml:space="preserve">Asset initiatives – Department of Jobs, Precincts and Regions </w:t>
      </w:r>
      <w:r>
        <w:tab/>
        <w:t>($ million)</w:t>
      </w:r>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1FA67677"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27B27E45" w14:textId="24A2EF2B" w:rsidR="008D6F13" w:rsidRDefault="008D6F13" w:rsidP="0031078F"/>
        </w:tc>
        <w:tc>
          <w:tcPr>
            <w:tcW w:w="794" w:type="dxa"/>
            <w:tcBorders>
              <w:top w:val="single" w:sz="6" w:space="0" w:color="auto"/>
              <w:bottom w:val="single" w:sz="6" w:space="0" w:color="auto"/>
            </w:tcBorders>
          </w:tcPr>
          <w:p w14:paraId="05A2D98A"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p>
        </w:tc>
        <w:tc>
          <w:tcPr>
            <w:tcW w:w="794" w:type="dxa"/>
            <w:tcBorders>
              <w:top w:val="single" w:sz="6" w:space="0" w:color="auto"/>
              <w:bottom w:val="single" w:sz="6" w:space="0" w:color="auto"/>
            </w:tcBorders>
          </w:tcPr>
          <w:p w14:paraId="538026A6"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p>
        </w:tc>
        <w:tc>
          <w:tcPr>
            <w:tcW w:w="794" w:type="dxa"/>
            <w:tcBorders>
              <w:top w:val="single" w:sz="6" w:space="0" w:color="auto"/>
              <w:bottom w:val="single" w:sz="6" w:space="0" w:color="auto"/>
            </w:tcBorders>
          </w:tcPr>
          <w:p w14:paraId="76578BE3"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p>
        </w:tc>
        <w:tc>
          <w:tcPr>
            <w:tcW w:w="794" w:type="dxa"/>
            <w:tcBorders>
              <w:top w:val="single" w:sz="6" w:space="0" w:color="auto"/>
              <w:bottom w:val="single" w:sz="6" w:space="0" w:color="auto"/>
            </w:tcBorders>
          </w:tcPr>
          <w:p w14:paraId="179E7EA6"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p>
        </w:tc>
        <w:tc>
          <w:tcPr>
            <w:tcW w:w="794" w:type="dxa"/>
            <w:tcBorders>
              <w:top w:val="single" w:sz="6" w:space="0" w:color="auto"/>
              <w:bottom w:val="single" w:sz="6" w:space="0" w:color="auto"/>
            </w:tcBorders>
          </w:tcPr>
          <w:p w14:paraId="366D7175"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TEI</w:t>
            </w:r>
          </w:p>
        </w:tc>
      </w:tr>
      <w:tr w:rsidR="008D6F13" w14:paraId="6DC4A351"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501B685B" w14:textId="77777777" w:rsidR="008D6F13" w:rsidRDefault="008D6F13" w:rsidP="0031078F">
            <w:r>
              <w:rPr>
                <w:b/>
              </w:rPr>
              <w:t>Agriculture</w:t>
            </w:r>
          </w:p>
        </w:tc>
        <w:tc>
          <w:tcPr>
            <w:tcW w:w="794" w:type="dxa"/>
            <w:tcBorders>
              <w:top w:val="single" w:sz="6" w:space="0" w:color="auto"/>
            </w:tcBorders>
          </w:tcPr>
          <w:p w14:paraId="467F3C9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1A43EB9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AB1899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7F87D9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2F6B68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204B652B"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2BBA5190" w14:textId="77777777" w:rsidR="008D6F13" w:rsidRDefault="008D6F13" w:rsidP="0031078F">
            <w:r>
              <w:t>Melbourne Showgrounds Future Sustainability</w:t>
            </w:r>
          </w:p>
        </w:tc>
        <w:tc>
          <w:tcPr>
            <w:tcW w:w="794" w:type="dxa"/>
          </w:tcPr>
          <w:p w14:paraId="25D7D3F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2.7</w:t>
            </w:r>
          </w:p>
        </w:tc>
        <w:tc>
          <w:tcPr>
            <w:tcW w:w="794" w:type="dxa"/>
          </w:tcPr>
          <w:p w14:paraId="63EB454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1.8</w:t>
            </w:r>
          </w:p>
        </w:tc>
        <w:tc>
          <w:tcPr>
            <w:tcW w:w="794" w:type="dxa"/>
          </w:tcPr>
          <w:p w14:paraId="53CCB3F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F21E7E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2CA271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4.5</w:t>
            </w:r>
          </w:p>
        </w:tc>
      </w:tr>
      <w:tr w:rsidR="008D6F13" w14:paraId="22EFF290"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774F01A" w14:textId="77777777" w:rsidR="008D6F13" w:rsidRDefault="008D6F13" w:rsidP="0031078F">
            <w:r>
              <w:rPr>
                <w:b/>
              </w:rPr>
              <w:t xml:space="preserve">Creative Industries </w:t>
            </w:r>
          </w:p>
        </w:tc>
        <w:tc>
          <w:tcPr>
            <w:tcW w:w="794" w:type="dxa"/>
          </w:tcPr>
          <w:p w14:paraId="2C2BD8E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92C1BD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C35A4E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103436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53D7CF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1B1132E6"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6A394831" w14:textId="77777777" w:rsidR="008D6F13" w:rsidRDefault="008D6F13" w:rsidP="0031078F">
            <w:r>
              <w:t xml:space="preserve">Melbourne Arts Precinct Transformation </w:t>
            </w:r>
            <w:r>
              <w:rPr>
                <w:vertAlign w:val="superscript"/>
              </w:rPr>
              <w:t>(a)</w:t>
            </w:r>
          </w:p>
        </w:tc>
        <w:tc>
          <w:tcPr>
            <w:tcW w:w="794" w:type="dxa"/>
            <w:tcBorders>
              <w:bottom w:val="single" w:sz="6" w:space="0" w:color="auto"/>
            </w:tcBorders>
          </w:tcPr>
          <w:p w14:paraId="32935D6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5A7273C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5.0</w:t>
            </w:r>
          </w:p>
        </w:tc>
        <w:tc>
          <w:tcPr>
            <w:tcW w:w="794" w:type="dxa"/>
            <w:tcBorders>
              <w:bottom w:val="single" w:sz="6" w:space="0" w:color="auto"/>
            </w:tcBorders>
          </w:tcPr>
          <w:p w14:paraId="73D0B12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5.0</w:t>
            </w:r>
          </w:p>
        </w:tc>
        <w:tc>
          <w:tcPr>
            <w:tcW w:w="794" w:type="dxa"/>
            <w:tcBorders>
              <w:bottom w:val="single" w:sz="6" w:space="0" w:color="auto"/>
            </w:tcBorders>
          </w:tcPr>
          <w:p w14:paraId="2829C5F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10.0</w:t>
            </w:r>
          </w:p>
        </w:tc>
        <w:tc>
          <w:tcPr>
            <w:tcW w:w="794" w:type="dxa"/>
            <w:tcBorders>
              <w:bottom w:val="single" w:sz="6" w:space="0" w:color="auto"/>
            </w:tcBorders>
          </w:tcPr>
          <w:p w14:paraId="659B8A3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162.2</w:t>
            </w:r>
          </w:p>
        </w:tc>
      </w:tr>
      <w:tr w:rsidR="008D6F13" w14:paraId="5F697676"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7DDA64C3" w14:textId="77777777" w:rsidR="008D6F13" w:rsidRDefault="008D6F13" w:rsidP="0031078F">
            <w:r>
              <w:rPr>
                <w:b/>
              </w:rPr>
              <w:t xml:space="preserve">Total asset initiatives </w:t>
            </w:r>
            <w:r>
              <w:rPr>
                <w:b/>
                <w:vertAlign w:val="superscript"/>
              </w:rPr>
              <w:t>(b)</w:t>
            </w:r>
          </w:p>
        </w:tc>
        <w:tc>
          <w:tcPr>
            <w:tcW w:w="794" w:type="dxa"/>
          </w:tcPr>
          <w:p w14:paraId="3E588A6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2.7</w:t>
            </w:r>
          </w:p>
        </w:tc>
        <w:tc>
          <w:tcPr>
            <w:tcW w:w="794" w:type="dxa"/>
          </w:tcPr>
          <w:p w14:paraId="65C3153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6.8</w:t>
            </w:r>
          </w:p>
        </w:tc>
        <w:tc>
          <w:tcPr>
            <w:tcW w:w="794" w:type="dxa"/>
          </w:tcPr>
          <w:p w14:paraId="0810EF5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5.0</w:t>
            </w:r>
          </w:p>
        </w:tc>
        <w:tc>
          <w:tcPr>
            <w:tcW w:w="794" w:type="dxa"/>
          </w:tcPr>
          <w:p w14:paraId="0CBA9DB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10.0</w:t>
            </w:r>
          </w:p>
        </w:tc>
        <w:tc>
          <w:tcPr>
            <w:tcW w:w="794" w:type="dxa"/>
          </w:tcPr>
          <w:p w14:paraId="6E416FC3" w14:textId="056F948F"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166.8</w:t>
            </w:r>
          </w:p>
        </w:tc>
      </w:tr>
    </w:tbl>
    <w:p w14:paraId="6BF278FD" w14:textId="77777777" w:rsidR="008D6F13" w:rsidRDefault="008D6F13" w:rsidP="008D6F13">
      <w:pPr>
        <w:pStyle w:val="Source"/>
      </w:pPr>
      <w:r w:rsidRPr="00252ED7">
        <w:t>Source: Department of Treasury and Finance</w:t>
      </w:r>
    </w:p>
    <w:p w14:paraId="50185FDF" w14:textId="77777777" w:rsidR="008D6F13" w:rsidRDefault="008D6F13" w:rsidP="008D6F13">
      <w:pPr>
        <w:pStyle w:val="Note"/>
      </w:pPr>
      <w:r>
        <w:t xml:space="preserve">Notes: </w:t>
      </w:r>
    </w:p>
    <w:p w14:paraId="5222BF75" w14:textId="77777777" w:rsidR="008D6F13" w:rsidRDefault="008D6F13" w:rsidP="008D6F13">
      <w:pPr>
        <w:pStyle w:val="Note"/>
      </w:pPr>
      <w:r>
        <w:t>(a)</w:t>
      </w:r>
      <w:r>
        <w:tab/>
        <w:t>The TEI includes funding beyond 2024-25.</w:t>
      </w:r>
    </w:p>
    <w:p w14:paraId="1A17D65B" w14:textId="77777777" w:rsidR="008D6F13" w:rsidRDefault="008D6F13" w:rsidP="008D6F13">
      <w:pPr>
        <w:pStyle w:val="Note"/>
      </w:pPr>
      <w:r>
        <w:t>(b)</w:t>
      </w:r>
      <w:r>
        <w:tab/>
      </w:r>
      <w:r w:rsidRPr="00B82015">
        <w:t>Table may not add due to rounding.</w:t>
      </w:r>
    </w:p>
    <w:p w14:paraId="1F871549" w14:textId="77777777" w:rsidR="008D6F13" w:rsidRDefault="008D6F13" w:rsidP="008D6F13">
      <w:pPr>
        <w:pStyle w:val="Heading4"/>
      </w:pPr>
      <w:r>
        <w:t>Agriculture</w:t>
      </w:r>
    </w:p>
    <w:p w14:paraId="1C485C27" w14:textId="77777777" w:rsidR="008D6F13" w:rsidRPr="00697E16" w:rsidRDefault="008D6F13" w:rsidP="008D6F13">
      <w:pPr>
        <w:pStyle w:val="Heading5"/>
      </w:pPr>
      <w:r>
        <w:t xml:space="preserve">Melbourne Showgrounds Future Sustainability </w:t>
      </w:r>
    </w:p>
    <w:p w14:paraId="1F03F459" w14:textId="77777777" w:rsidR="008D6F13" w:rsidRDefault="008D6F13" w:rsidP="008D6F13">
      <w:pPr>
        <w:keepLines w:val="0"/>
      </w:pPr>
      <w:r w:rsidRPr="001E0CD6">
        <w:t xml:space="preserve">Refer to the </w:t>
      </w:r>
      <w:r>
        <w:t>output</w:t>
      </w:r>
      <w:r w:rsidRPr="001E0CD6">
        <w:t xml:space="preserve"> initiative for a description of this initiative.</w:t>
      </w:r>
    </w:p>
    <w:p w14:paraId="75C1CC4D" w14:textId="77777777" w:rsidR="008D6F13" w:rsidRDefault="008D6F13" w:rsidP="008D6F13">
      <w:pPr>
        <w:pStyle w:val="Heading4"/>
      </w:pPr>
      <w:r>
        <w:t>Creative Industries</w:t>
      </w:r>
    </w:p>
    <w:p w14:paraId="26C79B3D" w14:textId="77777777" w:rsidR="008D6F13" w:rsidRPr="00697E16" w:rsidRDefault="008D6F13" w:rsidP="008D6F13">
      <w:pPr>
        <w:pStyle w:val="Heading5"/>
      </w:pPr>
      <w:r>
        <w:t xml:space="preserve">Melbourne Arts Precinct Transformation </w:t>
      </w:r>
    </w:p>
    <w:p w14:paraId="529B30FA" w14:textId="77777777" w:rsidR="008D6F13" w:rsidRPr="00042D92" w:rsidRDefault="008D6F13" w:rsidP="008D6F13">
      <w:r w:rsidRPr="00042D92">
        <w:t xml:space="preserve">Funding </w:t>
      </w:r>
      <w:r>
        <w:t>is</w:t>
      </w:r>
      <w:r w:rsidRPr="00042D92">
        <w:t xml:space="preserve"> provided to </w:t>
      </w:r>
      <w:r>
        <w:t>expand</w:t>
      </w:r>
      <w:r w:rsidRPr="00042D92">
        <w:t xml:space="preserve"> the scope of the Melbourne Arts Precinct Transformation project to include restoration of the Arts Centre </w:t>
      </w:r>
      <w:r>
        <w:t xml:space="preserve">Melbourne </w:t>
      </w:r>
      <w:r w:rsidRPr="00042D92">
        <w:t xml:space="preserve">State Theatre, critical maintenance works </w:t>
      </w:r>
      <w:r>
        <w:t>to the Theatres Building</w:t>
      </w:r>
      <w:r w:rsidRPr="00042D92">
        <w:t xml:space="preserve"> and </w:t>
      </w:r>
      <w:r>
        <w:t xml:space="preserve">enhanced </w:t>
      </w:r>
      <w:r w:rsidRPr="00042D92">
        <w:t>p</w:t>
      </w:r>
      <w:r w:rsidRPr="00042D92">
        <w:rPr>
          <w:rFonts w:cs="Calibri"/>
        </w:rPr>
        <w:t>ublic realm activation including additional food and beverage outlets</w:t>
      </w:r>
      <w:r w:rsidRPr="00042D92">
        <w:t>.</w:t>
      </w:r>
    </w:p>
    <w:p w14:paraId="26B2BB0B" w14:textId="77777777" w:rsidR="008D6F13" w:rsidRDefault="008D6F13" w:rsidP="008D6F13">
      <w:r>
        <w:t>T</w:t>
      </w:r>
      <w:r w:rsidRPr="00B078B7">
        <w:t>his initiative contributes to the</w:t>
      </w:r>
      <w:r>
        <w:t xml:space="preserve"> Department of Jobs, Precincts and Regions’:</w:t>
      </w:r>
    </w:p>
    <w:p w14:paraId="31BE4EC4" w14:textId="77777777" w:rsidR="008D6F13" w:rsidRDefault="008D6F13" w:rsidP="008D6F13">
      <w:pPr>
        <w:pStyle w:val="ListBullet"/>
        <w:numPr>
          <w:ilvl w:val="0"/>
          <w:numId w:val="30"/>
        </w:numPr>
      </w:pPr>
      <w:r>
        <w:t>Creative Industries Portfolio Agencies output</w:t>
      </w:r>
    </w:p>
    <w:p w14:paraId="6CE090C3" w14:textId="77777777" w:rsidR="008D6F13" w:rsidRDefault="008D6F13" w:rsidP="008D6F13">
      <w:pPr>
        <w:pStyle w:val="ListBullet"/>
        <w:numPr>
          <w:ilvl w:val="0"/>
          <w:numId w:val="30"/>
        </w:numPr>
      </w:pPr>
      <w:r>
        <w:t>Cultural Infrastructure and Facilities output.</w:t>
      </w:r>
    </w:p>
    <w:p w14:paraId="7E1E87B1" w14:textId="77777777" w:rsidR="008D6F13" w:rsidRPr="007F7047" w:rsidRDefault="008D6F13" w:rsidP="008D6F13"/>
    <w:p w14:paraId="74487F11" w14:textId="77777777" w:rsidR="008D6F13" w:rsidRDefault="008D6F13" w:rsidP="00CD0448">
      <w:pPr>
        <w:pStyle w:val="Heading10"/>
        <w:pageBreakBefore/>
      </w:pPr>
      <w:bookmarkStart w:id="168" w:name="_Toc71814116"/>
      <w:bookmarkStart w:id="169" w:name="_Toc89418972"/>
      <w:bookmarkStart w:id="170" w:name="_Toc89419196"/>
      <w:bookmarkStart w:id="171" w:name="_Toc89420154"/>
      <w:bookmarkStart w:id="172" w:name="_Toc89423394"/>
      <w:bookmarkStart w:id="173" w:name="_Toc89423603"/>
      <w:r>
        <w:lastRenderedPageBreak/>
        <w:t>Department of Justice and Community Safety</w:t>
      </w:r>
      <w:bookmarkEnd w:id="168"/>
      <w:bookmarkEnd w:id="169"/>
      <w:bookmarkEnd w:id="170"/>
      <w:bookmarkEnd w:id="171"/>
      <w:bookmarkEnd w:id="172"/>
      <w:bookmarkEnd w:id="173"/>
    </w:p>
    <w:p w14:paraId="1C3FB36D" w14:textId="77777777" w:rsidR="008D6F13" w:rsidRDefault="008D6F13" w:rsidP="008D6F13">
      <w:pPr>
        <w:pStyle w:val="Heading20"/>
      </w:pPr>
      <w:r>
        <w:t>Output initiatives</w:t>
      </w:r>
    </w:p>
    <w:p w14:paraId="52D32700" w14:textId="77777777" w:rsidR="008D6F13" w:rsidRDefault="008D6F13" w:rsidP="008D6F13">
      <w:pPr>
        <w:pStyle w:val="TableHeading"/>
      </w:pPr>
      <w:r>
        <w:t>Table A.11:</w:t>
      </w:r>
      <w:r>
        <w:tab/>
        <w:t>Output initiatives – Department of Justice and Community Safety</w:t>
      </w:r>
      <w:r>
        <w:tab/>
        <w:t>($ million)</w:t>
      </w:r>
    </w:p>
    <w:tbl>
      <w:tblPr>
        <w:tblStyle w:val="DTFTableNumeric"/>
        <w:tblW w:w="7710" w:type="dxa"/>
        <w:tblLayout w:type="fixed"/>
        <w:tblLook w:val="06A0" w:firstRow="1" w:lastRow="0" w:firstColumn="1" w:lastColumn="0" w:noHBand="1" w:noVBand="1"/>
      </w:tblPr>
      <w:tblGrid>
        <w:gridCol w:w="4534"/>
        <w:gridCol w:w="794"/>
        <w:gridCol w:w="794"/>
        <w:gridCol w:w="794"/>
        <w:gridCol w:w="794"/>
      </w:tblGrid>
      <w:tr w:rsidR="008D6F13" w14:paraId="5C2E993C"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098C1301" w14:textId="0D6DD5A9" w:rsidR="008D6F13" w:rsidRDefault="008D6F13" w:rsidP="0031078F"/>
        </w:tc>
        <w:tc>
          <w:tcPr>
            <w:tcW w:w="794" w:type="dxa"/>
          </w:tcPr>
          <w:p w14:paraId="5DC1C555"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p>
        </w:tc>
        <w:tc>
          <w:tcPr>
            <w:tcW w:w="794" w:type="dxa"/>
          </w:tcPr>
          <w:p w14:paraId="6DBC4204"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p>
        </w:tc>
        <w:tc>
          <w:tcPr>
            <w:tcW w:w="794" w:type="dxa"/>
          </w:tcPr>
          <w:p w14:paraId="6A3D821F"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p>
        </w:tc>
        <w:tc>
          <w:tcPr>
            <w:tcW w:w="794" w:type="dxa"/>
          </w:tcPr>
          <w:p w14:paraId="54B5C40A"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p>
        </w:tc>
      </w:tr>
      <w:tr w:rsidR="008D6F13" w14:paraId="2558FDE6"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02B97854" w14:textId="77777777" w:rsidR="008D6F13" w:rsidRDefault="008D6F13" w:rsidP="0031078F">
            <w:r>
              <w:rPr>
                <w:b/>
              </w:rPr>
              <w:t>Emergency Management Capability</w:t>
            </w:r>
          </w:p>
        </w:tc>
        <w:tc>
          <w:tcPr>
            <w:tcW w:w="794" w:type="dxa"/>
          </w:tcPr>
          <w:p w14:paraId="2049E6B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E24B6C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185A96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FC14AA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507911A5"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62111A3F" w14:textId="77777777" w:rsidR="008D6F13" w:rsidRDefault="008D6F13" w:rsidP="0031078F">
            <w:r>
              <w:t>Further support for Emergency Services Telecommunication Authority’s call</w:t>
            </w:r>
            <w:r>
              <w:noBreakHyphen/>
              <w:t>taking and dispatch services</w:t>
            </w:r>
          </w:p>
        </w:tc>
        <w:tc>
          <w:tcPr>
            <w:tcW w:w="794" w:type="dxa"/>
          </w:tcPr>
          <w:p w14:paraId="4528DDD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17.0</w:t>
            </w:r>
          </w:p>
        </w:tc>
        <w:tc>
          <w:tcPr>
            <w:tcW w:w="794" w:type="dxa"/>
          </w:tcPr>
          <w:p w14:paraId="4BD3841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10.5</w:t>
            </w:r>
          </w:p>
        </w:tc>
        <w:tc>
          <w:tcPr>
            <w:tcW w:w="794" w:type="dxa"/>
          </w:tcPr>
          <w:p w14:paraId="0C7EE09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A7AB4D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60FB30BF"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4FA6C9EC" w14:textId="77777777" w:rsidR="008D6F13" w:rsidRDefault="008D6F13" w:rsidP="0031078F">
            <w:r>
              <w:t xml:space="preserve">June 2021 flood and storm event – recovery package </w:t>
            </w:r>
            <w:r>
              <w:rPr>
                <w:vertAlign w:val="superscript"/>
              </w:rPr>
              <w:t>(a)</w:t>
            </w:r>
          </w:p>
        </w:tc>
        <w:tc>
          <w:tcPr>
            <w:tcW w:w="794" w:type="dxa"/>
          </w:tcPr>
          <w:p w14:paraId="4C9D3A8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118.8</w:t>
            </w:r>
          </w:p>
        </w:tc>
        <w:tc>
          <w:tcPr>
            <w:tcW w:w="794" w:type="dxa"/>
          </w:tcPr>
          <w:p w14:paraId="46DC089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241783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4AECD0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4620853E"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1F8A05A0" w14:textId="77777777" w:rsidR="008D6F13" w:rsidRDefault="008D6F13" w:rsidP="0031078F">
            <w:r>
              <w:t>The Government’s response to inquiries into the Victorian bushfires</w:t>
            </w:r>
          </w:p>
        </w:tc>
        <w:tc>
          <w:tcPr>
            <w:tcW w:w="794" w:type="dxa"/>
          </w:tcPr>
          <w:p w14:paraId="0D0696B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2.8</w:t>
            </w:r>
          </w:p>
        </w:tc>
        <w:tc>
          <w:tcPr>
            <w:tcW w:w="794" w:type="dxa"/>
          </w:tcPr>
          <w:p w14:paraId="50D141F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6DCD69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120E5E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6E7F59FA"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68A46972" w14:textId="77777777" w:rsidR="008D6F13" w:rsidRDefault="008D6F13" w:rsidP="0031078F">
            <w:r>
              <w:rPr>
                <w:b/>
              </w:rPr>
              <w:t>Gambling and Liquor Regulation</w:t>
            </w:r>
          </w:p>
        </w:tc>
        <w:tc>
          <w:tcPr>
            <w:tcW w:w="794" w:type="dxa"/>
          </w:tcPr>
          <w:p w14:paraId="066E370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D41974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8555E2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E0AC6F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14F12DF5"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26ABB5C5" w14:textId="77777777" w:rsidR="008D6F13" w:rsidRDefault="008D6F13" w:rsidP="0031078F">
            <w:r>
              <w:t>Royal Commission into the Casino Operator and License</w:t>
            </w:r>
          </w:p>
        </w:tc>
        <w:tc>
          <w:tcPr>
            <w:tcW w:w="794" w:type="dxa"/>
          </w:tcPr>
          <w:p w14:paraId="24691A6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10.5</w:t>
            </w:r>
          </w:p>
        </w:tc>
        <w:tc>
          <w:tcPr>
            <w:tcW w:w="794" w:type="dxa"/>
          </w:tcPr>
          <w:p w14:paraId="6F2711C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8E2AF4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B6B0D7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364829ED"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037CD6AA" w14:textId="77777777" w:rsidR="008D6F13" w:rsidRDefault="008D6F13" w:rsidP="0031078F">
            <w:r>
              <w:rPr>
                <w:b/>
              </w:rPr>
              <w:t>Prisoner Supervision and Support</w:t>
            </w:r>
          </w:p>
        </w:tc>
        <w:tc>
          <w:tcPr>
            <w:tcW w:w="794" w:type="dxa"/>
          </w:tcPr>
          <w:p w14:paraId="6743F63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54ABB7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F0658E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18DC19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38058DCE"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097D36CE" w14:textId="77777777" w:rsidR="008D6F13" w:rsidRDefault="008D6F13" w:rsidP="0031078F">
            <w:r>
              <w:t>COVID</w:t>
            </w:r>
            <w:r>
              <w:noBreakHyphen/>
              <w:t>19 surveillance testing</w:t>
            </w:r>
          </w:p>
        </w:tc>
        <w:tc>
          <w:tcPr>
            <w:tcW w:w="794" w:type="dxa"/>
          </w:tcPr>
          <w:p w14:paraId="23AC234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24.6</w:t>
            </w:r>
          </w:p>
        </w:tc>
        <w:tc>
          <w:tcPr>
            <w:tcW w:w="794" w:type="dxa"/>
          </w:tcPr>
          <w:p w14:paraId="1DD2153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F8592B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25A29E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2AB88C95"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481DF559" w14:textId="77777777" w:rsidR="008D6F13" w:rsidRDefault="008D6F13" w:rsidP="0031078F">
            <w:r>
              <w:rPr>
                <w:b/>
              </w:rPr>
              <w:t>Regulation of the Victorian Consumer Marketplace</w:t>
            </w:r>
          </w:p>
        </w:tc>
        <w:tc>
          <w:tcPr>
            <w:tcW w:w="794" w:type="dxa"/>
          </w:tcPr>
          <w:p w14:paraId="405A252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D514B5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2C475E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5EC710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045698E8"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04F5F9B6" w14:textId="77777777" w:rsidR="008D6F13" w:rsidRDefault="008D6F13" w:rsidP="0031078F">
            <w:r>
              <w:t>Decriminalisation of sex work in Victoria</w:t>
            </w:r>
          </w:p>
        </w:tc>
        <w:tc>
          <w:tcPr>
            <w:tcW w:w="794" w:type="dxa"/>
          </w:tcPr>
          <w:p w14:paraId="6B797CD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1.9</w:t>
            </w:r>
          </w:p>
        </w:tc>
        <w:tc>
          <w:tcPr>
            <w:tcW w:w="794" w:type="dxa"/>
          </w:tcPr>
          <w:p w14:paraId="2EB6B65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27D317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7DEAB1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1FCADE38"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09349FF3" w14:textId="77777777" w:rsidR="008D6F13" w:rsidRDefault="008D6F13" w:rsidP="0031078F">
            <w:r>
              <w:rPr>
                <w:b/>
              </w:rPr>
              <w:t>Youth Justice Community Based Services</w:t>
            </w:r>
          </w:p>
        </w:tc>
        <w:tc>
          <w:tcPr>
            <w:tcW w:w="794" w:type="dxa"/>
          </w:tcPr>
          <w:p w14:paraId="42E8F27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DA97F4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A841F9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9BD574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21C2D143"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44BBDB7E" w14:textId="77777777" w:rsidR="008D6F13" w:rsidRDefault="008D6F13" w:rsidP="0031078F">
            <w:r>
              <w:t>Promoting vaccine uptake in priority communities</w:t>
            </w:r>
          </w:p>
        </w:tc>
        <w:tc>
          <w:tcPr>
            <w:tcW w:w="794" w:type="dxa"/>
          </w:tcPr>
          <w:p w14:paraId="75E03FB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w:t>
            </w:r>
          </w:p>
        </w:tc>
        <w:tc>
          <w:tcPr>
            <w:tcW w:w="794" w:type="dxa"/>
          </w:tcPr>
          <w:p w14:paraId="36FA6D7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046111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B09CB2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08F74816"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49E2BF1F" w14:textId="77777777" w:rsidR="008D6F13" w:rsidRDefault="008D6F13" w:rsidP="0031078F">
            <w:r>
              <w:rPr>
                <w:b/>
              </w:rPr>
              <w:t>Youth Justice Custodial Services</w:t>
            </w:r>
          </w:p>
        </w:tc>
        <w:tc>
          <w:tcPr>
            <w:tcW w:w="794" w:type="dxa"/>
          </w:tcPr>
          <w:p w14:paraId="1ACAE28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462105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119C0A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3FFD76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7541389D"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11953A47" w14:textId="77777777" w:rsidR="008D6F13" w:rsidRDefault="008D6F13" w:rsidP="0031078F">
            <w:r>
              <w:t>COVID</w:t>
            </w:r>
            <w:r>
              <w:noBreakHyphen/>
              <w:t>19 surveillance testing</w:t>
            </w:r>
          </w:p>
        </w:tc>
        <w:tc>
          <w:tcPr>
            <w:tcW w:w="794" w:type="dxa"/>
            <w:tcBorders>
              <w:bottom w:val="single" w:sz="6" w:space="0" w:color="auto"/>
            </w:tcBorders>
          </w:tcPr>
          <w:p w14:paraId="24E977C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4.2</w:t>
            </w:r>
          </w:p>
        </w:tc>
        <w:tc>
          <w:tcPr>
            <w:tcW w:w="794" w:type="dxa"/>
            <w:tcBorders>
              <w:bottom w:val="single" w:sz="6" w:space="0" w:color="auto"/>
            </w:tcBorders>
          </w:tcPr>
          <w:p w14:paraId="2BA5F4A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18A763D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68ADF94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18304A34"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6225C9BB" w14:textId="77777777" w:rsidR="008D6F13" w:rsidRDefault="008D6F13" w:rsidP="0031078F">
            <w:r>
              <w:rPr>
                <w:b/>
              </w:rPr>
              <w:t xml:space="preserve">Total output initiatives </w:t>
            </w:r>
            <w:r>
              <w:rPr>
                <w:b/>
                <w:vertAlign w:val="superscript"/>
              </w:rPr>
              <w:t>(b)</w:t>
            </w:r>
          </w:p>
        </w:tc>
        <w:tc>
          <w:tcPr>
            <w:tcW w:w="794" w:type="dxa"/>
          </w:tcPr>
          <w:p w14:paraId="5EB8FDF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181.0</w:t>
            </w:r>
          </w:p>
        </w:tc>
        <w:tc>
          <w:tcPr>
            <w:tcW w:w="794" w:type="dxa"/>
          </w:tcPr>
          <w:p w14:paraId="79F3262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10.5</w:t>
            </w:r>
          </w:p>
        </w:tc>
        <w:tc>
          <w:tcPr>
            <w:tcW w:w="794" w:type="dxa"/>
          </w:tcPr>
          <w:p w14:paraId="000B559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Pr>
          <w:p w14:paraId="4DDFA7AC" w14:textId="3230991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w:t>
            </w:r>
          </w:p>
        </w:tc>
      </w:tr>
    </w:tbl>
    <w:p w14:paraId="0F9B7068" w14:textId="77777777" w:rsidR="008D6F13" w:rsidRDefault="008D6F13" w:rsidP="008D6F13">
      <w:pPr>
        <w:pStyle w:val="Source"/>
      </w:pPr>
      <w:r>
        <w:t>S</w:t>
      </w:r>
      <w:r w:rsidRPr="00252ED7">
        <w:t>ource: Department of Treasury and Finance</w:t>
      </w:r>
    </w:p>
    <w:p w14:paraId="5933EC25" w14:textId="77777777" w:rsidR="008D6F13" w:rsidRDefault="008D6F13" w:rsidP="008D6F13">
      <w:pPr>
        <w:pStyle w:val="Note"/>
      </w:pPr>
      <w:r>
        <w:t xml:space="preserve">Notes: </w:t>
      </w:r>
    </w:p>
    <w:p w14:paraId="37F72148" w14:textId="77777777" w:rsidR="008D6F13" w:rsidRDefault="008D6F13" w:rsidP="008D6F13">
      <w:pPr>
        <w:pStyle w:val="Note"/>
      </w:pPr>
      <w:r>
        <w:t>(a)</w:t>
      </w:r>
      <w:r>
        <w:tab/>
      </w:r>
      <w:bookmarkStart w:id="174" w:name="_Hlk70453127"/>
      <w:r w:rsidRPr="00407324">
        <w:t>These initiatives contribute to activity that attracts Commonwealth funding under the Disaster Recovery Funding Arrangements. Estimates of the Commonwealth’s contribution are included.</w:t>
      </w:r>
    </w:p>
    <w:p w14:paraId="1EC498D5" w14:textId="77777777" w:rsidR="008D6F13" w:rsidRDefault="008D6F13" w:rsidP="008D6F13">
      <w:pPr>
        <w:pStyle w:val="Note"/>
      </w:pPr>
      <w:r>
        <w:t>(b)</w:t>
      </w:r>
      <w:r>
        <w:tab/>
      </w:r>
      <w:r w:rsidRPr="00B82015">
        <w:t>Table may not add due to rounding.</w:t>
      </w:r>
    </w:p>
    <w:p w14:paraId="7727D667" w14:textId="77777777" w:rsidR="008D6F13" w:rsidRDefault="008D6F13" w:rsidP="008D6F13">
      <w:pPr>
        <w:pStyle w:val="Heading4"/>
      </w:pPr>
      <w:bookmarkStart w:id="175" w:name="_Hlk68427809"/>
      <w:bookmarkEnd w:id="174"/>
      <w:r>
        <w:t>Emergency Management Capability</w:t>
      </w:r>
    </w:p>
    <w:p w14:paraId="4E592201" w14:textId="77777777" w:rsidR="008D6F13" w:rsidRPr="00697E16" w:rsidRDefault="008D6F13" w:rsidP="008D6F13">
      <w:pPr>
        <w:pStyle w:val="Heading5"/>
      </w:pPr>
      <w:r>
        <w:t xml:space="preserve">Further support for </w:t>
      </w:r>
      <w:r w:rsidRPr="0097525E">
        <w:t>Emergency Services Telecommunication Authority</w:t>
      </w:r>
      <w:r>
        <w:t>’s call-taking and dispatch services</w:t>
      </w:r>
    </w:p>
    <w:p w14:paraId="4C7A727B" w14:textId="77777777" w:rsidR="008D6F13" w:rsidRPr="007A1B3C" w:rsidRDefault="008D6F13" w:rsidP="008D6F13">
      <w:r>
        <w:t xml:space="preserve">Funding is provided to the </w:t>
      </w:r>
      <w:bookmarkStart w:id="176" w:name="_Hlk86953554"/>
      <w:r>
        <w:t xml:space="preserve">Emergency Services Telecommunication Authority </w:t>
      </w:r>
      <w:bookmarkEnd w:id="176"/>
      <w:r>
        <w:t>to develop greater surge capacity to manage peak periods and COVID-19-related demand in ambulance services.</w:t>
      </w:r>
    </w:p>
    <w:p w14:paraId="1086A4AA" w14:textId="77777777" w:rsidR="008D6F13" w:rsidRDefault="008D6F13" w:rsidP="008D6F13">
      <w:r>
        <w:t>T</w:t>
      </w:r>
      <w:r w:rsidRPr="00B078B7">
        <w:t>his initiative contributes to the</w:t>
      </w:r>
      <w:r>
        <w:t xml:space="preserve"> Department of Justice and Community Safety’s Emergency Management Capability output.</w:t>
      </w:r>
    </w:p>
    <w:p w14:paraId="1867C848" w14:textId="77777777" w:rsidR="008D6F13" w:rsidRDefault="008D6F13" w:rsidP="008D6F13">
      <w:pPr>
        <w:keepLines w:val="0"/>
        <w:rPr>
          <w:rFonts w:asciiTheme="majorHAnsi" w:eastAsiaTheme="majorEastAsia" w:hAnsiTheme="majorHAnsi" w:cstheme="majorBidi"/>
          <w:b/>
          <w:iCs/>
          <w:sz w:val="21"/>
          <w:szCs w:val="24"/>
        </w:rPr>
      </w:pPr>
      <w:r>
        <w:br w:type="page"/>
      </w:r>
    </w:p>
    <w:p w14:paraId="607B204F" w14:textId="77777777" w:rsidR="008D6F13" w:rsidRPr="00697E16" w:rsidRDefault="008D6F13" w:rsidP="008D6F13">
      <w:pPr>
        <w:pStyle w:val="Heading5"/>
      </w:pPr>
      <w:r w:rsidRPr="0015230E">
        <w:lastRenderedPageBreak/>
        <w:t>June 2021 flood and storm event – recovery package</w:t>
      </w:r>
      <w:r>
        <w:t xml:space="preserve"> </w:t>
      </w:r>
    </w:p>
    <w:p w14:paraId="6E9372B4" w14:textId="77777777" w:rsidR="008D6F13" w:rsidRPr="007A1B3C" w:rsidRDefault="008D6F13" w:rsidP="008D6F13">
      <w:pPr>
        <w:tabs>
          <w:tab w:val="left" w:pos="3030"/>
        </w:tabs>
      </w:pPr>
      <w:r>
        <w:t xml:space="preserve">Funding is provided for </w:t>
      </w:r>
      <w:r w:rsidRPr="00CD1D35">
        <w:t xml:space="preserve">the </w:t>
      </w:r>
      <w:r w:rsidRPr="00F83B62">
        <w:t>coordinated clean-up of damage and debris,</w:t>
      </w:r>
      <w:r w:rsidRPr="00237D82">
        <w:t xml:space="preserve"> a council support fund, community</w:t>
      </w:r>
      <w:r w:rsidRPr="00237D82">
        <w:noBreakHyphen/>
        <w:t>based support, economic</w:t>
      </w:r>
      <w:r>
        <w:t xml:space="preserve"> recovery, bushfire prevention and road restoration.</w:t>
      </w:r>
    </w:p>
    <w:p w14:paraId="29A454D5" w14:textId="77777777" w:rsidR="008D6F13" w:rsidRDefault="008D6F13" w:rsidP="008D6F13">
      <w:r>
        <w:t>T</w:t>
      </w:r>
      <w:r w:rsidRPr="00B078B7">
        <w:t>his initiative contributes to the</w:t>
      </w:r>
      <w:r>
        <w:t xml:space="preserve"> Department of Justice and Community Safety’s Emergency Management Capability output.</w:t>
      </w:r>
    </w:p>
    <w:p w14:paraId="20574985" w14:textId="77777777" w:rsidR="008D6F13" w:rsidRDefault="008D6F13" w:rsidP="008D6F13">
      <w:r>
        <w:t>T</w:t>
      </w:r>
      <w:r w:rsidRPr="00B078B7">
        <w:t>his initiative contributes to the</w:t>
      </w:r>
      <w:r>
        <w:t xml:space="preserve"> Department of Jobs, Precincts and Regions’ Agriculture and Industry, Innovation, Medical Research and Small Business outputs.</w:t>
      </w:r>
    </w:p>
    <w:p w14:paraId="4FAC3A7F" w14:textId="77777777" w:rsidR="008D6F13" w:rsidRDefault="008D6F13" w:rsidP="008D6F13">
      <w:r>
        <w:t>T</w:t>
      </w:r>
      <w:r w:rsidRPr="00B078B7">
        <w:t>his initiative contributes to the</w:t>
      </w:r>
      <w:r>
        <w:t xml:space="preserve"> Department of Transport’s Road Asset Management output.</w:t>
      </w:r>
    </w:p>
    <w:p w14:paraId="1D4D0968" w14:textId="77777777" w:rsidR="008D6F13" w:rsidRPr="00697E16" w:rsidRDefault="008D6F13" w:rsidP="008D6F13">
      <w:pPr>
        <w:pStyle w:val="Heading5"/>
      </w:pPr>
      <w:r>
        <w:t>The Government’s response to inquiries into the Victorian bushfires</w:t>
      </w:r>
    </w:p>
    <w:p w14:paraId="2F6EAA82" w14:textId="77777777" w:rsidR="008D6F13" w:rsidRPr="007A1B3C" w:rsidRDefault="008D6F13" w:rsidP="008D6F13">
      <w:r>
        <w:t>Funding is provided to strengthen Victorian emergency management system and implement actions arising from the Government’s response to inquiries undertaken by the Inspector-General for Emergency Management and the Royal Commission into National Natural Disaster Arrangements.</w:t>
      </w:r>
    </w:p>
    <w:p w14:paraId="438FFAE5" w14:textId="77777777" w:rsidR="008D6F13" w:rsidRDefault="008D6F13" w:rsidP="008D6F13">
      <w:r>
        <w:t>T</w:t>
      </w:r>
      <w:r w:rsidRPr="00B078B7">
        <w:t>his initiative contributes to the</w:t>
      </w:r>
      <w:r>
        <w:t xml:space="preserve"> Department of Justice and Community Safety’s Emergency Management Capability output.</w:t>
      </w:r>
    </w:p>
    <w:p w14:paraId="0598E97A" w14:textId="77777777" w:rsidR="008D6F13" w:rsidRPr="006861B4" w:rsidRDefault="008D6F13" w:rsidP="008D6F13">
      <w:pPr>
        <w:pStyle w:val="Heading4"/>
      </w:pPr>
      <w:r w:rsidRPr="006861B4">
        <w:t>Gambling and Liquor Regulation</w:t>
      </w:r>
    </w:p>
    <w:p w14:paraId="5641AF55" w14:textId="77777777" w:rsidR="008D6F13" w:rsidRPr="006861B4" w:rsidRDefault="008D6F13" w:rsidP="008D6F13">
      <w:pPr>
        <w:pStyle w:val="Heading5"/>
      </w:pPr>
      <w:r w:rsidRPr="006861B4">
        <w:t>Royal Commission into the Casino Operator and License</w:t>
      </w:r>
    </w:p>
    <w:p w14:paraId="30F02AB1" w14:textId="77777777" w:rsidR="008D6F13" w:rsidRPr="002F3B07" w:rsidRDefault="008D6F13" w:rsidP="008D6F13">
      <w:r w:rsidRPr="002F3B07">
        <w:t xml:space="preserve">Funding is provided </w:t>
      </w:r>
      <w:r>
        <w:t xml:space="preserve">for </w:t>
      </w:r>
      <w:r w:rsidRPr="002F3B07">
        <w:t xml:space="preserve">the Royal Commission into the Casino Operator and License, as well as </w:t>
      </w:r>
      <w:r w:rsidRPr="0078137C">
        <w:t xml:space="preserve">the Government’s response to the Royal Commission </w:t>
      </w:r>
      <w:r>
        <w:t xml:space="preserve">and </w:t>
      </w:r>
      <w:r w:rsidRPr="002F3B07">
        <w:t>an independent review into casino regulation.</w:t>
      </w:r>
    </w:p>
    <w:p w14:paraId="08A2A7D7" w14:textId="77777777" w:rsidR="008D6F13" w:rsidRDefault="008D6F13" w:rsidP="008D6F13">
      <w:r w:rsidRPr="002F3B07">
        <w:t>This initiative contributes to the Department of Justice and Community Safety’s Gambling and Liquor Regulation output.</w:t>
      </w:r>
    </w:p>
    <w:p w14:paraId="630D86EB" w14:textId="77777777" w:rsidR="008D6F13" w:rsidRDefault="008D6F13" w:rsidP="008D6F13">
      <w:pPr>
        <w:pStyle w:val="Heading4"/>
      </w:pPr>
      <w:r>
        <w:t>Prisoner Supervision and Support</w:t>
      </w:r>
    </w:p>
    <w:p w14:paraId="18FDDED5" w14:textId="77777777" w:rsidR="008D6F13" w:rsidRPr="00697E16" w:rsidRDefault="008D6F13" w:rsidP="008D6F13">
      <w:pPr>
        <w:pStyle w:val="Heading5"/>
      </w:pPr>
      <w:r>
        <w:t>COVID-19 surveillance testing</w:t>
      </w:r>
    </w:p>
    <w:p w14:paraId="5E5A55B6" w14:textId="77777777" w:rsidR="008D6F13" w:rsidRPr="007A1B3C" w:rsidRDefault="008D6F13" w:rsidP="008D6F13">
      <w:r>
        <w:t>Funding is provided to introduce new surveillance testing for prisons and youth justice custodial facilities. This includes a surveillance testing regime for staff, including daily rapid antigen testing and outbreak testing of prisoners and young people.</w:t>
      </w:r>
    </w:p>
    <w:p w14:paraId="4A971A22" w14:textId="77777777" w:rsidR="008D6F13" w:rsidRDefault="008D6F13" w:rsidP="008D6F13">
      <w:r>
        <w:t>T</w:t>
      </w:r>
      <w:r w:rsidRPr="00B078B7">
        <w:t>his initiative contributes to the</w:t>
      </w:r>
      <w:r>
        <w:t xml:space="preserve"> </w:t>
      </w:r>
      <w:bookmarkStart w:id="177" w:name="_Hlk86959015"/>
      <w:r>
        <w:t xml:space="preserve">Department of Justice and Community Safety’s </w:t>
      </w:r>
      <w:r w:rsidRPr="00D62C6B">
        <w:t>Prisoner Supervision and Support</w:t>
      </w:r>
      <w:r>
        <w:t xml:space="preserve"> </w:t>
      </w:r>
      <w:bookmarkEnd w:id="177"/>
      <w:r>
        <w:t>output.</w:t>
      </w:r>
    </w:p>
    <w:p w14:paraId="21D25D39" w14:textId="77777777" w:rsidR="008D6F13" w:rsidRDefault="008D6F13" w:rsidP="008D6F13">
      <w:pPr>
        <w:keepLines w:val="0"/>
        <w:rPr>
          <w:rFonts w:asciiTheme="majorHAnsi" w:eastAsiaTheme="majorEastAsia" w:hAnsiTheme="majorHAnsi" w:cstheme="majorBidi"/>
          <w:i/>
          <w:iCs/>
          <w:sz w:val="23"/>
          <w:szCs w:val="24"/>
        </w:rPr>
      </w:pPr>
      <w:r>
        <w:br w:type="page"/>
      </w:r>
    </w:p>
    <w:p w14:paraId="1E4F2981" w14:textId="77777777" w:rsidR="008D6F13" w:rsidRPr="006861B4" w:rsidRDefault="008D6F13" w:rsidP="008D6F13">
      <w:pPr>
        <w:pStyle w:val="Heading4"/>
      </w:pPr>
      <w:r w:rsidRPr="006861B4">
        <w:lastRenderedPageBreak/>
        <w:t>Regulation of the Victorian Consumer Marketplace</w:t>
      </w:r>
    </w:p>
    <w:p w14:paraId="5DF7EC83" w14:textId="77777777" w:rsidR="008D6F13" w:rsidRPr="006861B4" w:rsidRDefault="008D6F13" w:rsidP="008D6F13">
      <w:pPr>
        <w:pStyle w:val="Heading5"/>
      </w:pPr>
      <w:r w:rsidRPr="006861B4">
        <w:t>Decriminalisation of sex work in Victoria</w:t>
      </w:r>
    </w:p>
    <w:p w14:paraId="0B3955B4" w14:textId="77777777" w:rsidR="008D6F13" w:rsidRDefault="008D6F13" w:rsidP="008D6F13">
      <w:r w:rsidRPr="002F3B07">
        <w:t xml:space="preserve">Funding is provided </w:t>
      </w:r>
      <w:r>
        <w:t xml:space="preserve">to progress reforms relating to the decriminalisation of sex work in Victoria. This includes public health and planning reforms and support for Victoria Police, the Victorian Equal </w:t>
      </w:r>
      <w:proofErr w:type="gramStart"/>
      <w:r>
        <w:t>Opportunity</w:t>
      </w:r>
      <w:proofErr w:type="gramEnd"/>
      <w:r>
        <w:t xml:space="preserve"> and Human Rights Commission and WorkSafe. </w:t>
      </w:r>
    </w:p>
    <w:p w14:paraId="31999463" w14:textId="77777777" w:rsidR="008D6F13" w:rsidRDefault="008D6F13" w:rsidP="008D6F13">
      <w:pPr>
        <w:keepNext/>
      </w:pPr>
      <w:r>
        <w:t xml:space="preserve">This </w:t>
      </w:r>
      <w:r w:rsidRPr="00B078B7">
        <w:t>initiative contributes to the</w:t>
      </w:r>
      <w:r>
        <w:t xml:space="preserve"> Department of Justice and Community Safety’s:</w:t>
      </w:r>
    </w:p>
    <w:p w14:paraId="6BDE6411" w14:textId="77777777" w:rsidR="008D6F13" w:rsidDel="00F65E26" w:rsidRDefault="008D6F13" w:rsidP="008D6F13">
      <w:pPr>
        <w:pStyle w:val="ListBullet"/>
      </w:pPr>
      <w:r w:rsidDel="00F65E26">
        <w:t xml:space="preserve">Regulation of the Victorian Consumer Marketplace </w:t>
      </w:r>
      <w:r>
        <w:t>output</w:t>
      </w:r>
    </w:p>
    <w:p w14:paraId="4DB1D2AA" w14:textId="77777777" w:rsidR="008D6F13" w:rsidDel="00F65E26" w:rsidRDefault="008D6F13" w:rsidP="008D6F13">
      <w:pPr>
        <w:pStyle w:val="ListBullet"/>
      </w:pPr>
      <w:r w:rsidDel="00F65E26">
        <w:t xml:space="preserve">Policing and Community Safety </w:t>
      </w:r>
      <w:r>
        <w:t>output</w:t>
      </w:r>
    </w:p>
    <w:p w14:paraId="39EBB294" w14:textId="77777777" w:rsidR="008D6F13" w:rsidRDefault="008D6F13" w:rsidP="008D6F13">
      <w:pPr>
        <w:pStyle w:val="ListBullet"/>
      </w:pPr>
      <w:r>
        <w:t>Gambling and Liquor Regulation output.</w:t>
      </w:r>
    </w:p>
    <w:p w14:paraId="222EA40B" w14:textId="77777777" w:rsidR="008D6F13" w:rsidRDefault="008D6F13" w:rsidP="008D6F13">
      <w:r>
        <w:t xml:space="preserve">This initiative contributes to the Department of Health’s </w:t>
      </w:r>
    </w:p>
    <w:p w14:paraId="72581063" w14:textId="77777777" w:rsidR="008D6F13" w:rsidRDefault="008D6F13" w:rsidP="008D6F13">
      <w:pPr>
        <w:pStyle w:val="ListBullet"/>
      </w:pPr>
      <w:r>
        <w:t>Health Protection output</w:t>
      </w:r>
    </w:p>
    <w:p w14:paraId="3779905D" w14:textId="77777777" w:rsidR="008D6F13" w:rsidDel="00D16714" w:rsidRDefault="008D6F13" w:rsidP="008D6F13">
      <w:pPr>
        <w:pStyle w:val="ListBullet"/>
      </w:pPr>
      <w:r w:rsidDel="00D16714">
        <w:t xml:space="preserve">Clinical Care output. </w:t>
      </w:r>
    </w:p>
    <w:p w14:paraId="4DA416ED" w14:textId="77777777" w:rsidR="008D6F13" w:rsidRDefault="008D6F13" w:rsidP="008D6F13">
      <w:r>
        <w:t xml:space="preserve">This initiative contributes to the Department of Environment, Land, Water and Planning’s Planning, Building and Heritage output. </w:t>
      </w:r>
    </w:p>
    <w:p w14:paraId="2B106574" w14:textId="77777777" w:rsidR="008D6F13" w:rsidRPr="0035223D" w:rsidRDefault="008D6F13" w:rsidP="008D6F13">
      <w:pPr>
        <w:pStyle w:val="Heading4"/>
      </w:pPr>
      <w:r w:rsidRPr="0035223D">
        <w:t>Youth Justice Community Based Services</w:t>
      </w:r>
    </w:p>
    <w:p w14:paraId="2F10E770" w14:textId="77777777" w:rsidR="008D6F13" w:rsidRPr="0035223D" w:rsidRDefault="008D6F13" w:rsidP="008D6F13">
      <w:pPr>
        <w:pStyle w:val="Heading5"/>
      </w:pPr>
      <w:r w:rsidRPr="0096122A">
        <w:t>Promoting vaccine uptake in priority communities</w:t>
      </w:r>
    </w:p>
    <w:p w14:paraId="368B746D" w14:textId="77777777" w:rsidR="008D6F13" w:rsidRPr="0035223D" w:rsidRDefault="008D6F13" w:rsidP="008D6F13">
      <w:pPr>
        <w:rPr>
          <w:i/>
          <w:iCs/>
        </w:rPr>
      </w:pPr>
      <w:r w:rsidRPr="0035223D">
        <w:t>Refer to the Department of Families, Fairness and Housing for a description of this initiative.</w:t>
      </w:r>
    </w:p>
    <w:p w14:paraId="1EFE510B" w14:textId="77777777" w:rsidR="008D6F13" w:rsidRDefault="008D6F13" w:rsidP="008D6F13">
      <w:pPr>
        <w:pStyle w:val="Heading4"/>
      </w:pPr>
      <w:r>
        <w:t>Youth Justice Custodial Services</w:t>
      </w:r>
    </w:p>
    <w:p w14:paraId="1D77C580" w14:textId="77777777" w:rsidR="008D6F13" w:rsidRPr="00697E16" w:rsidRDefault="008D6F13" w:rsidP="008D6F13">
      <w:pPr>
        <w:pStyle w:val="Heading5"/>
      </w:pPr>
      <w:bookmarkStart w:id="178" w:name="_Hlk86958924"/>
      <w:r w:rsidRPr="003E79E8">
        <w:t>COVID-19 surveillance testing</w:t>
      </w:r>
      <w:bookmarkEnd w:id="178"/>
    </w:p>
    <w:p w14:paraId="16E08350" w14:textId="77777777" w:rsidR="008D6F13" w:rsidRPr="007A1B3C" w:rsidRDefault="008D6F13" w:rsidP="008D6F13">
      <w:r>
        <w:t>Refer to the initiative description under Prisoner Supervision and Support.</w:t>
      </w:r>
    </w:p>
    <w:p w14:paraId="3E1A564D" w14:textId="77777777" w:rsidR="008D6F13" w:rsidRDefault="008D6F13" w:rsidP="008D6F13">
      <w:r>
        <w:t>T</w:t>
      </w:r>
      <w:r w:rsidRPr="00B078B7">
        <w:t>his initiative contributes to the</w:t>
      </w:r>
      <w:r>
        <w:t xml:space="preserve"> Department of Justice and Community Safety’s </w:t>
      </w:r>
      <w:r w:rsidRPr="00D62C6B">
        <w:t>Youth Justice Custodial Services</w:t>
      </w:r>
      <w:r>
        <w:t xml:space="preserve"> output.</w:t>
      </w:r>
    </w:p>
    <w:p w14:paraId="136D9155" w14:textId="77777777" w:rsidR="008D6F13" w:rsidRPr="007A1B3C" w:rsidRDefault="008D6F13" w:rsidP="008D6F13"/>
    <w:p w14:paraId="6D6D16AF" w14:textId="77777777" w:rsidR="008D6F13" w:rsidRDefault="008D6F13" w:rsidP="008D6F13">
      <w:bookmarkStart w:id="179" w:name="_Hlk68162235"/>
    </w:p>
    <w:p w14:paraId="0D0C293E" w14:textId="77777777" w:rsidR="008D6F13" w:rsidRDefault="008D6F13" w:rsidP="00CD0448">
      <w:pPr>
        <w:pStyle w:val="Heading10"/>
        <w:pageBreakBefore/>
      </w:pPr>
      <w:bookmarkStart w:id="180" w:name="_Toc71814117"/>
      <w:bookmarkStart w:id="181" w:name="_Toc89418973"/>
      <w:bookmarkStart w:id="182" w:name="_Toc89419197"/>
      <w:bookmarkStart w:id="183" w:name="_Toc89420155"/>
      <w:bookmarkStart w:id="184" w:name="_Toc89423395"/>
      <w:bookmarkStart w:id="185" w:name="_Toc89423604"/>
      <w:bookmarkEnd w:id="175"/>
      <w:bookmarkEnd w:id="179"/>
      <w:r>
        <w:lastRenderedPageBreak/>
        <w:t>Department of Premier and Cabinet</w:t>
      </w:r>
      <w:bookmarkEnd w:id="180"/>
      <w:bookmarkEnd w:id="181"/>
      <w:bookmarkEnd w:id="182"/>
      <w:bookmarkEnd w:id="183"/>
      <w:bookmarkEnd w:id="184"/>
      <w:bookmarkEnd w:id="185"/>
    </w:p>
    <w:p w14:paraId="2696F821" w14:textId="77777777" w:rsidR="008D6F13" w:rsidRDefault="008D6F13" w:rsidP="008D6F13">
      <w:pPr>
        <w:pStyle w:val="Heading20"/>
      </w:pPr>
      <w:r>
        <w:t>Output initiatives</w:t>
      </w:r>
    </w:p>
    <w:p w14:paraId="08B9E435" w14:textId="77777777" w:rsidR="008D6F13" w:rsidRDefault="008D6F13" w:rsidP="008D6F13">
      <w:pPr>
        <w:pStyle w:val="TableHeading"/>
      </w:pPr>
      <w:r>
        <w:t>Table A.12:</w:t>
      </w:r>
      <w:r>
        <w:tab/>
        <w:t>Output initiatives – Department of Premier and Cabinet</w:t>
      </w:r>
      <w:r>
        <w:tab/>
        <w:t>($ million)</w:t>
      </w:r>
    </w:p>
    <w:tbl>
      <w:tblPr>
        <w:tblStyle w:val="DTFTableNumeric"/>
        <w:tblW w:w="7710" w:type="dxa"/>
        <w:tblLayout w:type="fixed"/>
        <w:tblLook w:val="06A0" w:firstRow="1" w:lastRow="0" w:firstColumn="1" w:lastColumn="0" w:noHBand="1" w:noVBand="1"/>
      </w:tblPr>
      <w:tblGrid>
        <w:gridCol w:w="4534"/>
        <w:gridCol w:w="794"/>
        <w:gridCol w:w="794"/>
        <w:gridCol w:w="794"/>
        <w:gridCol w:w="794"/>
      </w:tblGrid>
      <w:tr w:rsidR="008D6F13" w14:paraId="43A248CC"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5E746D0A" w14:textId="3F22B7B1" w:rsidR="008D6F13" w:rsidRDefault="008D6F13" w:rsidP="0031078F"/>
        </w:tc>
        <w:tc>
          <w:tcPr>
            <w:tcW w:w="794" w:type="dxa"/>
          </w:tcPr>
          <w:p w14:paraId="338803C8"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p>
        </w:tc>
        <w:tc>
          <w:tcPr>
            <w:tcW w:w="794" w:type="dxa"/>
          </w:tcPr>
          <w:p w14:paraId="0405DFC2"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p>
        </w:tc>
        <w:tc>
          <w:tcPr>
            <w:tcW w:w="794" w:type="dxa"/>
          </w:tcPr>
          <w:p w14:paraId="7065CF9E"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p>
        </w:tc>
        <w:tc>
          <w:tcPr>
            <w:tcW w:w="794" w:type="dxa"/>
          </w:tcPr>
          <w:p w14:paraId="0CDADECE"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p>
        </w:tc>
      </w:tr>
      <w:tr w:rsidR="008D6F13" w14:paraId="5BD0AA0A"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43CF8A48" w14:textId="77777777" w:rsidR="008D6F13" w:rsidRDefault="008D6F13" w:rsidP="0031078F">
            <w:r>
              <w:rPr>
                <w:b/>
              </w:rPr>
              <w:t>Digital Government and Communication</w:t>
            </w:r>
          </w:p>
        </w:tc>
        <w:tc>
          <w:tcPr>
            <w:tcW w:w="794" w:type="dxa"/>
          </w:tcPr>
          <w:p w14:paraId="0BF8D3A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3DBC1C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0A58D3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A26567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65A4D13A"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6F182283" w14:textId="77777777" w:rsidR="008D6F13" w:rsidRDefault="008D6F13" w:rsidP="0031078F">
            <w:r>
              <w:t>COVID</w:t>
            </w:r>
            <w:r>
              <w:noBreakHyphen/>
              <w:t>19 Capability and Response</w:t>
            </w:r>
          </w:p>
        </w:tc>
        <w:tc>
          <w:tcPr>
            <w:tcW w:w="794" w:type="dxa"/>
            <w:tcBorders>
              <w:bottom w:val="single" w:sz="6" w:space="0" w:color="auto"/>
            </w:tcBorders>
          </w:tcPr>
          <w:p w14:paraId="0BF0F67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62.9</w:t>
            </w:r>
          </w:p>
        </w:tc>
        <w:tc>
          <w:tcPr>
            <w:tcW w:w="794" w:type="dxa"/>
            <w:tcBorders>
              <w:bottom w:val="single" w:sz="6" w:space="0" w:color="auto"/>
            </w:tcBorders>
          </w:tcPr>
          <w:p w14:paraId="362C559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5DDCC00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78BF802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465F3311"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7EFB9594" w14:textId="77777777" w:rsidR="008D6F13" w:rsidRDefault="008D6F13" w:rsidP="0031078F">
            <w:r>
              <w:rPr>
                <w:b/>
              </w:rPr>
              <w:t>Total output initiatives</w:t>
            </w:r>
          </w:p>
        </w:tc>
        <w:tc>
          <w:tcPr>
            <w:tcW w:w="794" w:type="dxa"/>
          </w:tcPr>
          <w:p w14:paraId="14A6441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62.9</w:t>
            </w:r>
          </w:p>
        </w:tc>
        <w:tc>
          <w:tcPr>
            <w:tcW w:w="794" w:type="dxa"/>
          </w:tcPr>
          <w:p w14:paraId="498F84A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Pr>
          <w:p w14:paraId="21E16B3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Pr>
          <w:p w14:paraId="5FD9ECD3" w14:textId="698F7259"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w:t>
            </w:r>
          </w:p>
        </w:tc>
      </w:tr>
    </w:tbl>
    <w:p w14:paraId="4D36F9E7" w14:textId="77777777" w:rsidR="008D6F13" w:rsidRDefault="008D6F13" w:rsidP="008D6F13">
      <w:pPr>
        <w:pStyle w:val="Source"/>
      </w:pPr>
      <w:r w:rsidRPr="00252ED7">
        <w:t>Source: Department of Treasury and Finance</w:t>
      </w:r>
    </w:p>
    <w:p w14:paraId="511DEDE1" w14:textId="77777777" w:rsidR="008D6F13" w:rsidRDefault="008D6F13" w:rsidP="008D6F13">
      <w:pPr>
        <w:pStyle w:val="Heading4"/>
      </w:pPr>
      <w:r w:rsidRPr="00DC3848">
        <w:t>Digital Government and Communication</w:t>
      </w:r>
    </w:p>
    <w:p w14:paraId="043BBE36" w14:textId="77777777" w:rsidR="008D6F13" w:rsidRDefault="008D6F13" w:rsidP="008D6F13">
      <w:pPr>
        <w:rPr>
          <w:rFonts w:asciiTheme="majorHAnsi" w:eastAsiaTheme="majorEastAsia" w:hAnsiTheme="majorHAnsi" w:cstheme="majorBidi"/>
          <w:b/>
          <w:iCs/>
          <w:sz w:val="21"/>
          <w:szCs w:val="26"/>
        </w:rPr>
      </w:pPr>
      <w:r w:rsidRPr="00DC7A0D">
        <w:rPr>
          <w:rFonts w:asciiTheme="majorHAnsi" w:eastAsiaTheme="majorEastAsia" w:hAnsiTheme="majorHAnsi" w:cstheme="majorBidi"/>
          <w:b/>
          <w:iCs/>
          <w:sz w:val="21"/>
          <w:szCs w:val="26"/>
        </w:rPr>
        <w:t>COVID</w:t>
      </w:r>
      <w:r>
        <w:rPr>
          <w:rFonts w:asciiTheme="majorHAnsi" w:eastAsiaTheme="majorEastAsia" w:hAnsiTheme="majorHAnsi" w:cstheme="majorBidi"/>
          <w:b/>
          <w:iCs/>
          <w:sz w:val="21"/>
          <w:szCs w:val="26"/>
        </w:rPr>
        <w:t>-19</w:t>
      </w:r>
      <w:r w:rsidRPr="00DC7A0D">
        <w:rPr>
          <w:rFonts w:asciiTheme="majorHAnsi" w:eastAsiaTheme="majorEastAsia" w:hAnsiTheme="majorHAnsi" w:cstheme="majorBidi"/>
          <w:b/>
          <w:iCs/>
          <w:sz w:val="21"/>
          <w:szCs w:val="26"/>
        </w:rPr>
        <w:t xml:space="preserve"> Capability and Response </w:t>
      </w:r>
    </w:p>
    <w:p w14:paraId="02FCDF8F" w14:textId="77777777" w:rsidR="008D6F13" w:rsidRDefault="008D6F13" w:rsidP="008D6F13">
      <w:r>
        <w:t>Funding is provided for the following programs which support the Government’s capability and response to the COVID-19 pandemic to reduce the risk of community transmission, raise awareness and promote safety in the community:</w:t>
      </w:r>
    </w:p>
    <w:p w14:paraId="3A191E6E" w14:textId="77777777" w:rsidR="008D6F13" w:rsidRDefault="008D6F13" w:rsidP="008D6F13">
      <w:pPr>
        <w:pStyle w:val="ListBullet"/>
        <w:numPr>
          <w:ilvl w:val="0"/>
          <w:numId w:val="32"/>
        </w:numPr>
        <w:ind w:left="284" w:hanging="284"/>
      </w:pPr>
      <w:r>
        <w:t xml:space="preserve">delivering a range of </w:t>
      </w:r>
      <w:r w:rsidRPr="006106E3">
        <w:t xml:space="preserve">COVID-19 strategic campaigns, </w:t>
      </w:r>
      <w:proofErr w:type="gramStart"/>
      <w:r w:rsidRPr="006106E3">
        <w:t>communications</w:t>
      </w:r>
      <w:proofErr w:type="gramEnd"/>
      <w:r w:rsidRPr="006106E3">
        <w:t xml:space="preserve"> and research</w:t>
      </w:r>
      <w:r>
        <w:t xml:space="preserve"> to</w:t>
      </w:r>
      <w:r w:rsidRPr="006106E3">
        <w:t xml:space="preserve"> </w:t>
      </w:r>
      <w:r>
        <w:t xml:space="preserve">promote </w:t>
      </w:r>
      <w:proofErr w:type="spellStart"/>
      <w:r w:rsidRPr="006106E3">
        <w:t>COVID</w:t>
      </w:r>
      <w:r>
        <w:t>Sa</w:t>
      </w:r>
      <w:r w:rsidRPr="006106E3">
        <w:t>fe</w:t>
      </w:r>
      <w:proofErr w:type="spellEnd"/>
      <w:r w:rsidRPr="006106E3">
        <w:t xml:space="preserve"> practices and </w:t>
      </w:r>
      <w:r>
        <w:t xml:space="preserve">support </w:t>
      </w:r>
      <w:r w:rsidRPr="006106E3">
        <w:t>ongoing changes to public health policies</w:t>
      </w:r>
      <w:r>
        <w:t xml:space="preserve"> and restrictions</w:t>
      </w:r>
      <w:r w:rsidRPr="006106E3">
        <w:t xml:space="preserve"> </w:t>
      </w:r>
      <w:r>
        <w:t>within Victoria</w:t>
      </w:r>
    </w:p>
    <w:p w14:paraId="70B1459E" w14:textId="77777777" w:rsidR="008D6F13" w:rsidRDefault="008D6F13" w:rsidP="008D6F13">
      <w:pPr>
        <w:pStyle w:val="ListBullet"/>
        <w:numPr>
          <w:ilvl w:val="0"/>
          <w:numId w:val="32"/>
        </w:numPr>
        <w:ind w:left="284" w:hanging="284"/>
      </w:pPr>
      <w:r>
        <w:t xml:space="preserve">developing and delivering a </w:t>
      </w:r>
      <w:r w:rsidRPr="006106E3">
        <w:t xml:space="preserve">COVID-19 </w:t>
      </w:r>
      <w:r>
        <w:t>digital vaccination certificate capability linked to QR code check-in systems and other COVID-19 response technologies to support COVID-19 response and recovery</w:t>
      </w:r>
    </w:p>
    <w:p w14:paraId="5BC89F34" w14:textId="77777777" w:rsidR="008D6F13" w:rsidRDefault="008D6F13" w:rsidP="008D6F13">
      <w:pPr>
        <w:pStyle w:val="ListBullet"/>
        <w:numPr>
          <w:ilvl w:val="0"/>
          <w:numId w:val="32"/>
        </w:numPr>
        <w:ind w:left="284" w:hanging="284"/>
      </w:pPr>
      <w:r>
        <w:t>enhancing the capability and functionality of the Service Victoria QR code system to expand and strengthen the coverage, deliver bulk QR check-ins and to help ensure accurate, real-time data continues to be delivered by the contact tracing system</w:t>
      </w:r>
    </w:p>
    <w:p w14:paraId="3A9081CE" w14:textId="77777777" w:rsidR="008D6F13" w:rsidRDefault="008D6F13" w:rsidP="008D6F13">
      <w:pPr>
        <w:pStyle w:val="ListBullet"/>
        <w:numPr>
          <w:ilvl w:val="0"/>
          <w:numId w:val="32"/>
        </w:numPr>
        <w:ind w:left="284" w:hanging="284"/>
      </w:pPr>
      <w:r>
        <w:t xml:space="preserve">delivering additional support to businesses through increased </w:t>
      </w:r>
      <w:r w:rsidRPr="00DD61E6">
        <w:t xml:space="preserve">business engagement and compliance on </w:t>
      </w:r>
      <w:proofErr w:type="spellStart"/>
      <w:r w:rsidRPr="00DD61E6">
        <w:t>COVIDSafe</w:t>
      </w:r>
      <w:proofErr w:type="spellEnd"/>
      <w:r w:rsidRPr="00DD61E6">
        <w:t xml:space="preserve"> practices</w:t>
      </w:r>
      <w:r>
        <w:t xml:space="preserve"> including QR code check-ins and electronic record keeping requirements to help facilitate faster contract tracing in the event </w:t>
      </w:r>
      <w:r w:rsidRPr="00DD61E6">
        <w:t>a COVID-19 outbreak</w:t>
      </w:r>
      <w:r>
        <w:t xml:space="preserve"> occurs</w:t>
      </w:r>
    </w:p>
    <w:p w14:paraId="54D09599" w14:textId="77777777" w:rsidR="008D6F13" w:rsidRPr="007A1B3C" w:rsidRDefault="008D6F13" w:rsidP="008D6F13">
      <w:pPr>
        <w:pStyle w:val="ListBullet"/>
        <w:numPr>
          <w:ilvl w:val="0"/>
          <w:numId w:val="32"/>
        </w:numPr>
        <w:ind w:left="284" w:hanging="284"/>
      </w:pPr>
      <w:r w:rsidRPr="00EB0F15">
        <w:t>extend</w:t>
      </w:r>
      <w:r>
        <w:t>ing the</w:t>
      </w:r>
      <w:r w:rsidRPr="00EB0F15">
        <w:t xml:space="preserve"> </w:t>
      </w:r>
      <w:r>
        <w:t xml:space="preserve">employment of </w:t>
      </w:r>
      <w:r w:rsidRPr="00EB0F15">
        <w:t>COVID</w:t>
      </w:r>
      <w:r>
        <w:t>-19</w:t>
      </w:r>
      <w:r w:rsidRPr="00EB0F15">
        <w:t xml:space="preserve"> Business Support Officers in councils across the </w:t>
      </w:r>
      <w:r>
        <w:t>s</w:t>
      </w:r>
      <w:r w:rsidRPr="00EB0F15">
        <w:t>tate</w:t>
      </w:r>
      <w:r>
        <w:t xml:space="preserve"> as part of the </w:t>
      </w:r>
      <w:r w:rsidRPr="00EB0F15">
        <w:t>Business Concierge Program until the end of February 2022</w:t>
      </w:r>
      <w:r>
        <w:t xml:space="preserve"> to help </w:t>
      </w:r>
      <w:r w:rsidRPr="00EB0F15">
        <w:t>business</w:t>
      </w:r>
      <w:r>
        <w:t>es</w:t>
      </w:r>
      <w:r w:rsidRPr="00EB0F15">
        <w:t xml:space="preserve"> adopt </w:t>
      </w:r>
      <w:proofErr w:type="spellStart"/>
      <w:r w:rsidRPr="00EB0F15">
        <w:t>COVIDSafe</w:t>
      </w:r>
      <w:proofErr w:type="spellEnd"/>
      <w:r w:rsidRPr="00EB0F15">
        <w:t xml:space="preserve"> practices and comply with the Chief Health Officer’s Directions as we transition to a vaccinated economy.</w:t>
      </w:r>
    </w:p>
    <w:p w14:paraId="6107FFA6" w14:textId="77777777" w:rsidR="008D6F13" w:rsidRDefault="008D6F13" w:rsidP="008D6F13">
      <w:r>
        <w:t>T</w:t>
      </w:r>
      <w:r w:rsidRPr="00B078B7">
        <w:t>his initiative contributes to the</w:t>
      </w:r>
      <w:r>
        <w:t xml:space="preserve"> </w:t>
      </w:r>
      <w:r w:rsidRPr="0037332B">
        <w:t xml:space="preserve">Department of </w:t>
      </w:r>
      <w:r>
        <w:t xml:space="preserve">Premier and Cabinet’s: </w:t>
      </w:r>
    </w:p>
    <w:p w14:paraId="0AE760D2" w14:textId="77777777" w:rsidR="008D6F13" w:rsidRDefault="008D6F13" w:rsidP="008D6F13">
      <w:pPr>
        <w:pStyle w:val="ListBullet"/>
        <w:numPr>
          <w:ilvl w:val="0"/>
          <w:numId w:val="32"/>
        </w:numPr>
        <w:ind w:left="284" w:hanging="284"/>
      </w:pPr>
      <w:r>
        <w:t>Digital Government and Communications output</w:t>
      </w:r>
    </w:p>
    <w:p w14:paraId="6979FFC6" w14:textId="77777777" w:rsidR="008D6F13" w:rsidRDefault="008D6F13" w:rsidP="008D6F13">
      <w:pPr>
        <w:pStyle w:val="ListBullet"/>
        <w:numPr>
          <w:ilvl w:val="0"/>
          <w:numId w:val="32"/>
        </w:numPr>
        <w:ind w:left="284" w:hanging="284"/>
      </w:pPr>
      <w:r>
        <w:t xml:space="preserve">Government-wide Leadership, </w:t>
      </w:r>
      <w:proofErr w:type="gramStart"/>
      <w:r>
        <w:t>Reform</w:t>
      </w:r>
      <w:proofErr w:type="gramEnd"/>
      <w:r>
        <w:t xml:space="preserve"> and Implementation output.</w:t>
      </w:r>
    </w:p>
    <w:p w14:paraId="70914F41" w14:textId="77777777" w:rsidR="008D6F13" w:rsidRDefault="008D6F13" w:rsidP="008D6F13">
      <w:r>
        <w:t>T</w:t>
      </w:r>
      <w:r w:rsidRPr="00B078B7">
        <w:t>his initiative contributes to the</w:t>
      </w:r>
      <w:r>
        <w:t xml:space="preserve"> </w:t>
      </w:r>
      <w:r w:rsidRPr="0037332B">
        <w:t>Department of Jobs, Precincts and Regions’</w:t>
      </w:r>
      <w:r>
        <w:t xml:space="preserve">: </w:t>
      </w:r>
    </w:p>
    <w:p w14:paraId="119A75FD" w14:textId="77777777" w:rsidR="008D6F13" w:rsidRDefault="008D6F13" w:rsidP="008D6F13">
      <w:pPr>
        <w:pStyle w:val="ListBullet"/>
        <w:numPr>
          <w:ilvl w:val="0"/>
          <w:numId w:val="32"/>
        </w:numPr>
        <w:ind w:left="284" w:hanging="284"/>
      </w:pPr>
      <w:r w:rsidRPr="00DD157C">
        <w:t>Industry, Innovation, Medical Research and Small Busines</w:t>
      </w:r>
      <w:r>
        <w:t>s output</w:t>
      </w:r>
    </w:p>
    <w:p w14:paraId="6DAD2AAC" w14:textId="77777777" w:rsidR="008D6F13" w:rsidRDefault="008D6F13" w:rsidP="008D6F13">
      <w:pPr>
        <w:pStyle w:val="ListParagraph"/>
        <w:numPr>
          <w:ilvl w:val="0"/>
          <w:numId w:val="32"/>
        </w:numPr>
        <w:ind w:left="284" w:hanging="284"/>
      </w:pPr>
      <w:r w:rsidRPr="00AC0FC2">
        <w:t>Local Government and Suburban Development output.</w:t>
      </w:r>
    </w:p>
    <w:p w14:paraId="274AF86E" w14:textId="77777777" w:rsidR="008D6F13" w:rsidRPr="007F7047" w:rsidRDefault="008D6F13" w:rsidP="008D6F13">
      <w:r>
        <w:t>T</w:t>
      </w:r>
      <w:r w:rsidRPr="00B078B7">
        <w:t>his initiative contributes to the</w:t>
      </w:r>
      <w:r>
        <w:t xml:space="preserve"> </w:t>
      </w:r>
      <w:r w:rsidRPr="0037332B">
        <w:t xml:space="preserve">Department of </w:t>
      </w:r>
      <w:r>
        <w:t>Health’s</w:t>
      </w:r>
      <w:r w:rsidRPr="0061438B">
        <w:t xml:space="preserve"> Health </w:t>
      </w:r>
      <w:r>
        <w:t>P</w:t>
      </w:r>
      <w:r w:rsidRPr="0061438B">
        <w:t xml:space="preserve">rotection </w:t>
      </w:r>
      <w:r>
        <w:t>output.</w:t>
      </w:r>
    </w:p>
    <w:p w14:paraId="022955D4" w14:textId="77777777" w:rsidR="008D6F13" w:rsidRDefault="008D6F13" w:rsidP="00CD0448">
      <w:pPr>
        <w:pStyle w:val="Heading10"/>
        <w:pageBreakBefore/>
      </w:pPr>
      <w:bookmarkStart w:id="186" w:name="_Toc71814118"/>
      <w:bookmarkStart w:id="187" w:name="_Toc89418974"/>
      <w:bookmarkStart w:id="188" w:name="_Toc89419198"/>
      <w:bookmarkStart w:id="189" w:name="_Toc89420156"/>
      <w:bookmarkStart w:id="190" w:name="_Toc89423396"/>
      <w:bookmarkStart w:id="191" w:name="_Toc89423605"/>
      <w:r>
        <w:lastRenderedPageBreak/>
        <w:t>Department of Transport</w:t>
      </w:r>
      <w:bookmarkEnd w:id="186"/>
      <w:bookmarkEnd w:id="187"/>
      <w:bookmarkEnd w:id="188"/>
      <w:bookmarkEnd w:id="189"/>
      <w:bookmarkEnd w:id="190"/>
      <w:bookmarkEnd w:id="191"/>
    </w:p>
    <w:p w14:paraId="06CE4C88" w14:textId="77777777" w:rsidR="008D6F13" w:rsidRPr="00330023" w:rsidRDefault="008D6F13" w:rsidP="008D6F13">
      <w:pPr>
        <w:pStyle w:val="Heading20"/>
      </w:pPr>
      <w:r>
        <w:t>Output initiatives</w:t>
      </w:r>
    </w:p>
    <w:p w14:paraId="335ABED2" w14:textId="77777777" w:rsidR="008D6F13" w:rsidRDefault="008D6F13" w:rsidP="008D6F13">
      <w:pPr>
        <w:pStyle w:val="TableHeading"/>
      </w:pPr>
      <w:r>
        <w:t>Table A.13:</w:t>
      </w:r>
      <w:r>
        <w:tab/>
        <w:t>Output initiatives – Department of Transport</w:t>
      </w:r>
      <w:r>
        <w:tab/>
        <w:t>($ million)</w:t>
      </w:r>
    </w:p>
    <w:tbl>
      <w:tblPr>
        <w:tblStyle w:val="DTFTableNumeric"/>
        <w:tblW w:w="7710" w:type="dxa"/>
        <w:tblLayout w:type="fixed"/>
        <w:tblLook w:val="06A0" w:firstRow="1" w:lastRow="0" w:firstColumn="1" w:lastColumn="0" w:noHBand="1" w:noVBand="1"/>
      </w:tblPr>
      <w:tblGrid>
        <w:gridCol w:w="4534"/>
        <w:gridCol w:w="794"/>
        <w:gridCol w:w="794"/>
        <w:gridCol w:w="794"/>
        <w:gridCol w:w="794"/>
      </w:tblGrid>
      <w:tr w:rsidR="008D6F13" w14:paraId="15F341FC"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3B575EB7" w14:textId="46A75801" w:rsidR="008D6F13" w:rsidRDefault="008D6F13" w:rsidP="0031078F"/>
        </w:tc>
        <w:tc>
          <w:tcPr>
            <w:tcW w:w="794" w:type="dxa"/>
          </w:tcPr>
          <w:p w14:paraId="21D9544F"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p>
        </w:tc>
        <w:tc>
          <w:tcPr>
            <w:tcW w:w="794" w:type="dxa"/>
          </w:tcPr>
          <w:p w14:paraId="298410F3"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p>
        </w:tc>
        <w:tc>
          <w:tcPr>
            <w:tcW w:w="794" w:type="dxa"/>
          </w:tcPr>
          <w:p w14:paraId="4A8B013C"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p>
        </w:tc>
        <w:tc>
          <w:tcPr>
            <w:tcW w:w="794" w:type="dxa"/>
          </w:tcPr>
          <w:p w14:paraId="51BB3529"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p>
        </w:tc>
      </w:tr>
      <w:tr w:rsidR="008D6F13" w14:paraId="4D77863D"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30371D17" w14:textId="77777777" w:rsidR="008D6F13" w:rsidRDefault="008D6F13" w:rsidP="0031078F">
            <w:r>
              <w:t>COVID</w:t>
            </w:r>
            <w:r>
              <w:noBreakHyphen/>
              <w:t>19 impacts on the transport network</w:t>
            </w:r>
          </w:p>
        </w:tc>
        <w:tc>
          <w:tcPr>
            <w:tcW w:w="794" w:type="dxa"/>
          </w:tcPr>
          <w:p w14:paraId="4D63CC3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9.5</w:t>
            </w:r>
          </w:p>
        </w:tc>
        <w:tc>
          <w:tcPr>
            <w:tcW w:w="794" w:type="dxa"/>
          </w:tcPr>
          <w:p w14:paraId="089DC05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3.3</w:t>
            </w:r>
          </w:p>
        </w:tc>
        <w:tc>
          <w:tcPr>
            <w:tcW w:w="794" w:type="dxa"/>
          </w:tcPr>
          <w:p w14:paraId="26E9384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C1FDD3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54DEC9CF"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7D65AF84" w14:textId="77777777" w:rsidR="008D6F13" w:rsidRDefault="008D6F13" w:rsidP="0031078F">
            <w:r>
              <w:rPr>
                <w:b/>
              </w:rPr>
              <w:t>Fishing and Boating</w:t>
            </w:r>
          </w:p>
        </w:tc>
        <w:tc>
          <w:tcPr>
            <w:tcW w:w="794" w:type="dxa"/>
          </w:tcPr>
          <w:p w14:paraId="410B679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D9209C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68F310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E57AEE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572B262C"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01F0F2E1" w14:textId="77777777" w:rsidR="008D6F13" w:rsidRDefault="008D6F13" w:rsidP="0031078F">
            <w:r>
              <w:t>Better Boating Fund</w:t>
            </w:r>
          </w:p>
        </w:tc>
        <w:tc>
          <w:tcPr>
            <w:tcW w:w="794" w:type="dxa"/>
          </w:tcPr>
          <w:p w14:paraId="13A24BB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11.3</w:t>
            </w:r>
          </w:p>
        </w:tc>
        <w:tc>
          <w:tcPr>
            <w:tcW w:w="794" w:type="dxa"/>
          </w:tcPr>
          <w:p w14:paraId="543EE11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B4D9EF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BD78C3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2FB1DF8D"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2D643A0E" w14:textId="77777777" w:rsidR="008D6F13" w:rsidRDefault="008D6F13" w:rsidP="0031078F">
            <w:r>
              <w:rPr>
                <w:b/>
              </w:rPr>
              <w:t>Road Asset Management</w:t>
            </w:r>
          </w:p>
        </w:tc>
        <w:tc>
          <w:tcPr>
            <w:tcW w:w="794" w:type="dxa"/>
          </w:tcPr>
          <w:p w14:paraId="7913FD4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EE896F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BF4331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259878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3FCBB04A"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55D9E7F5" w14:textId="77777777" w:rsidR="008D6F13" w:rsidRDefault="008D6F13" w:rsidP="0031078F">
            <w:r>
              <w:t xml:space="preserve">June 2021 flood and storm event – recovery package </w:t>
            </w:r>
            <w:r>
              <w:rPr>
                <w:vertAlign w:val="superscript"/>
              </w:rPr>
              <w:t>(a)</w:t>
            </w:r>
          </w:p>
        </w:tc>
        <w:tc>
          <w:tcPr>
            <w:tcW w:w="794" w:type="dxa"/>
            <w:tcBorders>
              <w:bottom w:val="single" w:sz="6" w:space="0" w:color="auto"/>
            </w:tcBorders>
          </w:tcPr>
          <w:p w14:paraId="23A483A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21.0</w:t>
            </w:r>
          </w:p>
        </w:tc>
        <w:tc>
          <w:tcPr>
            <w:tcW w:w="794" w:type="dxa"/>
            <w:tcBorders>
              <w:bottom w:val="single" w:sz="6" w:space="0" w:color="auto"/>
            </w:tcBorders>
          </w:tcPr>
          <w:p w14:paraId="795AD1B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2C2B461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132CFBF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44D3F3FE"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0436D423" w14:textId="77777777" w:rsidR="008D6F13" w:rsidRDefault="008D6F13" w:rsidP="0031078F">
            <w:r>
              <w:rPr>
                <w:b/>
              </w:rPr>
              <w:t xml:space="preserve">Total output initiatives </w:t>
            </w:r>
            <w:r>
              <w:rPr>
                <w:b/>
                <w:vertAlign w:val="superscript"/>
              </w:rPr>
              <w:t>(b)</w:t>
            </w:r>
          </w:p>
        </w:tc>
        <w:tc>
          <w:tcPr>
            <w:tcW w:w="794" w:type="dxa"/>
          </w:tcPr>
          <w:p w14:paraId="4675009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41.8</w:t>
            </w:r>
          </w:p>
        </w:tc>
        <w:tc>
          <w:tcPr>
            <w:tcW w:w="794" w:type="dxa"/>
          </w:tcPr>
          <w:p w14:paraId="11A5158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3.3</w:t>
            </w:r>
          </w:p>
        </w:tc>
        <w:tc>
          <w:tcPr>
            <w:tcW w:w="794" w:type="dxa"/>
          </w:tcPr>
          <w:p w14:paraId="0536852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Pr>
          <w:p w14:paraId="179EDEBF" w14:textId="50040E59"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w:t>
            </w:r>
          </w:p>
        </w:tc>
      </w:tr>
    </w:tbl>
    <w:p w14:paraId="1244305E" w14:textId="77777777" w:rsidR="008D6F13" w:rsidRDefault="008D6F13" w:rsidP="008D6F13">
      <w:pPr>
        <w:pStyle w:val="Source"/>
      </w:pPr>
      <w:r w:rsidRPr="00252ED7">
        <w:t>Source: Department of Treasury and Finance</w:t>
      </w:r>
    </w:p>
    <w:p w14:paraId="5D003880" w14:textId="77777777" w:rsidR="008D6F13" w:rsidRDefault="008D6F13" w:rsidP="008D6F13">
      <w:pPr>
        <w:pStyle w:val="Note"/>
      </w:pPr>
      <w:r>
        <w:t xml:space="preserve">Notes: </w:t>
      </w:r>
    </w:p>
    <w:p w14:paraId="6C8462BC" w14:textId="77777777" w:rsidR="008D6F13" w:rsidRDefault="008D6F13" w:rsidP="008D6F13">
      <w:pPr>
        <w:pStyle w:val="Note"/>
      </w:pPr>
      <w:r>
        <w:t>(a)</w:t>
      </w:r>
      <w:r>
        <w:tab/>
      </w:r>
      <w:r w:rsidRPr="00DA74B0">
        <w:t xml:space="preserve">This initiative includes </w:t>
      </w:r>
      <w:r>
        <w:t xml:space="preserve">an </w:t>
      </w:r>
      <w:r w:rsidRPr="00DA74B0">
        <w:t>indemnity payment from the Victorian Managed Insurance Authority</w:t>
      </w:r>
      <w:r>
        <w:t xml:space="preserve">. </w:t>
      </w:r>
    </w:p>
    <w:p w14:paraId="2DCCB724" w14:textId="77777777" w:rsidR="008D6F13" w:rsidRDefault="008D6F13" w:rsidP="008D6F13">
      <w:pPr>
        <w:pStyle w:val="Note"/>
      </w:pPr>
      <w:r>
        <w:t>(b)</w:t>
      </w:r>
      <w:r>
        <w:tab/>
      </w:r>
      <w:r w:rsidRPr="002D53CC">
        <w:t>Table may not add due to rounding</w:t>
      </w:r>
      <w:r>
        <w:t xml:space="preserve">. </w:t>
      </w:r>
    </w:p>
    <w:p w14:paraId="219AA8D6" w14:textId="77777777" w:rsidR="008D6F13" w:rsidRDefault="008D6F13" w:rsidP="008D6F13">
      <w:pPr>
        <w:pStyle w:val="Note"/>
        <w:ind w:left="0" w:firstLine="0"/>
      </w:pPr>
    </w:p>
    <w:p w14:paraId="454BDB87" w14:textId="77777777" w:rsidR="008D6F13" w:rsidRDefault="008D6F13" w:rsidP="004E73BC">
      <w:pPr>
        <w:pStyle w:val="Heading5"/>
        <w:spacing w:before="120"/>
      </w:pPr>
      <w:r>
        <w:t>COVID-19 impacts on the transport network</w:t>
      </w:r>
    </w:p>
    <w:p w14:paraId="0A31B651" w14:textId="77777777" w:rsidR="008D6F13" w:rsidRPr="007A1B3C" w:rsidRDefault="008D6F13" w:rsidP="008D6F13">
      <w:r>
        <w:t xml:space="preserve">Funding is provided to address the impacts of the COVID-19 pandemic on the transport network. This includes the expansion of Service Victoria QR codes across the public transport network to support COVID-19 contact tracing, including onboard all trains, </w:t>
      </w:r>
      <w:proofErr w:type="gramStart"/>
      <w:r>
        <w:t>trams</w:t>
      </w:r>
      <w:proofErr w:type="gramEnd"/>
      <w:r>
        <w:t xml:space="preserve"> and buses. </w:t>
      </w:r>
    </w:p>
    <w:p w14:paraId="302C06F6" w14:textId="77777777" w:rsidR="008D6F13" w:rsidRDefault="008D6F13" w:rsidP="008D6F13">
      <w:r>
        <w:t>T</w:t>
      </w:r>
      <w:r w:rsidRPr="00B078B7">
        <w:t>his initiative contributes to the</w:t>
      </w:r>
      <w:r>
        <w:t xml:space="preserve"> Department of Transport’s:</w:t>
      </w:r>
    </w:p>
    <w:p w14:paraId="2413D46D" w14:textId="77777777" w:rsidR="008D6F13" w:rsidRDefault="008D6F13" w:rsidP="008D6F13">
      <w:pPr>
        <w:pStyle w:val="ListBullet"/>
      </w:pPr>
      <w:r>
        <w:t xml:space="preserve">Bus Services – </w:t>
      </w:r>
      <w:proofErr w:type="spellStart"/>
      <w:r>
        <w:t>Statewide</w:t>
      </w:r>
      <w:proofErr w:type="spellEnd"/>
      <w:r>
        <w:t xml:space="preserve"> output</w:t>
      </w:r>
    </w:p>
    <w:p w14:paraId="27C910E6" w14:textId="77777777" w:rsidR="008D6F13" w:rsidRDefault="008D6F13" w:rsidP="008D6F13">
      <w:pPr>
        <w:pStyle w:val="ListBullet"/>
      </w:pPr>
      <w:r>
        <w:t>Train Services – Metropolitan output</w:t>
      </w:r>
    </w:p>
    <w:p w14:paraId="6799FCFA" w14:textId="77777777" w:rsidR="008D6F13" w:rsidRDefault="008D6F13" w:rsidP="008D6F13">
      <w:pPr>
        <w:pStyle w:val="ListBullet"/>
      </w:pPr>
      <w:r>
        <w:t>Train Services – Regional output</w:t>
      </w:r>
    </w:p>
    <w:p w14:paraId="198AF038" w14:textId="77777777" w:rsidR="008D6F13" w:rsidRDefault="008D6F13" w:rsidP="008D6F13">
      <w:pPr>
        <w:pStyle w:val="ListBullet"/>
      </w:pPr>
      <w:r>
        <w:t xml:space="preserve">Train Services – </w:t>
      </w:r>
      <w:proofErr w:type="spellStart"/>
      <w:r>
        <w:t>Statewide</w:t>
      </w:r>
      <w:proofErr w:type="spellEnd"/>
      <w:r>
        <w:t xml:space="preserve"> output</w:t>
      </w:r>
    </w:p>
    <w:p w14:paraId="022E4F51" w14:textId="77777777" w:rsidR="008D6F13" w:rsidRDefault="008D6F13" w:rsidP="008D6F13">
      <w:pPr>
        <w:pStyle w:val="ListBullet"/>
      </w:pPr>
      <w:r>
        <w:t>Tram Services output.</w:t>
      </w:r>
    </w:p>
    <w:p w14:paraId="45A58807" w14:textId="77777777" w:rsidR="008D6F13" w:rsidRDefault="008D6F13" w:rsidP="008D6F13">
      <w:pPr>
        <w:pStyle w:val="Heading4"/>
      </w:pPr>
      <w:r>
        <w:t>Fishing and Boating</w:t>
      </w:r>
    </w:p>
    <w:p w14:paraId="7A6057D2" w14:textId="77777777" w:rsidR="008D6F13" w:rsidRDefault="008D6F13" w:rsidP="004E73BC">
      <w:pPr>
        <w:pStyle w:val="Heading5"/>
        <w:spacing w:before="120"/>
      </w:pPr>
      <w:r>
        <w:t>Better Boating Fund</w:t>
      </w:r>
    </w:p>
    <w:p w14:paraId="5D161DFB" w14:textId="77777777" w:rsidR="008D6F13" w:rsidRDefault="008D6F13" w:rsidP="008D6F13">
      <w:r>
        <w:t xml:space="preserve">Funding is provided for the </w:t>
      </w:r>
      <w:r>
        <w:rPr>
          <w:i/>
          <w:iCs/>
        </w:rPr>
        <w:t xml:space="preserve">Victorian Recreational Boating Action Plan 2021-22 </w:t>
      </w:r>
      <w:r>
        <w:t xml:space="preserve">to improve boating access, promote boating safety, upgrade boating </w:t>
      </w:r>
      <w:proofErr w:type="gramStart"/>
      <w:r>
        <w:t>facilities</w:t>
      </w:r>
      <w:proofErr w:type="gramEnd"/>
      <w:r>
        <w:t xml:space="preserve"> and deliver boating policy reform.</w:t>
      </w:r>
    </w:p>
    <w:p w14:paraId="3489086A" w14:textId="77777777" w:rsidR="008D6F13" w:rsidRPr="00D75AA4" w:rsidRDefault="008D6F13" w:rsidP="008D6F13">
      <w:r>
        <w:t xml:space="preserve">This initiative delivers on the Government’s election commitment as published in </w:t>
      </w:r>
      <w:proofErr w:type="spellStart"/>
      <w:r>
        <w:rPr>
          <w:i/>
          <w:iCs/>
        </w:rPr>
        <w:t>Labor’s</w:t>
      </w:r>
      <w:proofErr w:type="spellEnd"/>
      <w:r>
        <w:rPr>
          <w:i/>
          <w:iCs/>
        </w:rPr>
        <w:t xml:space="preserve"> Financial Statement 2018.</w:t>
      </w:r>
    </w:p>
    <w:p w14:paraId="0814A95F" w14:textId="77777777" w:rsidR="008D6F13" w:rsidRDefault="008D6F13" w:rsidP="008D6F13">
      <w:r>
        <w:t>T</w:t>
      </w:r>
      <w:r w:rsidRPr="00B078B7">
        <w:t>his initiative contributes to the</w:t>
      </w:r>
      <w:r>
        <w:t xml:space="preserve"> Department of Transport’s Fishing and Boating output.</w:t>
      </w:r>
    </w:p>
    <w:p w14:paraId="1BB25357" w14:textId="77777777" w:rsidR="008D6F13" w:rsidRDefault="008D6F13" w:rsidP="008D6F13">
      <w:pPr>
        <w:pStyle w:val="Heading4"/>
      </w:pPr>
      <w:r>
        <w:t>Road Asset Management</w:t>
      </w:r>
    </w:p>
    <w:p w14:paraId="2334026E" w14:textId="77777777" w:rsidR="008D6F13" w:rsidRPr="00D75AA4" w:rsidRDefault="008D6F13" w:rsidP="004E73BC">
      <w:pPr>
        <w:pStyle w:val="Heading5"/>
        <w:spacing w:before="120"/>
      </w:pPr>
      <w:r>
        <w:t>June 2021 flood and storm event – recovery package</w:t>
      </w:r>
    </w:p>
    <w:p w14:paraId="1D4DF6ED" w14:textId="77777777" w:rsidR="008D6F13" w:rsidRDefault="008D6F13" w:rsidP="008D6F13">
      <w:r>
        <w:t>Refer to the Department of Justice and Community Safety for a description of this initiative.</w:t>
      </w:r>
    </w:p>
    <w:p w14:paraId="5306A814" w14:textId="77777777" w:rsidR="008D6F13" w:rsidRDefault="008D6F13" w:rsidP="008D6F13">
      <w:pPr>
        <w:pStyle w:val="Heading20"/>
      </w:pPr>
      <w:r>
        <w:lastRenderedPageBreak/>
        <w:t>Asset initiatives</w:t>
      </w:r>
    </w:p>
    <w:p w14:paraId="416AFA22" w14:textId="77777777" w:rsidR="008D6F13" w:rsidRDefault="008D6F13" w:rsidP="008D6F13">
      <w:pPr>
        <w:pStyle w:val="TableHeading"/>
        <w:spacing w:before="140"/>
      </w:pPr>
      <w:r>
        <w:t>Table A.14:</w:t>
      </w:r>
      <w:r>
        <w:tab/>
        <w:t>Asset initiatives – Department of Transport</w:t>
      </w:r>
      <w:r>
        <w:tab/>
        <w:t>($ million)</w:t>
      </w:r>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08B83659"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400AAF49" w14:textId="41288671" w:rsidR="008D6F13" w:rsidRDefault="008D6F13" w:rsidP="0031078F"/>
        </w:tc>
        <w:tc>
          <w:tcPr>
            <w:tcW w:w="794" w:type="dxa"/>
            <w:tcBorders>
              <w:top w:val="single" w:sz="6" w:space="0" w:color="auto"/>
              <w:bottom w:val="single" w:sz="6" w:space="0" w:color="auto"/>
            </w:tcBorders>
          </w:tcPr>
          <w:p w14:paraId="74F3618D"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p>
        </w:tc>
        <w:tc>
          <w:tcPr>
            <w:tcW w:w="794" w:type="dxa"/>
            <w:tcBorders>
              <w:top w:val="single" w:sz="6" w:space="0" w:color="auto"/>
              <w:bottom w:val="single" w:sz="6" w:space="0" w:color="auto"/>
            </w:tcBorders>
          </w:tcPr>
          <w:p w14:paraId="37F25CDA"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p>
        </w:tc>
        <w:tc>
          <w:tcPr>
            <w:tcW w:w="794" w:type="dxa"/>
            <w:tcBorders>
              <w:top w:val="single" w:sz="6" w:space="0" w:color="auto"/>
              <w:bottom w:val="single" w:sz="6" w:space="0" w:color="auto"/>
            </w:tcBorders>
          </w:tcPr>
          <w:p w14:paraId="67E0F022"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p>
        </w:tc>
        <w:tc>
          <w:tcPr>
            <w:tcW w:w="794" w:type="dxa"/>
            <w:tcBorders>
              <w:top w:val="single" w:sz="6" w:space="0" w:color="auto"/>
              <w:bottom w:val="single" w:sz="6" w:space="0" w:color="auto"/>
            </w:tcBorders>
          </w:tcPr>
          <w:p w14:paraId="3B69397E"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p>
        </w:tc>
        <w:tc>
          <w:tcPr>
            <w:tcW w:w="794" w:type="dxa"/>
            <w:tcBorders>
              <w:top w:val="single" w:sz="6" w:space="0" w:color="auto"/>
              <w:bottom w:val="single" w:sz="6" w:space="0" w:color="auto"/>
            </w:tcBorders>
          </w:tcPr>
          <w:p w14:paraId="4ECF7B40"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TEI</w:t>
            </w:r>
          </w:p>
        </w:tc>
      </w:tr>
      <w:tr w:rsidR="008D6F13" w14:paraId="35EDD6A8"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1E099D9F" w14:textId="77777777" w:rsidR="008D6F13" w:rsidRDefault="008D6F13" w:rsidP="0031078F">
            <w:r>
              <w:rPr>
                <w:b/>
              </w:rPr>
              <w:t>Train Services</w:t>
            </w:r>
          </w:p>
        </w:tc>
        <w:tc>
          <w:tcPr>
            <w:tcW w:w="794" w:type="dxa"/>
            <w:tcBorders>
              <w:top w:val="single" w:sz="6" w:space="0" w:color="auto"/>
            </w:tcBorders>
          </w:tcPr>
          <w:p w14:paraId="71F0937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555E04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A899F2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CAB0D6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592D324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66B707F6"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0050CC38" w14:textId="77777777" w:rsidR="008D6F13" w:rsidRDefault="008D6F13" w:rsidP="0031078F">
            <w:r>
              <w:t xml:space="preserve">85 by 2025 </w:t>
            </w:r>
            <w:r>
              <w:rPr>
                <w:vertAlign w:val="superscript"/>
              </w:rPr>
              <w:t>(a)</w:t>
            </w:r>
          </w:p>
        </w:tc>
        <w:tc>
          <w:tcPr>
            <w:tcW w:w="794" w:type="dxa"/>
            <w:tcBorders>
              <w:bottom w:val="single" w:sz="6" w:space="0" w:color="auto"/>
            </w:tcBorders>
          </w:tcPr>
          <w:p w14:paraId="36B7240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tbc</w:t>
            </w:r>
          </w:p>
        </w:tc>
        <w:tc>
          <w:tcPr>
            <w:tcW w:w="794" w:type="dxa"/>
            <w:tcBorders>
              <w:bottom w:val="single" w:sz="6" w:space="0" w:color="auto"/>
            </w:tcBorders>
          </w:tcPr>
          <w:p w14:paraId="2AED4C4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tbc</w:t>
            </w:r>
          </w:p>
        </w:tc>
        <w:tc>
          <w:tcPr>
            <w:tcW w:w="794" w:type="dxa"/>
            <w:tcBorders>
              <w:bottom w:val="single" w:sz="6" w:space="0" w:color="auto"/>
            </w:tcBorders>
          </w:tcPr>
          <w:p w14:paraId="6C930E3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tbc</w:t>
            </w:r>
          </w:p>
        </w:tc>
        <w:tc>
          <w:tcPr>
            <w:tcW w:w="794" w:type="dxa"/>
            <w:tcBorders>
              <w:bottom w:val="single" w:sz="6" w:space="0" w:color="auto"/>
            </w:tcBorders>
          </w:tcPr>
          <w:p w14:paraId="60951B1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tbc</w:t>
            </w:r>
          </w:p>
        </w:tc>
        <w:tc>
          <w:tcPr>
            <w:tcW w:w="794" w:type="dxa"/>
            <w:tcBorders>
              <w:bottom w:val="single" w:sz="6" w:space="0" w:color="auto"/>
            </w:tcBorders>
          </w:tcPr>
          <w:p w14:paraId="533D035E" w14:textId="0574EE15" w:rsidR="008D6F13" w:rsidRDefault="008D6F13" w:rsidP="0031078F">
            <w:pPr>
              <w:cnfStyle w:val="000000000000" w:firstRow="0" w:lastRow="0" w:firstColumn="0" w:lastColumn="0" w:oddVBand="0" w:evenVBand="0" w:oddHBand="0" w:evenHBand="0" w:firstRowFirstColumn="0" w:firstRowLastColumn="0" w:lastRowFirstColumn="0" w:lastRowLastColumn="0"/>
            </w:pPr>
            <w:r>
              <w:t>2</w:t>
            </w:r>
            <w:r w:rsidR="00A51211">
              <w:t xml:space="preserve"> </w:t>
            </w:r>
            <w:r>
              <w:t>536.0</w:t>
            </w:r>
          </w:p>
        </w:tc>
      </w:tr>
      <w:tr w:rsidR="008D6F13" w14:paraId="15679B2A"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16B947E7" w14:textId="77777777" w:rsidR="008D6F13" w:rsidRDefault="008D6F13" w:rsidP="0031078F">
            <w:r>
              <w:rPr>
                <w:b/>
              </w:rPr>
              <w:t>Total asset initiatives</w:t>
            </w:r>
          </w:p>
        </w:tc>
        <w:tc>
          <w:tcPr>
            <w:tcW w:w="794" w:type="dxa"/>
          </w:tcPr>
          <w:p w14:paraId="5D08331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Pr>
          <w:p w14:paraId="1E9D192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Pr>
          <w:p w14:paraId="0BDBBE0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Pr>
          <w:p w14:paraId="08169F0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Pr>
          <w:p w14:paraId="66DF08F5" w14:textId="71DE589E"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2</w:t>
            </w:r>
            <w:r w:rsidR="00A51211">
              <w:rPr>
                <w:b/>
              </w:rPr>
              <w:t xml:space="preserve"> </w:t>
            </w:r>
            <w:r>
              <w:rPr>
                <w:b/>
              </w:rPr>
              <w:t>536.0</w:t>
            </w:r>
          </w:p>
        </w:tc>
      </w:tr>
    </w:tbl>
    <w:p w14:paraId="42B84CE9" w14:textId="77777777" w:rsidR="008D6F13" w:rsidRDefault="008D6F13" w:rsidP="008D6F13">
      <w:pPr>
        <w:pStyle w:val="Source"/>
        <w:spacing w:after="40"/>
      </w:pPr>
      <w:r w:rsidRPr="00252ED7">
        <w:t>Source: Department of Treasury and Finance</w:t>
      </w:r>
    </w:p>
    <w:p w14:paraId="336B5864" w14:textId="77777777" w:rsidR="008D6F13" w:rsidRDefault="008D6F13" w:rsidP="008D6F13">
      <w:pPr>
        <w:pStyle w:val="Note"/>
      </w:pPr>
      <w:r>
        <w:t xml:space="preserve">Notes: </w:t>
      </w:r>
    </w:p>
    <w:p w14:paraId="382AD4B0" w14:textId="77777777" w:rsidR="008D6F13" w:rsidRDefault="008D6F13" w:rsidP="008D6F13">
      <w:pPr>
        <w:pStyle w:val="Note"/>
      </w:pPr>
      <w:r>
        <w:t>(a)</w:t>
      </w:r>
      <w:r>
        <w:tab/>
      </w:r>
      <w:r w:rsidRPr="00CD7371">
        <w:t>Cashflows to be confirmed following confirmation of final designs and delivery profile of the program</w:t>
      </w:r>
      <w:r>
        <w:t>.</w:t>
      </w:r>
    </w:p>
    <w:p w14:paraId="5E2E2E0A" w14:textId="77777777" w:rsidR="008D6F13" w:rsidRDefault="008D6F13" w:rsidP="008D6F13">
      <w:pPr>
        <w:pStyle w:val="Heading4"/>
      </w:pPr>
      <w:r>
        <w:t>Train Services</w:t>
      </w:r>
    </w:p>
    <w:p w14:paraId="2CA92820" w14:textId="77777777" w:rsidR="008D6F13" w:rsidRPr="00697E16" w:rsidRDefault="008D6F13" w:rsidP="008D6F13">
      <w:pPr>
        <w:pStyle w:val="Heading5"/>
      </w:pPr>
      <w:r>
        <w:t xml:space="preserve">85 by 2025 </w:t>
      </w:r>
    </w:p>
    <w:p w14:paraId="70751C14" w14:textId="77777777" w:rsidR="008D6F13" w:rsidRDefault="008D6F13" w:rsidP="008D6F13">
      <w:r>
        <w:t>A program of 10 additional level crossing removals will build upon the Government’s existing commitment to remove 75 dangerous and congested level crossings in Victoria. These additional level crossing removals will improve travel time, enhance safety, and create more accessible communities across Melbourne.</w:t>
      </w:r>
    </w:p>
    <w:p w14:paraId="57C31DE8" w14:textId="77777777" w:rsidR="008D6F13" w:rsidRDefault="008D6F13" w:rsidP="008D6F13">
      <w:r>
        <w:t>The sites are:</w:t>
      </w:r>
    </w:p>
    <w:p w14:paraId="735F23D2" w14:textId="77777777" w:rsidR="008D6F13" w:rsidRDefault="008D6F13" w:rsidP="008D6F13">
      <w:pPr>
        <w:pStyle w:val="ListBullet"/>
      </w:pPr>
      <w:r>
        <w:t>Bedford Road, Ringwood</w:t>
      </w:r>
    </w:p>
    <w:p w14:paraId="23EE27A0" w14:textId="77777777" w:rsidR="008D6F13" w:rsidRDefault="008D6F13" w:rsidP="008D6F13">
      <w:pPr>
        <w:pStyle w:val="ListBullet"/>
      </w:pPr>
      <w:r>
        <w:t>Brunt Road, Beaconsfield</w:t>
      </w:r>
    </w:p>
    <w:p w14:paraId="0272F42E" w14:textId="77777777" w:rsidR="008D6F13" w:rsidRDefault="008D6F13" w:rsidP="008D6F13">
      <w:pPr>
        <w:pStyle w:val="ListBullet"/>
      </w:pPr>
      <w:r>
        <w:t>Calder Park Drive, Calder Park</w:t>
      </w:r>
    </w:p>
    <w:p w14:paraId="0F0E2E07" w14:textId="77777777" w:rsidR="008D6F13" w:rsidRDefault="008D6F13" w:rsidP="008D6F13">
      <w:pPr>
        <w:pStyle w:val="ListBullet"/>
      </w:pPr>
      <w:proofErr w:type="spellStart"/>
      <w:r>
        <w:t>Coolstore</w:t>
      </w:r>
      <w:proofErr w:type="spellEnd"/>
      <w:r>
        <w:t xml:space="preserve"> Road, Croydon</w:t>
      </w:r>
    </w:p>
    <w:p w14:paraId="2E08878E" w14:textId="77777777" w:rsidR="008D6F13" w:rsidRDefault="008D6F13" w:rsidP="008D6F13">
      <w:pPr>
        <w:pStyle w:val="ListBullet"/>
      </w:pPr>
      <w:r>
        <w:t>Dublin Road, Ringwood East</w:t>
      </w:r>
    </w:p>
    <w:p w14:paraId="1845283B" w14:textId="77777777" w:rsidR="008D6F13" w:rsidRDefault="008D6F13" w:rsidP="008D6F13">
      <w:pPr>
        <w:pStyle w:val="ListBullet"/>
      </w:pPr>
      <w:r>
        <w:t>Keon Parade, Keon Park</w:t>
      </w:r>
    </w:p>
    <w:p w14:paraId="30252A83" w14:textId="77777777" w:rsidR="008D6F13" w:rsidRDefault="008D6F13" w:rsidP="008D6F13">
      <w:pPr>
        <w:pStyle w:val="ListBullet"/>
      </w:pPr>
      <w:r>
        <w:t>Parkers Road, Parkdale</w:t>
      </w:r>
    </w:p>
    <w:p w14:paraId="1CDCBD95" w14:textId="77777777" w:rsidR="008D6F13" w:rsidRDefault="008D6F13" w:rsidP="008D6F13">
      <w:pPr>
        <w:pStyle w:val="ListBullet"/>
      </w:pPr>
      <w:r>
        <w:t>Station Street, Beaconsfield</w:t>
      </w:r>
    </w:p>
    <w:p w14:paraId="5B61B65F" w14:textId="77777777" w:rsidR="008D6F13" w:rsidRDefault="008D6F13" w:rsidP="008D6F13">
      <w:pPr>
        <w:pStyle w:val="ListBullet"/>
      </w:pPr>
      <w:r>
        <w:t>Warrigal Road, Mentone</w:t>
      </w:r>
    </w:p>
    <w:p w14:paraId="4E9E5206" w14:textId="77777777" w:rsidR="008D6F13" w:rsidRPr="007A1B3C" w:rsidRDefault="008D6F13" w:rsidP="008D6F13">
      <w:pPr>
        <w:pStyle w:val="ListBullet"/>
      </w:pPr>
      <w:r>
        <w:t>Webb Street, Narre Warren.</w:t>
      </w:r>
    </w:p>
    <w:p w14:paraId="2ABD7F28" w14:textId="77777777" w:rsidR="008D6F13" w:rsidRDefault="008D6F13" w:rsidP="008D6F13">
      <w:pPr>
        <w:keepNext/>
      </w:pPr>
      <w:r>
        <w:t>T</w:t>
      </w:r>
      <w:r w:rsidRPr="00B078B7">
        <w:t>his initiative contributes to the</w:t>
      </w:r>
      <w:r>
        <w:t xml:space="preserve"> Department of Transport’s:</w:t>
      </w:r>
    </w:p>
    <w:p w14:paraId="42C3E63E" w14:textId="77777777" w:rsidR="008D6F13" w:rsidRDefault="008D6F13" w:rsidP="008D6F13">
      <w:pPr>
        <w:pStyle w:val="ListBullet"/>
      </w:pPr>
      <w:r>
        <w:t>Road Operations output</w:t>
      </w:r>
    </w:p>
    <w:p w14:paraId="7064A1A7" w14:textId="77777777" w:rsidR="008D6F13" w:rsidRDefault="008D6F13" w:rsidP="008D6F13">
      <w:pPr>
        <w:pStyle w:val="ListBullet"/>
      </w:pPr>
      <w:r>
        <w:t>Train Services – Metropolitan output</w:t>
      </w:r>
    </w:p>
    <w:p w14:paraId="5F9A684C" w14:textId="77777777" w:rsidR="008D6F13" w:rsidRDefault="008D6F13" w:rsidP="008D6F13">
      <w:pPr>
        <w:pStyle w:val="ListBullet"/>
      </w:pPr>
      <w:r>
        <w:t>Transport Infrastructure output.</w:t>
      </w:r>
    </w:p>
    <w:p w14:paraId="41A0035A" w14:textId="77777777" w:rsidR="008D6F13" w:rsidRPr="007F7047" w:rsidRDefault="008D6F13" w:rsidP="008D6F13"/>
    <w:p w14:paraId="32AD6212" w14:textId="77777777" w:rsidR="008D6F13" w:rsidRDefault="008D6F13" w:rsidP="008D6F13">
      <w:pPr>
        <w:pStyle w:val="Heading10"/>
      </w:pPr>
      <w:bookmarkStart w:id="192" w:name="_Toc71814119"/>
      <w:bookmarkStart w:id="193" w:name="_Toc89418975"/>
      <w:bookmarkStart w:id="194" w:name="_Toc89419199"/>
      <w:bookmarkStart w:id="195" w:name="_Toc89420157"/>
      <w:bookmarkStart w:id="196" w:name="_Toc89423397"/>
      <w:bookmarkStart w:id="197" w:name="_Toc89423606"/>
      <w:r>
        <w:lastRenderedPageBreak/>
        <w:t>Department of Treasury and Finance</w:t>
      </w:r>
      <w:bookmarkEnd w:id="192"/>
      <w:bookmarkEnd w:id="193"/>
      <w:bookmarkEnd w:id="194"/>
      <w:bookmarkEnd w:id="195"/>
      <w:bookmarkEnd w:id="196"/>
      <w:bookmarkEnd w:id="197"/>
    </w:p>
    <w:p w14:paraId="4098263B" w14:textId="77777777" w:rsidR="008D6F13" w:rsidRDefault="008D6F13" w:rsidP="008D6F13">
      <w:pPr>
        <w:pStyle w:val="Heading20"/>
      </w:pPr>
      <w:r>
        <w:t>Output initiatives</w:t>
      </w:r>
    </w:p>
    <w:p w14:paraId="27FF692C" w14:textId="77777777" w:rsidR="008D6F13" w:rsidRDefault="008D6F13" w:rsidP="008D6F13">
      <w:pPr>
        <w:pStyle w:val="TableHeading"/>
      </w:pPr>
      <w:r>
        <w:t>Table A.15:</w:t>
      </w:r>
      <w:r>
        <w:tab/>
        <w:t>Output initiatives – Department of Treasury and Finance</w:t>
      </w:r>
      <w:r>
        <w:tab/>
        <w:t>($ million)</w:t>
      </w:r>
    </w:p>
    <w:tbl>
      <w:tblPr>
        <w:tblStyle w:val="DTFTableNumeric"/>
        <w:tblW w:w="7710" w:type="dxa"/>
        <w:tblLayout w:type="fixed"/>
        <w:tblLook w:val="06A0" w:firstRow="1" w:lastRow="0" w:firstColumn="1" w:lastColumn="0" w:noHBand="1" w:noVBand="1"/>
      </w:tblPr>
      <w:tblGrid>
        <w:gridCol w:w="4534"/>
        <w:gridCol w:w="794"/>
        <w:gridCol w:w="794"/>
        <w:gridCol w:w="794"/>
        <w:gridCol w:w="794"/>
      </w:tblGrid>
      <w:tr w:rsidR="008D6F13" w14:paraId="3DA3E884"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0C727842" w14:textId="601CAA21" w:rsidR="008D6F13" w:rsidRDefault="008D6F13" w:rsidP="0031078F"/>
        </w:tc>
        <w:tc>
          <w:tcPr>
            <w:tcW w:w="794" w:type="dxa"/>
          </w:tcPr>
          <w:p w14:paraId="1E7C2317"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p>
        </w:tc>
        <w:tc>
          <w:tcPr>
            <w:tcW w:w="794" w:type="dxa"/>
          </w:tcPr>
          <w:p w14:paraId="1B5AFC27"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p>
        </w:tc>
        <w:tc>
          <w:tcPr>
            <w:tcW w:w="794" w:type="dxa"/>
          </w:tcPr>
          <w:p w14:paraId="0C8832FF"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p>
        </w:tc>
        <w:tc>
          <w:tcPr>
            <w:tcW w:w="794" w:type="dxa"/>
          </w:tcPr>
          <w:p w14:paraId="60191768"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p>
        </w:tc>
      </w:tr>
      <w:tr w:rsidR="008D6F13" w14:paraId="13657F68"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541BF3D5" w14:textId="77777777" w:rsidR="008D6F13" w:rsidRDefault="008D6F13" w:rsidP="0031078F">
            <w:r>
              <w:rPr>
                <w:b/>
              </w:rPr>
              <w:t>Commercial and Infrastructure Advice</w:t>
            </w:r>
          </w:p>
        </w:tc>
        <w:tc>
          <w:tcPr>
            <w:tcW w:w="794" w:type="dxa"/>
          </w:tcPr>
          <w:p w14:paraId="4F66111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9AA699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9A25FB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253F95E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08610F35"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37D561C5" w14:textId="77777777" w:rsidR="008D6F13" w:rsidRDefault="008D6F13" w:rsidP="0031078F">
            <w:r>
              <w:t xml:space="preserve">Supporting Victoria’s creative, live </w:t>
            </w:r>
            <w:proofErr w:type="gramStart"/>
            <w:r>
              <w:t>music</w:t>
            </w:r>
            <w:proofErr w:type="gramEnd"/>
            <w:r>
              <w:t xml:space="preserve"> and events sectors</w:t>
            </w:r>
          </w:p>
        </w:tc>
        <w:tc>
          <w:tcPr>
            <w:tcW w:w="794" w:type="dxa"/>
          </w:tcPr>
          <w:p w14:paraId="101483C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10.0</w:t>
            </w:r>
          </w:p>
        </w:tc>
        <w:tc>
          <w:tcPr>
            <w:tcW w:w="794" w:type="dxa"/>
          </w:tcPr>
          <w:p w14:paraId="7E0F5DF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E960C8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D6A76E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489A103C"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0E912512" w14:textId="77777777" w:rsidR="008D6F13" w:rsidRDefault="008D6F13" w:rsidP="0031078F">
            <w:r>
              <w:rPr>
                <w:b/>
              </w:rPr>
              <w:t>Economic and Policy Advice</w:t>
            </w:r>
          </w:p>
        </w:tc>
        <w:tc>
          <w:tcPr>
            <w:tcW w:w="794" w:type="dxa"/>
          </w:tcPr>
          <w:p w14:paraId="7147DB9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CBFDE3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17BD8E6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E0D8AF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453C0F93"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596D9F18" w14:textId="77777777" w:rsidR="008D6F13" w:rsidRDefault="008D6F13" w:rsidP="0031078F">
            <w:r>
              <w:t>Inquiry into economic equity for Victorian women</w:t>
            </w:r>
          </w:p>
        </w:tc>
        <w:tc>
          <w:tcPr>
            <w:tcW w:w="794" w:type="dxa"/>
          </w:tcPr>
          <w:p w14:paraId="5D7D38A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3.0</w:t>
            </w:r>
          </w:p>
        </w:tc>
        <w:tc>
          <w:tcPr>
            <w:tcW w:w="794" w:type="dxa"/>
          </w:tcPr>
          <w:p w14:paraId="27F25B5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7A622A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5B8CD7B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5BF640BD"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2C2E458F" w14:textId="77777777" w:rsidR="008D6F13" w:rsidRDefault="008D6F13" w:rsidP="0031078F">
            <w:r>
              <w:rPr>
                <w:b/>
              </w:rPr>
              <w:t>Invest Victoria</w:t>
            </w:r>
          </w:p>
        </w:tc>
        <w:tc>
          <w:tcPr>
            <w:tcW w:w="794" w:type="dxa"/>
          </w:tcPr>
          <w:p w14:paraId="062F398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CBF64F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591E91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39A722F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1AA837DF"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111E8408" w14:textId="77777777" w:rsidR="008D6F13" w:rsidRDefault="008D6F13" w:rsidP="0031078F">
            <w:r>
              <w:t>Expanded resources for the Victorian Government Trade and Investment Network in the United States</w:t>
            </w:r>
          </w:p>
        </w:tc>
        <w:tc>
          <w:tcPr>
            <w:tcW w:w="794" w:type="dxa"/>
            <w:tcBorders>
              <w:bottom w:val="single" w:sz="6" w:space="0" w:color="auto"/>
            </w:tcBorders>
          </w:tcPr>
          <w:p w14:paraId="5ABBD390"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0.2</w:t>
            </w:r>
          </w:p>
        </w:tc>
        <w:tc>
          <w:tcPr>
            <w:tcW w:w="794" w:type="dxa"/>
            <w:tcBorders>
              <w:bottom w:val="single" w:sz="6" w:space="0" w:color="auto"/>
            </w:tcBorders>
          </w:tcPr>
          <w:p w14:paraId="72B01F0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0.2</w:t>
            </w:r>
          </w:p>
        </w:tc>
        <w:tc>
          <w:tcPr>
            <w:tcW w:w="794" w:type="dxa"/>
            <w:tcBorders>
              <w:bottom w:val="single" w:sz="6" w:space="0" w:color="auto"/>
            </w:tcBorders>
          </w:tcPr>
          <w:p w14:paraId="69A3B9C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0.2</w:t>
            </w:r>
          </w:p>
        </w:tc>
        <w:tc>
          <w:tcPr>
            <w:tcW w:w="794" w:type="dxa"/>
            <w:tcBorders>
              <w:bottom w:val="single" w:sz="6" w:space="0" w:color="auto"/>
            </w:tcBorders>
          </w:tcPr>
          <w:p w14:paraId="491A8D36"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0.2</w:t>
            </w:r>
          </w:p>
        </w:tc>
      </w:tr>
      <w:tr w:rsidR="008D6F13" w14:paraId="31500336"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42742507" w14:textId="77777777" w:rsidR="008D6F13" w:rsidRDefault="008D6F13" w:rsidP="0031078F">
            <w:r>
              <w:rPr>
                <w:b/>
              </w:rPr>
              <w:t xml:space="preserve">Total output initiatives </w:t>
            </w:r>
            <w:r>
              <w:rPr>
                <w:b/>
                <w:vertAlign w:val="superscript"/>
              </w:rPr>
              <w:t>(a)</w:t>
            </w:r>
          </w:p>
        </w:tc>
        <w:tc>
          <w:tcPr>
            <w:tcW w:w="794" w:type="dxa"/>
          </w:tcPr>
          <w:p w14:paraId="7CBD4E2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13.2</w:t>
            </w:r>
          </w:p>
        </w:tc>
        <w:tc>
          <w:tcPr>
            <w:tcW w:w="794" w:type="dxa"/>
          </w:tcPr>
          <w:p w14:paraId="056C8C2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0.2</w:t>
            </w:r>
          </w:p>
        </w:tc>
        <w:tc>
          <w:tcPr>
            <w:tcW w:w="794" w:type="dxa"/>
          </w:tcPr>
          <w:p w14:paraId="304AA25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0.2</w:t>
            </w:r>
          </w:p>
        </w:tc>
        <w:tc>
          <w:tcPr>
            <w:tcW w:w="794" w:type="dxa"/>
          </w:tcPr>
          <w:p w14:paraId="3A42D772" w14:textId="2EE346B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0.2</w:t>
            </w:r>
          </w:p>
        </w:tc>
      </w:tr>
    </w:tbl>
    <w:p w14:paraId="6597FD71" w14:textId="77777777" w:rsidR="008D6F13" w:rsidRDefault="008D6F13" w:rsidP="008D6F13">
      <w:pPr>
        <w:pStyle w:val="Source"/>
      </w:pPr>
      <w:r w:rsidRPr="00252ED7">
        <w:t xml:space="preserve">Source: </w:t>
      </w:r>
      <w:r>
        <w:t>D</w:t>
      </w:r>
      <w:r w:rsidRPr="00252ED7">
        <w:t>epartment of Treasury and Finance</w:t>
      </w:r>
    </w:p>
    <w:p w14:paraId="12E2B531" w14:textId="77777777" w:rsidR="008D6F13" w:rsidRDefault="008D6F13" w:rsidP="008D6F13">
      <w:pPr>
        <w:pStyle w:val="Note"/>
      </w:pPr>
      <w:r>
        <w:t xml:space="preserve">Note: </w:t>
      </w:r>
    </w:p>
    <w:p w14:paraId="1E4DC3D0" w14:textId="77777777" w:rsidR="008D6F13" w:rsidRDefault="008D6F13" w:rsidP="008D6F13">
      <w:pPr>
        <w:pStyle w:val="Note"/>
      </w:pPr>
      <w:r>
        <w:t xml:space="preserve">(a) </w:t>
      </w:r>
      <w:r>
        <w:tab/>
      </w:r>
      <w:r w:rsidRPr="00B82015">
        <w:t>Table may not add due to rounding.</w:t>
      </w:r>
    </w:p>
    <w:p w14:paraId="285DC015" w14:textId="77777777" w:rsidR="008D6F13" w:rsidRDefault="008D6F13" w:rsidP="008D6F13">
      <w:pPr>
        <w:pStyle w:val="Heading4"/>
      </w:pPr>
      <w:r>
        <w:t>Commercial and Infrastructure Advice</w:t>
      </w:r>
    </w:p>
    <w:p w14:paraId="2F9E9DFA" w14:textId="77777777" w:rsidR="008D6F13" w:rsidRDefault="008D6F13" w:rsidP="008D6F13">
      <w:pPr>
        <w:pStyle w:val="Heading5"/>
      </w:pPr>
      <w:r w:rsidRPr="003A7864">
        <w:t xml:space="preserve">Supporting Victoria’s creative, live </w:t>
      </w:r>
      <w:proofErr w:type="gramStart"/>
      <w:r w:rsidRPr="003A7864">
        <w:t>music</w:t>
      </w:r>
      <w:proofErr w:type="gramEnd"/>
      <w:r w:rsidRPr="003A7864">
        <w:t xml:space="preserve"> and events sectors</w:t>
      </w:r>
    </w:p>
    <w:p w14:paraId="731F4A12" w14:textId="77777777" w:rsidR="008D6F13" w:rsidRPr="00F21F2E" w:rsidRDefault="008D6F13" w:rsidP="008D6F13">
      <w:r>
        <w:t>Refer to the Department of Jobs, Precincts and Regions for a description of this initiative.</w:t>
      </w:r>
    </w:p>
    <w:p w14:paraId="126994F8" w14:textId="77777777" w:rsidR="008D6F13" w:rsidRDefault="008D6F13" w:rsidP="008D6F13">
      <w:pPr>
        <w:pStyle w:val="Heading4"/>
      </w:pPr>
      <w:r>
        <w:t>Economic and Policy Advice</w:t>
      </w:r>
    </w:p>
    <w:p w14:paraId="7784AE74" w14:textId="77777777" w:rsidR="008D6F13" w:rsidRPr="00697E16" w:rsidRDefault="008D6F13" w:rsidP="008D6F13">
      <w:pPr>
        <w:pStyle w:val="Heading5"/>
      </w:pPr>
      <w:r w:rsidRPr="00EC5F1E">
        <w:t>Inquiry into economic equity for Victorian women</w:t>
      </w:r>
    </w:p>
    <w:p w14:paraId="38259978" w14:textId="77777777" w:rsidR="008D6F13" w:rsidRDefault="008D6F13" w:rsidP="008D6F13">
      <w:r>
        <w:t xml:space="preserve">Funding is provided to establish an independent inquiry into economic equity for Victorian women to address long-standing systemic inequalities and find solutions for problems such as unequal pay and workplace barriers to women’s success. </w:t>
      </w:r>
    </w:p>
    <w:p w14:paraId="157D57DA" w14:textId="77777777" w:rsidR="008D6F13" w:rsidRDefault="008D6F13" w:rsidP="008D6F13">
      <w:r>
        <w:t>This initiative contributes to the Department of Treasury and Finance’s Economic and Policy Advice output.</w:t>
      </w:r>
    </w:p>
    <w:p w14:paraId="04A01613" w14:textId="77777777" w:rsidR="008D6F13" w:rsidRPr="003C6534" w:rsidRDefault="008D6F13" w:rsidP="008D6F13">
      <w:pPr>
        <w:pStyle w:val="Heading4"/>
      </w:pPr>
      <w:r w:rsidRPr="003C6534">
        <w:t>Invest Victoria</w:t>
      </w:r>
    </w:p>
    <w:p w14:paraId="0C7B7C25" w14:textId="77777777" w:rsidR="008D6F13" w:rsidRPr="003C6534" w:rsidRDefault="008D6F13" w:rsidP="008D6F13">
      <w:pPr>
        <w:pStyle w:val="Heading5"/>
      </w:pPr>
      <w:r w:rsidRPr="003C6534">
        <w:t xml:space="preserve">Expanded </w:t>
      </w:r>
      <w:r>
        <w:t>r</w:t>
      </w:r>
      <w:r w:rsidRPr="003C6534">
        <w:t>esources for the Victorian Government Trade and Investment Network in the United States</w:t>
      </w:r>
    </w:p>
    <w:p w14:paraId="7856557B" w14:textId="77777777" w:rsidR="008D6F13" w:rsidRDefault="008D6F13" w:rsidP="008D6F13">
      <w:r>
        <w:t>Refer to the Department of Jobs, Precincts and Regions for a description of this initiative.</w:t>
      </w:r>
    </w:p>
    <w:p w14:paraId="231A38CF" w14:textId="77777777" w:rsidR="008D6F13" w:rsidRDefault="008D6F13" w:rsidP="008D6F13"/>
    <w:p w14:paraId="4002310B" w14:textId="77777777" w:rsidR="008D6F13" w:rsidRDefault="008D6F13" w:rsidP="008D6F13">
      <w:pPr>
        <w:pStyle w:val="Heading10"/>
      </w:pPr>
      <w:bookmarkStart w:id="198" w:name="_Toc71814120"/>
      <w:bookmarkStart w:id="199" w:name="_Toc89418976"/>
      <w:bookmarkStart w:id="200" w:name="_Toc89419200"/>
      <w:bookmarkStart w:id="201" w:name="_Toc89420158"/>
      <w:bookmarkStart w:id="202" w:name="_Toc89423398"/>
      <w:bookmarkStart w:id="203" w:name="_Toc89423607"/>
      <w:r>
        <w:lastRenderedPageBreak/>
        <w:t>Parliament</w:t>
      </w:r>
      <w:bookmarkStart w:id="204" w:name="_Toc71814121"/>
      <w:bookmarkEnd w:id="198"/>
      <w:bookmarkEnd w:id="199"/>
      <w:bookmarkEnd w:id="200"/>
      <w:bookmarkEnd w:id="201"/>
      <w:bookmarkEnd w:id="202"/>
      <w:bookmarkEnd w:id="203"/>
    </w:p>
    <w:p w14:paraId="2F2056A7" w14:textId="77777777" w:rsidR="008D6F13" w:rsidRDefault="008D6F13" w:rsidP="008D6F13">
      <w:pPr>
        <w:pStyle w:val="Heading20"/>
      </w:pPr>
      <w:r>
        <w:t>Output initiatives</w:t>
      </w:r>
    </w:p>
    <w:p w14:paraId="06A90E7A" w14:textId="77777777" w:rsidR="008D6F13" w:rsidRDefault="008D6F13" w:rsidP="008D6F13">
      <w:pPr>
        <w:pStyle w:val="TableHeading"/>
      </w:pPr>
      <w:r>
        <w:t>Table A.16:</w:t>
      </w:r>
      <w:r>
        <w:tab/>
        <w:t>Output initiatives – Parliament</w:t>
      </w:r>
      <w:r>
        <w:tab/>
        <w:t>($ million)</w:t>
      </w:r>
    </w:p>
    <w:tbl>
      <w:tblPr>
        <w:tblStyle w:val="DTFTableNumeric"/>
        <w:tblW w:w="7710" w:type="dxa"/>
        <w:tblLayout w:type="fixed"/>
        <w:tblLook w:val="06A0" w:firstRow="1" w:lastRow="0" w:firstColumn="1" w:lastColumn="0" w:noHBand="1" w:noVBand="1"/>
      </w:tblPr>
      <w:tblGrid>
        <w:gridCol w:w="4534"/>
        <w:gridCol w:w="794"/>
        <w:gridCol w:w="794"/>
        <w:gridCol w:w="794"/>
        <w:gridCol w:w="794"/>
      </w:tblGrid>
      <w:tr w:rsidR="008D6F13" w14:paraId="495201E3"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1E9D0E94" w14:textId="021E1977" w:rsidR="008D6F13" w:rsidRDefault="008D6F13" w:rsidP="0031078F"/>
        </w:tc>
        <w:tc>
          <w:tcPr>
            <w:tcW w:w="794" w:type="dxa"/>
          </w:tcPr>
          <w:p w14:paraId="0A44F659"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p>
        </w:tc>
        <w:tc>
          <w:tcPr>
            <w:tcW w:w="794" w:type="dxa"/>
          </w:tcPr>
          <w:p w14:paraId="12AB58C0"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p>
        </w:tc>
        <w:tc>
          <w:tcPr>
            <w:tcW w:w="794" w:type="dxa"/>
          </w:tcPr>
          <w:p w14:paraId="52787BDD"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p>
        </w:tc>
        <w:tc>
          <w:tcPr>
            <w:tcW w:w="794" w:type="dxa"/>
          </w:tcPr>
          <w:p w14:paraId="7334BD60"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p>
        </w:tc>
      </w:tr>
      <w:tr w:rsidR="008D6F13" w14:paraId="1A6AA41A"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6A1F3E99" w14:textId="77777777" w:rsidR="008D6F13" w:rsidRDefault="008D6F13" w:rsidP="0031078F">
            <w:r>
              <w:rPr>
                <w:b/>
              </w:rPr>
              <w:t>Public Sector Integrity</w:t>
            </w:r>
          </w:p>
        </w:tc>
        <w:tc>
          <w:tcPr>
            <w:tcW w:w="794" w:type="dxa"/>
          </w:tcPr>
          <w:p w14:paraId="4BB16B5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06EE64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69861D0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59151F9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7A014995"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082639AA" w14:textId="77777777" w:rsidR="008D6F13" w:rsidRDefault="008D6F13" w:rsidP="0031078F">
            <w:r>
              <w:t>Supporting Victoria’s integrity agencies</w:t>
            </w:r>
          </w:p>
        </w:tc>
        <w:tc>
          <w:tcPr>
            <w:tcW w:w="794" w:type="dxa"/>
            <w:tcBorders>
              <w:bottom w:val="single" w:sz="6" w:space="0" w:color="auto"/>
            </w:tcBorders>
          </w:tcPr>
          <w:p w14:paraId="3D7ED56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8.3</w:t>
            </w:r>
          </w:p>
        </w:tc>
        <w:tc>
          <w:tcPr>
            <w:tcW w:w="794" w:type="dxa"/>
            <w:tcBorders>
              <w:bottom w:val="single" w:sz="6" w:space="0" w:color="auto"/>
            </w:tcBorders>
          </w:tcPr>
          <w:p w14:paraId="45CE5F9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1935BEA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3DE0F41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w:t>
            </w:r>
          </w:p>
        </w:tc>
      </w:tr>
      <w:tr w:rsidR="008D6F13" w14:paraId="15616CC5"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1E70C58D" w14:textId="77777777" w:rsidR="008D6F13" w:rsidRDefault="008D6F13" w:rsidP="0031078F">
            <w:r>
              <w:rPr>
                <w:b/>
              </w:rPr>
              <w:t>Total output initiatives</w:t>
            </w:r>
          </w:p>
        </w:tc>
        <w:tc>
          <w:tcPr>
            <w:tcW w:w="794" w:type="dxa"/>
          </w:tcPr>
          <w:p w14:paraId="675785C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8.3</w:t>
            </w:r>
          </w:p>
        </w:tc>
        <w:tc>
          <w:tcPr>
            <w:tcW w:w="794" w:type="dxa"/>
          </w:tcPr>
          <w:p w14:paraId="23B39E5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Pr>
          <w:p w14:paraId="3CCE969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Pr>
          <w:p w14:paraId="5C7526E1" w14:textId="5AA835A0"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w:t>
            </w:r>
          </w:p>
        </w:tc>
      </w:tr>
    </w:tbl>
    <w:p w14:paraId="55966BAD" w14:textId="77777777" w:rsidR="008D6F13" w:rsidRDefault="008D6F13" w:rsidP="008D6F13">
      <w:pPr>
        <w:pStyle w:val="Source"/>
      </w:pPr>
      <w:r w:rsidRPr="00252ED7">
        <w:t xml:space="preserve">Source: </w:t>
      </w:r>
      <w:r>
        <w:t>D</w:t>
      </w:r>
      <w:r w:rsidRPr="00252ED7">
        <w:t>epartment of Treasury and Finance</w:t>
      </w:r>
    </w:p>
    <w:p w14:paraId="06ADA8D6" w14:textId="77777777" w:rsidR="008D6F13" w:rsidRDefault="008D6F13" w:rsidP="008D6F13">
      <w:pPr>
        <w:pStyle w:val="Heading4"/>
      </w:pPr>
      <w:r>
        <w:t>Public Sector Integrity</w:t>
      </w:r>
    </w:p>
    <w:p w14:paraId="4F32DD2D" w14:textId="77777777" w:rsidR="008D6F13" w:rsidRPr="00697E16" w:rsidRDefault="008D6F13" w:rsidP="008D6F13">
      <w:pPr>
        <w:pStyle w:val="Heading5"/>
      </w:pPr>
      <w:r w:rsidRPr="001E303C">
        <w:t>Supporting Victoria’s integrity agencies</w:t>
      </w:r>
    </w:p>
    <w:p w14:paraId="6D5BF377" w14:textId="77777777" w:rsidR="008D6F13" w:rsidRDefault="008D6F13" w:rsidP="008D6F13">
      <w:r>
        <w:t>Funding is provided to support immediate demand challenges faced by the Independent Broad-based Anti-</w:t>
      </w:r>
      <w:proofErr w:type="gramStart"/>
      <w:r>
        <w:t>corruption</w:t>
      </w:r>
      <w:proofErr w:type="gramEnd"/>
      <w:r>
        <w:t xml:space="preserve"> Commission (IBAC), including greater investigative capacity to better target and the assess high-risk cases where a full investigation is warranted. Additional funding is also provided to the Victorian Ombudsman’s office to help ensure it can effectively undertake responsibilities and functions as legislatively mandated.</w:t>
      </w:r>
    </w:p>
    <w:p w14:paraId="7B98208D" w14:textId="77777777" w:rsidR="008D6F13" w:rsidRDefault="008D6F13" w:rsidP="008D6F13">
      <w:r>
        <w:t>T</w:t>
      </w:r>
      <w:r w:rsidRPr="00B078B7">
        <w:t>his initiative contributes to the</w:t>
      </w:r>
      <w:r>
        <w:t xml:space="preserve"> </w:t>
      </w:r>
      <w:r w:rsidRPr="006C4237">
        <w:t>Parliament’s Public Sector Integrity</w:t>
      </w:r>
      <w:r>
        <w:t xml:space="preserve"> output.</w:t>
      </w:r>
    </w:p>
    <w:bookmarkEnd w:id="204"/>
    <w:p w14:paraId="1625B909" w14:textId="77777777" w:rsidR="008D6F13" w:rsidRPr="007F7047" w:rsidRDefault="008D6F13" w:rsidP="008D6F13"/>
    <w:p w14:paraId="403852D4" w14:textId="77777777" w:rsidR="008D6F13" w:rsidRDefault="008D6F13" w:rsidP="004E73BC">
      <w:pPr>
        <w:pStyle w:val="Heading10"/>
        <w:pageBreakBefore/>
      </w:pPr>
      <w:bookmarkStart w:id="205" w:name="_Toc89418977"/>
      <w:bookmarkStart w:id="206" w:name="_Toc89419201"/>
      <w:bookmarkStart w:id="207" w:name="_Toc89420159"/>
      <w:bookmarkStart w:id="208" w:name="_Toc89423399"/>
      <w:bookmarkStart w:id="209" w:name="_Toc89423608"/>
      <w:r>
        <w:lastRenderedPageBreak/>
        <w:t>Court Services Victoria</w:t>
      </w:r>
      <w:bookmarkEnd w:id="205"/>
      <w:bookmarkEnd w:id="206"/>
      <w:bookmarkEnd w:id="207"/>
      <w:bookmarkEnd w:id="208"/>
      <w:bookmarkEnd w:id="209"/>
    </w:p>
    <w:p w14:paraId="4BCE7092" w14:textId="77777777" w:rsidR="008D6F13" w:rsidRDefault="008D6F13" w:rsidP="008D6F13">
      <w:pPr>
        <w:pStyle w:val="Heading20"/>
      </w:pPr>
      <w:r>
        <w:t>Output initiatives</w:t>
      </w:r>
    </w:p>
    <w:p w14:paraId="49C17DE9" w14:textId="77777777" w:rsidR="008D6F13" w:rsidRDefault="008D6F13" w:rsidP="008D6F13">
      <w:pPr>
        <w:pStyle w:val="TableHeading"/>
      </w:pPr>
      <w:r>
        <w:t>Table A.17:</w:t>
      </w:r>
      <w:r>
        <w:tab/>
        <w:t>Output initiatives – Court Services Victoria</w:t>
      </w:r>
      <w:r>
        <w:tab/>
        <w:t>($ million)</w:t>
      </w:r>
    </w:p>
    <w:tbl>
      <w:tblPr>
        <w:tblStyle w:val="DTFTableNumeric"/>
        <w:tblW w:w="7710" w:type="dxa"/>
        <w:tblLayout w:type="fixed"/>
        <w:tblLook w:val="06A0" w:firstRow="1" w:lastRow="0" w:firstColumn="1" w:lastColumn="0" w:noHBand="1" w:noVBand="1"/>
      </w:tblPr>
      <w:tblGrid>
        <w:gridCol w:w="4534"/>
        <w:gridCol w:w="794"/>
        <w:gridCol w:w="794"/>
        <w:gridCol w:w="794"/>
        <w:gridCol w:w="794"/>
      </w:tblGrid>
      <w:tr w:rsidR="008D6F13" w14:paraId="7808EF72"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1F082A90" w14:textId="48D7BFC9" w:rsidR="008D6F13" w:rsidRDefault="008D6F13" w:rsidP="0031078F"/>
        </w:tc>
        <w:tc>
          <w:tcPr>
            <w:tcW w:w="794" w:type="dxa"/>
          </w:tcPr>
          <w:p w14:paraId="1755A4C4"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p>
        </w:tc>
        <w:tc>
          <w:tcPr>
            <w:tcW w:w="794" w:type="dxa"/>
          </w:tcPr>
          <w:p w14:paraId="4B9EAD7F"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p>
        </w:tc>
        <w:tc>
          <w:tcPr>
            <w:tcW w:w="794" w:type="dxa"/>
          </w:tcPr>
          <w:p w14:paraId="2172C71E"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p>
        </w:tc>
        <w:tc>
          <w:tcPr>
            <w:tcW w:w="794" w:type="dxa"/>
          </w:tcPr>
          <w:p w14:paraId="4B4D858A"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p>
        </w:tc>
      </w:tr>
      <w:tr w:rsidR="008D6F13" w14:paraId="03ED4583"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09D6F356" w14:textId="77777777" w:rsidR="008D6F13" w:rsidRDefault="008D6F13" w:rsidP="0031078F">
            <w:r>
              <w:rPr>
                <w:b/>
              </w:rPr>
              <w:t>Courts</w:t>
            </w:r>
          </w:p>
        </w:tc>
        <w:tc>
          <w:tcPr>
            <w:tcW w:w="794" w:type="dxa"/>
          </w:tcPr>
          <w:p w14:paraId="1641D4B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768ABD0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4382D77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Pr>
          <w:p w14:paraId="0D90B7F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09A14163"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40906577" w14:textId="77777777" w:rsidR="008D6F13" w:rsidRDefault="008D6F13" w:rsidP="0031078F">
            <w:r>
              <w:t>Dandenong Specialist Children’s Court</w:t>
            </w:r>
          </w:p>
        </w:tc>
        <w:tc>
          <w:tcPr>
            <w:tcW w:w="794" w:type="dxa"/>
          </w:tcPr>
          <w:p w14:paraId="7E916CE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0.5</w:t>
            </w:r>
          </w:p>
        </w:tc>
        <w:tc>
          <w:tcPr>
            <w:tcW w:w="794" w:type="dxa"/>
          </w:tcPr>
          <w:p w14:paraId="2C0AEE1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3.7</w:t>
            </w:r>
          </w:p>
        </w:tc>
        <w:tc>
          <w:tcPr>
            <w:tcW w:w="794" w:type="dxa"/>
          </w:tcPr>
          <w:p w14:paraId="3A5D006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4.7</w:t>
            </w:r>
          </w:p>
        </w:tc>
        <w:tc>
          <w:tcPr>
            <w:tcW w:w="794" w:type="dxa"/>
          </w:tcPr>
          <w:p w14:paraId="1CE49E7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4.7</w:t>
            </w:r>
          </w:p>
        </w:tc>
      </w:tr>
      <w:tr w:rsidR="008D6F13" w14:paraId="74D101EF" w14:textId="77777777" w:rsidTr="0031078F">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0A561EE0" w14:textId="77777777" w:rsidR="008D6F13" w:rsidRDefault="008D6F13" w:rsidP="0031078F">
            <w:r>
              <w:t>Replacement Accommodation for Court Services Victoria</w:t>
            </w:r>
          </w:p>
        </w:tc>
        <w:tc>
          <w:tcPr>
            <w:tcW w:w="794" w:type="dxa"/>
            <w:tcBorders>
              <w:bottom w:val="single" w:sz="6" w:space="0" w:color="auto"/>
            </w:tcBorders>
          </w:tcPr>
          <w:p w14:paraId="24EB3BC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3.0</w:t>
            </w:r>
          </w:p>
        </w:tc>
        <w:tc>
          <w:tcPr>
            <w:tcW w:w="794" w:type="dxa"/>
            <w:tcBorders>
              <w:bottom w:val="single" w:sz="6" w:space="0" w:color="auto"/>
            </w:tcBorders>
          </w:tcPr>
          <w:p w14:paraId="6F6161A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5.6</w:t>
            </w:r>
          </w:p>
        </w:tc>
        <w:tc>
          <w:tcPr>
            <w:tcW w:w="794" w:type="dxa"/>
            <w:tcBorders>
              <w:bottom w:val="single" w:sz="6" w:space="0" w:color="auto"/>
            </w:tcBorders>
          </w:tcPr>
          <w:p w14:paraId="05EB9F55"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5.3</w:t>
            </w:r>
          </w:p>
        </w:tc>
        <w:tc>
          <w:tcPr>
            <w:tcW w:w="794" w:type="dxa"/>
            <w:tcBorders>
              <w:bottom w:val="single" w:sz="6" w:space="0" w:color="auto"/>
            </w:tcBorders>
          </w:tcPr>
          <w:p w14:paraId="3B4C2FC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5.4</w:t>
            </w:r>
          </w:p>
        </w:tc>
      </w:tr>
      <w:tr w:rsidR="008D6F13" w14:paraId="70F32014" w14:textId="77777777" w:rsidTr="0031078F">
        <w:tc>
          <w:tcPr>
            <w:cnfStyle w:val="001000000000" w:firstRow="0" w:lastRow="0" w:firstColumn="1" w:lastColumn="0" w:oddVBand="0" w:evenVBand="0" w:oddHBand="0" w:evenHBand="0" w:firstRowFirstColumn="0" w:firstRowLastColumn="0" w:lastRowFirstColumn="0" w:lastRowLastColumn="0"/>
            <w:tcW w:w="4534" w:type="dxa"/>
          </w:tcPr>
          <w:p w14:paraId="11443393" w14:textId="77777777" w:rsidR="008D6F13" w:rsidRDefault="008D6F13" w:rsidP="0031078F">
            <w:r>
              <w:rPr>
                <w:b/>
              </w:rPr>
              <w:t xml:space="preserve">Total output initiatives </w:t>
            </w:r>
            <w:r>
              <w:rPr>
                <w:b/>
                <w:vertAlign w:val="superscript"/>
              </w:rPr>
              <w:t>(a)</w:t>
            </w:r>
          </w:p>
        </w:tc>
        <w:tc>
          <w:tcPr>
            <w:tcW w:w="794" w:type="dxa"/>
          </w:tcPr>
          <w:p w14:paraId="007B4AB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3.5</w:t>
            </w:r>
          </w:p>
        </w:tc>
        <w:tc>
          <w:tcPr>
            <w:tcW w:w="794" w:type="dxa"/>
          </w:tcPr>
          <w:p w14:paraId="14EE572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9.2</w:t>
            </w:r>
          </w:p>
        </w:tc>
        <w:tc>
          <w:tcPr>
            <w:tcW w:w="794" w:type="dxa"/>
          </w:tcPr>
          <w:p w14:paraId="169232A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9.9</w:t>
            </w:r>
          </w:p>
        </w:tc>
        <w:tc>
          <w:tcPr>
            <w:tcW w:w="794" w:type="dxa"/>
          </w:tcPr>
          <w:p w14:paraId="01AD506D" w14:textId="029C7F99"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10.1</w:t>
            </w:r>
          </w:p>
        </w:tc>
      </w:tr>
    </w:tbl>
    <w:p w14:paraId="3A22837C" w14:textId="77777777" w:rsidR="008D6F13" w:rsidRDefault="008D6F13" w:rsidP="008D6F13">
      <w:pPr>
        <w:pStyle w:val="Source"/>
      </w:pPr>
      <w:r w:rsidRPr="00252ED7">
        <w:t>Source: Department of Treasury and Finance</w:t>
      </w:r>
    </w:p>
    <w:p w14:paraId="591B07AF" w14:textId="77777777" w:rsidR="008D6F13" w:rsidRDefault="008D6F13" w:rsidP="008D6F13">
      <w:pPr>
        <w:pStyle w:val="Note"/>
      </w:pPr>
      <w:r>
        <w:t xml:space="preserve">Note: </w:t>
      </w:r>
    </w:p>
    <w:p w14:paraId="7D02A408" w14:textId="77777777" w:rsidR="008D6F13" w:rsidRDefault="008D6F13" w:rsidP="008D6F13">
      <w:pPr>
        <w:pStyle w:val="Note"/>
      </w:pPr>
      <w:r>
        <w:t>(a)</w:t>
      </w:r>
      <w:r>
        <w:tab/>
      </w:r>
      <w:r w:rsidRPr="00C00C24">
        <w:t>Table</w:t>
      </w:r>
      <w:r w:rsidRPr="00B82015">
        <w:t xml:space="preserve"> may not add due to rounding.</w:t>
      </w:r>
    </w:p>
    <w:p w14:paraId="695BB07A" w14:textId="77777777" w:rsidR="008D6F13" w:rsidRDefault="008D6F13" w:rsidP="008D6F13">
      <w:pPr>
        <w:pStyle w:val="Heading4"/>
      </w:pPr>
      <w:r>
        <w:t>Courts</w:t>
      </w:r>
    </w:p>
    <w:p w14:paraId="7D8E35F9" w14:textId="77777777" w:rsidR="008D6F13" w:rsidRPr="00472246" w:rsidRDefault="008D6F13" w:rsidP="008D6F13">
      <w:pPr>
        <w:pStyle w:val="Heading4"/>
        <w:rPr>
          <w:b/>
          <w:i w:val="0"/>
          <w:sz w:val="21"/>
        </w:rPr>
      </w:pPr>
      <w:r w:rsidRPr="00DC4E67">
        <w:rPr>
          <w:b/>
          <w:i w:val="0"/>
          <w:sz w:val="21"/>
        </w:rPr>
        <w:t>Dandenong Specialist Children’s Court</w:t>
      </w:r>
    </w:p>
    <w:p w14:paraId="53B982BF" w14:textId="77777777" w:rsidR="008D6F13" w:rsidRDefault="008D6F13" w:rsidP="008D6F13">
      <w:r>
        <w:t xml:space="preserve">Refer to the asset initiative for a description of this initiative. </w:t>
      </w:r>
    </w:p>
    <w:p w14:paraId="0ED9CBCE" w14:textId="77777777" w:rsidR="008D6F13" w:rsidRPr="00472246" w:rsidRDefault="008D6F13" w:rsidP="008D6F13">
      <w:pPr>
        <w:rPr>
          <w:rFonts w:asciiTheme="majorHAnsi" w:eastAsiaTheme="majorEastAsia" w:hAnsiTheme="majorHAnsi" w:cstheme="majorBidi"/>
          <w:b/>
          <w:iCs/>
          <w:sz w:val="21"/>
          <w:szCs w:val="26"/>
        </w:rPr>
      </w:pPr>
      <w:r w:rsidRPr="00472246">
        <w:rPr>
          <w:rFonts w:asciiTheme="majorHAnsi" w:eastAsiaTheme="majorEastAsia" w:hAnsiTheme="majorHAnsi" w:cstheme="majorBidi"/>
          <w:b/>
          <w:iCs/>
          <w:sz w:val="21"/>
          <w:szCs w:val="26"/>
        </w:rPr>
        <w:t>Replacement Accommodation for Court Service</w:t>
      </w:r>
      <w:r>
        <w:rPr>
          <w:rFonts w:asciiTheme="majorHAnsi" w:eastAsiaTheme="majorEastAsia" w:hAnsiTheme="majorHAnsi" w:cstheme="majorBidi"/>
          <w:b/>
          <w:iCs/>
          <w:sz w:val="21"/>
          <w:szCs w:val="26"/>
        </w:rPr>
        <w:t>s</w:t>
      </w:r>
      <w:r w:rsidRPr="00472246">
        <w:rPr>
          <w:rFonts w:asciiTheme="majorHAnsi" w:eastAsiaTheme="majorEastAsia" w:hAnsiTheme="majorHAnsi" w:cstheme="majorBidi"/>
          <w:b/>
          <w:iCs/>
          <w:sz w:val="21"/>
          <w:szCs w:val="26"/>
        </w:rPr>
        <w:t xml:space="preserve"> Victoria</w:t>
      </w:r>
    </w:p>
    <w:p w14:paraId="546C5F53" w14:textId="77777777" w:rsidR="008D6F13" w:rsidRDefault="008D6F13" w:rsidP="008D6F13">
      <w:r>
        <w:t>Refer to the asset initiative for a description of this initiative.</w:t>
      </w:r>
    </w:p>
    <w:p w14:paraId="5C91C38D" w14:textId="77777777" w:rsidR="008D6F13" w:rsidRDefault="008D6F13" w:rsidP="008D6F13">
      <w:pPr>
        <w:rPr>
          <w:rFonts w:asciiTheme="majorHAnsi" w:eastAsiaTheme="majorEastAsia" w:hAnsiTheme="majorHAnsi" w:cstheme="majorBidi"/>
          <w:b/>
          <w:spacing w:val="-2"/>
          <w:sz w:val="26"/>
          <w:szCs w:val="26"/>
        </w:rPr>
      </w:pPr>
      <w:r>
        <w:br w:type="page"/>
      </w:r>
    </w:p>
    <w:p w14:paraId="5F07CE3D" w14:textId="77777777" w:rsidR="008D6F13" w:rsidRDefault="008D6F13" w:rsidP="008D6F13">
      <w:pPr>
        <w:pStyle w:val="Heading20"/>
      </w:pPr>
      <w:r>
        <w:lastRenderedPageBreak/>
        <w:t>Asset initiatives</w:t>
      </w:r>
    </w:p>
    <w:p w14:paraId="497FE814" w14:textId="77777777" w:rsidR="008D6F13" w:rsidRDefault="008D6F13" w:rsidP="008D6F13">
      <w:pPr>
        <w:pStyle w:val="TableHeading"/>
      </w:pPr>
      <w:r>
        <w:t>Table A.18:</w:t>
      </w:r>
      <w:r>
        <w:tab/>
        <w:t>Asset initiatives – Court Services Victoria</w:t>
      </w:r>
      <w:r>
        <w:tab/>
        <w:t>($ million)</w:t>
      </w:r>
    </w:p>
    <w:tbl>
      <w:tblPr>
        <w:tblStyle w:val="DTFTableNumeric"/>
        <w:tblW w:w="7710" w:type="dxa"/>
        <w:tblLayout w:type="fixed"/>
        <w:tblLook w:val="06A0" w:firstRow="1" w:lastRow="0" w:firstColumn="1" w:lastColumn="0" w:noHBand="1" w:noVBand="1"/>
      </w:tblPr>
      <w:tblGrid>
        <w:gridCol w:w="3740"/>
        <w:gridCol w:w="794"/>
        <w:gridCol w:w="794"/>
        <w:gridCol w:w="794"/>
        <w:gridCol w:w="794"/>
        <w:gridCol w:w="794"/>
      </w:tblGrid>
      <w:tr w:rsidR="008D6F13" w14:paraId="6841A72E" w14:textId="77777777" w:rsidTr="003107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bottom w:val="single" w:sz="6" w:space="0" w:color="auto"/>
            </w:tcBorders>
          </w:tcPr>
          <w:p w14:paraId="4AF73303" w14:textId="1E5E7059" w:rsidR="008D6F13" w:rsidRDefault="008D6F13" w:rsidP="0031078F"/>
        </w:tc>
        <w:tc>
          <w:tcPr>
            <w:tcW w:w="794" w:type="dxa"/>
            <w:tcBorders>
              <w:top w:val="single" w:sz="6" w:space="0" w:color="auto"/>
              <w:bottom w:val="single" w:sz="6" w:space="0" w:color="auto"/>
            </w:tcBorders>
          </w:tcPr>
          <w:p w14:paraId="086CDB93"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2021</w:t>
            </w:r>
            <w:r>
              <w:noBreakHyphen/>
              <w:t>22</w:t>
            </w:r>
          </w:p>
        </w:tc>
        <w:tc>
          <w:tcPr>
            <w:tcW w:w="794" w:type="dxa"/>
            <w:tcBorders>
              <w:top w:val="single" w:sz="6" w:space="0" w:color="auto"/>
              <w:bottom w:val="single" w:sz="6" w:space="0" w:color="auto"/>
            </w:tcBorders>
          </w:tcPr>
          <w:p w14:paraId="533055F1"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2022</w:t>
            </w:r>
            <w:r>
              <w:noBreakHyphen/>
              <w:t>23</w:t>
            </w:r>
          </w:p>
        </w:tc>
        <w:tc>
          <w:tcPr>
            <w:tcW w:w="794" w:type="dxa"/>
            <w:tcBorders>
              <w:top w:val="single" w:sz="6" w:space="0" w:color="auto"/>
              <w:bottom w:val="single" w:sz="6" w:space="0" w:color="auto"/>
            </w:tcBorders>
          </w:tcPr>
          <w:p w14:paraId="005DD998"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2023</w:t>
            </w:r>
            <w:r>
              <w:noBreakHyphen/>
              <w:t>24</w:t>
            </w:r>
          </w:p>
        </w:tc>
        <w:tc>
          <w:tcPr>
            <w:tcW w:w="794" w:type="dxa"/>
            <w:tcBorders>
              <w:top w:val="single" w:sz="6" w:space="0" w:color="auto"/>
              <w:bottom w:val="single" w:sz="6" w:space="0" w:color="auto"/>
            </w:tcBorders>
          </w:tcPr>
          <w:p w14:paraId="2B7143EF"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2024</w:t>
            </w:r>
            <w:r>
              <w:noBreakHyphen/>
              <w:t>25</w:t>
            </w:r>
          </w:p>
        </w:tc>
        <w:tc>
          <w:tcPr>
            <w:tcW w:w="794" w:type="dxa"/>
            <w:tcBorders>
              <w:top w:val="single" w:sz="6" w:space="0" w:color="auto"/>
              <w:bottom w:val="single" w:sz="6" w:space="0" w:color="auto"/>
            </w:tcBorders>
          </w:tcPr>
          <w:p w14:paraId="3347E5A5" w14:textId="77777777" w:rsidR="008D6F13" w:rsidRDefault="008D6F13" w:rsidP="0031078F">
            <w:pPr>
              <w:cnfStyle w:val="100000000000" w:firstRow="1" w:lastRow="0" w:firstColumn="0" w:lastColumn="0" w:oddVBand="0" w:evenVBand="0" w:oddHBand="0" w:evenHBand="0" w:firstRowFirstColumn="0" w:firstRowLastColumn="0" w:lastRowFirstColumn="0" w:lastRowLastColumn="0"/>
            </w:pPr>
            <w:r>
              <w:t>TEI</w:t>
            </w:r>
          </w:p>
        </w:tc>
      </w:tr>
      <w:tr w:rsidR="008D6F13" w14:paraId="4DDF3930"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top w:val="single" w:sz="6" w:space="0" w:color="auto"/>
            </w:tcBorders>
          </w:tcPr>
          <w:p w14:paraId="39B7916A" w14:textId="77777777" w:rsidR="008D6F13" w:rsidRDefault="008D6F13" w:rsidP="0031078F">
            <w:r>
              <w:rPr>
                <w:b/>
              </w:rPr>
              <w:t>Courts</w:t>
            </w:r>
          </w:p>
        </w:tc>
        <w:tc>
          <w:tcPr>
            <w:tcW w:w="794" w:type="dxa"/>
            <w:tcBorders>
              <w:top w:val="single" w:sz="6" w:space="0" w:color="auto"/>
            </w:tcBorders>
          </w:tcPr>
          <w:p w14:paraId="52525318"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B4A936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7061F3A"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0E8C61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D0542C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p>
        </w:tc>
      </w:tr>
      <w:tr w:rsidR="008D6F13" w14:paraId="77157DF1"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07A1BFAE" w14:textId="77777777" w:rsidR="008D6F13" w:rsidRDefault="008D6F13" w:rsidP="0031078F">
            <w:r>
              <w:t>Dandenong Specialist Children’s Court</w:t>
            </w:r>
          </w:p>
        </w:tc>
        <w:tc>
          <w:tcPr>
            <w:tcW w:w="794" w:type="dxa"/>
          </w:tcPr>
          <w:p w14:paraId="6343367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2.0</w:t>
            </w:r>
          </w:p>
        </w:tc>
        <w:tc>
          <w:tcPr>
            <w:tcW w:w="794" w:type="dxa"/>
          </w:tcPr>
          <w:p w14:paraId="248EA07F"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10.9</w:t>
            </w:r>
          </w:p>
        </w:tc>
        <w:tc>
          <w:tcPr>
            <w:tcW w:w="794" w:type="dxa"/>
          </w:tcPr>
          <w:p w14:paraId="0EAFF35E"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w:t>
            </w:r>
          </w:p>
        </w:tc>
        <w:tc>
          <w:tcPr>
            <w:tcW w:w="794" w:type="dxa"/>
          </w:tcPr>
          <w:p w14:paraId="0F181EB7"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1.2</w:t>
            </w:r>
          </w:p>
        </w:tc>
        <w:tc>
          <w:tcPr>
            <w:tcW w:w="794" w:type="dxa"/>
          </w:tcPr>
          <w:p w14:paraId="2B5F037C"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29.0</w:t>
            </w:r>
          </w:p>
        </w:tc>
      </w:tr>
      <w:tr w:rsidR="008D6F13" w14:paraId="7B079C2D" w14:textId="77777777" w:rsidTr="0031078F">
        <w:tc>
          <w:tcPr>
            <w:cnfStyle w:val="001000000000" w:firstRow="0" w:lastRow="0" w:firstColumn="1" w:lastColumn="0" w:oddVBand="0" w:evenVBand="0" w:oddHBand="0" w:evenHBand="0" w:firstRowFirstColumn="0" w:firstRowLastColumn="0" w:lastRowFirstColumn="0" w:lastRowLastColumn="0"/>
            <w:tcW w:w="3740" w:type="dxa"/>
            <w:tcBorders>
              <w:bottom w:val="single" w:sz="6" w:space="0" w:color="auto"/>
            </w:tcBorders>
          </w:tcPr>
          <w:p w14:paraId="0E8D74D9" w14:textId="77777777" w:rsidR="008D6F13" w:rsidRDefault="008D6F13" w:rsidP="0031078F">
            <w:r>
              <w:t>Replacement Accommodation for Court Services Victoria</w:t>
            </w:r>
          </w:p>
        </w:tc>
        <w:tc>
          <w:tcPr>
            <w:tcW w:w="794" w:type="dxa"/>
            <w:tcBorders>
              <w:bottom w:val="single" w:sz="6" w:space="0" w:color="auto"/>
            </w:tcBorders>
          </w:tcPr>
          <w:p w14:paraId="63C86AB1"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71.4</w:t>
            </w:r>
          </w:p>
        </w:tc>
        <w:tc>
          <w:tcPr>
            <w:tcW w:w="794" w:type="dxa"/>
            <w:tcBorders>
              <w:bottom w:val="single" w:sz="6" w:space="0" w:color="auto"/>
            </w:tcBorders>
          </w:tcPr>
          <w:p w14:paraId="1AB1FB8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6.4</w:t>
            </w:r>
          </w:p>
        </w:tc>
        <w:tc>
          <w:tcPr>
            <w:tcW w:w="794" w:type="dxa"/>
            <w:tcBorders>
              <w:bottom w:val="single" w:sz="6" w:space="0" w:color="auto"/>
            </w:tcBorders>
          </w:tcPr>
          <w:p w14:paraId="390BC4E9"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5.1</w:t>
            </w:r>
          </w:p>
        </w:tc>
        <w:tc>
          <w:tcPr>
            <w:tcW w:w="794" w:type="dxa"/>
            <w:tcBorders>
              <w:bottom w:val="single" w:sz="6" w:space="0" w:color="auto"/>
            </w:tcBorders>
          </w:tcPr>
          <w:p w14:paraId="138DE814"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5.1</w:t>
            </w:r>
          </w:p>
        </w:tc>
        <w:tc>
          <w:tcPr>
            <w:tcW w:w="794" w:type="dxa"/>
            <w:tcBorders>
              <w:bottom w:val="single" w:sz="6" w:space="0" w:color="auto"/>
            </w:tcBorders>
          </w:tcPr>
          <w:p w14:paraId="460CFB0B"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t>96.3</w:t>
            </w:r>
          </w:p>
        </w:tc>
      </w:tr>
      <w:tr w:rsidR="008D6F13" w14:paraId="5199C796" w14:textId="77777777" w:rsidTr="0031078F">
        <w:tc>
          <w:tcPr>
            <w:cnfStyle w:val="001000000000" w:firstRow="0" w:lastRow="0" w:firstColumn="1" w:lastColumn="0" w:oddVBand="0" w:evenVBand="0" w:oddHBand="0" w:evenHBand="0" w:firstRowFirstColumn="0" w:firstRowLastColumn="0" w:lastRowFirstColumn="0" w:lastRowLastColumn="0"/>
            <w:tcW w:w="3740" w:type="dxa"/>
          </w:tcPr>
          <w:p w14:paraId="6DFF599D" w14:textId="77777777" w:rsidR="008D6F13" w:rsidRDefault="008D6F13" w:rsidP="0031078F">
            <w:r>
              <w:rPr>
                <w:b/>
              </w:rPr>
              <w:t xml:space="preserve">Total asset initiatives </w:t>
            </w:r>
            <w:r>
              <w:rPr>
                <w:b/>
                <w:vertAlign w:val="superscript"/>
              </w:rPr>
              <w:t>(a)</w:t>
            </w:r>
          </w:p>
        </w:tc>
        <w:tc>
          <w:tcPr>
            <w:tcW w:w="794" w:type="dxa"/>
          </w:tcPr>
          <w:p w14:paraId="781DD232"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73.4</w:t>
            </w:r>
          </w:p>
        </w:tc>
        <w:tc>
          <w:tcPr>
            <w:tcW w:w="794" w:type="dxa"/>
          </w:tcPr>
          <w:p w14:paraId="2B15B33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17.3</w:t>
            </w:r>
          </w:p>
        </w:tc>
        <w:tc>
          <w:tcPr>
            <w:tcW w:w="794" w:type="dxa"/>
          </w:tcPr>
          <w:p w14:paraId="7A89F45D"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6.3</w:t>
            </w:r>
          </w:p>
        </w:tc>
        <w:tc>
          <w:tcPr>
            <w:tcW w:w="794" w:type="dxa"/>
          </w:tcPr>
          <w:p w14:paraId="19707F63" w14:textId="77777777"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6.3</w:t>
            </w:r>
          </w:p>
        </w:tc>
        <w:tc>
          <w:tcPr>
            <w:tcW w:w="794" w:type="dxa"/>
          </w:tcPr>
          <w:p w14:paraId="0BD3A626" w14:textId="676164A1" w:rsidR="008D6F13" w:rsidRDefault="008D6F13" w:rsidP="0031078F">
            <w:pPr>
              <w:cnfStyle w:val="000000000000" w:firstRow="0" w:lastRow="0" w:firstColumn="0" w:lastColumn="0" w:oddVBand="0" w:evenVBand="0" w:oddHBand="0" w:evenHBand="0" w:firstRowFirstColumn="0" w:firstRowLastColumn="0" w:lastRowFirstColumn="0" w:lastRowLastColumn="0"/>
            </w:pPr>
            <w:r>
              <w:rPr>
                <w:b/>
              </w:rPr>
              <w:t>125.3</w:t>
            </w:r>
          </w:p>
        </w:tc>
      </w:tr>
    </w:tbl>
    <w:p w14:paraId="138A9FC9" w14:textId="77777777" w:rsidR="008D6F13" w:rsidRDefault="008D6F13" w:rsidP="008D6F13">
      <w:pPr>
        <w:pStyle w:val="Source"/>
      </w:pPr>
      <w:r w:rsidRPr="00252ED7">
        <w:t>Source: Department of Treasury and Finance</w:t>
      </w:r>
      <w:r>
        <w:t xml:space="preserve"> </w:t>
      </w:r>
    </w:p>
    <w:p w14:paraId="482090C6" w14:textId="77777777" w:rsidR="008D6F13" w:rsidRDefault="008D6F13" w:rsidP="008D6F13">
      <w:pPr>
        <w:pStyle w:val="Note"/>
      </w:pPr>
      <w:r>
        <w:t xml:space="preserve">Note: </w:t>
      </w:r>
    </w:p>
    <w:p w14:paraId="245EE2F5" w14:textId="77777777" w:rsidR="008D6F13" w:rsidRDefault="008D6F13" w:rsidP="008D6F13">
      <w:pPr>
        <w:pStyle w:val="Note"/>
      </w:pPr>
      <w:r>
        <w:t>(a)</w:t>
      </w:r>
      <w:r>
        <w:tab/>
      </w:r>
      <w:r w:rsidRPr="003816A5">
        <w:t>Table may not add due to rounding.</w:t>
      </w:r>
    </w:p>
    <w:p w14:paraId="6735A17A" w14:textId="77777777" w:rsidR="008D6F13" w:rsidRDefault="008D6F13" w:rsidP="008D6F13">
      <w:pPr>
        <w:pStyle w:val="Heading4"/>
      </w:pPr>
      <w:r>
        <w:t>Courts</w:t>
      </w:r>
    </w:p>
    <w:p w14:paraId="0F80A24F" w14:textId="77777777" w:rsidR="008D6F13" w:rsidRPr="00697E16" w:rsidRDefault="008D6F13" w:rsidP="008D6F13">
      <w:pPr>
        <w:pStyle w:val="Heading5"/>
      </w:pPr>
      <w:bookmarkStart w:id="210" w:name="_Hlk87614738"/>
      <w:r w:rsidRPr="00DC4E67">
        <w:t>Dandenong Specialist Children’s Court</w:t>
      </w:r>
    </w:p>
    <w:bookmarkEnd w:id="210"/>
    <w:p w14:paraId="54DF7422" w14:textId="77777777" w:rsidR="008D6F13" w:rsidRDefault="008D6F13" w:rsidP="008D6F13">
      <w:r>
        <w:t xml:space="preserve">Funding is provided for a new specialist children’s court to meet ongoing demand for justice services in Melbourne’s south-east and improve the court experience and outcomes for children, </w:t>
      </w:r>
      <w:proofErr w:type="gramStart"/>
      <w:r>
        <w:t>families</w:t>
      </w:r>
      <w:proofErr w:type="gramEnd"/>
      <w:r>
        <w:t xml:space="preserve"> and young offenders. The new specialist court will feature onsite access to therapeutic services and capacity to separate and directly support vulnerable victims and witnesses of family violence. </w:t>
      </w:r>
    </w:p>
    <w:p w14:paraId="1B77287A" w14:textId="77777777" w:rsidR="008D6F13" w:rsidRDefault="008D6F13" w:rsidP="008D6F13">
      <w:r>
        <w:t>This initiative contributes to Court Services Victoria’s Courts output.</w:t>
      </w:r>
    </w:p>
    <w:p w14:paraId="455887EB" w14:textId="77777777" w:rsidR="008D6F13" w:rsidRPr="00472246" w:rsidRDefault="008D6F13" w:rsidP="008D6F13">
      <w:pPr>
        <w:rPr>
          <w:rFonts w:asciiTheme="majorHAnsi" w:eastAsiaTheme="majorEastAsia" w:hAnsiTheme="majorHAnsi" w:cstheme="majorBidi"/>
          <w:b/>
          <w:iCs/>
          <w:sz w:val="21"/>
          <w:szCs w:val="26"/>
        </w:rPr>
      </w:pPr>
      <w:r w:rsidRPr="00472246">
        <w:rPr>
          <w:rFonts w:asciiTheme="majorHAnsi" w:eastAsiaTheme="majorEastAsia" w:hAnsiTheme="majorHAnsi" w:cstheme="majorBidi"/>
          <w:b/>
          <w:iCs/>
          <w:sz w:val="21"/>
          <w:szCs w:val="26"/>
        </w:rPr>
        <w:t>Replacement Accommodation for Court Service</w:t>
      </w:r>
      <w:r>
        <w:rPr>
          <w:rFonts w:asciiTheme="majorHAnsi" w:eastAsiaTheme="majorEastAsia" w:hAnsiTheme="majorHAnsi" w:cstheme="majorBidi"/>
          <w:b/>
          <w:iCs/>
          <w:sz w:val="21"/>
          <w:szCs w:val="26"/>
        </w:rPr>
        <w:t>s</w:t>
      </w:r>
      <w:r w:rsidRPr="00472246">
        <w:rPr>
          <w:rFonts w:asciiTheme="majorHAnsi" w:eastAsiaTheme="majorEastAsia" w:hAnsiTheme="majorHAnsi" w:cstheme="majorBidi"/>
          <w:b/>
          <w:iCs/>
          <w:sz w:val="21"/>
          <w:szCs w:val="26"/>
        </w:rPr>
        <w:t xml:space="preserve"> Victoria</w:t>
      </w:r>
    </w:p>
    <w:p w14:paraId="706313AA" w14:textId="77777777" w:rsidR="008D6F13" w:rsidRDefault="008D6F13" w:rsidP="008D6F13">
      <w:r>
        <w:t xml:space="preserve">Funding is provided for design and construction activities and rental expenses related to Court Services Victoria moving services and staff to new accommodation following the unplanned closure of 436 Lonsdale Street Melbourne due to building safety issues. </w:t>
      </w:r>
    </w:p>
    <w:p w14:paraId="23F66409" w14:textId="77777777" w:rsidR="008D6F13" w:rsidRDefault="008D6F13" w:rsidP="008D6F13">
      <w:r>
        <w:t>This initiative contributes to Court Services Victoria’s Courts output.</w:t>
      </w:r>
    </w:p>
    <w:p w14:paraId="0AEE0233" w14:textId="37E87C74" w:rsidR="008D6F13" w:rsidRDefault="008D6F13">
      <w:pPr>
        <w:keepLines w:val="0"/>
      </w:pPr>
    </w:p>
    <w:p w14:paraId="74C28A81" w14:textId="77777777" w:rsidR="008D6F13" w:rsidRDefault="008D6F13" w:rsidP="003610AD"/>
    <w:p w14:paraId="7B0960DC" w14:textId="31D5DE6B" w:rsidR="008D6F13" w:rsidRDefault="008D6F13" w:rsidP="003610AD">
      <w:pPr>
        <w:sectPr w:rsidR="008D6F13" w:rsidSect="008D6F13">
          <w:footerReference w:type="even" r:id="rId55"/>
          <w:footerReference w:type="default" r:id="rId56"/>
          <w:footerReference w:type="first" r:id="rId57"/>
          <w:pgSz w:w="9979" w:h="14175" w:code="9"/>
          <w:pgMar w:top="1134" w:right="1134" w:bottom="1134" w:left="1134" w:header="624" w:footer="567" w:gutter="0"/>
          <w:cols w:space="708"/>
          <w:docGrid w:linePitch="360"/>
        </w:sectPr>
      </w:pPr>
    </w:p>
    <w:p w14:paraId="5F26FCB2" w14:textId="77777777" w:rsidR="008D6F13" w:rsidRDefault="008D6F13" w:rsidP="008D6F13">
      <w:pPr>
        <w:pStyle w:val="ChapterHeading"/>
      </w:pPr>
      <w:bookmarkStart w:id="211" w:name="_Toc89423609"/>
      <w:r>
        <w:lastRenderedPageBreak/>
        <w:t xml:space="preserve">Appendix B – </w:t>
      </w:r>
      <w:bookmarkStart w:id="212" w:name="_Hlk87461184"/>
      <w:r>
        <w:t>Amendments to the 2021-22 output performance measures</w:t>
      </w:r>
      <w:bookmarkEnd w:id="211"/>
      <w:bookmarkEnd w:id="212"/>
    </w:p>
    <w:p w14:paraId="75B91B0B" w14:textId="77777777" w:rsidR="008D6F13" w:rsidRDefault="008D6F13" w:rsidP="008D6F13">
      <w:r>
        <w:t xml:space="preserve">Output measures for all departments were published in Chapter 2 and Appendix A of Budget Paper No. 3 </w:t>
      </w:r>
      <w:r w:rsidRPr="00DF3859">
        <w:rPr>
          <w:i/>
          <w:iCs/>
        </w:rPr>
        <w:t>Service Delivery</w:t>
      </w:r>
      <w:r>
        <w:t xml:space="preserve">. The Public Accounts and Estimates Committee has completed its review of the measures which were substantially changed or proposed to be </w:t>
      </w:r>
      <w:proofErr w:type="gramStart"/>
      <w:r>
        <w:t>discontinued, and</w:t>
      </w:r>
      <w:proofErr w:type="gramEnd"/>
      <w:r>
        <w:t xml:space="preserve"> tabled its report in Parliament on 5 October 2021. The Government will consider the Committee’s report and respond to the recommendations within the legislated timeline. All agreed changes to output performance measures will be reflected in the next budget publication.</w:t>
      </w:r>
    </w:p>
    <w:p w14:paraId="34DEAE90" w14:textId="77777777" w:rsidR="008D6F13" w:rsidRDefault="008D6F13" w:rsidP="003610AD"/>
    <w:p w14:paraId="31E8D139" w14:textId="5DDB8CEC" w:rsidR="003A6C27" w:rsidRDefault="003A6C27">
      <w:pPr>
        <w:keepLines w:val="0"/>
      </w:pPr>
      <w:r>
        <w:br w:type="page"/>
      </w:r>
    </w:p>
    <w:p w14:paraId="6571C981" w14:textId="77777777" w:rsidR="003A6C27" w:rsidRDefault="003A6C27" w:rsidP="003610AD"/>
    <w:p w14:paraId="4ABA25EE" w14:textId="624E0063" w:rsidR="003A6C27" w:rsidRDefault="003A6C27" w:rsidP="003610AD">
      <w:pPr>
        <w:sectPr w:rsidR="003A6C27" w:rsidSect="008D6F13">
          <w:footerReference w:type="even" r:id="rId58"/>
          <w:footerReference w:type="default" r:id="rId59"/>
          <w:pgSz w:w="9979" w:h="14175" w:code="9"/>
          <w:pgMar w:top="1134" w:right="1134" w:bottom="1134" w:left="1134" w:header="624" w:footer="567" w:gutter="0"/>
          <w:cols w:space="708"/>
          <w:docGrid w:linePitch="360"/>
        </w:sectPr>
      </w:pPr>
    </w:p>
    <w:p w14:paraId="69DFAA5D" w14:textId="77777777" w:rsidR="008D6F13" w:rsidRPr="00031635" w:rsidRDefault="008D6F13" w:rsidP="008D6F13">
      <w:pPr>
        <w:pStyle w:val="ChapterHeading"/>
      </w:pPr>
      <w:bookmarkStart w:id="213" w:name="_Toc89423610"/>
      <w:r w:rsidRPr="00031635">
        <w:lastRenderedPageBreak/>
        <w:t>Appendix C – Tax expenditures and concessions</w:t>
      </w:r>
      <w:bookmarkEnd w:id="213"/>
    </w:p>
    <w:p w14:paraId="449794EA" w14:textId="77777777" w:rsidR="008D6F13" w:rsidRPr="00031635" w:rsidRDefault="008D6F13" w:rsidP="008D6F13">
      <w:r w:rsidRPr="00031635">
        <w:t xml:space="preserve">Tax expenditures and concessions represent forgone revenue to the State. They take </w:t>
      </w:r>
      <w:proofErr w:type="gramStart"/>
      <w:r w:rsidRPr="00031635">
        <w:t>a number of</w:t>
      </w:r>
      <w:proofErr w:type="gramEnd"/>
      <w:r w:rsidRPr="00031635">
        <w:t xml:space="preserve"> different forms, </w:t>
      </w:r>
      <w:r>
        <w:t>including</w:t>
      </w:r>
      <w:r w:rsidRPr="00031635">
        <w:t xml:space="preserve"> exemptions, benefits and incentives delivered through the tax system. Regardless of </w:t>
      </w:r>
      <w:r>
        <w:t xml:space="preserve">the </w:t>
      </w:r>
      <w:r w:rsidRPr="00031635">
        <w:t>form</w:t>
      </w:r>
      <w:r>
        <w:t xml:space="preserve"> they take</w:t>
      </w:r>
      <w:r w:rsidRPr="00031635">
        <w:t>, they preferentially benefit certain taxpayers, activities or assets compared with normal taxation treatment.</w:t>
      </w:r>
    </w:p>
    <w:p w14:paraId="0638BAC4" w14:textId="77777777" w:rsidR="008D6F13" w:rsidRPr="00031635" w:rsidRDefault="008D6F13" w:rsidP="008D6F13">
      <w:pPr>
        <w:pStyle w:val="Heading10"/>
      </w:pPr>
      <w:bookmarkStart w:id="214" w:name="_Toc89419204"/>
      <w:bookmarkStart w:id="215" w:name="_Toc89420162"/>
      <w:bookmarkStart w:id="216" w:name="_Toc89423402"/>
      <w:bookmarkStart w:id="217" w:name="_Toc89423611"/>
      <w:r w:rsidRPr="00031635">
        <w:t>Tax expenditures</w:t>
      </w:r>
      <w:bookmarkEnd w:id="214"/>
      <w:bookmarkEnd w:id="215"/>
      <w:bookmarkEnd w:id="216"/>
      <w:bookmarkEnd w:id="217"/>
    </w:p>
    <w:p w14:paraId="496197F1" w14:textId="77777777" w:rsidR="008D6F13" w:rsidRPr="00031635" w:rsidRDefault="008D6F13" w:rsidP="008D6F13">
      <w:r w:rsidRPr="00031635">
        <w:t>Tax expenditures are estimated by taking the difference between the reduced tax paid by a person or entity receiving preferential treatment and the tax paid by taxpayers who do not receive that treatment. Benefits arising from marginal tax rates and tax-free thresholds are not considered to be tax expenditures, since they apply to all taxpayers. Accordingly, they are not included in this section.</w:t>
      </w:r>
    </w:p>
    <w:p w14:paraId="400ECEDE" w14:textId="77777777" w:rsidR="008D6F13" w:rsidRPr="00031635" w:rsidRDefault="008D6F13" w:rsidP="008D6F13">
      <w:pPr>
        <w:ind w:right="-86"/>
      </w:pPr>
      <w:r w:rsidRPr="00031635">
        <w:t xml:space="preserve">Over the past decade, the State has forgone $67.4 billion in revenue from tax expenditures. In 2021-22, tax expenditures are forecast to be about $11.1 billion. </w:t>
      </w:r>
    </w:p>
    <w:p w14:paraId="1322FE15" w14:textId="595660C2" w:rsidR="008D6F13" w:rsidRPr="00031635" w:rsidRDefault="008D6F13" w:rsidP="00E84CF3">
      <w:pPr>
        <w:ind w:right="198"/>
      </w:pPr>
      <w:r w:rsidRPr="00031635">
        <w:t xml:space="preserve">The tax expenditures outlined below include exemptions, reduced rates and deductions or rebates of tax for a certain type of taxpayer, </w:t>
      </w:r>
      <w:proofErr w:type="gramStart"/>
      <w:r w:rsidRPr="00031635">
        <w:t>activity</w:t>
      </w:r>
      <w:proofErr w:type="gramEnd"/>
      <w:r w:rsidRPr="00031635">
        <w:t xml:space="preserve"> or asset. Table C.1 aggregates tax expenditure estimates by the main tax categories for the period 202</w:t>
      </w:r>
      <w:r>
        <w:t>1</w:t>
      </w:r>
      <w:r w:rsidRPr="00031635">
        <w:t>-2</w:t>
      </w:r>
      <w:r>
        <w:t>2</w:t>
      </w:r>
      <w:r w:rsidRPr="00031635">
        <w:t xml:space="preserve"> to 2024-25. In</w:t>
      </w:r>
      <w:r w:rsidR="00E84CF3">
        <w:t> </w:t>
      </w:r>
      <w:r w:rsidRPr="00031635">
        <w:t>estimating tax expenditures, it is assumed that taxpayer behaviour is unchanged by the concession.</w:t>
      </w:r>
    </w:p>
    <w:p w14:paraId="283EBE06" w14:textId="77777777" w:rsidR="008D6F13" w:rsidRPr="00031635" w:rsidRDefault="008D6F13" w:rsidP="008D6F13">
      <w:pPr>
        <w:pStyle w:val="TableHeading"/>
      </w:pPr>
      <w:r w:rsidRPr="00031635">
        <w:t>Table C.1:</w:t>
      </w:r>
      <w:r w:rsidRPr="00031635">
        <w:tab/>
        <w:t xml:space="preserve">Estimates of aggregate tax expenditures by type of tax </w:t>
      </w:r>
      <w:r w:rsidRPr="00031635">
        <w:rPr>
          <w:vertAlign w:val="superscript"/>
        </w:rPr>
        <w:t>(a)</w:t>
      </w:r>
      <w:r w:rsidRPr="00031635">
        <w:tab/>
        <w:t>($ million)</w:t>
      </w:r>
    </w:p>
    <w:tbl>
      <w:tblPr>
        <w:tblStyle w:val="DTFTableNumeric"/>
        <w:tblW w:w="7711" w:type="dxa"/>
        <w:tblLook w:val="06E0" w:firstRow="1" w:lastRow="1" w:firstColumn="1" w:lastColumn="0" w:noHBand="1" w:noVBand="1"/>
      </w:tblPr>
      <w:tblGrid>
        <w:gridCol w:w="3415"/>
        <w:gridCol w:w="1074"/>
        <w:gridCol w:w="1074"/>
        <w:gridCol w:w="1074"/>
        <w:gridCol w:w="1074"/>
      </w:tblGrid>
      <w:tr w:rsidR="008D6F13" w:rsidRPr="00E84CF3" w14:paraId="4637E529" w14:textId="77777777" w:rsidTr="00E84CF3">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296" w:type="dxa"/>
            <w:noWrap/>
            <w:hideMark/>
          </w:tcPr>
          <w:p w14:paraId="0A0CC400" w14:textId="77777777" w:rsidR="008D6F13" w:rsidRPr="00E84CF3" w:rsidRDefault="008D6F13" w:rsidP="00E84CF3">
            <w:pPr>
              <w:ind w:left="0" w:firstLine="0"/>
            </w:pPr>
            <w:r w:rsidRPr="00E84CF3">
              <w:t>Description</w:t>
            </w:r>
          </w:p>
        </w:tc>
        <w:tc>
          <w:tcPr>
            <w:tcW w:w="1036" w:type="dxa"/>
            <w:noWrap/>
            <w:hideMark/>
          </w:tcPr>
          <w:p w14:paraId="26C7E2FB" w14:textId="77777777" w:rsidR="008D6F13" w:rsidRPr="00E84CF3" w:rsidRDefault="008D6F13" w:rsidP="00E84CF3">
            <w:pPr>
              <w:cnfStyle w:val="100000000000" w:firstRow="1" w:lastRow="0" w:firstColumn="0" w:lastColumn="0" w:oddVBand="0" w:evenVBand="0" w:oddHBand="0" w:evenHBand="0" w:firstRowFirstColumn="0" w:firstRowLastColumn="0" w:lastRowFirstColumn="0" w:lastRowLastColumn="0"/>
            </w:pPr>
            <w:r w:rsidRPr="00E84CF3">
              <w:t>2021-22</w:t>
            </w:r>
          </w:p>
        </w:tc>
        <w:tc>
          <w:tcPr>
            <w:tcW w:w="1036" w:type="dxa"/>
            <w:noWrap/>
            <w:hideMark/>
          </w:tcPr>
          <w:p w14:paraId="5D5B8CC0" w14:textId="77777777" w:rsidR="008D6F13" w:rsidRPr="00E84CF3" w:rsidRDefault="008D6F13" w:rsidP="00E84CF3">
            <w:pPr>
              <w:cnfStyle w:val="100000000000" w:firstRow="1" w:lastRow="0" w:firstColumn="0" w:lastColumn="0" w:oddVBand="0" w:evenVBand="0" w:oddHBand="0" w:evenHBand="0" w:firstRowFirstColumn="0" w:firstRowLastColumn="0" w:lastRowFirstColumn="0" w:lastRowLastColumn="0"/>
            </w:pPr>
            <w:r w:rsidRPr="00E84CF3">
              <w:t>2022-23</w:t>
            </w:r>
          </w:p>
        </w:tc>
        <w:tc>
          <w:tcPr>
            <w:tcW w:w="1036" w:type="dxa"/>
            <w:noWrap/>
            <w:hideMark/>
          </w:tcPr>
          <w:p w14:paraId="1C338C3A" w14:textId="77777777" w:rsidR="008D6F13" w:rsidRPr="00E84CF3" w:rsidRDefault="008D6F13" w:rsidP="00E84CF3">
            <w:pPr>
              <w:cnfStyle w:val="100000000000" w:firstRow="1" w:lastRow="0" w:firstColumn="0" w:lastColumn="0" w:oddVBand="0" w:evenVBand="0" w:oddHBand="0" w:evenHBand="0" w:firstRowFirstColumn="0" w:firstRowLastColumn="0" w:lastRowFirstColumn="0" w:lastRowLastColumn="0"/>
            </w:pPr>
            <w:r w:rsidRPr="00E84CF3">
              <w:t>2023-24</w:t>
            </w:r>
          </w:p>
        </w:tc>
        <w:tc>
          <w:tcPr>
            <w:tcW w:w="1036" w:type="dxa"/>
            <w:noWrap/>
            <w:hideMark/>
          </w:tcPr>
          <w:p w14:paraId="009744D2" w14:textId="77777777" w:rsidR="008D6F13" w:rsidRPr="00E84CF3" w:rsidRDefault="008D6F13" w:rsidP="00E84CF3">
            <w:pPr>
              <w:cnfStyle w:val="100000000000" w:firstRow="1" w:lastRow="0" w:firstColumn="0" w:lastColumn="0" w:oddVBand="0" w:evenVBand="0" w:oddHBand="0" w:evenHBand="0" w:firstRowFirstColumn="0" w:firstRowLastColumn="0" w:lastRowFirstColumn="0" w:lastRowLastColumn="0"/>
            </w:pPr>
            <w:r w:rsidRPr="00E84CF3">
              <w:t>2024-25</w:t>
            </w:r>
          </w:p>
        </w:tc>
      </w:tr>
      <w:tr w:rsidR="008D6F13" w:rsidRPr="00E84CF3" w14:paraId="75545D68" w14:textId="77777777" w:rsidTr="00E84CF3">
        <w:trPr>
          <w:trHeight w:val="258"/>
        </w:trPr>
        <w:tc>
          <w:tcPr>
            <w:cnfStyle w:val="001000000000" w:firstRow="0" w:lastRow="0" w:firstColumn="1" w:lastColumn="0" w:oddVBand="0" w:evenVBand="0" w:oddHBand="0" w:evenHBand="0" w:firstRowFirstColumn="0" w:firstRowLastColumn="0" w:lastRowFirstColumn="0" w:lastRowLastColumn="0"/>
            <w:tcW w:w="3296" w:type="dxa"/>
            <w:noWrap/>
            <w:hideMark/>
          </w:tcPr>
          <w:p w14:paraId="695F2A90" w14:textId="77777777" w:rsidR="008D6F13" w:rsidRPr="00E84CF3" w:rsidRDefault="008D6F13" w:rsidP="00E84CF3">
            <w:pPr>
              <w:ind w:left="0" w:firstLine="0"/>
            </w:pPr>
            <w:r w:rsidRPr="00E84CF3">
              <w:t>Land tax</w:t>
            </w:r>
          </w:p>
        </w:tc>
        <w:tc>
          <w:tcPr>
            <w:tcW w:w="1036" w:type="dxa"/>
            <w:noWrap/>
            <w:hideMark/>
          </w:tcPr>
          <w:p w14:paraId="02F0C55C" w14:textId="77777777" w:rsidR="008D6F13" w:rsidRPr="00E84CF3" w:rsidRDefault="008D6F13" w:rsidP="00E84CF3">
            <w:pPr>
              <w:cnfStyle w:val="000000000000" w:firstRow="0" w:lastRow="0" w:firstColumn="0" w:lastColumn="0" w:oddVBand="0" w:evenVBand="0" w:oddHBand="0" w:evenHBand="0" w:firstRowFirstColumn="0" w:firstRowLastColumn="0" w:lastRowFirstColumn="0" w:lastRowLastColumn="0"/>
            </w:pPr>
            <w:r w:rsidRPr="00E84CF3">
              <w:t>6 768</w:t>
            </w:r>
          </w:p>
        </w:tc>
        <w:tc>
          <w:tcPr>
            <w:tcW w:w="1036" w:type="dxa"/>
            <w:noWrap/>
            <w:hideMark/>
          </w:tcPr>
          <w:p w14:paraId="69D0153D" w14:textId="77777777" w:rsidR="008D6F13" w:rsidRPr="00E84CF3" w:rsidRDefault="008D6F13" w:rsidP="00E84CF3">
            <w:pPr>
              <w:cnfStyle w:val="000000000000" w:firstRow="0" w:lastRow="0" w:firstColumn="0" w:lastColumn="0" w:oddVBand="0" w:evenVBand="0" w:oddHBand="0" w:evenHBand="0" w:firstRowFirstColumn="0" w:firstRowLastColumn="0" w:lastRowFirstColumn="0" w:lastRowLastColumn="0"/>
            </w:pPr>
            <w:r w:rsidRPr="00E84CF3">
              <w:t>7 469</w:t>
            </w:r>
          </w:p>
        </w:tc>
        <w:tc>
          <w:tcPr>
            <w:tcW w:w="1036" w:type="dxa"/>
            <w:noWrap/>
            <w:hideMark/>
          </w:tcPr>
          <w:p w14:paraId="6ECBB58D" w14:textId="77777777" w:rsidR="008D6F13" w:rsidRPr="00E84CF3" w:rsidRDefault="008D6F13" w:rsidP="00E84CF3">
            <w:pPr>
              <w:cnfStyle w:val="000000000000" w:firstRow="0" w:lastRow="0" w:firstColumn="0" w:lastColumn="0" w:oddVBand="0" w:evenVBand="0" w:oddHBand="0" w:evenHBand="0" w:firstRowFirstColumn="0" w:firstRowLastColumn="0" w:lastRowFirstColumn="0" w:lastRowLastColumn="0"/>
            </w:pPr>
            <w:r w:rsidRPr="00E84CF3">
              <w:t>7 996</w:t>
            </w:r>
          </w:p>
        </w:tc>
        <w:tc>
          <w:tcPr>
            <w:tcW w:w="1036" w:type="dxa"/>
            <w:noWrap/>
            <w:hideMark/>
          </w:tcPr>
          <w:p w14:paraId="1800E4C0" w14:textId="77777777" w:rsidR="008D6F13" w:rsidRPr="00E84CF3" w:rsidRDefault="008D6F13" w:rsidP="00E84CF3">
            <w:pPr>
              <w:cnfStyle w:val="000000000000" w:firstRow="0" w:lastRow="0" w:firstColumn="0" w:lastColumn="0" w:oddVBand="0" w:evenVBand="0" w:oddHBand="0" w:evenHBand="0" w:firstRowFirstColumn="0" w:firstRowLastColumn="0" w:lastRowFirstColumn="0" w:lastRowLastColumn="0"/>
            </w:pPr>
            <w:r w:rsidRPr="00E84CF3">
              <w:t>8 646</w:t>
            </w:r>
          </w:p>
        </w:tc>
      </w:tr>
      <w:tr w:rsidR="008D6F13" w:rsidRPr="00E84CF3" w14:paraId="3A4056F1" w14:textId="77777777" w:rsidTr="00E84CF3">
        <w:trPr>
          <w:trHeight w:val="258"/>
        </w:trPr>
        <w:tc>
          <w:tcPr>
            <w:cnfStyle w:val="001000000000" w:firstRow="0" w:lastRow="0" w:firstColumn="1" w:lastColumn="0" w:oddVBand="0" w:evenVBand="0" w:oddHBand="0" w:evenHBand="0" w:firstRowFirstColumn="0" w:firstRowLastColumn="0" w:lastRowFirstColumn="0" w:lastRowLastColumn="0"/>
            <w:tcW w:w="3296" w:type="dxa"/>
            <w:noWrap/>
            <w:hideMark/>
          </w:tcPr>
          <w:p w14:paraId="40905FCF" w14:textId="77777777" w:rsidR="008D6F13" w:rsidRPr="00E84CF3" w:rsidRDefault="008D6F13" w:rsidP="00E84CF3">
            <w:pPr>
              <w:ind w:left="0" w:firstLine="0"/>
            </w:pPr>
            <w:r w:rsidRPr="00E84CF3">
              <w:t>Fire Services Property Levy</w:t>
            </w:r>
          </w:p>
        </w:tc>
        <w:tc>
          <w:tcPr>
            <w:tcW w:w="1036" w:type="dxa"/>
            <w:noWrap/>
            <w:hideMark/>
          </w:tcPr>
          <w:p w14:paraId="7DB859F1" w14:textId="77777777" w:rsidR="008D6F13" w:rsidRPr="00E84CF3" w:rsidRDefault="008D6F13" w:rsidP="00E84CF3">
            <w:pPr>
              <w:cnfStyle w:val="000000000000" w:firstRow="0" w:lastRow="0" w:firstColumn="0" w:lastColumn="0" w:oddVBand="0" w:evenVBand="0" w:oddHBand="0" w:evenHBand="0" w:firstRowFirstColumn="0" w:firstRowLastColumn="0" w:lastRowFirstColumn="0" w:lastRowLastColumn="0"/>
            </w:pPr>
            <w:r w:rsidRPr="00E84CF3">
              <w:t xml:space="preserve"> 30</w:t>
            </w:r>
          </w:p>
        </w:tc>
        <w:tc>
          <w:tcPr>
            <w:tcW w:w="1036" w:type="dxa"/>
            <w:noWrap/>
            <w:hideMark/>
          </w:tcPr>
          <w:p w14:paraId="245F7946" w14:textId="77777777" w:rsidR="008D6F13" w:rsidRPr="00E84CF3" w:rsidRDefault="008D6F13" w:rsidP="00E84CF3">
            <w:pPr>
              <w:cnfStyle w:val="000000000000" w:firstRow="0" w:lastRow="0" w:firstColumn="0" w:lastColumn="0" w:oddVBand="0" w:evenVBand="0" w:oddHBand="0" w:evenHBand="0" w:firstRowFirstColumn="0" w:firstRowLastColumn="0" w:lastRowFirstColumn="0" w:lastRowLastColumn="0"/>
            </w:pPr>
            <w:r w:rsidRPr="00E84CF3">
              <w:t xml:space="preserve"> 30</w:t>
            </w:r>
          </w:p>
        </w:tc>
        <w:tc>
          <w:tcPr>
            <w:tcW w:w="1036" w:type="dxa"/>
            <w:noWrap/>
            <w:hideMark/>
          </w:tcPr>
          <w:p w14:paraId="7DBC3CAE" w14:textId="77777777" w:rsidR="008D6F13" w:rsidRPr="00E84CF3" w:rsidRDefault="008D6F13" w:rsidP="00E84CF3">
            <w:pPr>
              <w:cnfStyle w:val="000000000000" w:firstRow="0" w:lastRow="0" w:firstColumn="0" w:lastColumn="0" w:oddVBand="0" w:evenVBand="0" w:oddHBand="0" w:evenHBand="0" w:firstRowFirstColumn="0" w:firstRowLastColumn="0" w:lastRowFirstColumn="0" w:lastRowLastColumn="0"/>
            </w:pPr>
            <w:r w:rsidRPr="00E84CF3">
              <w:t xml:space="preserve"> 30</w:t>
            </w:r>
          </w:p>
        </w:tc>
        <w:tc>
          <w:tcPr>
            <w:tcW w:w="1036" w:type="dxa"/>
            <w:noWrap/>
            <w:hideMark/>
          </w:tcPr>
          <w:p w14:paraId="3970DFA4" w14:textId="77777777" w:rsidR="008D6F13" w:rsidRPr="00E84CF3" w:rsidRDefault="008D6F13" w:rsidP="00E84CF3">
            <w:pPr>
              <w:cnfStyle w:val="000000000000" w:firstRow="0" w:lastRow="0" w:firstColumn="0" w:lastColumn="0" w:oddVBand="0" w:evenVBand="0" w:oddHBand="0" w:evenHBand="0" w:firstRowFirstColumn="0" w:firstRowLastColumn="0" w:lastRowFirstColumn="0" w:lastRowLastColumn="0"/>
            </w:pPr>
            <w:r w:rsidRPr="00E84CF3">
              <w:t xml:space="preserve"> 30</w:t>
            </w:r>
          </w:p>
        </w:tc>
      </w:tr>
      <w:tr w:rsidR="008D6F13" w:rsidRPr="00E84CF3" w14:paraId="6B7CBE2D" w14:textId="77777777" w:rsidTr="00E84CF3">
        <w:trPr>
          <w:trHeight w:val="258"/>
        </w:trPr>
        <w:tc>
          <w:tcPr>
            <w:cnfStyle w:val="001000000000" w:firstRow="0" w:lastRow="0" w:firstColumn="1" w:lastColumn="0" w:oddVBand="0" w:evenVBand="0" w:oddHBand="0" w:evenHBand="0" w:firstRowFirstColumn="0" w:firstRowLastColumn="0" w:lastRowFirstColumn="0" w:lastRowLastColumn="0"/>
            <w:tcW w:w="3296" w:type="dxa"/>
            <w:noWrap/>
            <w:hideMark/>
          </w:tcPr>
          <w:p w14:paraId="51543683" w14:textId="77777777" w:rsidR="008D6F13" w:rsidRPr="00E84CF3" w:rsidRDefault="008D6F13" w:rsidP="00E84CF3">
            <w:pPr>
              <w:ind w:left="0" w:firstLine="0"/>
            </w:pPr>
            <w:r w:rsidRPr="00E84CF3">
              <w:t>Payroll tax</w:t>
            </w:r>
          </w:p>
        </w:tc>
        <w:tc>
          <w:tcPr>
            <w:tcW w:w="1036" w:type="dxa"/>
            <w:noWrap/>
            <w:hideMark/>
          </w:tcPr>
          <w:p w14:paraId="26BC2D10" w14:textId="77777777" w:rsidR="008D6F13" w:rsidRPr="00E84CF3" w:rsidRDefault="008D6F13" w:rsidP="00E84CF3">
            <w:pPr>
              <w:cnfStyle w:val="000000000000" w:firstRow="0" w:lastRow="0" w:firstColumn="0" w:lastColumn="0" w:oddVBand="0" w:evenVBand="0" w:oddHBand="0" w:evenHBand="0" w:firstRowFirstColumn="0" w:firstRowLastColumn="0" w:lastRowFirstColumn="0" w:lastRowLastColumn="0"/>
            </w:pPr>
            <w:r w:rsidRPr="00E84CF3">
              <w:t>1 679</w:t>
            </w:r>
          </w:p>
        </w:tc>
        <w:tc>
          <w:tcPr>
            <w:tcW w:w="1036" w:type="dxa"/>
            <w:noWrap/>
            <w:hideMark/>
          </w:tcPr>
          <w:p w14:paraId="1C1980C0" w14:textId="77777777" w:rsidR="008D6F13" w:rsidRPr="00E84CF3" w:rsidRDefault="008D6F13" w:rsidP="00E84CF3">
            <w:pPr>
              <w:cnfStyle w:val="000000000000" w:firstRow="0" w:lastRow="0" w:firstColumn="0" w:lastColumn="0" w:oddVBand="0" w:evenVBand="0" w:oddHBand="0" w:evenHBand="0" w:firstRowFirstColumn="0" w:firstRowLastColumn="0" w:lastRowFirstColumn="0" w:lastRowLastColumn="0"/>
            </w:pPr>
            <w:r w:rsidRPr="00E84CF3">
              <w:t>1 664</w:t>
            </w:r>
          </w:p>
        </w:tc>
        <w:tc>
          <w:tcPr>
            <w:tcW w:w="1036" w:type="dxa"/>
            <w:noWrap/>
            <w:hideMark/>
          </w:tcPr>
          <w:p w14:paraId="196D1999" w14:textId="77777777" w:rsidR="008D6F13" w:rsidRPr="00E84CF3" w:rsidRDefault="008D6F13" w:rsidP="00E84CF3">
            <w:pPr>
              <w:cnfStyle w:val="000000000000" w:firstRow="0" w:lastRow="0" w:firstColumn="0" w:lastColumn="0" w:oddVBand="0" w:evenVBand="0" w:oddHBand="0" w:evenHBand="0" w:firstRowFirstColumn="0" w:firstRowLastColumn="0" w:lastRowFirstColumn="0" w:lastRowLastColumn="0"/>
            </w:pPr>
            <w:r w:rsidRPr="00E84CF3">
              <w:t>1 467</w:t>
            </w:r>
          </w:p>
        </w:tc>
        <w:tc>
          <w:tcPr>
            <w:tcW w:w="1036" w:type="dxa"/>
            <w:noWrap/>
            <w:hideMark/>
          </w:tcPr>
          <w:p w14:paraId="097BBFE1" w14:textId="77777777" w:rsidR="008D6F13" w:rsidRPr="00E84CF3" w:rsidRDefault="008D6F13" w:rsidP="00E84CF3">
            <w:pPr>
              <w:cnfStyle w:val="000000000000" w:firstRow="0" w:lastRow="0" w:firstColumn="0" w:lastColumn="0" w:oddVBand="0" w:evenVBand="0" w:oddHBand="0" w:evenHBand="0" w:firstRowFirstColumn="0" w:firstRowLastColumn="0" w:lastRowFirstColumn="0" w:lastRowLastColumn="0"/>
            </w:pPr>
            <w:r w:rsidRPr="00E84CF3">
              <w:t>1 586</w:t>
            </w:r>
          </w:p>
        </w:tc>
      </w:tr>
      <w:tr w:rsidR="008D6F13" w:rsidRPr="00E84CF3" w14:paraId="25CA3A91" w14:textId="77777777" w:rsidTr="00E84CF3">
        <w:trPr>
          <w:trHeight w:val="258"/>
        </w:trPr>
        <w:tc>
          <w:tcPr>
            <w:cnfStyle w:val="001000000000" w:firstRow="0" w:lastRow="0" w:firstColumn="1" w:lastColumn="0" w:oddVBand="0" w:evenVBand="0" w:oddHBand="0" w:evenHBand="0" w:firstRowFirstColumn="0" w:firstRowLastColumn="0" w:lastRowFirstColumn="0" w:lastRowLastColumn="0"/>
            <w:tcW w:w="3296" w:type="dxa"/>
            <w:noWrap/>
            <w:hideMark/>
          </w:tcPr>
          <w:p w14:paraId="2B98C154" w14:textId="77777777" w:rsidR="008D6F13" w:rsidRPr="00E84CF3" w:rsidRDefault="008D6F13" w:rsidP="00E84CF3">
            <w:pPr>
              <w:ind w:left="0" w:firstLine="0"/>
            </w:pPr>
            <w:r w:rsidRPr="00E84CF3">
              <w:t>Mental Health and Wellbeing Levy</w:t>
            </w:r>
          </w:p>
        </w:tc>
        <w:tc>
          <w:tcPr>
            <w:tcW w:w="1036" w:type="dxa"/>
            <w:noWrap/>
            <w:hideMark/>
          </w:tcPr>
          <w:p w14:paraId="1E3D8C75" w14:textId="77777777" w:rsidR="008D6F13" w:rsidRPr="00E84CF3" w:rsidRDefault="008D6F13" w:rsidP="00E84CF3">
            <w:pPr>
              <w:cnfStyle w:val="000000000000" w:firstRow="0" w:lastRow="0" w:firstColumn="0" w:lastColumn="0" w:oddVBand="0" w:evenVBand="0" w:oddHBand="0" w:evenHBand="0" w:firstRowFirstColumn="0" w:firstRowLastColumn="0" w:lastRowFirstColumn="0" w:lastRowLastColumn="0"/>
            </w:pPr>
            <w:r w:rsidRPr="00E84CF3">
              <w:t xml:space="preserve"> 30</w:t>
            </w:r>
          </w:p>
        </w:tc>
        <w:tc>
          <w:tcPr>
            <w:tcW w:w="1036" w:type="dxa"/>
            <w:noWrap/>
            <w:hideMark/>
          </w:tcPr>
          <w:p w14:paraId="3A422F48" w14:textId="77777777" w:rsidR="008D6F13" w:rsidRPr="00E84CF3" w:rsidRDefault="008D6F13" w:rsidP="00E84CF3">
            <w:pPr>
              <w:cnfStyle w:val="000000000000" w:firstRow="0" w:lastRow="0" w:firstColumn="0" w:lastColumn="0" w:oddVBand="0" w:evenVBand="0" w:oddHBand="0" w:evenHBand="0" w:firstRowFirstColumn="0" w:firstRowLastColumn="0" w:lastRowFirstColumn="0" w:lastRowLastColumn="0"/>
            </w:pPr>
            <w:r w:rsidRPr="00E84CF3">
              <w:t xml:space="preserve"> 74</w:t>
            </w:r>
          </w:p>
        </w:tc>
        <w:tc>
          <w:tcPr>
            <w:tcW w:w="1036" w:type="dxa"/>
            <w:noWrap/>
            <w:hideMark/>
          </w:tcPr>
          <w:p w14:paraId="181CC1A3" w14:textId="77777777" w:rsidR="008D6F13" w:rsidRPr="00E84CF3" w:rsidRDefault="008D6F13" w:rsidP="00E84CF3">
            <w:pPr>
              <w:cnfStyle w:val="000000000000" w:firstRow="0" w:lastRow="0" w:firstColumn="0" w:lastColumn="0" w:oddVBand="0" w:evenVBand="0" w:oddHBand="0" w:evenHBand="0" w:firstRowFirstColumn="0" w:firstRowLastColumn="0" w:lastRowFirstColumn="0" w:lastRowLastColumn="0"/>
            </w:pPr>
            <w:r w:rsidRPr="00E84CF3">
              <w:t xml:space="preserve"> 78</w:t>
            </w:r>
          </w:p>
        </w:tc>
        <w:tc>
          <w:tcPr>
            <w:tcW w:w="1036" w:type="dxa"/>
            <w:noWrap/>
            <w:hideMark/>
          </w:tcPr>
          <w:p w14:paraId="223D53F2" w14:textId="77777777" w:rsidR="008D6F13" w:rsidRPr="00E84CF3" w:rsidRDefault="008D6F13" w:rsidP="00E84CF3">
            <w:pPr>
              <w:cnfStyle w:val="000000000000" w:firstRow="0" w:lastRow="0" w:firstColumn="0" w:lastColumn="0" w:oddVBand="0" w:evenVBand="0" w:oddHBand="0" w:evenHBand="0" w:firstRowFirstColumn="0" w:firstRowLastColumn="0" w:lastRowFirstColumn="0" w:lastRowLastColumn="0"/>
            </w:pPr>
            <w:r w:rsidRPr="00E84CF3">
              <w:t xml:space="preserve"> 83</w:t>
            </w:r>
          </w:p>
        </w:tc>
      </w:tr>
      <w:tr w:rsidR="008D6F13" w:rsidRPr="00E84CF3" w14:paraId="55AF7A16" w14:textId="77777777" w:rsidTr="00E84CF3">
        <w:trPr>
          <w:trHeight w:val="258"/>
        </w:trPr>
        <w:tc>
          <w:tcPr>
            <w:cnfStyle w:val="001000000000" w:firstRow="0" w:lastRow="0" w:firstColumn="1" w:lastColumn="0" w:oddVBand="0" w:evenVBand="0" w:oddHBand="0" w:evenHBand="0" w:firstRowFirstColumn="0" w:firstRowLastColumn="0" w:lastRowFirstColumn="0" w:lastRowLastColumn="0"/>
            <w:tcW w:w="3296" w:type="dxa"/>
            <w:noWrap/>
            <w:hideMark/>
          </w:tcPr>
          <w:p w14:paraId="5A35835F" w14:textId="77777777" w:rsidR="008D6F13" w:rsidRPr="00E84CF3" w:rsidRDefault="008D6F13" w:rsidP="00E84CF3">
            <w:pPr>
              <w:ind w:left="0" w:firstLine="0"/>
            </w:pPr>
            <w:r w:rsidRPr="00E84CF3">
              <w:t>Gambling tax</w:t>
            </w:r>
          </w:p>
        </w:tc>
        <w:tc>
          <w:tcPr>
            <w:tcW w:w="1036" w:type="dxa"/>
            <w:noWrap/>
            <w:hideMark/>
          </w:tcPr>
          <w:p w14:paraId="51FDC447" w14:textId="77777777" w:rsidR="008D6F13" w:rsidRPr="00E84CF3" w:rsidRDefault="008D6F13" w:rsidP="00E84CF3">
            <w:pPr>
              <w:cnfStyle w:val="000000000000" w:firstRow="0" w:lastRow="0" w:firstColumn="0" w:lastColumn="0" w:oddVBand="0" w:evenVBand="0" w:oddHBand="0" w:evenHBand="0" w:firstRowFirstColumn="0" w:firstRowLastColumn="0" w:lastRowFirstColumn="0" w:lastRowLastColumn="0"/>
            </w:pPr>
            <w:r w:rsidRPr="00E84CF3">
              <w:t xml:space="preserve"> 60</w:t>
            </w:r>
          </w:p>
        </w:tc>
        <w:tc>
          <w:tcPr>
            <w:tcW w:w="1036" w:type="dxa"/>
            <w:noWrap/>
            <w:hideMark/>
          </w:tcPr>
          <w:p w14:paraId="0F5FBFCC" w14:textId="77777777" w:rsidR="008D6F13" w:rsidRPr="00E84CF3" w:rsidRDefault="008D6F13" w:rsidP="00E84CF3">
            <w:pPr>
              <w:cnfStyle w:val="000000000000" w:firstRow="0" w:lastRow="0" w:firstColumn="0" w:lastColumn="0" w:oddVBand="0" w:evenVBand="0" w:oddHBand="0" w:evenHBand="0" w:firstRowFirstColumn="0" w:firstRowLastColumn="0" w:lastRowFirstColumn="0" w:lastRowLastColumn="0"/>
            </w:pPr>
            <w:r w:rsidRPr="00E84CF3">
              <w:t xml:space="preserve"> 78</w:t>
            </w:r>
          </w:p>
        </w:tc>
        <w:tc>
          <w:tcPr>
            <w:tcW w:w="1036" w:type="dxa"/>
            <w:noWrap/>
            <w:hideMark/>
          </w:tcPr>
          <w:p w14:paraId="674DAD14" w14:textId="77777777" w:rsidR="008D6F13" w:rsidRPr="00E84CF3" w:rsidRDefault="008D6F13" w:rsidP="00E84CF3">
            <w:pPr>
              <w:cnfStyle w:val="000000000000" w:firstRow="0" w:lastRow="0" w:firstColumn="0" w:lastColumn="0" w:oddVBand="0" w:evenVBand="0" w:oddHBand="0" w:evenHBand="0" w:firstRowFirstColumn="0" w:firstRowLastColumn="0" w:lastRowFirstColumn="0" w:lastRowLastColumn="0"/>
            </w:pPr>
            <w:r w:rsidRPr="00E84CF3">
              <w:t xml:space="preserve"> 79</w:t>
            </w:r>
          </w:p>
        </w:tc>
        <w:tc>
          <w:tcPr>
            <w:tcW w:w="1036" w:type="dxa"/>
            <w:noWrap/>
            <w:hideMark/>
          </w:tcPr>
          <w:p w14:paraId="29F5CC68" w14:textId="77777777" w:rsidR="008D6F13" w:rsidRPr="00E84CF3" w:rsidRDefault="008D6F13" w:rsidP="00E84CF3">
            <w:pPr>
              <w:cnfStyle w:val="000000000000" w:firstRow="0" w:lastRow="0" w:firstColumn="0" w:lastColumn="0" w:oddVBand="0" w:evenVBand="0" w:oddHBand="0" w:evenHBand="0" w:firstRowFirstColumn="0" w:firstRowLastColumn="0" w:lastRowFirstColumn="0" w:lastRowLastColumn="0"/>
            </w:pPr>
            <w:r w:rsidRPr="00E84CF3">
              <w:t xml:space="preserve"> 79</w:t>
            </w:r>
          </w:p>
        </w:tc>
      </w:tr>
      <w:tr w:rsidR="008D6F13" w:rsidRPr="00E84CF3" w14:paraId="680C36A1" w14:textId="77777777" w:rsidTr="00E84CF3">
        <w:trPr>
          <w:trHeight w:val="258"/>
        </w:trPr>
        <w:tc>
          <w:tcPr>
            <w:cnfStyle w:val="001000000000" w:firstRow="0" w:lastRow="0" w:firstColumn="1" w:lastColumn="0" w:oddVBand="0" w:evenVBand="0" w:oddHBand="0" w:evenHBand="0" w:firstRowFirstColumn="0" w:firstRowLastColumn="0" w:lastRowFirstColumn="0" w:lastRowLastColumn="0"/>
            <w:tcW w:w="3296" w:type="dxa"/>
            <w:noWrap/>
            <w:hideMark/>
          </w:tcPr>
          <w:p w14:paraId="47EB82B2" w14:textId="77777777" w:rsidR="008D6F13" w:rsidRPr="00E84CF3" w:rsidRDefault="008D6F13" w:rsidP="00E84CF3">
            <w:pPr>
              <w:ind w:left="0" w:firstLine="0"/>
            </w:pPr>
            <w:r w:rsidRPr="00E84CF3">
              <w:t>Motor vehicle taxes</w:t>
            </w:r>
          </w:p>
        </w:tc>
        <w:tc>
          <w:tcPr>
            <w:tcW w:w="1036" w:type="dxa"/>
            <w:noWrap/>
            <w:hideMark/>
          </w:tcPr>
          <w:p w14:paraId="3101C54D" w14:textId="77777777" w:rsidR="008D6F13" w:rsidRPr="00E84CF3" w:rsidRDefault="008D6F13" w:rsidP="00E84CF3">
            <w:pPr>
              <w:cnfStyle w:val="000000000000" w:firstRow="0" w:lastRow="0" w:firstColumn="0" w:lastColumn="0" w:oddVBand="0" w:evenVBand="0" w:oddHBand="0" w:evenHBand="0" w:firstRowFirstColumn="0" w:firstRowLastColumn="0" w:lastRowFirstColumn="0" w:lastRowLastColumn="0"/>
            </w:pPr>
            <w:r w:rsidRPr="00E84CF3">
              <w:t xml:space="preserve"> 205</w:t>
            </w:r>
          </w:p>
        </w:tc>
        <w:tc>
          <w:tcPr>
            <w:tcW w:w="1036" w:type="dxa"/>
            <w:noWrap/>
            <w:hideMark/>
          </w:tcPr>
          <w:p w14:paraId="2BFADE43" w14:textId="77777777" w:rsidR="008D6F13" w:rsidRPr="00E84CF3" w:rsidRDefault="008D6F13" w:rsidP="00E84CF3">
            <w:pPr>
              <w:cnfStyle w:val="000000000000" w:firstRow="0" w:lastRow="0" w:firstColumn="0" w:lastColumn="0" w:oddVBand="0" w:evenVBand="0" w:oddHBand="0" w:evenHBand="0" w:firstRowFirstColumn="0" w:firstRowLastColumn="0" w:lastRowFirstColumn="0" w:lastRowLastColumn="0"/>
            </w:pPr>
            <w:r w:rsidRPr="00E84CF3">
              <w:t xml:space="preserve"> 215</w:t>
            </w:r>
          </w:p>
        </w:tc>
        <w:tc>
          <w:tcPr>
            <w:tcW w:w="1036" w:type="dxa"/>
            <w:noWrap/>
            <w:hideMark/>
          </w:tcPr>
          <w:p w14:paraId="522D6829" w14:textId="77777777" w:rsidR="008D6F13" w:rsidRPr="00E84CF3" w:rsidRDefault="008D6F13" w:rsidP="00E84CF3">
            <w:pPr>
              <w:cnfStyle w:val="000000000000" w:firstRow="0" w:lastRow="0" w:firstColumn="0" w:lastColumn="0" w:oddVBand="0" w:evenVBand="0" w:oddHBand="0" w:evenHBand="0" w:firstRowFirstColumn="0" w:firstRowLastColumn="0" w:lastRowFirstColumn="0" w:lastRowLastColumn="0"/>
            </w:pPr>
            <w:r w:rsidRPr="00E84CF3">
              <w:t xml:space="preserve"> 224</w:t>
            </w:r>
          </w:p>
        </w:tc>
        <w:tc>
          <w:tcPr>
            <w:tcW w:w="1036" w:type="dxa"/>
            <w:noWrap/>
            <w:hideMark/>
          </w:tcPr>
          <w:p w14:paraId="3301D319" w14:textId="77777777" w:rsidR="008D6F13" w:rsidRPr="00E84CF3" w:rsidRDefault="008D6F13" w:rsidP="00E84CF3">
            <w:pPr>
              <w:cnfStyle w:val="000000000000" w:firstRow="0" w:lastRow="0" w:firstColumn="0" w:lastColumn="0" w:oddVBand="0" w:evenVBand="0" w:oddHBand="0" w:evenHBand="0" w:firstRowFirstColumn="0" w:firstRowLastColumn="0" w:lastRowFirstColumn="0" w:lastRowLastColumn="0"/>
            </w:pPr>
            <w:r w:rsidRPr="00E84CF3">
              <w:t xml:space="preserve"> 235</w:t>
            </w:r>
          </w:p>
        </w:tc>
      </w:tr>
      <w:tr w:rsidR="008D6F13" w:rsidRPr="00E84CF3" w14:paraId="7083F323" w14:textId="77777777" w:rsidTr="00E84CF3">
        <w:trPr>
          <w:trHeight w:val="258"/>
        </w:trPr>
        <w:tc>
          <w:tcPr>
            <w:cnfStyle w:val="001000000000" w:firstRow="0" w:lastRow="0" w:firstColumn="1" w:lastColumn="0" w:oddVBand="0" w:evenVBand="0" w:oddHBand="0" w:evenHBand="0" w:firstRowFirstColumn="0" w:firstRowLastColumn="0" w:lastRowFirstColumn="0" w:lastRowLastColumn="0"/>
            <w:tcW w:w="3296" w:type="dxa"/>
            <w:noWrap/>
            <w:hideMark/>
          </w:tcPr>
          <w:p w14:paraId="3798A272" w14:textId="77777777" w:rsidR="008D6F13" w:rsidRPr="00E84CF3" w:rsidRDefault="008D6F13" w:rsidP="00E84CF3">
            <w:pPr>
              <w:ind w:left="0" w:firstLine="0"/>
            </w:pPr>
            <w:r w:rsidRPr="00E84CF3">
              <w:t>Land transfer duties</w:t>
            </w:r>
          </w:p>
        </w:tc>
        <w:tc>
          <w:tcPr>
            <w:tcW w:w="1036" w:type="dxa"/>
            <w:noWrap/>
            <w:hideMark/>
          </w:tcPr>
          <w:p w14:paraId="759CAEBA" w14:textId="77777777" w:rsidR="008D6F13" w:rsidRPr="00E84CF3" w:rsidRDefault="008D6F13" w:rsidP="00E84CF3">
            <w:pPr>
              <w:cnfStyle w:val="000000000000" w:firstRow="0" w:lastRow="0" w:firstColumn="0" w:lastColumn="0" w:oddVBand="0" w:evenVBand="0" w:oddHBand="0" w:evenHBand="0" w:firstRowFirstColumn="0" w:firstRowLastColumn="0" w:lastRowFirstColumn="0" w:lastRowLastColumn="0"/>
            </w:pPr>
            <w:r w:rsidRPr="00E84CF3">
              <w:t>2 223</w:t>
            </w:r>
          </w:p>
        </w:tc>
        <w:tc>
          <w:tcPr>
            <w:tcW w:w="1036" w:type="dxa"/>
            <w:noWrap/>
            <w:hideMark/>
          </w:tcPr>
          <w:p w14:paraId="16E80212" w14:textId="77777777" w:rsidR="008D6F13" w:rsidRPr="00E84CF3" w:rsidRDefault="008D6F13" w:rsidP="00E84CF3">
            <w:pPr>
              <w:cnfStyle w:val="000000000000" w:firstRow="0" w:lastRow="0" w:firstColumn="0" w:lastColumn="0" w:oddVBand="0" w:evenVBand="0" w:oddHBand="0" w:evenHBand="0" w:firstRowFirstColumn="0" w:firstRowLastColumn="0" w:lastRowFirstColumn="0" w:lastRowLastColumn="0"/>
            </w:pPr>
            <w:r w:rsidRPr="00E84CF3">
              <w:t>1 945</w:t>
            </w:r>
          </w:p>
        </w:tc>
        <w:tc>
          <w:tcPr>
            <w:tcW w:w="1036" w:type="dxa"/>
            <w:noWrap/>
            <w:hideMark/>
          </w:tcPr>
          <w:p w14:paraId="5DA4209D" w14:textId="77777777" w:rsidR="008D6F13" w:rsidRPr="00E84CF3" w:rsidRDefault="008D6F13" w:rsidP="00E84CF3">
            <w:pPr>
              <w:cnfStyle w:val="000000000000" w:firstRow="0" w:lastRow="0" w:firstColumn="0" w:lastColumn="0" w:oddVBand="0" w:evenVBand="0" w:oddHBand="0" w:evenHBand="0" w:firstRowFirstColumn="0" w:firstRowLastColumn="0" w:lastRowFirstColumn="0" w:lastRowLastColumn="0"/>
            </w:pPr>
            <w:r w:rsidRPr="00E84CF3">
              <w:t>1 970</w:t>
            </w:r>
          </w:p>
        </w:tc>
        <w:tc>
          <w:tcPr>
            <w:tcW w:w="1036" w:type="dxa"/>
            <w:noWrap/>
            <w:hideMark/>
          </w:tcPr>
          <w:p w14:paraId="7C840A16" w14:textId="77777777" w:rsidR="008D6F13" w:rsidRPr="00E84CF3" w:rsidRDefault="008D6F13" w:rsidP="00E84CF3">
            <w:pPr>
              <w:cnfStyle w:val="000000000000" w:firstRow="0" w:lastRow="0" w:firstColumn="0" w:lastColumn="0" w:oddVBand="0" w:evenVBand="0" w:oddHBand="0" w:evenHBand="0" w:firstRowFirstColumn="0" w:firstRowLastColumn="0" w:lastRowFirstColumn="0" w:lastRowLastColumn="0"/>
            </w:pPr>
            <w:r w:rsidRPr="00E84CF3">
              <w:t>1 988</w:t>
            </w:r>
          </w:p>
        </w:tc>
      </w:tr>
      <w:tr w:rsidR="008D6F13" w:rsidRPr="00E84CF3" w14:paraId="7C988F98" w14:textId="77777777" w:rsidTr="00E84CF3">
        <w:trPr>
          <w:trHeight w:val="258"/>
        </w:trPr>
        <w:tc>
          <w:tcPr>
            <w:cnfStyle w:val="001000000000" w:firstRow="0" w:lastRow="0" w:firstColumn="1" w:lastColumn="0" w:oddVBand="0" w:evenVBand="0" w:oddHBand="0" w:evenHBand="0" w:firstRowFirstColumn="0" w:firstRowLastColumn="0" w:lastRowFirstColumn="0" w:lastRowLastColumn="0"/>
            <w:tcW w:w="3296" w:type="dxa"/>
            <w:noWrap/>
            <w:hideMark/>
          </w:tcPr>
          <w:p w14:paraId="11137D61" w14:textId="77777777" w:rsidR="008D6F13" w:rsidRPr="00E84CF3" w:rsidRDefault="008D6F13" w:rsidP="00E84CF3">
            <w:pPr>
              <w:ind w:left="0" w:firstLine="0"/>
            </w:pPr>
            <w:r w:rsidRPr="00E84CF3">
              <w:t>Congestion levy</w:t>
            </w:r>
          </w:p>
        </w:tc>
        <w:tc>
          <w:tcPr>
            <w:tcW w:w="1036" w:type="dxa"/>
            <w:noWrap/>
            <w:hideMark/>
          </w:tcPr>
          <w:p w14:paraId="33BDA8DD" w14:textId="77777777" w:rsidR="008D6F13" w:rsidRPr="00E84CF3" w:rsidRDefault="008D6F13" w:rsidP="00E84CF3">
            <w:pPr>
              <w:cnfStyle w:val="000000000000" w:firstRow="0" w:lastRow="0" w:firstColumn="0" w:lastColumn="0" w:oddVBand="0" w:evenVBand="0" w:oddHBand="0" w:evenHBand="0" w:firstRowFirstColumn="0" w:firstRowLastColumn="0" w:lastRowFirstColumn="0" w:lastRowLastColumn="0"/>
            </w:pPr>
            <w:r w:rsidRPr="00E84CF3">
              <w:t xml:space="preserve"> 64</w:t>
            </w:r>
          </w:p>
        </w:tc>
        <w:tc>
          <w:tcPr>
            <w:tcW w:w="1036" w:type="dxa"/>
            <w:noWrap/>
            <w:hideMark/>
          </w:tcPr>
          <w:p w14:paraId="0E03E9B9" w14:textId="77777777" w:rsidR="008D6F13" w:rsidRPr="00E84CF3" w:rsidRDefault="008D6F13" w:rsidP="00E84CF3">
            <w:pPr>
              <w:cnfStyle w:val="000000000000" w:firstRow="0" w:lastRow="0" w:firstColumn="0" w:lastColumn="0" w:oddVBand="0" w:evenVBand="0" w:oddHBand="0" w:evenHBand="0" w:firstRowFirstColumn="0" w:firstRowLastColumn="0" w:lastRowFirstColumn="0" w:lastRowLastColumn="0"/>
            </w:pPr>
            <w:r w:rsidRPr="00E84CF3">
              <w:t xml:space="preserve"> 65</w:t>
            </w:r>
          </w:p>
        </w:tc>
        <w:tc>
          <w:tcPr>
            <w:tcW w:w="1036" w:type="dxa"/>
            <w:noWrap/>
            <w:hideMark/>
          </w:tcPr>
          <w:p w14:paraId="472A23F7" w14:textId="77777777" w:rsidR="008D6F13" w:rsidRPr="00E84CF3" w:rsidRDefault="008D6F13" w:rsidP="00E84CF3">
            <w:pPr>
              <w:cnfStyle w:val="000000000000" w:firstRow="0" w:lastRow="0" w:firstColumn="0" w:lastColumn="0" w:oddVBand="0" w:evenVBand="0" w:oddHBand="0" w:evenHBand="0" w:firstRowFirstColumn="0" w:firstRowLastColumn="0" w:lastRowFirstColumn="0" w:lastRowLastColumn="0"/>
            </w:pPr>
            <w:r w:rsidRPr="00E84CF3">
              <w:t xml:space="preserve"> 66</w:t>
            </w:r>
          </w:p>
        </w:tc>
        <w:tc>
          <w:tcPr>
            <w:tcW w:w="1036" w:type="dxa"/>
            <w:noWrap/>
            <w:hideMark/>
          </w:tcPr>
          <w:p w14:paraId="36B298B1" w14:textId="77777777" w:rsidR="008D6F13" w:rsidRPr="00E84CF3" w:rsidRDefault="008D6F13" w:rsidP="00E84CF3">
            <w:pPr>
              <w:cnfStyle w:val="000000000000" w:firstRow="0" w:lastRow="0" w:firstColumn="0" w:lastColumn="0" w:oddVBand="0" w:evenVBand="0" w:oddHBand="0" w:evenHBand="0" w:firstRowFirstColumn="0" w:firstRowLastColumn="0" w:lastRowFirstColumn="0" w:lastRowLastColumn="0"/>
            </w:pPr>
            <w:r w:rsidRPr="00E84CF3">
              <w:t xml:space="preserve"> 68</w:t>
            </w:r>
          </w:p>
        </w:tc>
      </w:tr>
      <w:tr w:rsidR="008D6F13" w:rsidRPr="00E84CF3" w14:paraId="1A5A65F0" w14:textId="77777777" w:rsidTr="00E84CF3">
        <w:trPr>
          <w:cnfStyle w:val="010000000000" w:firstRow="0" w:lastRow="1"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296" w:type="dxa"/>
            <w:hideMark/>
          </w:tcPr>
          <w:p w14:paraId="03C9BD7F" w14:textId="77777777" w:rsidR="008D6F13" w:rsidRPr="00E84CF3" w:rsidRDefault="008D6F13" w:rsidP="00E84CF3">
            <w:pPr>
              <w:ind w:left="0" w:firstLine="0"/>
            </w:pPr>
            <w:r w:rsidRPr="00E84CF3">
              <w:t>Total estimated tax expenditures</w:t>
            </w:r>
          </w:p>
        </w:tc>
        <w:tc>
          <w:tcPr>
            <w:tcW w:w="1036" w:type="dxa"/>
            <w:noWrap/>
            <w:hideMark/>
          </w:tcPr>
          <w:p w14:paraId="6D776D9A" w14:textId="77777777" w:rsidR="008D6F13" w:rsidRPr="00E84CF3" w:rsidRDefault="008D6F13" w:rsidP="00E84CF3">
            <w:pPr>
              <w:cnfStyle w:val="010000000000" w:firstRow="0" w:lastRow="1" w:firstColumn="0" w:lastColumn="0" w:oddVBand="0" w:evenVBand="0" w:oddHBand="0" w:evenHBand="0" w:firstRowFirstColumn="0" w:firstRowLastColumn="0" w:lastRowFirstColumn="0" w:lastRowLastColumn="0"/>
            </w:pPr>
            <w:r w:rsidRPr="00E84CF3">
              <w:t>11 059</w:t>
            </w:r>
          </w:p>
        </w:tc>
        <w:tc>
          <w:tcPr>
            <w:tcW w:w="1036" w:type="dxa"/>
            <w:noWrap/>
            <w:hideMark/>
          </w:tcPr>
          <w:p w14:paraId="19B49D31" w14:textId="77777777" w:rsidR="008D6F13" w:rsidRPr="00E84CF3" w:rsidRDefault="008D6F13" w:rsidP="00E84CF3">
            <w:pPr>
              <w:cnfStyle w:val="010000000000" w:firstRow="0" w:lastRow="1" w:firstColumn="0" w:lastColumn="0" w:oddVBand="0" w:evenVBand="0" w:oddHBand="0" w:evenHBand="0" w:firstRowFirstColumn="0" w:firstRowLastColumn="0" w:lastRowFirstColumn="0" w:lastRowLastColumn="0"/>
            </w:pPr>
            <w:r w:rsidRPr="00E84CF3">
              <w:t>11 540</w:t>
            </w:r>
          </w:p>
        </w:tc>
        <w:tc>
          <w:tcPr>
            <w:tcW w:w="1036" w:type="dxa"/>
            <w:noWrap/>
            <w:hideMark/>
          </w:tcPr>
          <w:p w14:paraId="40FF182C" w14:textId="77777777" w:rsidR="008D6F13" w:rsidRPr="00E84CF3" w:rsidRDefault="008D6F13" w:rsidP="00E84CF3">
            <w:pPr>
              <w:cnfStyle w:val="010000000000" w:firstRow="0" w:lastRow="1" w:firstColumn="0" w:lastColumn="0" w:oddVBand="0" w:evenVBand="0" w:oddHBand="0" w:evenHBand="0" w:firstRowFirstColumn="0" w:firstRowLastColumn="0" w:lastRowFirstColumn="0" w:lastRowLastColumn="0"/>
            </w:pPr>
            <w:r w:rsidRPr="00E84CF3">
              <w:t>11 911</w:t>
            </w:r>
          </w:p>
        </w:tc>
        <w:tc>
          <w:tcPr>
            <w:tcW w:w="1036" w:type="dxa"/>
            <w:noWrap/>
            <w:hideMark/>
          </w:tcPr>
          <w:p w14:paraId="154F32BE" w14:textId="77777777" w:rsidR="008D6F13" w:rsidRPr="00E84CF3" w:rsidRDefault="008D6F13" w:rsidP="00E84CF3">
            <w:pPr>
              <w:cnfStyle w:val="010000000000" w:firstRow="0" w:lastRow="1" w:firstColumn="0" w:lastColumn="0" w:oddVBand="0" w:evenVBand="0" w:oddHBand="0" w:evenHBand="0" w:firstRowFirstColumn="0" w:firstRowLastColumn="0" w:lastRowFirstColumn="0" w:lastRowLastColumn="0"/>
            </w:pPr>
            <w:r w:rsidRPr="00E84CF3">
              <w:t>12 715</w:t>
            </w:r>
          </w:p>
        </w:tc>
      </w:tr>
    </w:tbl>
    <w:p w14:paraId="19056389" w14:textId="01246928" w:rsidR="008D6F13" w:rsidRPr="00031635" w:rsidRDefault="008D6F13" w:rsidP="008D6F13">
      <w:pPr>
        <w:pStyle w:val="Note"/>
      </w:pPr>
      <w:r w:rsidRPr="00031635">
        <w:t>Note:</w:t>
      </w:r>
    </w:p>
    <w:p w14:paraId="7EC82CD9" w14:textId="77777777" w:rsidR="008D6F13" w:rsidRPr="00031635" w:rsidRDefault="008D6F13" w:rsidP="008D6F13">
      <w:pPr>
        <w:pStyle w:val="Note"/>
      </w:pPr>
      <w:r w:rsidRPr="00031635">
        <w:t>(a)</w:t>
      </w:r>
      <w:r w:rsidRPr="00031635">
        <w:tab/>
        <w:t>All amounts have been rounded to the nearest $1 million unless otherwise stated. Figures may not add due to rounding.</w:t>
      </w:r>
    </w:p>
    <w:p w14:paraId="606D75DE" w14:textId="77777777" w:rsidR="008D6F13" w:rsidRPr="00031635" w:rsidRDefault="008D6F13" w:rsidP="008D6F13">
      <w:pPr>
        <w:pStyle w:val="Heading10"/>
      </w:pPr>
      <w:bookmarkStart w:id="218" w:name="_Toc89419205"/>
      <w:bookmarkStart w:id="219" w:name="_Toc89420163"/>
      <w:bookmarkStart w:id="220" w:name="_Toc89423403"/>
      <w:bookmarkStart w:id="221" w:name="_Toc89423612"/>
      <w:r w:rsidRPr="00031635">
        <w:lastRenderedPageBreak/>
        <w:t>Concessions</w:t>
      </w:r>
      <w:bookmarkEnd w:id="218"/>
      <w:bookmarkEnd w:id="219"/>
      <w:bookmarkEnd w:id="220"/>
      <w:bookmarkEnd w:id="221"/>
    </w:p>
    <w:p w14:paraId="624FBB5C" w14:textId="77777777" w:rsidR="008D6F13" w:rsidRPr="00031635" w:rsidRDefault="008D6F13" w:rsidP="008D6F13">
      <w:r w:rsidRPr="00031635">
        <w:t xml:space="preserve">Concessions are direct budget outlays or reduced government charges that reduce the price of a good or service for </w:t>
      </w:r>
      <w:proofErr w:type="gramStart"/>
      <w:r w:rsidRPr="00031635">
        <w:t>particular groups</w:t>
      </w:r>
      <w:proofErr w:type="gramEnd"/>
      <w:r w:rsidRPr="00031635">
        <w:t>. Over the past decade, the State has provided $16.2 billion in concessions. In 2021-22, concessions are forecast to be about $2.0 billion.</w:t>
      </w:r>
    </w:p>
    <w:p w14:paraId="27D39FF9" w14:textId="77777777" w:rsidR="008D6F13" w:rsidRPr="00031635" w:rsidRDefault="008D6F13" w:rsidP="008D6F13">
      <w:r w:rsidRPr="00031635">
        <w:t xml:space="preserve">Certain characteristics of a consumer, such as possession of a Commonwealth Government pension card or health care card, can be the basis for such entitlements. Concessions allow certain groups in the community to access or purchase important public services such as energy, education, </w:t>
      </w:r>
      <w:proofErr w:type="gramStart"/>
      <w:r w:rsidRPr="00031635">
        <w:t>health</w:t>
      </w:r>
      <w:proofErr w:type="gramEnd"/>
      <w:r w:rsidRPr="00031635">
        <w:t xml:space="preserve"> and transportation at a reduced cost. Table C.2 classifies the major concessions by category.</w:t>
      </w:r>
    </w:p>
    <w:p w14:paraId="7CACEE57" w14:textId="77777777" w:rsidR="008D6F13" w:rsidRPr="00031635" w:rsidRDefault="008D6F13" w:rsidP="008D6F13">
      <w:r w:rsidRPr="00031635">
        <w:t xml:space="preserve">Eligible concession card holders receive reduced bills for energy, municipal rates, </w:t>
      </w:r>
      <w:proofErr w:type="gramStart"/>
      <w:r w:rsidRPr="00031635">
        <w:t>water</w:t>
      </w:r>
      <w:proofErr w:type="gramEnd"/>
      <w:r w:rsidRPr="00031635">
        <w:t xml:space="preserve"> and sewerage, funded by the State and paid to service providers.</w:t>
      </w:r>
    </w:p>
    <w:p w14:paraId="11408C79" w14:textId="77777777" w:rsidR="008D6F13" w:rsidRPr="00031635" w:rsidRDefault="008D6F13" w:rsidP="008D6F13">
      <w:r w:rsidRPr="00031635">
        <w:t>Education concessions include concessions for preschool and for vocational education and training.</w:t>
      </w:r>
    </w:p>
    <w:p w14:paraId="7459C403" w14:textId="77777777" w:rsidR="008D6F13" w:rsidRPr="00031635" w:rsidRDefault="008D6F13" w:rsidP="008D6F13">
      <w:r w:rsidRPr="00031635">
        <w:t>Hardship schemes include the Utility Relief Grant Scheme and payment to State Trustees through a Community Service Agreement. The Utility Relief Grant Scheme assists Victorians unable to pay utility bills due to temporary financial hardship. State Trustees provide trustee services, including managing the legal and financial affairs of Victorians unable to do so independently.</w:t>
      </w:r>
    </w:p>
    <w:p w14:paraId="32C1A0ED" w14:textId="77777777" w:rsidR="008D6F13" w:rsidRPr="00031635" w:rsidRDefault="008D6F13" w:rsidP="008D6F13">
      <w:r w:rsidRPr="00031635">
        <w:t>The social and community services category includes assistance to not</w:t>
      </w:r>
      <w:r>
        <w:t>-</w:t>
      </w:r>
      <w:r w:rsidRPr="00031635">
        <w:t>for</w:t>
      </w:r>
      <w:r>
        <w:t>-</w:t>
      </w:r>
      <w:r w:rsidRPr="00031635">
        <w:t xml:space="preserve">profit organisations such as Bereavement Assistance Limited, the Charity Freight Service and food relief organisations. </w:t>
      </w:r>
    </w:p>
    <w:p w14:paraId="4947650F" w14:textId="77777777" w:rsidR="008D6F13" w:rsidRDefault="008D6F13" w:rsidP="008D6F13">
      <w:r w:rsidRPr="00031635">
        <w:t>Private transport concessions consist of a discount on Transport Accident Commission premiums and funding the Multi-Purpose Taxi Program.</w:t>
      </w:r>
    </w:p>
    <w:p w14:paraId="64CE2DF8" w14:textId="77777777" w:rsidR="008D6F13" w:rsidRPr="00031635" w:rsidRDefault="008D6F13" w:rsidP="008D6F13">
      <w:pPr>
        <w:pStyle w:val="TableHeading"/>
      </w:pPr>
      <w:r w:rsidRPr="00031635">
        <w:t>Table C.2:</w:t>
      </w:r>
      <w:r w:rsidRPr="00031635">
        <w:tab/>
        <w:t xml:space="preserve">Concessions by category </w:t>
      </w:r>
      <w:r w:rsidRPr="00031635">
        <w:rPr>
          <w:vertAlign w:val="superscript"/>
        </w:rPr>
        <w:t>(a)</w:t>
      </w:r>
      <w:r w:rsidRPr="00031635">
        <w:tab/>
        <w:t>($ million)</w:t>
      </w:r>
    </w:p>
    <w:tbl>
      <w:tblPr>
        <w:tblStyle w:val="DTFTableNumeric"/>
        <w:tblW w:w="7711" w:type="dxa"/>
        <w:tblLook w:val="06E0" w:firstRow="1" w:lastRow="1" w:firstColumn="1" w:lastColumn="0" w:noHBand="1" w:noVBand="1"/>
      </w:tblPr>
      <w:tblGrid>
        <w:gridCol w:w="6381"/>
        <w:gridCol w:w="1330"/>
      </w:tblGrid>
      <w:tr w:rsidR="008D6F13" w:rsidRPr="00837231" w14:paraId="78E82166" w14:textId="77777777" w:rsidTr="005B3D1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404" w:type="dxa"/>
            <w:noWrap/>
            <w:hideMark/>
          </w:tcPr>
          <w:p w14:paraId="54C66121" w14:textId="77777777" w:rsidR="008D6F13" w:rsidRPr="00837231" w:rsidRDefault="008D6F13" w:rsidP="00837231">
            <w:pPr>
              <w:ind w:left="0" w:firstLine="0"/>
            </w:pPr>
            <w:r w:rsidRPr="00837231">
              <w:t>Description</w:t>
            </w:r>
          </w:p>
        </w:tc>
        <w:tc>
          <w:tcPr>
            <w:tcW w:w="1334" w:type="dxa"/>
            <w:noWrap/>
            <w:hideMark/>
          </w:tcPr>
          <w:p w14:paraId="59890741" w14:textId="77777777" w:rsidR="008D6F13" w:rsidRPr="00837231" w:rsidRDefault="008D6F13" w:rsidP="00837231">
            <w:pPr>
              <w:cnfStyle w:val="100000000000" w:firstRow="1" w:lastRow="0" w:firstColumn="0" w:lastColumn="0" w:oddVBand="0" w:evenVBand="0" w:oddHBand="0" w:evenHBand="0" w:firstRowFirstColumn="0" w:firstRowLastColumn="0" w:lastRowFirstColumn="0" w:lastRowLastColumn="0"/>
            </w:pPr>
            <w:r w:rsidRPr="00837231">
              <w:t>2021-22</w:t>
            </w:r>
          </w:p>
        </w:tc>
      </w:tr>
      <w:tr w:rsidR="008D6F13" w:rsidRPr="00837231" w14:paraId="3510251A" w14:textId="77777777" w:rsidTr="005B3D1D">
        <w:trPr>
          <w:trHeight w:val="255"/>
        </w:trPr>
        <w:tc>
          <w:tcPr>
            <w:cnfStyle w:val="001000000000" w:firstRow="0" w:lastRow="0" w:firstColumn="1" w:lastColumn="0" w:oddVBand="0" w:evenVBand="0" w:oddHBand="0" w:evenHBand="0" w:firstRowFirstColumn="0" w:firstRowLastColumn="0" w:lastRowFirstColumn="0" w:lastRowLastColumn="0"/>
            <w:tcW w:w="6404" w:type="dxa"/>
            <w:noWrap/>
            <w:hideMark/>
          </w:tcPr>
          <w:p w14:paraId="7C564F9F" w14:textId="77777777" w:rsidR="008D6F13" w:rsidRPr="00837231" w:rsidRDefault="008D6F13" w:rsidP="00837231">
            <w:pPr>
              <w:ind w:left="0" w:firstLine="0"/>
            </w:pPr>
            <w:r w:rsidRPr="00837231">
              <w:t>Electricity</w:t>
            </w:r>
          </w:p>
        </w:tc>
        <w:tc>
          <w:tcPr>
            <w:tcW w:w="1334" w:type="dxa"/>
            <w:noWrap/>
            <w:hideMark/>
          </w:tcPr>
          <w:p w14:paraId="1639737C" w14:textId="77777777" w:rsidR="008D6F13" w:rsidRPr="00837231" w:rsidRDefault="008D6F13" w:rsidP="00837231">
            <w:pPr>
              <w:cnfStyle w:val="000000000000" w:firstRow="0" w:lastRow="0" w:firstColumn="0" w:lastColumn="0" w:oddVBand="0" w:evenVBand="0" w:oddHBand="0" w:evenHBand="0" w:firstRowFirstColumn="0" w:firstRowLastColumn="0" w:lastRowFirstColumn="0" w:lastRowLastColumn="0"/>
            </w:pPr>
            <w:r w:rsidRPr="00837231">
              <w:t xml:space="preserve"> 163</w:t>
            </w:r>
          </w:p>
        </w:tc>
      </w:tr>
      <w:tr w:rsidR="008D6F13" w:rsidRPr="00837231" w14:paraId="34EA739D" w14:textId="77777777" w:rsidTr="005B3D1D">
        <w:trPr>
          <w:trHeight w:val="255"/>
        </w:trPr>
        <w:tc>
          <w:tcPr>
            <w:cnfStyle w:val="001000000000" w:firstRow="0" w:lastRow="0" w:firstColumn="1" w:lastColumn="0" w:oddVBand="0" w:evenVBand="0" w:oddHBand="0" w:evenHBand="0" w:firstRowFirstColumn="0" w:firstRowLastColumn="0" w:lastRowFirstColumn="0" w:lastRowLastColumn="0"/>
            <w:tcW w:w="6404" w:type="dxa"/>
            <w:noWrap/>
            <w:hideMark/>
          </w:tcPr>
          <w:p w14:paraId="476C341B" w14:textId="77777777" w:rsidR="008D6F13" w:rsidRPr="00837231" w:rsidRDefault="008D6F13" w:rsidP="00837231">
            <w:pPr>
              <w:ind w:left="0" w:firstLine="0"/>
            </w:pPr>
            <w:proofErr w:type="gramStart"/>
            <w:r w:rsidRPr="00837231">
              <w:t>Mains</w:t>
            </w:r>
            <w:proofErr w:type="gramEnd"/>
            <w:r w:rsidRPr="00837231">
              <w:t xml:space="preserve"> gas</w:t>
            </w:r>
          </w:p>
        </w:tc>
        <w:tc>
          <w:tcPr>
            <w:tcW w:w="1334" w:type="dxa"/>
            <w:noWrap/>
            <w:hideMark/>
          </w:tcPr>
          <w:p w14:paraId="1D17CB99" w14:textId="77777777" w:rsidR="008D6F13" w:rsidRPr="00837231" w:rsidRDefault="008D6F13" w:rsidP="00837231">
            <w:pPr>
              <w:cnfStyle w:val="000000000000" w:firstRow="0" w:lastRow="0" w:firstColumn="0" w:lastColumn="0" w:oddVBand="0" w:evenVBand="0" w:oddHBand="0" w:evenHBand="0" w:firstRowFirstColumn="0" w:firstRowLastColumn="0" w:lastRowFirstColumn="0" w:lastRowLastColumn="0"/>
            </w:pPr>
            <w:r w:rsidRPr="00837231">
              <w:t xml:space="preserve"> 75</w:t>
            </w:r>
          </w:p>
        </w:tc>
      </w:tr>
      <w:tr w:rsidR="008D6F13" w:rsidRPr="00837231" w14:paraId="36F798D1" w14:textId="77777777" w:rsidTr="005B3D1D">
        <w:trPr>
          <w:trHeight w:val="255"/>
        </w:trPr>
        <w:tc>
          <w:tcPr>
            <w:cnfStyle w:val="001000000000" w:firstRow="0" w:lastRow="0" w:firstColumn="1" w:lastColumn="0" w:oddVBand="0" w:evenVBand="0" w:oddHBand="0" w:evenHBand="0" w:firstRowFirstColumn="0" w:firstRowLastColumn="0" w:lastRowFirstColumn="0" w:lastRowLastColumn="0"/>
            <w:tcW w:w="6404" w:type="dxa"/>
            <w:noWrap/>
            <w:hideMark/>
          </w:tcPr>
          <w:p w14:paraId="21622F5F" w14:textId="77777777" w:rsidR="008D6F13" w:rsidRPr="00837231" w:rsidRDefault="008D6F13" w:rsidP="00837231">
            <w:pPr>
              <w:ind w:left="0" w:firstLine="0"/>
            </w:pPr>
            <w:r w:rsidRPr="00837231">
              <w:t>Municipal rates</w:t>
            </w:r>
          </w:p>
        </w:tc>
        <w:tc>
          <w:tcPr>
            <w:tcW w:w="1334" w:type="dxa"/>
            <w:noWrap/>
            <w:hideMark/>
          </w:tcPr>
          <w:p w14:paraId="4EC0011D" w14:textId="77777777" w:rsidR="008D6F13" w:rsidRPr="00837231" w:rsidRDefault="008D6F13" w:rsidP="00837231">
            <w:pPr>
              <w:cnfStyle w:val="000000000000" w:firstRow="0" w:lastRow="0" w:firstColumn="0" w:lastColumn="0" w:oddVBand="0" w:evenVBand="0" w:oddHBand="0" w:evenHBand="0" w:firstRowFirstColumn="0" w:firstRowLastColumn="0" w:lastRowFirstColumn="0" w:lastRowLastColumn="0"/>
            </w:pPr>
            <w:r w:rsidRPr="00837231">
              <w:t xml:space="preserve"> 103</w:t>
            </w:r>
          </w:p>
        </w:tc>
      </w:tr>
      <w:tr w:rsidR="008D6F13" w:rsidRPr="00837231" w14:paraId="1CB58207" w14:textId="77777777" w:rsidTr="005B3D1D">
        <w:trPr>
          <w:trHeight w:val="255"/>
        </w:trPr>
        <w:tc>
          <w:tcPr>
            <w:cnfStyle w:val="001000000000" w:firstRow="0" w:lastRow="0" w:firstColumn="1" w:lastColumn="0" w:oddVBand="0" w:evenVBand="0" w:oddHBand="0" w:evenHBand="0" w:firstRowFirstColumn="0" w:firstRowLastColumn="0" w:lastRowFirstColumn="0" w:lastRowLastColumn="0"/>
            <w:tcW w:w="6404" w:type="dxa"/>
            <w:noWrap/>
            <w:hideMark/>
          </w:tcPr>
          <w:p w14:paraId="53AE5740" w14:textId="77777777" w:rsidR="008D6F13" w:rsidRPr="00837231" w:rsidRDefault="008D6F13" w:rsidP="00837231">
            <w:pPr>
              <w:ind w:left="0" w:firstLine="0"/>
            </w:pPr>
            <w:r w:rsidRPr="00837231">
              <w:t>Water and sewerage</w:t>
            </w:r>
          </w:p>
        </w:tc>
        <w:tc>
          <w:tcPr>
            <w:tcW w:w="1334" w:type="dxa"/>
            <w:noWrap/>
            <w:hideMark/>
          </w:tcPr>
          <w:p w14:paraId="62561D78" w14:textId="77777777" w:rsidR="008D6F13" w:rsidRPr="00837231" w:rsidRDefault="008D6F13" w:rsidP="00837231">
            <w:pPr>
              <w:cnfStyle w:val="000000000000" w:firstRow="0" w:lastRow="0" w:firstColumn="0" w:lastColumn="0" w:oddVBand="0" w:evenVBand="0" w:oddHBand="0" w:evenHBand="0" w:firstRowFirstColumn="0" w:firstRowLastColumn="0" w:lastRowFirstColumn="0" w:lastRowLastColumn="0"/>
            </w:pPr>
            <w:r w:rsidRPr="00837231">
              <w:t xml:space="preserve"> 197</w:t>
            </w:r>
          </w:p>
        </w:tc>
      </w:tr>
      <w:tr w:rsidR="008D6F13" w:rsidRPr="00837231" w14:paraId="3F949C15" w14:textId="77777777" w:rsidTr="005B3D1D">
        <w:trPr>
          <w:trHeight w:val="255"/>
        </w:trPr>
        <w:tc>
          <w:tcPr>
            <w:cnfStyle w:val="001000000000" w:firstRow="0" w:lastRow="0" w:firstColumn="1" w:lastColumn="0" w:oddVBand="0" w:evenVBand="0" w:oddHBand="0" w:evenHBand="0" w:firstRowFirstColumn="0" w:firstRowLastColumn="0" w:lastRowFirstColumn="0" w:lastRowLastColumn="0"/>
            <w:tcW w:w="6404" w:type="dxa"/>
            <w:noWrap/>
            <w:hideMark/>
          </w:tcPr>
          <w:p w14:paraId="7A49FC90" w14:textId="77777777" w:rsidR="008D6F13" w:rsidRPr="00837231" w:rsidRDefault="008D6F13" w:rsidP="00837231">
            <w:pPr>
              <w:ind w:left="0" w:firstLine="0"/>
              <w:rPr>
                <w:b/>
                <w:bCs/>
              </w:rPr>
            </w:pPr>
            <w:r w:rsidRPr="00837231">
              <w:rPr>
                <w:b/>
                <w:bCs/>
              </w:rPr>
              <w:t xml:space="preserve">Total energy, municipal rates, </w:t>
            </w:r>
            <w:proofErr w:type="gramStart"/>
            <w:r w:rsidRPr="00837231">
              <w:rPr>
                <w:b/>
                <w:bCs/>
              </w:rPr>
              <w:t>water</w:t>
            </w:r>
            <w:proofErr w:type="gramEnd"/>
            <w:r w:rsidRPr="00837231">
              <w:rPr>
                <w:b/>
                <w:bCs/>
              </w:rPr>
              <w:t xml:space="preserve"> and sewerage</w:t>
            </w:r>
          </w:p>
        </w:tc>
        <w:tc>
          <w:tcPr>
            <w:tcW w:w="1334" w:type="dxa"/>
            <w:noWrap/>
            <w:hideMark/>
          </w:tcPr>
          <w:p w14:paraId="036B1F18" w14:textId="77777777" w:rsidR="008D6F13" w:rsidRPr="00837231" w:rsidRDefault="008D6F13" w:rsidP="00837231">
            <w:pPr>
              <w:cnfStyle w:val="000000000000" w:firstRow="0" w:lastRow="0" w:firstColumn="0" w:lastColumn="0" w:oddVBand="0" w:evenVBand="0" w:oddHBand="0" w:evenHBand="0" w:firstRowFirstColumn="0" w:firstRowLastColumn="0" w:lastRowFirstColumn="0" w:lastRowLastColumn="0"/>
              <w:rPr>
                <w:b/>
                <w:bCs/>
              </w:rPr>
            </w:pPr>
            <w:r w:rsidRPr="00837231">
              <w:rPr>
                <w:b/>
                <w:bCs/>
              </w:rPr>
              <w:t xml:space="preserve"> 539</w:t>
            </w:r>
          </w:p>
        </w:tc>
      </w:tr>
      <w:tr w:rsidR="008D6F13" w:rsidRPr="00837231" w14:paraId="396EFA74" w14:textId="77777777" w:rsidTr="005B3D1D">
        <w:trPr>
          <w:trHeight w:val="255"/>
        </w:trPr>
        <w:tc>
          <w:tcPr>
            <w:cnfStyle w:val="001000000000" w:firstRow="0" w:lastRow="0" w:firstColumn="1" w:lastColumn="0" w:oddVBand="0" w:evenVBand="0" w:oddHBand="0" w:evenHBand="0" w:firstRowFirstColumn="0" w:firstRowLastColumn="0" w:lastRowFirstColumn="0" w:lastRowLastColumn="0"/>
            <w:tcW w:w="6404" w:type="dxa"/>
            <w:noWrap/>
            <w:hideMark/>
          </w:tcPr>
          <w:p w14:paraId="4334AC98" w14:textId="77777777" w:rsidR="008D6F13" w:rsidRPr="00837231" w:rsidRDefault="008D6F13" w:rsidP="00837231">
            <w:pPr>
              <w:ind w:left="0" w:firstLine="0"/>
            </w:pPr>
            <w:r w:rsidRPr="00837231">
              <w:t>Ambulance</w:t>
            </w:r>
          </w:p>
        </w:tc>
        <w:tc>
          <w:tcPr>
            <w:tcW w:w="1334" w:type="dxa"/>
            <w:noWrap/>
            <w:hideMark/>
          </w:tcPr>
          <w:p w14:paraId="56CE0A53" w14:textId="77777777" w:rsidR="008D6F13" w:rsidRPr="00837231" w:rsidRDefault="008D6F13" w:rsidP="00837231">
            <w:pPr>
              <w:cnfStyle w:val="000000000000" w:firstRow="0" w:lastRow="0" w:firstColumn="0" w:lastColumn="0" w:oddVBand="0" w:evenVBand="0" w:oddHBand="0" w:evenHBand="0" w:firstRowFirstColumn="0" w:firstRowLastColumn="0" w:lastRowFirstColumn="0" w:lastRowLastColumn="0"/>
            </w:pPr>
            <w:r w:rsidRPr="00837231">
              <w:t xml:space="preserve"> 450</w:t>
            </w:r>
          </w:p>
        </w:tc>
      </w:tr>
      <w:tr w:rsidR="008D6F13" w:rsidRPr="00837231" w14:paraId="0498BED9" w14:textId="77777777" w:rsidTr="005B3D1D">
        <w:trPr>
          <w:trHeight w:val="255"/>
        </w:trPr>
        <w:tc>
          <w:tcPr>
            <w:cnfStyle w:val="001000000000" w:firstRow="0" w:lastRow="0" w:firstColumn="1" w:lastColumn="0" w:oddVBand="0" w:evenVBand="0" w:oddHBand="0" w:evenHBand="0" w:firstRowFirstColumn="0" w:firstRowLastColumn="0" w:lastRowFirstColumn="0" w:lastRowLastColumn="0"/>
            <w:tcW w:w="6404" w:type="dxa"/>
            <w:noWrap/>
            <w:hideMark/>
          </w:tcPr>
          <w:p w14:paraId="718B07FC" w14:textId="77777777" w:rsidR="008D6F13" w:rsidRPr="00837231" w:rsidRDefault="008D6F13" w:rsidP="00837231">
            <w:pPr>
              <w:ind w:left="0" w:firstLine="0"/>
            </w:pPr>
            <w:r w:rsidRPr="00837231">
              <w:t>Dental services and spectacles</w:t>
            </w:r>
          </w:p>
        </w:tc>
        <w:tc>
          <w:tcPr>
            <w:tcW w:w="1334" w:type="dxa"/>
            <w:noWrap/>
            <w:hideMark/>
          </w:tcPr>
          <w:p w14:paraId="7DBE3233" w14:textId="77777777" w:rsidR="008D6F13" w:rsidRPr="00837231" w:rsidRDefault="008D6F13" w:rsidP="00837231">
            <w:pPr>
              <w:cnfStyle w:val="000000000000" w:firstRow="0" w:lastRow="0" w:firstColumn="0" w:lastColumn="0" w:oddVBand="0" w:evenVBand="0" w:oddHBand="0" w:evenHBand="0" w:firstRowFirstColumn="0" w:firstRowLastColumn="0" w:lastRowFirstColumn="0" w:lastRowLastColumn="0"/>
            </w:pPr>
            <w:r w:rsidRPr="00837231">
              <w:t xml:space="preserve"> 170</w:t>
            </w:r>
          </w:p>
        </w:tc>
      </w:tr>
      <w:tr w:rsidR="008D6F13" w:rsidRPr="00837231" w14:paraId="29E05C4F" w14:textId="77777777" w:rsidTr="005B3D1D">
        <w:trPr>
          <w:trHeight w:val="255"/>
        </w:trPr>
        <w:tc>
          <w:tcPr>
            <w:cnfStyle w:val="001000000000" w:firstRow="0" w:lastRow="0" w:firstColumn="1" w:lastColumn="0" w:oddVBand="0" w:evenVBand="0" w:oddHBand="0" w:evenHBand="0" w:firstRowFirstColumn="0" w:firstRowLastColumn="0" w:lastRowFirstColumn="0" w:lastRowLastColumn="0"/>
            <w:tcW w:w="6404" w:type="dxa"/>
            <w:noWrap/>
            <w:hideMark/>
          </w:tcPr>
          <w:p w14:paraId="72DE4918" w14:textId="77777777" w:rsidR="008D6F13" w:rsidRPr="00837231" w:rsidRDefault="008D6F13" w:rsidP="00837231">
            <w:pPr>
              <w:ind w:left="0" w:firstLine="0"/>
            </w:pPr>
            <w:r w:rsidRPr="00837231">
              <w:t>Community health programs</w:t>
            </w:r>
          </w:p>
        </w:tc>
        <w:tc>
          <w:tcPr>
            <w:tcW w:w="1334" w:type="dxa"/>
            <w:noWrap/>
            <w:hideMark/>
          </w:tcPr>
          <w:p w14:paraId="54A71BBF" w14:textId="77777777" w:rsidR="008D6F13" w:rsidRPr="00837231" w:rsidRDefault="008D6F13" w:rsidP="00837231">
            <w:pPr>
              <w:cnfStyle w:val="000000000000" w:firstRow="0" w:lastRow="0" w:firstColumn="0" w:lastColumn="0" w:oddVBand="0" w:evenVBand="0" w:oddHBand="0" w:evenHBand="0" w:firstRowFirstColumn="0" w:firstRowLastColumn="0" w:lastRowFirstColumn="0" w:lastRowLastColumn="0"/>
            </w:pPr>
            <w:r w:rsidRPr="00837231">
              <w:t xml:space="preserve"> 181</w:t>
            </w:r>
          </w:p>
        </w:tc>
      </w:tr>
      <w:tr w:rsidR="008D6F13" w:rsidRPr="00837231" w14:paraId="13ADEB14" w14:textId="77777777" w:rsidTr="005B3D1D">
        <w:trPr>
          <w:trHeight w:val="255"/>
        </w:trPr>
        <w:tc>
          <w:tcPr>
            <w:cnfStyle w:val="001000000000" w:firstRow="0" w:lastRow="0" w:firstColumn="1" w:lastColumn="0" w:oddVBand="0" w:evenVBand="0" w:oddHBand="0" w:evenHBand="0" w:firstRowFirstColumn="0" w:firstRowLastColumn="0" w:lastRowFirstColumn="0" w:lastRowLastColumn="0"/>
            <w:tcW w:w="6404" w:type="dxa"/>
            <w:noWrap/>
            <w:hideMark/>
          </w:tcPr>
          <w:p w14:paraId="1F420816" w14:textId="77777777" w:rsidR="008D6F13" w:rsidRPr="00837231" w:rsidRDefault="008D6F13" w:rsidP="00837231">
            <w:pPr>
              <w:ind w:left="0" w:firstLine="0"/>
              <w:rPr>
                <w:b/>
                <w:bCs/>
              </w:rPr>
            </w:pPr>
            <w:r w:rsidRPr="00837231">
              <w:rPr>
                <w:b/>
                <w:bCs/>
              </w:rPr>
              <w:t>Total health</w:t>
            </w:r>
          </w:p>
        </w:tc>
        <w:tc>
          <w:tcPr>
            <w:tcW w:w="1334" w:type="dxa"/>
            <w:noWrap/>
            <w:hideMark/>
          </w:tcPr>
          <w:p w14:paraId="433CEF1C" w14:textId="77777777" w:rsidR="008D6F13" w:rsidRPr="00837231" w:rsidRDefault="008D6F13" w:rsidP="00837231">
            <w:pPr>
              <w:cnfStyle w:val="000000000000" w:firstRow="0" w:lastRow="0" w:firstColumn="0" w:lastColumn="0" w:oddVBand="0" w:evenVBand="0" w:oddHBand="0" w:evenHBand="0" w:firstRowFirstColumn="0" w:firstRowLastColumn="0" w:lastRowFirstColumn="0" w:lastRowLastColumn="0"/>
              <w:rPr>
                <w:b/>
                <w:bCs/>
              </w:rPr>
            </w:pPr>
            <w:r w:rsidRPr="00837231">
              <w:rPr>
                <w:b/>
                <w:bCs/>
              </w:rPr>
              <w:t xml:space="preserve"> 802</w:t>
            </w:r>
          </w:p>
        </w:tc>
      </w:tr>
      <w:tr w:rsidR="008D6F13" w:rsidRPr="00837231" w14:paraId="15445F4F" w14:textId="77777777" w:rsidTr="005B3D1D">
        <w:trPr>
          <w:trHeight w:val="255"/>
        </w:trPr>
        <w:tc>
          <w:tcPr>
            <w:cnfStyle w:val="001000000000" w:firstRow="0" w:lastRow="0" w:firstColumn="1" w:lastColumn="0" w:oddVBand="0" w:evenVBand="0" w:oddHBand="0" w:evenHBand="0" w:firstRowFirstColumn="0" w:firstRowLastColumn="0" w:lastRowFirstColumn="0" w:lastRowLastColumn="0"/>
            <w:tcW w:w="6404" w:type="dxa"/>
            <w:noWrap/>
            <w:hideMark/>
          </w:tcPr>
          <w:p w14:paraId="122012F1" w14:textId="77777777" w:rsidR="008D6F13" w:rsidRPr="00837231" w:rsidRDefault="008D6F13" w:rsidP="00837231">
            <w:pPr>
              <w:ind w:left="0" w:firstLine="0"/>
              <w:rPr>
                <w:b/>
                <w:bCs/>
              </w:rPr>
            </w:pPr>
            <w:r w:rsidRPr="00837231">
              <w:rPr>
                <w:b/>
                <w:bCs/>
              </w:rPr>
              <w:t xml:space="preserve">Education </w:t>
            </w:r>
          </w:p>
        </w:tc>
        <w:tc>
          <w:tcPr>
            <w:tcW w:w="1334" w:type="dxa"/>
            <w:noWrap/>
            <w:hideMark/>
          </w:tcPr>
          <w:p w14:paraId="738375A0" w14:textId="77777777" w:rsidR="008D6F13" w:rsidRPr="00837231" w:rsidRDefault="008D6F13" w:rsidP="00837231">
            <w:pPr>
              <w:cnfStyle w:val="000000000000" w:firstRow="0" w:lastRow="0" w:firstColumn="0" w:lastColumn="0" w:oddVBand="0" w:evenVBand="0" w:oddHBand="0" w:evenHBand="0" w:firstRowFirstColumn="0" w:firstRowLastColumn="0" w:lastRowFirstColumn="0" w:lastRowLastColumn="0"/>
              <w:rPr>
                <w:b/>
                <w:bCs/>
              </w:rPr>
            </w:pPr>
            <w:r w:rsidRPr="00837231">
              <w:rPr>
                <w:b/>
                <w:bCs/>
              </w:rPr>
              <w:t xml:space="preserve"> 180</w:t>
            </w:r>
          </w:p>
        </w:tc>
      </w:tr>
      <w:tr w:rsidR="008D6F13" w:rsidRPr="00837231" w14:paraId="73E2824B" w14:textId="77777777" w:rsidTr="005B3D1D">
        <w:trPr>
          <w:trHeight w:val="255"/>
        </w:trPr>
        <w:tc>
          <w:tcPr>
            <w:cnfStyle w:val="001000000000" w:firstRow="0" w:lastRow="0" w:firstColumn="1" w:lastColumn="0" w:oddVBand="0" w:evenVBand="0" w:oddHBand="0" w:evenHBand="0" w:firstRowFirstColumn="0" w:firstRowLastColumn="0" w:lastRowFirstColumn="0" w:lastRowLastColumn="0"/>
            <w:tcW w:w="6404" w:type="dxa"/>
            <w:noWrap/>
            <w:hideMark/>
          </w:tcPr>
          <w:p w14:paraId="7B0907A1" w14:textId="77777777" w:rsidR="008D6F13" w:rsidRPr="00837231" w:rsidRDefault="008D6F13" w:rsidP="00837231">
            <w:pPr>
              <w:ind w:left="0" w:firstLine="0"/>
              <w:rPr>
                <w:b/>
                <w:bCs/>
              </w:rPr>
            </w:pPr>
            <w:r w:rsidRPr="00837231">
              <w:rPr>
                <w:b/>
                <w:bCs/>
              </w:rPr>
              <w:t>Hardship schemes</w:t>
            </w:r>
          </w:p>
        </w:tc>
        <w:tc>
          <w:tcPr>
            <w:tcW w:w="1334" w:type="dxa"/>
            <w:noWrap/>
            <w:hideMark/>
          </w:tcPr>
          <w:p w14:paraId="24769297" w14:textId="77777777" w:rsidR="008D6F13" w:rsidRPr="00837231" w:rsidRDefault="008D6F13" w:rsidP="00837231">
            <w:pPr>
              <w:cnfStyle w:val="000000000000" w:firstRow="0" w:lastRow="0" w:firstColumn="0" w:lastColumn="0" w:oddVBand="0" w:evenVBand="0" w:oddHBand="0" w:evenHBand="0" w:firstRowFirstColumn="0" w:firstRowLastColumn="0" w:lastRowFirstColumn="0" w:lastRowLastColumn="0"/>
              <w:rPr>
                <w:b/>
                <w:bCs/>
              </w:rPr>
            </w:pPr>
            <w:r w:rsidRPr="00837231">
              <w:rPr>
                <w:b/>
                <w:bCs/>
              </w:rPr>
              <w:t xml:space="preserve"> 69</w:t>
            </w:r>
          </w:p>
        </w:tc>
      </w:tr>
      <w:tr w:rsidR="008D6F13" w:rsidRPr="00837231" w14:paraId="5E769C54" w14:textId="77777777" w:rsidTr="005B3D1D">
        <w:trPr>
          <w:trHeight w:val="255"/>
        </w:trPr>
        <w:tc>
          <w:tcPr>
            <w:cnfStyle w:val="001000000000" w:firstRow="0" w:lastRow="0" w:firstColumn="1" w:lastColumn="0" w:oddVBand="0" w:evenVBand="0" w:oddHBand="0" w:evenHBand="0" w:firstRowFirstColumn="0" w:firstRowLastColumn="0" w:lastRowFirstColumn="0" w:lastRowLastColumn="0"/>
            <w:tcW w:w="6404" w:type="dxa"/>
            <w:noWrap/>
            <w:hideMark/>
          </w:tcPr>
          <w:p w14:paraId="53AD7679" w14:textId="77777777" w:rsidR="008D6F13" w:rsidRPr="00837231" w:rsidRDefault="008D6F13" w:rsidP="00837231">
            <w:pPr>
              <w:ind w:left="0" w:firstLine="0"/>
              <w:rPr>
                <w:b/>
                <w:bCs/>
              </w:rPr>
            </w:pPr>
            <w:r w:rsidRPr="00837231">
              <w:rPr>
                <w:b/>
                <w:bCs/>
              </w:rPr>
              <w:t>Social and community services</w:t>
            </w:r>
          </w:p>
        </w:tc>
        <w:tc>
          <w:tcPr>
            <w:tcW w:w="1334" w:type="dxa"/>
            <w:noWrap/>
            <w:hideMark/>
          </w:tcPr>
          <w:p w14:paraId="40A6EA48" w14:textId="77777777" w:rsidR="008D6F13" w:rsidRPr="00837231" w:rsidRDefault="008D6F13" w:rsidP="00837231">
            <w:pPr>
              <w:cnfStyle w:val="000000000000" w:firstRow="0" w:lastRow="0" w:firstColumn="0" w:lastColumn="0" w:oddVBand="0" w:evenVBand="0" w:oddHBand="0" w:evenHBand="0" w:firstRowFirstColumn="0" w:firstRowLastColumn="0" w:lastRowFirstColumn="0" w:lastRowLastColumn="0"/>
              <w:rPr>
                <w:b/>
                <w:bCs/>
              </w:rPr>
            </w:pPr>
            <w:r w:rsidRPr="00837231">
              <w:rPr>
                <w:b/>
                <w:bCs/>
              </w:rPr>
              <w:t xml:space="preserve"> 16</w:t>
            </w:r>
          </w:p>
        </w:tc>
      </w:tr>
      <w:tr w:rsidR="008D6F13" w:rsidRPr="00837231" w14:paraId="7BE6476C" w14:textId="77777777" w:rsidTr="005B3D1D">
        <w:trPr>
          <w:trHeight w:val="255"/>
        </w:trPr>
        <w:tc>
          <w:tcPr>
            <w:cnfStyle w:val="001000000000" w:firstRow="0" w:lastRow="0" w:firstColumn="1" w:lastColumn="0" w:oddVBand="0" w:evenVBand="0" w:oddHBand="0" w:evenHBand="0" w:firstRowFirstColumn="0" w:firstRowLastColumn="0" w:lastRowFirstColumn="0" w:lastRowLastColumn="0"/>
            <w:tcW w:w="6404" w:type="dxa"/>
            <w:noWrap/>
            <w:hideMark/>
          </w:tcPr>
          <w:p w14:paraId="075829FF" w14:textId="77777777" w:rsidR="008D6F13" w:rsidRPr="00837231" w:rsidRDefault="008D6F13" w:rsidP="00837231">
            <w:pPr>
              <w:ind w:left="0" w:firstLine="0"/>
              <w:rPr>
                <w:b/>
                <w:bCs/>
              </w:rPr>
            </w:pPr>
            <w:r w:rsidRPr="00837231">
              <w:rPr>
                <w:b/>
                <w:bCs/>
              </w:rPr>
              <w:t>Private transport</w:t>
            </w:r>
          </w:p>
        </w:tc>
        <w:tc>
          <w:tcPr>
            <w:tcW w:w="1334" w:type="dxa"/>
            <w:noWrap/>
            <w:hideMark/>
          </w:tcPr>
          <w:p w14:paraId="5C4FC931" w14:textId="77777777" w:rsidR="008D6F13" w:rsidRPr="00837231" w:rsidRDefault="008D6F13" w:rsidP="00837231">
            <w:pPr>
              <w:cnfStyle w:val="000000000000" w:firstRow="0" w:lastRow="0" w:firstColumn="0" w:lastColumn="0" w:oddVBand="0" w:evenVBand="0" w:oddHBand="0" w:evenHBand="0" w:firstRowFirstColumn="0" w:firstRowLastColumn="0" w:lastRowFirstColumn="0" w:lastRowLastColumn="0"/>
              <w:rPr>
                <w:b/>
                <w:bCs/>
              </w:rPr>
            </w:pPr>
            <w:r w:rsidRPr="00837231">
              <w:rPr>
                <w:b/>
                <w:bCs/>
              </w:rPr>
              <w:t xml:space="preserve"> 181</w:t>
            </w:r>
          </w:p>
        </w:tc>
      </w:tr>
      <w:tr w:rsidR="008D6F13" w:rsidRPr="00837231" w14:paraId="385459F7" w14:textId="77777777" w:rsidTr="005B3D1D">
        <w:trPr>
          <w:trHeight w:val="255"/>
        </w:trPr>
        <w:tc>
          <w:tcPr>
            <w:cnfStyle w:val="001000000000" w:firstRow="0" w:lastRow="0" w:firstColumn="1" w:lastColumn="0" w:oddVBand="0" w:evenVBand="0" w:oddHBand="0" w:evenHBand="0" w:firstRowFirstColumn="0" w:firstRowLastColumn="0" w:lastRowFirstColumn="0" w:lastRowLastColumn="0"/>
            <w:tcW w:w="6404" w:type="dxa"/>
            <w:noWrap/>
            <w:hideMark/>
          </w:tcPr>
          <w:p w14:paraId="4C4EE648" w14:textId="77777777" w:rsidR="008D6F13" w:rsidRPr="00837231" w:rsidRDefault="008D6F13" w:rsidP="00837231">
            <w:pPr>
              <w:ind w:left="0" w:firstLine="0"/>
              <w:rPr>
                <w:b/>
                <w:bCs/>
              </w:rPr>
            </w:pPr>
            <w:r w:rsidRPr="00837231">
              <w:rPr>
                <w:b/>
                <w:bCs/>
              </w:rPr>
              <w:t>Public transport</w:t>
            </w:r>
          </w:p>
        </w:tc>
        <w:tc>
          <w:tcPr>
            <w:tcW w:w="1334" w:type="dxa"/>
            <w:noWrap/>
            <w:hideMark/>
          </w:tcPr>
          <w:p w14:paraId="09E52F4D" w14:textId="77777777" w:rsidR="008D6F13" w:rsidRPr="00837231" w:rsidRDefault="008D6F13" w:rsidP="00837231">
            <w:pPr>
              <w:cnfStyle w:val="000000000000" w:firstRow="0" w:lastRow="0" w:firstColumn="0" w:lastColumn="0" w:oddVBand="0" w:evenVBand="0" w:oddHBand="0" w:evenHBand="0" w:firstRowFirstColumn="0" w:firstRowLastColumn="0" w:lastRowFirstColumn="0" w:lastRowLastColumn="0"/>
              <w:rPr>
                <w:b/>
                <w:bCs/>
              </w:rPr>
            </w:pPr>
            <w:r w:rsidRPr="00837231">
              <w:rPr>
                <w:b/>
                <w:bCs/>
              </w:rPr>
              <w:t xml:space="preserve"> 192</w:t>
            </w:r>
          </w:p>
        </w:tc>
      </w:tr>
      <w:tr w:rsidR="008D6F13" w:rsidRPr="00837231" w14:paraId="24516F99" w14:textId="77777777" w:rsidTr="005B3D1D">
        <w:trPr>
          <w:cnfStyle w:val="010000000000" w:firstRow="0" w:lastRow="1"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404" w:type="dxa"/>
            <w:noWrap/>
            <w:hideMark/>
          </w:tcPr>
          <w:p w14:paraId="170C2D07" w14:textId="77777777" w:rsidR="008D6F13" w:rsidRPr="00837231" w:rsidRDefault="008D6F13" w:rsidP="00837231">
            <w:pPr>
              <w:ind w:left="0" w:firstLine="0"/>
            </w:pPr>
            <w:r w:rsidRPr="00837231">
              <w:t>Total for items estimated</w:t>
            </w:r>
          </w:p>
        </w:tc>
        <w:tc>
          <w:tcPr>
            <w:tcW w:w="1334" w:type="dxa"/>
            <w:noWrap/>
            <w:hideMark/>
          </w:tcPr>
          <w:p w14:paraId="49282648" w14:textId="77777777" w:rsidR="008D6F13" w:rsidRPr="00837231" w:rsidRDefault="008D6F13" w:rsidP="00837231">
            <w:pPr>
              <w:cnfStyle w:val="010000000000" w:firstRow="0" w:lastRow="1" w:firstColumn="0" w:lastColumn="0" w:oddVBand="0" w:evenVBand="0" w:oddHBand="0" w:evenHBand="0" w:firstRowFirstColumn="0" w:firstRowLastColumn="0" w:lastRowFirstColumn="0" w:lastRowLastColumn="0"/>
            </w:pPr>
            <w:r w:rsidRPr="00837231">
              <w:t>1 978</w:t>
            </w:r>
          </w:p>
        </w:tc>
      </w:tr>
    </w:tbl>
    <w:p w14:paraId="3A641497" w14:textId="77777777" w:rsidR="008D6F13" w:rsidRPr="00031635" w:rsidRDefault="008D6F13" w:rsidP="008D6F13">
      <w:pPr>
        <w:pStyle w:val="Note"/>
      </w:pPr>
      <w:r w:rsidRPr="00031635">
        <w:t>Note:</w:t>
      </w:r>
    </w:p>
    <w:p w14:paraId="34E1E08F" w14:textId="4F4D7861" w:rsidR="008D6F13" w:rsidRDefault="008D6F13" w:rsidP="00837231">
      <w:pPr>
        <w:pStyle w:val="Note"/>
      </w:pPr>
      <w:r w:rsidRPr="00031635">
        <w:t>(a)</w:t>
      </w:r>
      <w:r w:rsidRPr="00031635">
        <w:tab/>
        <w:t>All amounts have been rounded to the nearest $1 million unless otherwise stated. Figures may not add due to rounding.</w:t>
      </w:r>
    </w:p>
    <w:p w14:paraId="7554BCE1" w14:textId="77777777" w:rsidR="008D6F13" w:rsidRDefault="008D6F13" w:rsidP="003610AD">
      <w:pPr>
        <w:sectPr w:rsidR="008D6F13" w:rsidSect="008D6F13">
          <w:footerReference w:type="even" r:id="rId60"/>
          <w:footerReference w:type="default" r:id="rId61"/>
          <w:pgSz w:w="9979" w:h="14175" w:code="9"/>
          <w:pgMar w:top="1134" w:right="1134" w:bottom="1134" w:left="1134" w:header="624" w:footer="567" w:gutter="0"/>
          <w:cols w:space="708"/>
          <w:docGrid w:linePitch="360"/>
        </w:sectPr>
      </w:pPr>
    </w:p>
    <w:p w14:paraId="662EABF4" w14:textId="77777777" w:rsidR="008D6F13" w:rsidRPr="00901183" w:rsidRDefault="008D6F13" w:rsidP="008D6F13">
      <w:pPr>
        <w:pStyle w:val="ChapterHeading"/>
      </w:pPr>
      <w:bookmarkStart w:id="222" w:name="_Toc9436040"/>
      <w:bookmarkStart w:id="223" w:name="_Toc89423613"/>
      <w:r w:rsidRPr="00901183">
        <w:lastRenderedPageBreak/>
        <w:t xml:space="preserve">Appendix </w:t>
      </w:r>
      <w:r>
        <w:t>D</w:t>
      </w:r>
      <w:r w:rsidRPr="00901183">
        <w:t xml:space="preserve"> – Sensitivity analysis</w:t>
      </w:r>
      <w:bookmarkEnd w:id="222"/>
      <w:bookmarkEnd w:id="223"/>
    </w:p>
    <w:p w14:paraId="27878D14" w14:textId="77777777" w:rsidR="008D6F13" w:rsidRPr="00A97570" w:rsidRDefault="008D6F13" w:rsidP="008D6F13">
      <w:r w:rsidRPr="00A97570">
        <w:t xml:space="preserve">The </w:t>
      </w:r>
      <w:r w:rsidRPr="00A97570">
        <w:rPr>
          <w:i/>
        </w:rPr>
        <w:t>202</w:t>
      </w:r>
      <w:r>
        <w:rPr>
          <w:i/>
        </w:rPr>
        <w:t>1</w:t>
      </w:r>
      <w:r w:rsidRPr="00A97570">
        <w:rPr>
          <w:i/>
        </w:rPr>
        <w:noBreakHyphen/>
        <w:t>2</w:t>
      </w:r>
      <w:r>
        <w:rPr>
          <w:i/>
        </w:rPr>
        <w:t>2</w:t>
      </w:r>
      <w:r w:rsidRPr="00A97570">
        <w:rPr>
          <w:i/>
        </w:rPr>
        <w:t xml:space="preserve"> Budget</w:t>
      </w:r>
      <w:r>
        <w:rPr>
          <w:i/>
        </w:rPr>
        <w:t xml:space="preserve"> Update</w:t>
      </w:r>
      <w:r w:rsidRPr="00A97570">
        <w:rPr>
          <w:i/>
        </w:rPr>
        <w:t xml:space="preserve"> </w:t>
      </w:r>
      <w:r w:rsidRPr="00A97570">
        <w:t xml:space="preserve">relies on forecasts and judgements about the economic, </w:t>
      </w:r>
      <w:proofErr w:type="gramStart"/>
      <w:r w:rsidRPr="00A97570">
        <w:t>operating</w:t>
      </w:r>
      <w:proofErr w:type="gramEnd"/>
      <w:r w:rsidRPr="00A97570">
        <w:t xml:space="preserve"> and financial conditions for the Victorian general government sector. Uncertainty in these conditions, for example </w:t>
      </w:r>
      <w:proofErr w:type="gramStart"/>
      <w:r w:rsidRPr="00A97570">
        <w:t>as a result of</w:t>
      </w:r>
      <w:proofErr w:type="gramEnd"/>
      <w:r w:rsidRPr="00A97570">
        <w:t xml:space="preserve"> international developments and other risks to the national economy, may cause the actual results to differ from projections. </w:t>
      </w:r>
    </w:p>
    <w:p w14:paraId="163BFF27" w14:textId="77777777" w:rsidR="008D6F13" w:rsidRPr="00A97570" w:rsidRDefault="008D6F13" w:rsidP="008D6F13">
      <w:r w:rsidRPr="00A97570">
        <w:t xml:space="preserve">This sensitivity analysis explores the impact of variations in the macroeconomic outlook on key fiscal aggregates of the general government sector using two alternative approaches. </w:t>
      </w:r>
    </w:p>
    <w:p w14:paraId="16B82834" w14:textId="77777777" w:rsidR="008D6F13" w:rsidRPr="00A97570" w:rsidRDefault="008D6F13" w:rsidP="008D6F13">
      <w:r w:rsidRPr="00A97570">
        <w:t xml:space="preserve">The first </w:t>
      </w:r>
      <w:r>
        <w:t xml:space="preserve">approach </w:t>
      </w:r>
      <w:r w:rsidRPr="00A97570">
        <w:t xml:space="preserve">quantifies the fiscal impacts of </w:t>
      </w:r>
      <w:r>
        <w:t xml:space="preserve">a </w:t>
      </w:r>
      <w:r w:rsidRPr="00A97570">
        <w:t xml:space="preserve">scenario involving simultaneous variations in economic parameters that represent key risks to the economic outlook described in Chapter 2 </w:t>
      </w:r>
      <w:r w:rsidRPr="00B142C0">
        <w:rPr>
          <w:i/>
        </w:rPr>
        <w:t>Economic Context</w:t>
      </w:r>
      <w:r w:rsidRPr="00B142C0">
        <w:t>. This</w:t>
      </w:r>
      <w:r w:rsidRPr="00A97570">
        <w:t xml:space="preserve"> scenario </w:t>
      </w:r>
      <w:r>
        <w:t>was</w:t>
      </w:r>
      <w:r w:rsidRPr="00A97570">
        <w:t xml:space="preserve"> selected to cover </w:t>
      </w:r>
      <w:r>
        <w:t xml:space="preserve">a </w:t>
      </w:r>
      <w:r w:rsidRPr="00A97570">
        <w:t>plausible shoc</w:t>
      </w:r>
      <w:r>
        <w:t>k</w:t>
      </w:r>
      <w:r w:rsidRPr="00A97570">
        <w:t xml:space="preserve"> that could affect Victoria over the </w:t>
      </w:r>
      <w:r>
        <w:t>budget period</w:t>
      </w:r>
      <w:r w:rsidRPr="00A97570">
        <w:t xml:space="preserve">, and the modelling takes account of linkages between key international, </w:t>
      </w:r>
      <w:proofErr w:type="gramStart"/>
      <w:r w:rsidRPr="00A97570">
        <w:t>Australian</w:t>
      </w:r>
      <w:proofErr w:type="gramEnd"/>
      <w:r w:rsidRPr="00A97570">
        <w:t xml:space="preserve"> and Victorian economic aggregates.</w:t>
      </w:r>
    </w:p>
    <w:p w14:paraId="31EB0CBD" w14:textId="77777777" w:rsidR="008D6F13" w:rsidRPr="00A97570" w:rsidRDefault="008D6F13" w:rsidP="008D6F13">
      <w:r w:rsidRPr="001668B6">
        <w:t xml:space="preserve">The modelled outcomes are intended to be used as a guide and care should be exercised in interpreting the results. </w:t>
      </w:r>
      <w:proofErr w:type="gramStart"/>
      <w:r w:rsidRPr="001668B6">
        <w:t>In particular, economic</w:t>
      </w:r>
      <w:proofErr w:type="gramEnd"/>
      <w:r w:rsidRPr="001668B6">
        <w:t xml:space="preserve"> shocks tend to be idiosyncratic in nature, with the modelled</w:t>
      </w:r>
      <w:r w:rsidRPr="00A97570">
        <w:t xml:space="preserve"> scenario unlikely to completely reflect any future shock that could occur. Departures from </w:t>
      </w:r>
      <w:r>
        <w:t>this</w:t>
      </w:r>
      <w:r w:rsidRPr="00A97570">
        <w:t xml:space="preserve"> scenario would be </w:t>
      </w:r>
      <w:r>
        <w:t>likely</w:t>
      </w:r>
      <w:r w:rsidRPr="00A97570">
        <w:t xml:space="preserve"> to result in different impacts on the budget. Furthermore, the modelled results of the shocks do not incorporate any policy responses to the shocks </w:t>
      </w:r>
      <w:r>
        <w:t>and their subsequent effects on</w:t>
      </w:r>
      <w:r w:rsidRPr="00A97570">
        <w:t xml:space="preserve"> the economic outlook. </w:t>
      </w:r>
    </w:p>
    <w:p w14:paraId="21546AD4" w14:textId="77777777" w:rsidR="008D6F13" w:rsidRDefault="008D6F13" w:rsidP="008D6F13">
      <w:r w:rsidRPr="00A97570">
        <w:t>The second approach considers the fiscal impacts of independent variations in major macroeconomic parameters, holding constant all parameters other than the indicator of interest. This analysis may be useful for assessing the impact on fiscal aggregates of a forecast error in a single economic parameter. In practice, economic variations rarely occur in isolation, and scenario analysis is likely to be more appropriate to illustrate the fiscal impacts of an economic environment materially different from that presented in the budget papers.</w:t>
      </w:r>
    </w:p>
    <w:p w14:paraId="3E931B63" w14:textId="77777777" w:rsidR="008D6F13" w:rsidRDefault="008D6F13" w:rsidP="008D6F13">
      <w:pPr>
        <w:keepLines w:val="0"/>
      </w:pPr>
      <w:r>
        <w:br w:type="page"/>
      </w:r>
    </w:p>
    <w:p w14:paraId="2C8E6CAC" w14:textId="77777777" w:rsidR="008D6F13" w:rsidRPr="00BB71B2" w:rsidRDefault="008D6F13" w:rsidP="008D6F13">
      <w:pPr>
        <w:pStyle w:val="Heading10"/>
      </w:pPr>
      <w:bookmarkStart w:id="224" w:name="_Toc9436041"/>
      <w:bookmarkStart w:id="225" w:name="_Toc89418983"/>
      <w:bookmarkStart w:id="226" w:name="_Toc89419207"/>
      <w:bookmarkStart w:id="227" w:name="_Toc89420165"/>
      <w:bookmarkStart w:id="228" w:name="_Toc89423405"/>
      <w:bookmarkStart w:id="229" w:name="_Toc89423614"/>
      <w:r w:rsidRPr="00BB71B2">
        <w:lastRenderedPageBreak/>
        <w:t>Fiscal impacts of variations to the economic outlook</w:t>
      </w:r>
      <w:bookmarkEnd w:id="224"/>
      <w:bookmarkEnd w:id="225"/>
      <w:bookmarkEnd w:id="226"/>
      <w:bookmarkEnd w:id="227"/>
      <w:bookmarkEnd w:id="228"/>
      <w:bookmarkEnd w:id="229"/>
    </w:p>
    <w:p w14:paraId="6EEBD5CD" w14:textId="77777777" w:rsidR="008D6F13" w:rsidRDefault="008D6F13" w:rsidP="008D6F13">
      <w:pPr>
        <w:ind w:right="-227"/>
      </w:pPr>
      <w:r w:rsidRPr="00A97570">
        <w:t xml:space="preserve">This part of the sensitivity analysis quantifies </w:t>
      </w:r>
      <w:r>
        <w:t>a</w:t>
      </w:r>
      <w:r w:rsidRPr="00A97570">
        <w:t xml:space="preserve"> key risk identified in Chapter 2 </w:t>
      </w:r>
      <w:r w:rsidRPr="00A97570">
        <w:rPr>
          <w:i/>
        </w:rPr>
        <w:t>Economic </w:t>
      </w:r>
      <w:r>
        <w:rPr>
          <w:i/>
        </w:rPr>
        <w:t xml:space="preserve">Context </w:t>
      </w:r>
      <w:r w:rsidRPr="00A97570">
        <w:t xml:space="preserve">and presents how </w:t>
      </w:r>
      <w:r>
        <w:t>this</w:t>
      </w:r>
      <w:r w:rsidRPr="00A97570">
        <w:t xml:space="preserve"> risk might affect the State’s economic and fiscal aggregates. </w:t>
      </w:r>
    </w:p>
    <w:p w14:paraId="68761913" w14:textId="77777777" w:rsidR="008D6F13" w:rsidRDefault="008D6F13" w:rsidP="008D6F13">
      <w:pPr>
        <w:ind w:right="-227"/>
      </w:pPr>
      <w:bookmarkStart w:id="230" w:name="_Hlk88683671"/>
      <w:r>
        <w:t xml:space="preserve">The scenario considered is a generalised COVID-19 setback that leads to renewed outbreaks and restrictions in major economies outside Australia, slowing the global economic recovery. This setback could take the form of the emergence of a vaccine-resistant COVID-19 strain or further setbacks in the global vaccination effort. </w:t>
      </w:r>
    </w:p>
    <w:p w14:paraId="15ACD4A2" w14:textId="77777777" w:rsidR="008D6F13" w:rsidRPr="00A97570" w:rsidRDefault="008D6F13" w:rsidP="008D6F13">
      <w:pPr>
        <w:ind w:right="-227"/>
      </w:pPr>
      <w:r w:rsidRPr="00A97570">
        <w:t xml:space="preserve">The economic impacts of </w:t>
      </w:r>
      <w:r>
        <w:t xml:space="preserve">the </w:t>
      </w:r>
      <w:r w:rsidRPr="00A97570">
        <w:t xml:space="preserve">scenario </w:t>
      </w:r>
      <w:r>
        <w:t>have</w:t>
      </w:r>
      <w:r w:rsidRPr="00A97570">
        <w:t xml:space="preserve"> been modelled using </w:t>
      </w:r>
      <w:r w:rsidRPr="00106E00">
        <w:t>VURMTAX</w:t>
      </w:r>
      <w:r w:rsidRPr="00A97570">
        <w:t>, a computable general equilibrium model developed by the Centre of Policy Studies</w:t>
      </w:r>
      <w:r>
        <w:t xml:space="preserve"> at Victoria University</w:t>
      </w:r>
      <w:r w:rsidRPr="00A97570">
        <w:t xml:space="preserve">. </w:t>
      </w:r>
      <w:r>
        <w:t>The results of the s</w:t>
      </w:r>
      <w:r w:rsidRPr="00A97570">
        <w:t xml:space="preserve">cenario </w:t>
      </w:r>
      <w:r>
        <w:t>are</w:t>
      </w:r>
      <w:r w:rsidRPr="00A97570">
        <w:t xml:space="preserve"> analysed as </w:t>
      </w:r>
      <w:r>
        <w:t xml:space="preserve">a </w:t>
      </w:r>
      <w:r w:rsidRPr="00A97570">
        <w:t xml:space="preserve">deviation from the ‘business as usual’ base case, which represents the economic forecasts outlined in </w:t>
      </w:r>
      <w:r w:rsidRPr="0037495C">
        <w:t>Chapter 2</w:t>
      </w:r>
      <w:r w:rsidRPr="0037495C">
        <w:rPr>
          <w:i/>
          <w:iCs/>
        </w:rPr>
        <w:t xml:space="preserve"> Economic Context</w:t>
      </w:r>
      <w:r w:rsidRPr="0037495C">
        <w:t>.</w:t>
      </w:r>
    </w:p>
    <w:p w14:paraId="2265FF74" w14:textId="77777777" w:rsidR="008D6F13" w:rsidRDefault="008D6F13" w:rsidP="008D6F13">
      <w:pPr>
        <w:ind w:right="-86"/>
      </w:pPr>
      <w:r w:rsidRPr="00A97570">
        <w:t xml:space="preserve">The changes in economic </w:t>
      </w:r>
      <w:r>
        <w:t>variables</w:t>
      </w:r>
      <w:r w:rsidRPr="00A97570">
        <w:t xml:space="preserve"> resulting from the modelled shocks are then mapped into estimated revenue and expenditure impacts using elasticities that describe the historic</w:t>
      </w:r>
      <w:r>
        <w:t>al</w:t>
      </w:r>
      <w:r w:rsidRPr="00A97570">
        <w:t xml:space="preserve"> relationship between fiscal outcomes and major macroeconomic parameters in Table </w:t>
      </w:r>
      <w:r w:rsidRPr="009763D0">
        <w:t>D.</w:t>
      </w:r>
      <w:r>
        <w:t>2</w:t>
      </w:r>
      <w:r w:rsidRPr="00A97570">
        <w:t>.</w:t>
      </w:r>
      <w:r w:rsidRPr="002F1955">
        <w:rPr>
          <w:rStyle w:val="FootnoteReference"/>
        </w:rPr>
        <w:footnoteReference w:id="1"/>
      </w:r>
    </w:p>
    <w:bookmarkEnd w:id="230"/>
    <w:p w14:paraId="3E05CC3F" w14:textId="77777777" w:rsidR="008D6F13" w:rsidRPr="00F07072" w:rsidRDefault="008D6F13" w:rsidP="008D6F13">
      <w:pPr>
        <w:pStyle w:val="Heading20"/>
      </w:pPr>
      <w:r w:rsidRPr="00A71375">
        <w:t xml:space="preserve">Scenario: </w:t>
      </w:r>
      <w:r>
        <w:t>Global COVID-19 setback</w:t>
      </w:r>
    </w:p>
    <w:p w14:paraId="7F79752F" w14:textId="77777777" w:rsidR="008D6F13" w:rsidRDefault="008D6F13" w:rsidP="008D6F13">
      <w:pPr>
        <w:rPr>
          <w:color w:val="000000" w:themeColor="text1"/>
        </w:rPr>
      </w:pPr>
      <w:r w:rsidRPr="00E4799E">
        <w:t xml:space="preserve">The </w:t>
      </w:r>
      <w:r>
        <w:t>COVID-19</w:t>
      </w:r>
      <w:r w:rsidRPr="00055989">
        <w:t xml:space="preserve"> </w:t>
      </w:r>
      <w:r w:rsidRPr="009B1AC8">
        <w:t>pandemic</w:t>
      </w:r>
      <w:r w:rsidRPr="00E4799E">
        <w:t xml:space="preserve"> has had a significant impact on the global economy</w:t>
      </w:r>
      <w:r>
        <w:t>. Even with the global recovery underway, there remains a high degree of uncertainty around the economic outlook</w:t>
      </w:r>
      <w:r w:rsidRPr="00E4799E">
        <w:t xml:space="preserve">. </w:t>
      </w:r>
      <w:r>
        <w:t xml:space="preserve">Key to the global recovery is the future path of virus transmission across the globe and the speed and efficacy of the global vaccine rollout. </w:t>
      </w:r>
      <w:r w:rsidRPr="00E4799E">
        <w:rPr>
          <w:color w:val="000000" w:themeColor="text1"/>
        </w:rPr>
        <w:t>This scenario explores</w:t>
      </w:r>
      <w:r>
        <w:rPr>
          <w:color w:val="000000" w:themeColor="text1"/>
        </w:rPr>
        <w:t xml:space="preserve"> the implications of a setback in the global economic recovery, due to either the emergence of a vaccine-resistant COVID-19 strain or further interruptions in global vaccination efforts. These downside risks are related, as delays in vaccination efforts may increase the likelihood of the emergence of a new strain.  </w:t>
      </w:r>
    </w:p>
    <w:p w14:paraId="71918648" w14:textId="77777777" w:rsidR="008D6F13" w:rsidRPr="00EF3B82" w:rsidRDefault="008D6F13" w:rsidP="008D6F13">
      <w:r w:rsidRPr="00EF3B82">
        <w:t xml:space="preserve">The global response to the pandemic led to a significant and synchronised contraction in the global economy, which fell by 3.1 per cent in 2020. </w:t>
      </w:r>
      <w:r w:rsidRPr="00055989">
        <w:t xml:space="preserve">Many countries have had success in slowing the spread of the virus, which has </w:t>
      </w:r>
      <w:r>
        <w:t xml:space="preserve">generally been </w:t>
      </w:r>
      <w:r w:rsidRPr="00055989">
        <w:t>associated with better economic outcomes</w:t>
      </w:r>
      <w:r>
        <w:t xml:space="preserve">. Success in reducing case numbers and rolling out vaccines allowed restrictions to be eased and economic activity to recover. Global economic activity picked up significantly in the September quarter 2020, </w:t>
      </w:r>
      <w:r w:rsidRPr="00106E00">
        <w:t>with the recovery continuing into 2021.</w:t>
      </w:r>
    </w:p>
    <w:p w14:paraId="76D95BE2" w14:textId="77777777" w:rsidR="008D6F13" w:rsidRPr="00B142C0" w:rsidRDefault="008D6F13" w:rsidP="008D6F13">
      <w:r>
        <w:t>The future path of the virus remains a key uncertainty. The past</w:t>
      </w:r>
      <w:r w:rsidRPr="00903402">
        <w:t xml:space="preserve"> twelve months ha</w:t>
      </w:r>
      <w:r>
        <w:t>ve</w:t>
      </w:r>
      <w:r w:rsidRPr="00903402">
        <w:t xml:space="preserve"> been characterised by </w:t>
      </w:r>
      <w:r>
        <w:t>various</w:t>
      </w:r>
      <w:r w:rsidRPr="00AD62AA">
        <w:t xml:space="preserve"> regional outbreaks, </w:t>
      </w:r>
      <w:r>
        <w:t>often prompting increased public health restrictions that save lives but limit economic activity in the short-term.</w:t>
      </w:r>
      <w:r w:rsidRPr="00AD62AA">
        <w:t xml:space="preserve"> </w:t>
      </w:r>
      <w:r>
        <w:t>While n</w:t>
      </w:r>
      <w:r w:rsidRPr="00AD62AA">
        <w:t>ew cases have fallen in most region</w:t>
      </w:r>
      <w:r>
        <w:t>s</w:t>
      </w:r>
      <w:r w:rsidRPr="00AD62AA">
        <w:t xml:space="preserve"> over the past few months</w:t>
      </w:r>
      <w:r>
        <w:t>,</w:t>
      </w:r>
      <w:r w:rsidRPr="00AD62AA">
        <w:t xml:space="preserve"> </w:t>
      </w:r>
      <w:r w:rsidRPr="00106E00">
        <w:t>Europe is experiencing an increase in new daily cases</w:t>
      </w:r>
      <w:r w:rsidRPr="00B142C0">
        <w:t xml:space="preserve">, </w:t>
      </w:r>
      <w:r w:rsidRPr="003D40E2">
        <w:t>amid</w:t>
      </w:r>
      <w:r>
        <w:t xml:space="preserve"> </w:t>
      </w:r>
      <w:r w:rsidRPr="00903402">
        <w:t>u</w:t>
      </w:r>
      <w:r w:rsidRPr="00AD62AA">
        <w:t>neven vaccination rates across the region and the reopening of the economy alongside the virus</w:t>
      </w:r>
      <w:r>
        <w:t xml:space="preserve"> </w:t>
      </w:r>
      <w:r w:rsidRPr="00AD62AA">
        <w:t xml:space="preserve">(Chart </w:t>
      </w:r>
      <w:r>
        <w:t>D</w:t>
      </w:r>
      <w:r w:rsidRPr="00AD62AA">
        <w:t xml:space="preserve">.1). Until widespread vaccination is achieved </w:t>
      </w:r>
      <w:r>
        <w:t xml:space="preserve">globally </w:t>
      </w:r>
      <w:r w:rsidRPr="00AD62AA">
        <w:t xml:space="preserve">there will continue to </w:t>
      </w:r>
      <w:r w:rsidRPr="00106E00">
        <w:t>be u</w:t>
      </w:r>
      <w:r w:rsidRPr="00B142C0">
        <w:t xml:space="preserve">ncertainty associated with the path of the virus as the global economy continues to reopen. </w:t>
      </w:r>
    </w:p>
    <w:p w14:paraId="0BA6E451" w14:textId="77777777" w:rsidR="008D6F13" w:rsidRDefault="008D6F13" w:rsidP="008D6F13">
      <w:pPr>
        <w:pStyle w:val="TableHeading"/>
      </w:pPr>
      <w:r w:rsidRPr="00AD62AA">
        <w:lastRenderedPageBreak/>
        <w:t xml:space="preserve">Chart </w:t>
      </w:r>
      <w:r>
        <w:t>D</w:t>
      </w:r>
      <w:r w:rsidRPr="00AD62AA">
        <w:t>.1:</w:t>
      </w:r>
      <w:r w:rsidRPr="00AD62AA">
        <w:tab/>
        <w:t>Daily COVID-19 case numbers</w:t>
      </w:r>
    </w:p>
    <w:p w14:paraId="1C91AA9B" w14:textId="77777777" w:rsidR="008D6F13" w:rsidRPr="00376D63" w:rsidRDefault="008D6F13" w:rsidP="008D6F13">
      <w:pPr>
        <w:jc w:val="both"/>
      </w:pPr>
      <w:r>
        <w:rPr>
          <w:noProof/>
        </w:rPr>
        <w:drawing>
          <wp:inline distT="0" distB="0" distL="0" distR="0" wp14:anchorId="671D5E56" wp14:editId="418F068F">
            <wp:extent cx="4896485" cy="2926715"/>
            <wp:effectExtent l="0" t="0" r="0" b="6985"/>
            <wp:docPr id="14" name="Chart 14">
              <a:extLst xmlns:a="http://schemas.openxmlformats.org/drawingml/2006/main">
                <a:ext uri="{FF2B5EF4-FFF2-40B4-BE49-F238E27FC236}">
                  <a16:creationId xmlns:a16="http://schemas.microsoft.com/office/drawing/2014/main" id="{5DE095C1-55F5-42C4-8CB6-D1CC336FE2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B4AB21C" w14:textId="77777777" w:rsidR="008D6F13" w:rsidRPr="008B67B8" w:rsidRDefault="008D6F13" w:rsidP="008D6F13">
      <w:pPr>
        <w:pStyle w:val="Source"/>
      </w:pPr>
      <w:r w:rsidRPr="00DF5F5D">
        <w:t>Source:</w:t>
      </w:r>
      <w:r w:rsidRPr="00055989">
        <w:t xml:space="preserve"> </w:t>
      </w:r>
      <w:r>
        <w:t>John Hopkins University</w:t>
      </w:r>
      <w:r w:rsidRPr="00DF5F5D">
        <w:t>;</w:t>
      </w:r>
      <w:r>
        <w:t xml:space="preserve"> Department of Treasury and Finance</w:t>
      </w:r>
    </w:p>
    <w:p w14:paraId="1B9F9FAF" w14:textId="77777777" w:rsidR="008D6F13" w:rsidRDefault="008D6F13" w:rsidP="008D6F13">
      <w:r>
        <w:t xml:space="preserve">The rollout of vaccines is well underway, although with less than half of the global population fully vaccinated there is much further to go (Chart D.2). </w:t>
      </w:r>
      <w:bookmarkStart w:id="231" w:name="_Hlk88813053"/>
      <w:r>
        <w:t xml:space="preserve">While full vaccination rates exceed 65 per cent across advanced economies, only around 35 per cent of those in developing countries have received at least one dose, with around 28 per cent fully vaccinated. </w:t>
      </w:r>
      <w:bookmarkEnd w:id="231"/>
    </w:p>
    <w:p w14:paraId="55BDC94D" w14:textId="77777777" w:rsidR="008D6F13" w:rsidRDefault="008D6F13" w:rsidP="008D6F13">
      <w:r w:rsidRPr="00066027">
        <w:t>The rollout of the vaccine has faced several hurdles</w:t>
      </w:r>
      <w:r>
        <w:t>,</w:t>
      </w:r>
      <w:r w:rsidRPr="00066027">
        <w:t xml:space="preserve"> </w:t>
      </w:r>
      <w:r>
        <w:t>with progress on the production and distribution of vaccines mixed. Delays to the production of some vaccines have slowed the rollout, while restrictions on vaccine exports hindered progress for some countries. Concerns about vaccine side</w:t>
      </w:r>
      <w:r>
        <w:noBreakHyphen/>
        <w:t xml:space="preserve">effects caused some countries to pause or restrict their vaccine programs, although generally pauses were temporary. </w:t>
      </w:r>
    </w:p>
    <w:p w14:paraId="6CE068CF" w14:textId="77777777" w:rsidR="008D6F13" w:rsidRDefault="008D6F13" w:rsidP="008D6F13">
      <w:r>
        <w:t>Further complicating global efforts to contain COVID-19 is the emergence of new variants of the COVID-19 virus, as well as uncertainty surrounding the efficacy of existing vaccines against them. There is not yet a global consensus on the widespread use of booster vaccines. These factors contribute to the elevated uncertainty surrounding the successful and sustained inoculation of the global population.</w:t>
      </w:r>
    </w:p>
    <w:p w14:paraId="7821C53B" w14:textId="658BC1F8" w:rsidR="008D6F13" w:rsidRPr="00106E00" w:rsidRDefault="008D6F13" w:rsidP="008D6F13">
      <w:pPr>
        <w:pStyle w:val="TableHeading"/>
      </w:pPr>
      <w:r w:rsidRPr="00DE7D0E">
        <w:lastRenderedPageBreak/>
        <w:t xml:space="preserve">Chart </w:t>
      </w:r>
      <w:r>
        <w:t>D</w:t>
      </w:r>
      <w:r w:rsidRPr="00106E00">
        <w:t xml:space="preserve">.2: </w:t>
      </w:r>
      <w:r w:rsidR="003A6C27">
        <w:tab/>
      </w:r>
      <w:r w:rsidRPr="00106E00">
        <w:t>Share of total population fully vaccinated (top 20 countries, World)</w:t>
      </w:r>
      <w:r w:rsidRPr="002F1955">
        <w:rPr>
          <w:vertAlign w:val="superscript"/>
        </w:rPr>
        <w:t xml:space="preserve"> (a)</w:t>
      </w:r>
    </w:p>
    <w:p w14:paraId="42986856" w14:textId="77777777" w:rsidR="008D6F13" w:rsidRPr="00B142C0" w:rsidRDefault="008D6F13" w:rsidP="008D6F13">
      <w:r>
        <w:rPr>
          <w:noProof/>
        </w:rPr>
        <w:drawing>
          <wp:inline distT="0" distB="0" distL="0" distR="0" wp14:anchorId="105BDB38" wp14:editId="380906AF">
            <wp:extent cx="4842197" cy="3271171"/>
            <wp:effectExtent l="0" t="0" r="0" b="0"/>
            <wp:docPr id="15" name="Chart 15">
              <a:extLst xmlns:a="http://schemas.openxmlformats.org/drawingml/2006/main">
                <a:ext uri="{FF2B5EF4-FFF2-40B4-BE49-F238E27FC236}">
                  <a16:creationId xmlns:a16="http://schemas.microsoft.com/office/drawing/2014/main" id="{EA77F28B-253E-41A7-B920-F5C64019D8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BE7877A" w14:textId="77777777" w:rsidR="008D6F13" w:rsidRDefault="008D6F13" w:rsidP="008D6F13">
      <w:pPr>
        <w:pStyle w:val="Source"/>
      </w:pPr>
      <w:r>
        <w:t>Sources: Our World in Data; Australian Government Department of Health; Department of Treasury and Finance.</w:t>
      </w:r>
    </w:p>
    <w:p w14:paraId="2C45442A" w14:textId="77777777" w:rsidR="008D6F13" w:rsidRDefault="008D6F13" w:rsidP="008D6F13">
      <w:pPr>
        <w:pStyle w:val="Note"/>
      </w:pPr>
      <w:r>
        <w:t xml:space="preserve">Note: </w:t>
      </w:r>
    </w:p>
    <w:p w14:paraId="7854C803" w14:textId="77777777" w:rsidR="008D6F13" w:rsidRDefault="008D6F13" w:rsidP="008D6F13">
      <w:pPr>
        <w:pStyle w:val="Note"/>
      </w:pPr>
      <w:r>
        <w:t>(a)</w:t>
      </w:r>
      <w:r>
        <w:tab/>
        <w:t xml:space="preserve">A </w:t>
      </w:r>
      <w:proofErr w:type="gramStart"/>
      <w:r>
        <w:t>fully-vaccinated</w:t>
      </w:r>
      <w:proofErr w:type="gramEnd"/>
      <w:r>
        <w:t xml:space="preserve"> person has received all required doses of a vaccine. Chart shows those countries with a population greater than 5 million. The vaccination rate for Australia shown here, which is for the total population, is not directly comparable to rates of vaccination for the ‘eligible’ population as is generally reported in Australia. </w:t>
      </w:r>
      <w:r w:rsidRPr="00C81DAA">
        <w:t>Data as reported by the Australian Government</w:t>
      </w:r>
      <w:r>
        <w:t>,</w:t>
      </w:r>
      <w:r w:rsidRPr="00C81DAA">
        <w:t xml:space="preserve"> and by Our World in Data for international jurisdictions</w:t>
      </w:r>
      <w:r>
        <w:t>,</w:t>
      </w:r>
      <w:r w:rsidRPr="00C81DAA">
        <w:t xml:space="preserve"> </w:t>
      </w:r>
      <w:r w:rsidRPr="007E5AF4">
        <w:t>on 25 November</w:t>
      </w:r>
      <w:r w:rsidRPr="00C81DAA">
        <w:t xml:space="preserve"> 2021</w:t>
      </w:r>
      <w:r>
        <w:t>.</w:t>
      </w:r>
    </w:p>
    <w:p w14:paraId="678A033D" w14:textId="77777777" w:rsidR="008D6F13" w:rsidRPr="00106E00" w:rsidRDefault="008D6F13" w:rsidP="008D6F13">
      <w:r w:rsidRPr="00E1525F">
        <w:t xml:space="preserve">Consistent with the outlook presented in the International Monetary Fund’s (IMF) October 2021 </w:t>
      </w:r>
      <w:r w:rsidRPr="00E1525F">
        <w:rPr>
          <w:i/>
          <w:iCs/>
        </w:rPr>
        <w:t>World Economic Outlook</w:t>
      </w:r>
      <w:r w:rsidRPr="00E1525F">
        <w:t xml:space="preserve">, the base case assumes the global economy will grow </w:t>
      </w:r>
      <w:r>
        <w:t xml:space="preserve">by </w:t>
      </w:r>
      <w:r w:rsidRPr="00E1525F">
        <w:t>5.9 per cent in 2021, taking the global economy above pre-</w:t>
      </w:r>
      <w:r>
        <w:t>COVID-19</w:t>
      </w:r>
      <w:r w:rsidRPr="00E1525F">
        <w:t xml:space="preserve"> levels, and a further 4.9 per cent in 2022. </w:t>
      </w:r>
    </w:p>
    <w:p w14:paraId="34AB2795" w14:textId="77777777" w:rsidR="008D6F13" w:rsidRDefault="008D6F13" w:rsidP="008D6F13">
      <w:r w:rsidRPr="00AE245A">
        <w:t xml:space="preserve">In the </w:t>
      </w:r>
      <w:r>
        <w:t xml:space="preserve">alternative </w:t>
      </w:r>
      <w:r w:rsidRPr="00AE245A">
        <w:t>scenario</w:t>
      </w:r>
      <w:r>
        <w:t>, a global COVID-19 setback, such as further delays to the global vaccination effort or the emergence of a vaccine-resistant strain of COVID-19, leads to renewed outbreaks and r</w:t>
      </w:r>
      <w:r w:rsidRPr="00AE245A">
        <w:t>estrictions in major eco</w:t>
      </w:r>
      <w:r w:rsidRPr="00F26BDB">
        <w:t>nomies outside Australia, slow</w:t>
      </w:r>
      <w:r>
        <w:t>ing</w:t>
      </w:r>
      <w:r w:rsidRPr="00AE245A">
        <w:t xml:space="preserve"> the global economic recovery</w:t>
      </w:r>
      <w:r>
        <w:t xml:space="preserve">. </w:t>
      </w:r>
      <w:r w:rsidRPr="001E2663">
        <w:t xml:space="preserve"> </w:t>
      </w:r>
    </w:p>
    <w:p w14:paraId="251A529A" w14:textId="77777777" w:rsidR="008D6F13" w:rsidRPr="00AE245A" w:rsidRDefault="008D6F13" w:rsidP="008D6F13">
      <w:r>
        <w:t>G</w:t>
      </w:r>
      <w:r w:rsidRPr="00AE245A">
        <w:t xml:space="preserve">lobal growth is assumed to be </w:t>
      </w:r>
      <w:r>
        <w:t>1.6</w:t>
      </w:r>
      <w:r w:rsidRPr="00AE245A">
        <w:t xml:space="preserve"> percentage points lower than the baseline</w:t>
      </w:r>
      <w:r>
        <w:t xml:space="preserve"> in 2022</w:t>
      </w:r>
      <w:r w:rsidRPr="00AE245A">
        <w:t xml:space="preserve"> </w:t>
      </w:r>
      <w:r w:rsidRPr="001E2663">
        <w:t xml:space="preserve">as countries reintroduce or delay the easing of health restrictions, restricting economic activity. </w:t>
      </w:r>
    </w:p>
    <w:p w14:paraId="7DDF9EC1" w14:textId="77777777" w:rsidR="008D6F13" w:rsidRPr="00AE245A" w:rsidRDefault="008D6F13" w:rsidP="008D6F13">
      <w:r w:rsidRPr="00EF5CDC">
        <w:rPr>
          <w:color w:val="000000" w:themeColor="text1"/>
        </w:rPr>
        <w:t>Further outbreaks overseas are assumed to lead to</w:t>
      </w:r>
      <w:r w:rsidRPr="00EF5CDC">
        <w:t xml:space="preserve"> restrictions on Australia’s international borders for an additional period of around six months. These restrictions delay the recovery in service exports, with education exports remaining at low levels and international tourism curtailed.</w:t>
      </w:r>
      <w:r>
        <w:t xml:space="preserve"> </w:t>
      </w:r>
    </w:p>
    <w:p w14:paraId="06DA56E4" w14:textId="77777777" w:rsidR="008D6F13" w:rsidRDefault="008D6F13" w:rsidP="008D6F13">
      <w:pPr>
        <w:ind w:right="151"/>
      </w:pPr>
      <w:r>
        <w:t>International education generated $13.7 billion in exports in 2019. In the scenario, international border restrictions delay the return of international students, which has a significant impact on Victoria’s education exports.</w:t>
      </w:r>
    </w:p>
    <w:p w14:paraId="01441737" w14:textId="77777777" w:rsidR="008D6F13" w:rsidRDefault="008D6F13" w:rsidP="008D6F13">
      <w:r w:rsidRPr="00572A28">
        <w:lastRenderedPageBreak/>
        <w:t>Tourism, which accounted for 3.</w:t>
      </w:r>
      <w:r>
        <w:t>3</w:t>
      </w:r>
      <w:r w:rsidRPr="00572A28">
        <w:t> per cent of the Victorian economy in 2018-19, remains low until international borders are fully reopened.</w:t>
      </w:r>
      <w:r>
        <w:t xml:space="preserve"> </w:t>
      </w:r>
      <w:r w:rsidRPr="00AE245A">
        <w:t xml:space="preserve">In the scenario, border restrictions result in a </w:t>
      </w:r>
      <w:r>
        <w:t>0.3</w:t>
      </w:r>
      <w:r w:rsidRPr="00AE245A">
        <w:t> per cent fall in Victoria’s service exports relative to the base case</w:t>
      </w:r>
      <w:r>
        <w:t xml:space="preserve"> in 2021-22</w:t>
      </w:r>
      <w:r w:rsidRPr="00AE245A">
        <w:t xml:space="preserve">. </w:t>
      </w:r>
    </w:p>
    <w:p w14:paraId="2C3B36CE" w14:textId="77777777" w:rsidR="008D6F13" w:rsidRDefault="008D6F13" w:rsidP="008D6F13">
      <w:r>
        <w:t>International migration has been a key driver of population, and therefore economic growth in Victoria.</w:t>
      </w:r>
      <w:r w:rsidRPr="00572A28">
        <w:t xml:space="preserve"> In the scenario</w:t>
      </w:r>
      <w:r>
        <w:t>,</w:t>
      </w:r>
      <w:r w:rsidRPr="00572A28">
        <w:t xml:space="preserve"> </w:t>
      </w:r>
      <w:r>
        <w:t xml:space="preserve">the </w:t>
      </w:r>
      <w:r w:rsidRPr="00572A28">
        <w:t>population is permanently lower relative to the base case</w:t>
      </w:r>
      <w:r>
        <w:t>, with border restrictions and the setback in the global economic recovery delaying the return of overseas migration</w:t>
      </w:r>
      <w:r w:rsidRPr="00572A28">
        <w:t>.</w:t>
      </w:r>
    </w:p>
    <w:p w14:paraId="76B23B8D" w14:textId="77777777" w:rsidR="008D6F13" w:rsidRPr="00E52F33" w:rsidRDefault="008D6F13" w:rsidP="008D6F13">
      <w:r w:rsidRPr="00E52F33">
        <w:t>The shock to trade</w:t>
      </w:r>
      <w:r>
        <w:t xml:space="preserve"> and </w:t>
      </w:r>
      <w:r w:rsidRPr="00E52F33">
        <w:t>overseas migration reduces Victoria’s gross state product (GSP) by 0.65 per cent in 2022-23</w:t>
      </w:r>
      <w:r>
        <w:t>,</w:t>
      </w:r>
      <w:r w:rsidRPr="00E52F33">
        <w:t xml:space="preserve"> 0.73 per cent in 2023-24</w:t>
      </w:r>
      <w:r>
        <w:t>,</w:t>
      </w:r>
      <w:r w:rsidRPr="00E52F33">
        <w:t xml:space="preserve"> </w:t>
      </w:r>
      <w:r>
        <w:t xml:space="preserve">and 0.74 per cent in 2024-25 </w:t>
      </w:r>
      <w:r w:rsidRPr="00E52F33">
        <w:t xml:space="preserve">compared </w:t>
      </w:r>
      <w:r>
        <w:t>with</w:t>
      </w:r>
      <w:r w:rsidRPr="00E52F33">
        <w:t xml:space="preserve"> the base case. </w:t>
      </w:r>
    </w:p>
    <w:p w14:paraId="2EA376D7" w14:textId="77777777" w:rsidR="008D6F13" w:rsidRPr="00E52F33" w:rsidRDefault="008D6F13" w:rsidP="008D6F13">
      <w:r w:rsidRPr="00E52F33">
        <w:t>Demand for labour declines due to lower domestic economic activity, with employment growth about 0.6 per cent lower in 2022-23. A lower supply of workers – with Victoria’s population about 0.9 per cent smaller by 2024-25 due to lower international migration –</w:t>
      </w:r>
      <w:r>
        <w:t> </w:t>
      </w:r>
      <w:r w:rsidRPr="00E52F33">
        <w:t>means that employment is 0.</w:t>
      </w:r>
      <w:r>
        <w:t>77</w:t>
      </w:r>
      <w:r w:rsidRPr="00E52F33">
        <w:t xml:space="preserve"> per cent lower than the base case by 2024-25.</w:t>
      </w:r>
    </w:p>
    <w:p w14:paraId="5012D379" w14:textId="77777777" w:rsidR="008D6F13" w:rsidRPr="00EB0DB4" w:rsidRDefault="008D6F13" w:rsidP="008D6F13">
      <w:r w:rsidRPr="00EB0DB4">
        <w:t>Lower employment levels reduce household income which, along with a lower population, weigh on household consumption. Under this scenario, consumption is forecast to be around 1.</w:t>
      </w:r>
      <w:r>
        <w:t>0</w:t>
      </w:r>
      <w:r w:rsidRPr="00EB0DB4">
        <w:t xml:space="preserve"> per cent lower in 2022-23. As migrant, student and tourism numbers start to recover, consumption also picks up slightly, but remains lower than the base case by 2024</w:t>
      </w:r>
      <w:r>
        <w:noBreakHyphen/>
      </w:r>
      <w:r w:rsidRPr="00EB0DB4">
        <w:t xml:space="preserve">25. The negative impact on household consumption is exacerbated by a rise in the savings rate, as households save some of the funds they would have otherwise spent on international tourism. </w:t>
      </w:r>
    </w:p>
    <w:p w14:paraId="7D4799BA" w14:textId="77777777" w:rsidR="008D6F13" w:rsidRPr="00EB0DB4" w:rsidRDefault="008D6F13" w:rsidP="008D6F13">
      <w:pPr>
        <w:rPr>
          <w:color w:val="000000" w:themeColor="text1"/>
        </w:rPr>
      </w:pPr>
      <w:r w:rsidRPr="00EB0DB4">
        <w:rPr>
          <w:color w:val="000000" w:themeColor="text1"/>
        </w:rPr>
        <w:t>Government consumption is also lower over the forecast period as lower population requires a lower level of expenditure. In the scenario, there is no further discretionary fiscal expenditure in response to the shock.</w:t>
      </w:r>
    </w:p>
    <w:p w14:paraId="3EE16D6E" w14:textId="73C7ABCE" w:rsidR="008D6F13" w:rsidRDefault="008D6F13" w:rsidP="003A6C27">
      <w:pPr>
        <w:pStyle w:val="TableHeading"/>
        <w:rPr>
          <w:highlight w:val="yellow"/>
        </w:rPr>
      </w:pPr>
      <w:r w:rsidRPr="00EB0DB4">
        <w:t>C</w:t>
      </w:r>
      <w:r>
        <w:t>hart</w:t>
      </w:r>
      <w:r w:rsidRPr="00EB0DB4">
        <w:t xml:space="preserve"> D.3</w:t>
      </w:r>
      <w:r w:rsidR="003A6C27">
        <w:t>:</w:t>
      </w:r>
      <w:r w:rsidR="003A6C27">
        <w:tab/>
      </w:r>
      <w:r w:rsidRPr="00EB0DB4">
        <w:t>Scenario impact on select variables</w:t>
      </w:r>
    </w:p>
    <w:p w14:paraId="692FEE59" w14:textId="77777777" w:rsidR="008D6F13" w:rsidRPr="00106E00" w:rsidRDefault="008D6F13" w:rsidP="008D6F13">
      <w:pPr>
        <w:jc w:val="center"/>
        <w:rPr>
          <w:b/>
          <w:bCs/>
          <w:color w:val="000000" w:themeColor="text1"/>
          <w:highlight w:val="yellow"/>
        </w:rPr>
      </w:pPr>
      <w:r>
        <w:rPr>
          <w:noProof/>
        </w:rPr>
        <w:drawing>
          <wp:inline distT="0" distB="0" distL="0" distR="0" wp14:anchorId="2443B2FA" wp14:editId="2B644A9C">
            <wp:extent cx="4454956" cy="2816352"/>
            <wp:effectExtent l="0" t="0" r="3175" b="3175"/>
            <wp:docPr id="16" name="Chart 16">
              <a:extLst xmlns:a="http://schemas.openxmlformats.org/drawingml/2006/main">
                <a:ext uri="{FF2B5EF4-FFF2-40B4-BE49-F238E27FC236}">
                  <a16:creationId xmlns:a16="http://schemas.microsoft.com/office/drawing/2014/main" id="{E23774EE-5B36-4AAD-BBE1-32A323FEBA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ED7C0EB" w14:textId="77777777" w:rsidR="008D6F13" w:rsidRPr="00EB0DB4" w:rsidRDefault="008D6F13" w:rsidP="008D6F13">
      <w:r w:rsidRPr="00EB0DB4">
        <w:lastRenderedPageBreak/>
        <w:t xml:space="preserve">Weaker domestic activity puts downward pressure on the real exchange rate, leading to a depreciation of the domestic currency against other currencies. The lower exchange rate increases the international competitiveness of domestic exporters. This raises goods export volumes relative to the baseline, more than offsetting the low service exports in the scenario. </w:t>
      </w:r>
    </w:p>
    <w:p w14:paraId="6610E97C" w14:textId="77777777" w:rsidR="008D6F13" w:rsidRDefault="008D6F13" w:rsidP="008D6F13">
      <w:pPr>
        <w:rPr>
          <w:color w:val="000000" w:themeColor="text1"/>
        </w:rPr>
      </w:pPr>
      <w:r w:rsidRPr="00EB0DB4">
        <w:t>The depreciation of the domestic currency raises the cost of imports to households, placing upward pressure on consumer prices. This is more than offset, though, by weaker domestic activity, with the net effect that consumer prices are lower in the scenario.</w:t>
      </w:r>
    </w:p>
    <w:p w14:paraId="31DA2C77" w14:textId="77777777" w:rsidR="008D6F13" w:rsidRDefault="008D6F13" w:rsidP="008D6F13">
      <w:pPr>
        <w:rPr>
          <w:color w:val="000000" w:themeColor="text1"/>
        </w:rPr>
      </w:pPr>
      <w:r w:rsidRPr="007E1AD9">
        <w:rPr>
          <w:color w:val="000000" w:themeColor="text1"/>
        </w:rPr>
        <w:t xml:space="preserve">Table </w:t>
      </w:r>
      <w:r w:rsidRPr="00EB0DB4">
        <w:rPr>
          <w:color w:val="000000" w:themeColor="text1"/>
        </w:rPr>
        <w:t>D.1</w:t>
      </w:r>
      <w:r w:rsidRPr="007E1AD9">
        <w:rPr>
          <w:color w:val="000000" w:themeColor="text1"/>
        </w:rPr>
        <w:t xml:space="preserve"> summarises the economic effects of a </w:t>
      </w:r>
      <w:r w:rsidRPr="007E1AD9">
        <w:t>deep and enduring global coronavirus outbreak across 2021</w:t>
      </w:r>
      <w:r w:rsidRPr="007E1AD9">
        <w:rPr>
          <w:color w:val="000000" w:themeColor="text1"/>
        </w:rPr>
        <w:t>.</w:t>
      </w:r>
      <w:r>
        <w:rPr>
          <w:color w:val="000000" w:themeColor="text1"/>
        </w:rPr>
        <w:t xml:space="preserve"> </w:t>
      </w:r>
    </w:p>
    <w:p w14:paraId="19E892B8" w14:textId="77777777" w:rsidR="008D6F13" w:rsidRPr="00EE41AB" w:rsidRDefault="008D6F13" w:rsidP="008D6F13">
      <w:pPr>
        <w:pStyle w:val="TableHeading"/>
      </w:pPr>
      <w:bookmarkStart w:id="232" w:name="_Hlk88683581"/>
      <w:r w:rsidRPr="00EE41AB">
        <w:t xml:space="preserve">Table </w:t>
      </w:r>
      <w:r>
        <w:t>D</w:t>
      </w:r>
      <w:r w:rsidRPr="00EE41AB">
        <w:t>.1:</w:t>
      </w:r>
      <w:r w:rsidRPr="00EE41AB">
        <w:tab/>
        <w:t>Projected economic impact of a</w:t>
      </w:r>
      <w:r w:rsidRPr="00A71375">
        <w:t xml:space="preserve"> </w:t>
      </w:r>
      <w:r>
        <w:t>protracted global recovery</w:t>
      </w:r>
      <w:r w:rsidRPr="00EE41AB" w:rsidDel="007E1AD9">
        <w:t xml:space="preserve"> </w:t>
      </w:r>
      <w:r w:rsidRPr="00EE41AB">
        <w:rPr>
          <w:vertAlign w:val="superscript"/>
        </w:rPr>
        <w:t>(a)</w:t>
      </w:r>
      <w:r>
        <w:rPr>
          <w:vertAlign w:val="superscript"/>
        </w:rPr>
        <w:t xml:space="preserve"> </w:t>
      </w:r>
      <w:r>
        <w:rPr>
          <w:vertAlign w:val="superscript"/>
        </w:rPr>
        <w:tab/>
      </w:r>
      <w:r w:rsidRPr="00EE41AB">
        <w:t>(per cent)</w:t>
      </w:r>
    </w:p>
    <w:tbl>
      <w:tblPr>
        <w:tblStyle w:val="DTFTableNumeric"/>
        <w:tblW w:w="7711" w:type="dxa"/>
        <w:tblLayout w:type="fixed"/>
        <w:tblLook w:val="06E0" w:firstRow="1" w:lastRow="1" w:firstColumn="1" w:lastColumn="0" w:noHBand="1" w:noVBand="1"/>
      </w:tblPr>
      <w:tblGrid>
        <w:gridCol w:w="4335"/>
        <w:gridCol w:w="844"/>
        <w:gridCol w:w="844"/>
        <w:gridCol w:w="844"/>
        <w:gridCol w:w="844"/>
      </w:tblGrid>
      <w:tr w:rsidR="008D6F13" w:rsidRPr="00AB6B4F" w14:paraId="23D2D4B3" w14:textId="77777777" w:rsidTr="005B3D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67" w:type="dxa"/>
          </w:tcPr>
          <w:p w14:paraId="0A516D3F" w14:textId="77777777" w:rsidR="008D6F13" w:rsidRPr="00AB6B4F" w:rsidRDefault="008D6F13" w:rsidP="0031078F">
            <w:r w:rsidRPr="00AB6B4F">
              <w:t xml:space="preserve"> </w:t>
            </w:r>
          </w:p>
        </w:tc>
        <w:tc>
          <w:tcPr>
            <w:tcW w:w="850" w:type="dxa"/>
          </w:tcPr>
          <w:p w14:paraId="70D8B98A" w14:textId="77777777" w:rsidR="008D6F13" w:rsidRPr="00AB6B4F" w:rsidRDefault="008D6F13" w:rsidP="0031078F">
            <w:pPr>
              <w:cnfStyle w:val="100000000000" w:firstRow="1" w:lastRow="0" w:firstColumn="0" w:lastColumn="0" w:oddVBand="0" w:evenVBand="0" w:oddHBand="0" w:evenHBand="0" w:firstRowFirstColumn="0" w:firstRowLastColumn="0" w:lastRowFirstColumn="0" w:lastRowLastColumn="0"/>
            </w:pPr>
            <w:r w:rsidRPr="00781757">
              <w:rPr>
                <w:rFonts w:cs="Calibri"/>
              </w:rPr>
              <w:t>20</w:t>
            </w:r>
            <w:r>
              <w:rPr>
                <w:rFonts w:cs="Calibri"/>
              </w:rPr>
              <w:t>21</w:t>
            </w:r>
            <w:r w:rsidRPr="00781757">
              <w:rPr>
                <w:rFonts w:cs="Calibri"/>
              </w:rPr>
              <w:t>-2</w:t>
            </w:r>
            <w:r>
              <w:rPr>
                <w:rFonts w:cs="Calibri"/>
              </w:rPr>
              <w:t>2</w:t>
            </w:r>
          </w:p>
        </w:tc>
        <w:tc>
          <w:tcPr>
            <w:tcW w:w="850" w:type="dxa"/>
          </w:tcPr>
          <w:p w14:paraId="4552D10D" w14:textId="77777777" w:rsidR="008D6F13" w:rsidRPr="00AB6B4F" w:rsidRDefault="008D6F13" w:rsidP="0031078F">
            <w:pPr>
              <w:cnfStyle w:val="100000000000" w:firstRow="1" w:lastRow="0" w:firstColumn="0" w:lastColumn="0" w:oddVBand="0" w:evenVBand="0" w:oddHBand="0" w:evenHBand="0" w:firstRowFirstColumn="0" w:firstRowLastColumn="0" w:lastRowFirstColumn="0" w:lastRowLastColumn="0"/>
            </w:pPr>
            <w:r w:rsidRPr="00781757">
              <w:rPr>
                <w:rFonts w:cs="Calibri"/>
              </w:rPr>
              <w:t>202</w:t>
            </w:r>
            <w:r>
              <w:rPr>
                <w:rFonts w:cs="Calibri"/>
              </w:rPr>
              <w:t>2</w:t>
            </w:r>
            <w:r w:rsidRPr="00781757">
              <w:rPr>
                <w:rFonts w:cs="Calibri"/>
              </w:rPr>
              <w:t>-2</w:t>
            </w:r>
            <w:r>
              <w:rPr>
                <w:rFonts w:cs="Calibri"/>
              </w:rPr>
              <w:t>3</w:t>
            </w:r>
          </w:p>
        </w:tc>
        <w:tc>
          <w:tcPr>
            <w:tcW w:w="850" w:type="dxa"/>
          </w:tcPr>
          <w:p w14:paraId="152ACB8C" w14:textId="77777777" w:rsidR="008D6F13" w:rsidRPr="00AB6B4F" w:rsidRDefault="008D6F13" w:rsidP="0031078F">
            <w:pPr>
              <w:cnfStyle w:val="100000000000" w:firstRow="1" w:lastRow="0" w:firstColumn="0" w:lastColumn="0" w:oddVBand="0" w:evenVBand="0" w:oddHBand="0" w:evenHBand="0" w:firstRowFirstColumn="0" w:firstRowLastColumn="0" w:lastRowFirstColumn="0" w:lastRowLastColumn="0"/>
            </w:pPr>
            <w:r w:rsidRPr="00781757">
              <w:rPr>
                <w:rFonts w:cs="Calibri"/>
              </w:rPr>
              <w:t>202</w:t>
            </w:r>
            <w:r>
              <w:rPr>
                <w:rFonts w:cs="Calibri"/>
              </w:rPr>
              <w:t>3</w:t>
            </w:r>
            <w:r w:rsidRPr="00781757">
              <w:rPr>
                <w:rFonts w:cs="Calibri"/>
              </w:rPr>
              <w:t>-2</w:t>
            </w:r>
            <w:r>
              <w:rPr>
                <w:rFonts w:cs="Calibri"/>
              </w:rPr>
              <w:t>4</w:t>
            </w:r>
          </w:p>
        </w:tc>
        <w:tc>
          <w:tcPr>
            <w:tcW w:w="850" w:type="dxa"/>
          </w:tcPr>
          <w:p w14:paraId="25CF7BF3" w14:textId="77777777" w:rsidR="008D6F13" w:rsidRPr="00AB6B4F" w:rsidRDefault="008D6F13" w:rsidP="0031078F">
            <w:pPr>
              <w:cnfStyle w:val="100000000000" w:firstRow="1" w:lastRow="0" w:firstColumn="0" w:lastColumn="0" w:oddVBand="0" w:evenVBand="0" w:oddHBand="0" w:evenHBand="0" w:firstRowFirstColumn="0" w:firstRowLastColumn="0" w:lastRowFirstColumn="0" w:lastRowLastColumn="0"/>
            </w:pPr>
            <w:r w:rsidRPr="00781757">
              <w:rPr>
                <w:rFonts w:cs="Calibri"/>
              </w:rPr>
              <w:t>202</w:t>
            </w:r>
            <w:r>
              <w:rPr>
                <w:rFonts w:cs="Calibri"/>
              </w:rPr>
              <w:t>4</w:t>
            </w:r>
            <w:r w:rsidRPr="00781757">
              <w:rPr>
                <w:rFonts w:cs="Calibri"/>
              </w:rPr>
              <w:t>-2</w:t>
            </w:r>
            <w:r>
              <w:rPr>
                <w:rFonts w:cs="Calibri"/>
              </w:rPr>
              <w:t>5</w:t>
            </w:r>
          </w:p>
        </w:tc>
      </w:tr>
      <w:tr w:rsidR="008D6F13" w:rsidRPr="00AB6B4F" w14:paraId="14A26778" w14:textId="77777777" w:rsidTr="005B3D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67" w:type="dxa"/>
          </w:tcPr>
          <w:p w14:paraId="6A368C13" w14:textId="77777777" w:rsidR="008D6F13" w:rsidRPr="00AB6B4F" w:rsidRDefault="008D6F13" w:rsidP="0031078F">
            <w:r w:rsidRPr="00AB6B4F">
              <w:t xml:space="preserve"> </w:t>
            </w:r>
          </w:p>
        </w:tc>
        <w:tc>
          <w:tcPr>
            <w:tcW w:w="850" w:type="dxa"/>
          </w:tcPr>
          <w:p w14:paraId="49A8A5D2" w14:textId="77777777" w:rsidR="008D6F13" w:rsidRPr="00AB6B4F" w:rsidRDefault="008D6F13" w:rsidP="0031078F">
            <w:pPr>
              <w:cnfStyle w:val="100000000000" w:firstRow="1" w:lastRow="0" w:firstColumn="0" w:lastColumn="0" w:oddVBand="0" w:evenVBand="0" w:oddHBand="0" w:evenHBand="0" w:firstRowFirstColumn="0" w:firstRowLastColumn="0" w:lastRowFirstColumn="0" w:lastRowLastColumn="0"/>
            </w:pPr>
            <w:r w:rsidRPr="00AB6B4F">
              <w:t>estimate</w:t>
            </w:r>
          </w:p>
        </w:tc>
        <w:tc>
          <w:tcPr>
            <w:tcW w:w="850" w:type="dxa"/>
          </w:tcPr>
          <w:p w14:paraId="65EE38DC" w14:textId="77777777" w:rsidR="008D6F13" w:rsidRPr="00AB6B4F" w:rsidRDefault="008D6F13" w:rsidP="0031078F">
            <w:pPr>
              <w:cnfStyle w:val="100000000000" w:firstRow="1" w:lastRow="0" w:firstColumn="0" w:lastColumn="0" w:oddVBand="0" w:evenVBand="0" w:oddHBand="0" w:evenHBand="0" w:firstRowFirstColumn="0" w:firstRowLastColumn="0" w:lastRowFirstColumn="0" w:lastRowLastColumn="0"/>
            </w:pPr>
            <w:r w:rsidRPr="00AB6B4F">
              <w:t>estimate</w:t>
            </w:r>
          </w:p>
        </w:tc>
        <w:tc>
          <w:tcPr>
            <w:tcW w:w="850" w:type="dxa"/>
          </w:tcPr>
          <w:p w14:paraId="7F084C60" w14:textId="77777777" w:rsidR="008D6F13" w:rsidRPr="00AB6B4F" w:rsidRDefault="008D6F13" w:rsidP="0031078F">
            <w:pPr>
              <w:cnfStyle w:val="100000000000" w:firstRow="1" w:lastRow="0" w:firstColumn="0" w:lastColumn="0" w:oddVBand="0" w:evenVBand="0" w:oddHBand="0" w:evenHBand="0" w:firstRowFirstColumn="0" w:firstRowLastColumn="0" w:lastRowFirstColumn="0" w:lastRowLastColumn="0"/>
            </w:pPr>
            <w:r w:rsidRPr="00AB6B4F">
              <w:t>estimate</w:t>
            </w:r>
          </w:p>
        </w:tc>
        <w:tc>
          <w:tcPr>
            <w:tcW w:w="850" w:type="dxa"/>
          </w:tcPr>
          <w:p w14:paraId="7C66F3C3" w14:textId="77777777" w:rsidR="008D6F13" w:rsidRPr="00AB6B4F" w:rsidRDefault="008D6F13" w:rsidP="0031078F">
            <w:pPr>
              <w:cnfStyle w:val="100000000000" w:firstRow="1" w:lastRow="0" w:firstColumn="0" w:lastColumn="0" w:oddVBand="0" w:evenVBand="0" w:oddHBand="0" w:evenHBand="0" w:firstRowFirstColumn="0" w:firstRowLastColumn="0" w:lastRowFirstColumn="0" w:lastRowLastColumn="0"/>
            </w:pPr>
            <w:r w:rsidRPr="00AB6B4F">
              <w:t>estimate</w:t>
            </w:r>
          </w:p>
        </w:tc>
      </w:tr>
      <w:tr w:rsidR="008D6F13" w:rsidRPr="00AB6B4F" w14:paraId="058AD368" w14:textId="77777777" w:rsidTr="005B3D1D">
        <w:tc>
          <w:tcPr>
            <w:cnfStyle w:val="001000000000" w:firstRow="0" w:lastRow="0" w:firstColumn="1" w:lastColumn="0" w:oddVBand="0" w:evenVBand="0" w:oddHBand="0" w:evenHBand="0" w:firstRowFirstColumn="0" w:firstRowLastColumn="0" w:lastRowFirstColumn="0" w:lastRowLastColumn="0"/>
            <w:tcW w:w="4367" w:type="dxa"/>
          </w:tcPr>
          <w:p w14:paraId="3568222A" w14:textId="77777777" w:rsidR="008D6F13" w:rsidRPr="00AB6B4F" w:rsidRDefault="008D6F13" w:rsidP="0031078F">
            <w:r w:rsidRPr="00AB6B4F">
              <w:t>Real GSP</w:t>
            </w:r>
          </w:p>
        </w:tc>
        <w:tc>
          <w:tcPr>
            <w:tcW w:w="850" w:type="dxa"/>
            <w:vAlign w:val="center"/>
          </w:tcPr>
          <w:p w14:paraId="76F3683E" w14:textId="77777777" w:rsidR="008D6F13" w:rsidRPr="00AB6B4F"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Pr>
                <w:rFonts w:ascii="Calibri" w:hAnsi="Calibri" w:cs="Calibri"/>
                <w:color w:val="232B39"/>
                <w:szCs w:val="17"/>
              </w:rPr>
              <w:t>(0.22)</w:t>
            </w:r>
          </w:p>
        </w:tc>
        <w:tc>
          <w:tcPr>
            <w:tcW w:w="850" w:type="dxa"/>
            <w:vAlign w:val="center"/>
          </w:tcPr>
          <w:p w14:paraId="72F2FB32" w14:textId="77777777" w:rsidR="008D6F13" w:rsidRPr="00AB6B4F"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Pr>
                <w:rFonts w:ascii="Calibri" w:hAnsi="Calibri" w:cs="Calibri"/>
                <w:color w:val="232B39"/>
                <w:szCs w:val="17"/>
              </w:rPr>
              <w:t>(0.65)</w:t>
            </w:r>
          </w:p>
        </w:tc>
        <w:tc>
          <w:tcPr>
            <w:tcW w:w="850" w:type="dxa"/>
            <w:vAlign w:val="center"/>
          </w:tcPr>
          <w:p w14:paraId="6E9BA3EC" w14:textId="77777777" w:rsidR="008D6F13" w:rsidRPr="00AB6B4F"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Pr>
                <w:rFonts w:ascii="Calibri" w:hAnsi="Calibri" w:cs="Calibri"/>
                <w:color w:val="232B39"/>
                <w:szCs w:val="17"/>
              </w:rPr>
              <w:t>(0.73)</w:t>
            </w:r>
          </w:p>
        </w:tc>
        <w:tc>
          <w:tcPr>
            <w:tcW w:w="850" w:type="dxa"/>
            <w:vAlign w:val="center"/>
          </w:tcPr>
          <w:p w14:paraId="63EC9130" w14:textId="77777777" w:rsidR="008D6F13" w:rsidRPr="00AB6B4F"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Pr>
                <w:rFonts w:ascii="Calibri" w:hAnsi="Calibri" w:cs="Calibri"/>
                <w:color w:val="232B39"/>
                <w:szCs w:val="17"/>
              </w:rPr>
              <w:t>(0.74)</w:t>
            </w:r>
          </w:p>
        </w:tc>
      </w:tr>
      <w:tr w:rsidR="008D6F13" w:rsidRPr="00AB6B4F" w14:paraId="48536F18" w14:textId="77777777" w:rsidTr="005B3D1D">
        <w:tc>
          <w:tcPr>
            <w:cnfStyle w:val="001000000000" w:firstRow="0" w:lastRow="0" w:firstColumn="1" w:lastColumn="0" w:oddVBand="0" w:evenVBand="0" w:oddHBand="0" w:evenHBand="0" w:firstRowFirstColumn="0" w:firstRowLastColumn="0" w:lastRowFirstColumn="0" w:lastRowLastColumn="0"/>
            <w:tcW w:w="4367" w:type="dxa"/>
          </w:tcPr>
          <w:p w14:paraId="39DCDEA6" w14:textId="77777777" w:rsidR="008D6F13" w:rsidRPr="00AB6B4F" w:rsidRDefault="008D6F13" w:rsidP="0031078F">
            <w:r w:rsidRPr="00AB6B4F">
              <w:t>Employment</w:t>
            </w:r>
          </w:p>
        </w:tc>
        <w:tc>
          <w:tcPr>
            <w:tcW w:w="850" w:type="dxa"/>
            <w:vAlign w:val="center"/>
          </w:tcPr>
          <w:p w14:paraId="6956640A" w14:textId="77777777" w:rsidR="008D6F13" w:rsidRPr="00AB6B4F"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Pr>
                <w:rFonts w:ascii="Calibri" w:hAnsi="Calibri" w:cs="Calibri"/>
                <w:color w:val="232B39"/>
                <w:szCs w:val="17"/>
              </w:rPr>
              <w:t>(0.22)</w:t>
            </w:r>
          </w:p>
        </w:tc>
        <w:tc>
          <w:tcPr>
            <w:tcW w:w="850" w:type="dxa"/>
            <w:vAlign w:val="center"/>
          </w:tcPr>
          <w:p w14:paraId="3248B664" w14:textId="77777777" w:rsidR="008D6F13" w:rsidRPr="00AB6B4F"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Pr>
                <w:rFonts w:ascii="Calibri" w:hAnsi="Calibri" w:cs="Calibri"/>
                <w:color w:val="232B39"/>
                <w:szCs w:val="17"/>
              </w:rPr>
              <w:t>(0.63)</w:t>
            </w:r>
          </w:p>
        </w:tc>
        <w:tc>
          <w:tcPr>
            <w:tcW w:w="850" w:type="dxa"/>
            <w:vAlign w:val="center"/>
          </w:tcPr>
          <w:p w14:paraId="2A89DD3E" w14:textId="77777777" w:rsidR="008D6F13" w:rsidRPr="00AB6B4F"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Pr>
                <w:rFonts w:ascii="Calibri" w:hAnsi="Calibri" w:cs="Calibri"/>
                <w:color w:val="232B39"/>
                <w:szCs w:val="17"/>
              </w:rPr>
              <w:t>(0.74)</w:t>
            </w:r>
          </w:p>
        </w:tc>
        <w:tc>
          <w:tcPr>
            <w:tcW w:w="850" w:type="dxa"/>
            <w:vAlign w:val="center"/>
          </w:tcPr>
          <w:p w14:paraId="05F94EDF" w14:textId="77777777" w:rsidR="008D6F13" w:rsidRPr="00AB6B4F"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Pr>
                <w:rFonts w:ascii="Calibri" w:hAnsi="Calibri" w:cs="Calibri"/>
                <w:color w:val="232B39"/>
                <w:szCs w:val="17"/>
              </w:rPr>
              <w:t>(0.77)</w:t>
            </w:r>
          </w:p>
        </w:tc>
      </w:tr>
      <w:tr w:rsidR="008D6F13" w:rsidRPr="00AB6B4F" w14:paraId="0DB9ED56" w14:textId="77777777" w:rsidTr="005B3D1D">
        <w:tc>
          <w:tcPr>
            <w:cnfStyle w:val="001000000000" w:firstRow="0" w:lastRow="0" w:firstColumn="1" w:lastColumn="0" w:oddVBand="0" w:evenVBand="0" w:oddHBand="0" w:evenHBand="0" w:firstRowFirstColumn="0" w:firstRowLastColumn="0" w:lastRowFirstColumn="0" w:lastRowLastColumn="0"/>
            <w:tcW w:w="4367" w:type="dxa"/>
            <w:tcBorders>
              <w:bottom w:val="nil"/>
            </w:tcBorders>
          </w:tcPr>
          <w:p w14:paraId="43D9BA65" w14:textId="77777777" w:rsidR="008D6F13" w:rsidRPr="00AB6B4F" w:rsidRDefault="008D6F13" w:rsidP="0031078F">
            <w:r w:rsidRPr="00AB6B4F">
              <w:t>Consumer price index</w:t>
            </w:r>
          </w:p>
        </w:tc>
        <w:tc>
          <w:tcPr>
            <w:tcW w:w="850" w:type="dxa"/>
            <w:tcBorders>
              <w:bottom w:val="nil"/>
            </w:tcBorders>
            <w:vAlign w:val="center"/>
          </w:tcPr>
          <w:p w14:paraId="12D083E5" w14:textId="77777777" w:rsidR="008D6F13" w:rsidRPr="00AB6B4F"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Pr>
                <w:rFonts w:ascii="Calibri" w:hAnsi="Calibri" w:cs="Calibri"/>
                <w:color w:val="232B39"/>
                <w:szCs w:val="17"/>
              </w:rPr>
              <w:t>(0.21)</w:t>
            </w:r>
          </w:p>
        </w:tc>
        <w:tc>
          <w:tcPr>
            <w:tcW w:w="850" w:type="dxa"/>
            <w:tcBorders>
              <w:bottom w:val="nil"/>
            </w:tcBorders>
            <w:vAlign w:val="center"/>
          </w:tcPr>
          <w:p w14:paraId="64609B71" w14:textId="77777777" w:rsidR="008D6F13" w:rsidRPr="00AB6B4F"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Pr>
                <w:rFonts w:ascii="Calibri" w:hAnsi="Calibri" w:cs="Calibri"/>
                <w:color w:val="232B39"/>
                <w:szCs w:val="17"/>
              </w:rPr>
              <w:t>(0.43)</w:t>
            </w:r>
          </w:p>
        </w:tc>
        <w:tc>
          <w:tcPr>
            <w:tcW w:w="850" w:type="dxa"/>
            <w:tcBorders>
              <w:bottom w:val="nil"/>
            </w:tcBorders>
            <w:vAlign w:val="center"/>
          </w:tcPr>
          <w:p w14:paraId="6938212E" w14:textId="77777777" w:rsidR="008D6F13" w:rsidRPr="00AB6B4F"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Pr>
                <w:rFonts w:ascii="Calibri" w:hAnsi="Calibri" w:cs="Calibri"/>
                <w:color w:val="232B39"/>
                <w:szCs w:val="17"/>
              </w:rPr>
              <w:t>(0.34)</w:t>
            </w:r>
          </w:p>
        </w:tc>
        <w:tc>
          <w:tcPr>
            <w:tcW w:w="850" w:type="dxa"/>
            <w:tcBorders>
              <w:bottom w:val="nil"/>
            </w:tcBorders>
            <w:vAlign w:val="center"/>
          </w:tcPr>
          <w:p w14:paraId="295DC777" w14:textId="77777777" w:rsidR="008D6F13" w:rsidRPr="00AB6B4F"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Pr>
                <w:rFonts w:ascii="Calibri" w:hAnsi="Calibri" w:cs="Calibri"/>
                <w:color w:val="232B39"/>
                <w:szCs w:val="17"/>
              </w:rPr>
              <w:t>(0.32)</w:t>
            </w:r>
          </w:p>
        </w:tc>
      </w:tr>
      <w:tr w:rsidR="008D6F13" w:rsidRPr="00AB6B4F" w14:paraId="25BD79BF" w14:textId="77777777" w:rsidTr="005B3D1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7" w:type="dxa"/>
            <w:tcBorders>
              <w:top w:val="nil"/>
            </w:tcBorders>
          </w:tcPr>
          <w:p w14:paraId="30D2AC33" w14:textId="77777777" w:rsidR="008D6F13" w:rsidRPr="00763855" w:rsidRDefault="008D6F13" w:rsidP="0031078F">
            <w:pPr>
              <w:rPr>
                <w:b w:val="0"/>
                <w:bCs/>
              </w:rPr>
            </w:pPr>
            <w:r w:rsidRPr="00763855">
              <w:rPr>
                <w:b w:val="0"/>
                <w:bCs/>
              </w:rPr>
              <w:t>Wage price index</w:t>
            </w:r>
          </w:p>
        </w:tc>
        <w:tc>
          <w:tcPr>
            <w:tcW w:w="850" w:type="dxa"/>
            <w:tcBorders>
              <w:top w:val="nil"/>
            </w:tcBorders>
            <w:vAlign w:val="center"/>
          </w:tcPr>
          <w:p w14:paraId="1D24DD99" w14:textId="77777777" w:rsidR="008D6F13" w:rsidRPr="00763855" w:rsidRDefault="008D6F13" w:rsidP="0031078F">
            <w:pPr>
              <w:cnfStyle w:val="010000000000" w:firstRow="0" w:lastRow="1" w:firstColumn="0" w:lastColumn="0" w:oddVBand="0" w:evenVBand="0" w:oddHBand="0" w:evenHBand="0" w:firstRowFirstColumn="0" w:firstRowLastColumn="0" w:lastRowFirstColumn="0" w:lastRowLastColumn="0"/>
              <w:rPr>
                <w:b w:val="0"/>
                <w:bCs/>
                <w:highlight w:val="yellow"/>
              </w:rPr>
            </w:pPr>
            <w:r w:rsidRPr="00763855">
              <w:rPr>
                <w:rFonts w:ascii="Calibri" w:hAnsi="Calibri" w:cs="Calibri"/>
                <w:b w:val="0"/>
                <w:bCs/>
                <w:color w:val="232B39"/>
                <w:szCs w:val="17"/>
              </w:rPr>
              <w:t>(0.24)</w:t>
            </w:r>
          </w:p>
        </w:tc>
        <w:tc>
          <w:tcPr>
            <w:tcW w:w="850" w:type="dxa"/>
            <w:tcBorders>
              <w:top w:val="nil"/>
            </w:tcBorders>
            <w:vAlign w:val="center"/>
          </w:tcPr>
          <w:p w14:paraId="2A55EB7C" w14:textId="77777777" w:rsidR="008D6F13" w:rsidRPr="00763855" w:rsidRDefault="008D6F13" w:rsidP="0031078F">
            <w:pPr>
              <w:cnfStyle w:val="010000000000" w:firstRow="0" w:lastRow="1" w:firstColumn="0" w:lastColumn="0" w:oddVBand="0" w:evenVBand="0" w:oddHBand="0" w:evenHBand="0" w:firstRowFirstColumn="0" w:firstRowLastColumn="0" w:lastRowFirstColumn="0" w:lastRowLastColumn="0"/>
              <w:rPr>
                <w:b w:val="0"/>
                <w:bCs/>
                <w:highlight w:val="yellow"/>
              </w:rPr>
            </w:pPr>
            <w:r w:rsidRPr="00763855">
              <w:rPr>
                <w:rFonts w:ascii="Calibri" w:hAnsi="Calibri" w:cs="Calibri"/>
                <w:b w:val="0"/>
                <w:bCs/>
                <w:color w:val="232B39"/>
                <w:szCs w:val="17"/>
              </w:rPr>
              <w:t>(0.52)</w:t>
            </w:r>
          </w:p>
        </w:tc>
        <w:tc>
          <w:tcPr>
            <w:tcW w:w="850" w:type="dxa"/>
            <w:tcBorders>
              <w:top w:val="nil"/>
            </w:tcBorders>
            <w:vAlign w:val="center"/>
          </w:tcPr>
          <w:p w14:paraId="3D37B0AA" w14:textId="77777777" w:rsidR="008D6F13" w:rsidRPr="00763855" w:rsidRDefault="008D6F13" w:rsidP="0031078F">
            <w:pPr>
              <w:cnfStyle w:val="010000000000" w:firstRow="0" w:lastRow="1" w:firstColumn="0" w:lastColumn="0" w:oddVBand="0" w:evenVBand="0" w:oddHBand="0" w:evenHBand="0" w:firstRowFirstColumn="0" w:firstRowLastColumn="0" w:lastRowFirstColumn="0" w:lastRowLastColumn="0"/>
              <w:rPr>
                <w:b w:val="0"/>
                <w:bCs/>
                <w:highlight w:val="yellow"/>
              </w:rPr>
            </w:pPr>
            <w:r w:rsidRPr="00763855">
              <w:rPr>
                <w:rFonts w:ascii="Calibri" w:hAnsi="Calibri" w:cs="Calibri"/>
                <w:b w:val="0"/>
                <w:bCs/>
                <w:color w:val="232B39"/>
                <w:szCs w:val="17"/>
              </w:rPr>
              <w:t>(0.36)</w:t>
            </w:r>
          </w:p>
        </w:tc>
        <w:tc>
          <w:tcPr>
            <w:tcW w:w="850" w:type="dxa"/>
            <w:tcBorders>
              <w:top w:val="nil"/>
            </w:tcBorders>
            <w:vAlign w:val="center"/>
          </w:tcPr>
          <w:p w14:paraId="1C814194" w14:textId="77777777" w:rsidR="008D6F13" w:rsidRPr="00763855" w:rsidRDefault="008D6F13" w:rsidP="0031078F">
            <w:pPr>
              <w:cnfStyle w:val="010000000000" w:firstRow="0" w:lastRow="1" w:firstColumn="0" w:lastColumn="0" w:oddVBand="0" w:evenVBand="0" w:oddHBand="0" w:evenHBand="0" w:firstRowFirstColumn="0" w:firstRowLastColumn="0" w:lastRowFirstColumn="0" w:lastRowLastColumn="0"/>
              <w:rPr>
                <w:b w:val="0"/>
                <w:bCs/>
                <w:highlight w:val="yellow"/>
              </w:rPr>
            </w:pPr>
            <w:r w:rsidRPr="00763855">
              <w:rPr>
                <w:rFonts w:ascii="Calibri" w:hAnsi="Calibri" w:cs="Calibri"/>
                <w:b w:val="0"/>
                <w:bCs/>
                <w:color w:val="232B39"/>
                <w:szCs w:val="17"/>
              </w:rPr>
              <w:t>(0.25)</w:t>
            </w:r>
          </w:p>
        </w:tc>
      </w:tr>
    </w:tbl>
    <w:p w14:paraId="70F469F4" w14:textId="77777777" w:rsidR="008D6F13" w:rsidRPr="00EE41AB" w:rsidRDefault="008D6F13" w:rsidP="008D6F13">
      <w:pPr>
        <w:pStyle w:val="Note"/>
      </w:pPr>
      <w:r w:rsidRPr="00EE41AB">
        <w:t xml:space="preserve">Note: </w:t>
      </w:r>
    </w:p>
    <w:p w14:paraId="6B91A01D" w14:textId="77777777" w:rsidR="008D6F13" w:rsidRPr="00EE41AB" w:rsidRDefault="008D6F13" w:rsidP="008D6F13">
      <w:pPr>
        <w:pStyle w:val="Note"/>
      </w:pPr>
      <w:r w:rsidRPr="00EE41AB">
        <w:t>(a)</w:t>
      </w:r>
      <w:r w:rsidRPr="00EE41AB">
        <w:tab/>
        <w:t xml:space="preserve">Figures reported are the change in the level of each parameter relative to the baseline forecasts as presented in Chapter 2 </w:t>
      </w:r>
      <w:r w:rsidRPr="005B3D1D">
        <w:rPr>
          <w:i w:val="0"/>
        </w:rPr>
        <w:t>Economic Context</w:t>
      </w:r>
      <w:r w:rsidRPr="00EE41AB">
        <w:t>.</w:t>
      </w:r>
    </w:p>
    <w:bookmarkEnd w:id="232"/>
    <w:p w14:paraId="4CB856B8" w14:textId="77777777" w:rsidR="008D6F13" w:rsidRPr="00861091" w:rsidRDefault="008D6F13" w:rsidP="008D6F13">
      <w:pPr>
        <w:pStyle w:val="Note"/>
        <w:rPr>
          <w:color w:val="A6A6A6" w:themeColor="background1" w:themeShade="A6"/>
        </w:rPr>
      </w:pPr>
    </w:p>
    <w:p w14:paraId="56E3B71F" w14:textId="77777777" w:rsidR="008D6F13" w:rsidRPr="009B5846" w:rsidRDefault="008D6F13" w:rsidP="008D6F13">
      <w:pPr>
        <w:rPr>
          <w:color w:val="000000" w:themeColor="text1"/>
        </w:rPr>
      </w:pPr>
      <w:r w:rsidRPr="009B5846">
        <w:rPr>
          <w:color w:val="000000" w:themeColor="text1"/>
        </w:rPr>
        <w:t>The shock has a negative fiscal impact for the Victorian Government (Table D.2). Lower population growth slows the recovery in property</w:t>
      </w:r>
      <w:r w:rsidRPr="009B5846">
        <w:rPr>
          <w:color w:val="000000" w:themeColor="text1"/>
        </w:rPr>
        <w:noBreakHyphen/>
        <w:t>related taxation revenue, including land transfer duty and land taxes. Lower household consumption leads to a smaller national GST pool and hence smaller GST grants revenue. As a result, income from transactions is lower over the forward estimates.</w:t>
      </w:r>
    </w:p>
    <w:p w14:paraId="78F4F7C6" w14:textId="77777777" w:rsidR="008D6F13" w:rsidRDefault="008D6F13" w:rsidP="008D6F13">
      <w:pPr>
        <w:rPr>
          <w:color w:val="000000" w:themeColor="text1"/>
        </w:rPr>
      </w:pPr>
      <w:r w:rsidRPr="009B5846">
        <w:rPr>
          <w:color w:val="000000" w:themeColor="text1"/>
        </w:rPr>
        <w:t>Expenses from transactions are also lower in the scenario relative to the base case. Lower public-sector employment growth lowers employee expenses.</w:t>
      </w:r>
      <w:r w:rsidRPr="009B5846">
        <w:t xml:space="preserve"> </w:t>
      </w:r>
      <w:r w:rsidRPr="009B5846">
        <w:rPr>
          <w:color w:val="000000" w:themeColor="text1"/>
        </w:rPr>
        <w:t>These impacts reflect the assumed relationship between private and public sector employment and wages in the model, namely that public sector employment is a fixed share of overall employment, and public sector wage growth corresponds to private sector wage growth. Overall, the net impact on the Government’s fiscal position is negative.</w:t>
      </w:r>
    </w:p>
    <w:p w14:paraId="68D26D20" w14:textId="77777777" w:rsidR="008D6F13" w:rsidRPr="00874CA8" w:rsidRDefault="008D6F13" w:rsidP="008D6F13">
      <w:pPr>
        <w:pStyle w:val="TableHeading"/>
      </w:pPr>
      <w:bookmarkStart w:id="233" w:name="_Hlk88683593"/>
      <w:r>
        <w:t>Table D</w:t>
      </w:r>
      <w:r w:rsidRPr="00874CA8">
        <w:t>.2:</w:t>
      </w:r>
      <w:r w:rsidRPr="00874CA8">
        <w:tab/>
        <w:t xml:space="preserve">Projected </w:t>
      </w:r>
      <w:r w:rsidRPr="00AB6B4F">
        <w:t>fiscal</w:t>
      </w:r>
      <w:r w:rsidRPr="00874CA8">
        <w:t xml:space="preserve"> impact of</w:t>
      </w:r>
      <w:r>
        <w:t xml:space="preserve"> a</w:t>
      </w:r>
      <w:r w:rsidRPr="00874CA8">
        <w:t xml:space="preserve"> </w:t>
      </w:r>
      <w:r>
        <w:t>protracted global recovery</w:t>
      </w:r>
      <w:r w:rsidDel="007E1AD9">
        <w:t xml:space="preserve"> </w:t>
      </w:r>
      <w:r w:rsidRPr="00134665">
        <w:rPr>
          <w:vertAlign w:val="superscript"/>
        </w:rPr>
        <w:t>(a)</w:t>
      </w:r>
      <w:r w:rsidRPr="00874CA8">
        <w:tab/>
        <w:t>($</w:t>
      </w:r>
      <w:r>
        <w:t> million</w:t>
      </w:r>
      <w:r w:rsidRPr="00874CA8">
        <w:t>)</w:t>
      </w:r>
    </w:p>
    <w:tbl>
      <w:tblPr>
        <w:tblStyle w:val="DTFTableNumeric"/>
        <w:tblW w:w="7711" w:type="dxa"/>
        <w:tblLayout w:type="fixed"/>
        <w:tblLook w:val="06A0" w:firstRow="1" w:lastRow="0" w:firstColumn="1" w:lastColumn="0" w:noHBand="1" w:noVBand="1"/>
      </w:tblPr>
      <w:tblGrid>
        <w:gridCol w:w="4332"/>
        <w:gridCol w:w="844"/>
        <w:gridCol w:w="845"/>
        <w:gridCol w:w="845"/>
        <w:gridCol w:w="845"/>
      </w:tblGrid>
      <w:tr w:rsidR="008D6F13" w:rsidRPr="003B6233" w14:paraId="4E4FAA3C" w14:textId="77777777" w:rsidTr="005B3D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65" w:type="dxa"/>
          </w:tcPr>
          <w:p w14:paraId="6BB14AC0" w14:textId="77777777" w:rsidR="008D6F13" w:rsidRPr="003B6233" w:rsidRDefault="008D6F13" w:rsidP="0031078F"/>
        </w:tc>
        <w:tc>
          <w:tcPr>
            <w:tcW w:w="850" w:type="dxa"/>
          </w:tcPr>
          <w:p w14:paraId="0B8D97B2" w14:textId="77777777" w:rsidR="008D6F13" w:rsidRPr="00134665" w:rsidRDefault="008D6F13" w:rsidP="0031078F">
            <w:pPr>
              <w:cnfStyle w:val="100000000000" w:firstRow="1" w:lastRow="0" w:firstColumn="0" w:lastColumn="0" w:oddVBand="0" w:evenVBand="0" w:oddHBand="0" w:evenHBand="0" w:firstRowFirstColumn="0" w:firstRowLastColumn="0" w:lastRowFirstColumn="0" w:lastRowLastColumn="0"/>
            </w:pPr>
            <w:r w:rsidRPr="00781757">
              <w:t>20</w:t>
            </w:r>
            <w:r>
              <w:t>21</w:t>
            </w:r>
            <w:r w:rsidRPr="00781757">
              <w:t>-2</w:t>
            </w:r>
            <w:r>
              <w:t>2</w:t>
            </w:r>
          </w:p>
        </w:tc>
        <w:tc>
          <w:tcPr>
            <w:tcW w:w="850" w:type="dxa"/>
          </w:tcPr>
          <w:p w14:paraId="52014986" w14:textId="77777777" w:rsidR="008D6F13" w:rsidRPr="00134665" w:rsidRDefault="008D6F13" w:rsidP="0031078F">
            <w:pPr>
              <w:cnfStyle w:val="100000000000" w:firstRow="1" w:lastRow="0" w:firstColumn="0" w:lastColumn="0" w:oddVBand="0" w:evenVBand="0" w:oddHBand="0" w:evenHBand="0" w:firstRowFirstColumn="0" w:firstRowLastColumn="0" w:lastRowFirstColumn="0" w:lastRowLastColumn="0"/>
            </w:pPr>
            <w:r w:rsidRPr="00781757">
              <w:t>202</w:t>
            </w:r>
            <w:r>
              <w:t>2</w:t>
            </w:r>
            <w:r w:rsidRPr="00781757">
              <w:t>-2</w:t>
            </w:r>
            <w:r>
              <w:t>3</w:t>
            </w:r>
          </w:p>
        </w:tc>
        <w:tc>
          <w:tcPr>
            <w:tcW w:w="850" w:type="dxa"/>
          </w:tcPr>
          <w:p w14:paraId="166E8CEC" w14:textId="77777777" w:rsidR="008D6F13" w:rsidRPr="00134665" w:rsidRDefault="008D6F13" w:rsidP="0031078F">
            <w:pPr>
              <w:cnfStyle w:val="100000000000" w:firstRow="1" w:lastRow="0" w:firstColumn="0" w:lastColumn="0" w:oddVBand="0" w:evenVBand="0" w:oddHBand="0" w:evenHBand="0" w:firstRowFirstColumn="0" w:firstRowLastColumn="0" w:lastRowFirstColumn="0" w:lastRowLastColumn="0"/>
            </w:pPr>
            <w:r w:rsidRPr="00781757">
              <w:t>202</w:t>
            </w:r>
            <w:r>
              <w:t>3</w:t>
            </w:r>
            <w:r w:rsidRPr="00781757">
              <w:t>-2</w:t>
            </w:r>
            <w:r>
              <w:t>4</w:t>
            </w:r>
          </w:p>
        </w:tc>
        <w:tc>
          <w:tcPr>
            <w:tcW w:w="850" w:type="dxa"/>
          </w:tcPr>
          <w:p w14:paraId="2A20FB26" w14:textId="77777777" w:rsidR="008D6F13" w:rsidRPr="00134665" w:rsidRDefault="008D6F13" w:rsidP="0031078F">
            <w:pPr>
              <w:cnfStyle w:val="100000000000" w:firstRow="1" w:lastRow="0" w:firstColumn="0" w:lastColumn="0" w:oddVBand="0" w:evenVBand="0" w:oddHBand="0" w:evenHBand="0" w:firstRowFirstColumn="0" w:firstRowLastColumn="0" w:lastRowFirstColumn="0" w:lastRowLastColumn="0"/>
            </w:pPr>
            <w:r w:rsidRPr="00781757">
              <w:t>202</w:t>
            </w:r>
            <w:r>
              <w:t>4</w:t>
            </w:r>
            <w:r w:rsidRPr="00781757">
              <w:t>-2</w:t>
            </w:r>
            <w:r>
              <w:t>5</w:t>
            </w:r>
          </w:p>
        </w:tc>
      </w:tr>
      <w:tr w:rsidR="008D6F13" w:rsidRPr="003B6233" w14:paraId="423AF088" w14:textId="77777777" w:rsidTr="005B3D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65" w:type="dxa"/>
          </w:tcPr>
          <w:p w14:paraId="614299EF" w14:textId="77777777" w:rsidR="008D6F13" w:rsidRPr="003B6233" w:rsidRDefault="008D6F13" w:rsidP="0031078F">
            <w:pPr>
              <w:rPr>
                <w:i w:val="0"/>
              </w:rPr>
            </w:pPr>
            <w:r w:rsidRPr="003B6233">
              <w:t xml:space="preserve"> </w:t>
            </w:r>
          </w:p>
        </w:tc>
        <w:tc>
          <w:tcPr>
            <w:tcW w:w="850" w:type="dxa"/>
          </w:tcPr>
          <w:p w14:paraId="5318535E" w14:textId="77777777" w:rsidR="008D6F13" w:rsidRPr="003B6233" w:rsidRDefault="008D6F13" w:rsidP="0031078F">
            <w:pPr>
              <w:cnfStyle w:val="100000000000" w:firstRow="1" w:lastRow="0" w:firstColumn="0" w:lastColumn="0" w:oddVBand="0" w:evenVBand="0" w:oddHBand="0" w:evenHBand="0" w:firstRowFirstColumn="0" w:firstRowLastColumn="0" w:lastRowFirstColumn="0" w:lastRowLastColumn="0"/>
              <w:rPr>
                <w:i w:val="0"/>
                <w:color w:val="FFFFFF"/>
              </w:rPr>
            </w:pPr>
            <w:r w:rsidRPr="003B6233">
              <w:rPr>
                <w:color w:val="FFFFFF"/>
              </w:rPr>
              <w:t>estimate</w:t>
            </w:r>
          </w:p>
        </w:tc>
        <w:tc>
          <w:tcPr>
            <w:tcW w:w="850" w:type="dxa"/>
          </w:tcPr>
          <w:p w14:paraId="67432C6A" w14:textId="77777777" w:rsidR="008D6F13" w:rsidRPr="003B6233" w:rsidRDefault="008D6F13" w:rsidP="0031078F">
            <w:pPr>
              <w:cnfStyle w:val="100000000000" w:firstRow="1" w:lastRow="0" w:firstColumn="0" w:lastColumn="0" w:oddVBand="0" w:evenVBand="0" w:oddHBand="0" w:evenHBand="0" w:firstRowFirstColumn="0" w:firstRowLastColumn="0" w:lastRowFirstColumn="0" w:lastRowLastColumn="0"/>
              <w:rPr>
                <w:i w:val="0"/>
                <w:color w:val="FFFFFF"/>
              </w:rPr>
            </w:pPr>
            <w:r w:rsidRPr="003B6233">
              <w:rPr>
                <w:color w:val="FFFFFF"/>
              </w:rPr>
              <w:t>estimate</w:t>
            </w:r>
          </w:p>
        </w:tc>
        <w:tc>
          <w:tcPr>
            <w:tcW w:w="850" w:type="dxa"/>
          </w:tcPr>
          <w:p w14:paraId="170BD499" w14:textId="77777777" w:rsidR="008D6F13" w:rsidRPr="003B6233" w:rsidRDefault="008D6F13" w:rsidP="0031078F">
            <w:pPr>
              <w:cnfStyle w:val="100000000000" w:firstRow="1" w:lastRow="0" w:firstColumn="0" w:lastColumn="0" w:oddVBand="0" w:evenVBand="0" w:oddHBand="0" w:evenHBand="0" w:firstRowFirstColumn="0" w:firstRowLastColumn="0" w:lastRowFirstColumn="0" w:lastRowLastColumn="0"/>
              <w:rPr>
                <w:i w:val="0"/>
                <w:color w:val="FFFFFF"/>
              </w:rPr>
            </w:pPr>
            <w:r w:rsidRPr="003B6233">
              <w:rPr>
                <w:color w:val="FFFFFF"/>
              </w:rPr>
              <w:t xml:space="preserve"> estimate</w:t>
            </w:r>
          </w:p>
        </w:tc>
        <w:tc>
          <w:tcPr>
            <w:tcW w:w="850" w:type="dxa"/>
          </w:tcPr>
          <w:p w14:paraId="3BE7AF40" w14:textId="77777777" w:rsidR="008D6F13" w:rsidRPr="003B6233" w:rsidRDefault="008D6F13" w:rsidP="0031078F">
            <w:pPr>
              <w:cnfStyle w:val="100000000000" w:firstRow="1" w:lastRow="0" w:firstColumn="0" w:lastColumn="0" w:oddVBand="0" w:evenVBand="0" w:oddHBand="0" w:evenHBand="0" w:firstRowFirstColumn="0" w:firstRowLastColumn="0" w:lastRowFirstColumn="0" w:lastRowLastColumn="0"/>
              <w:rPr>
                <w:i w:val="0"/>
                <w:color w:val="FFFFFF"/>
              </w:rPr>
            </w:pPr>
            <w:r w:rsidRPr="003B6233">
              <w:rPr>
                <w:color w:val="FFFFFF"/>
              </w:rPr>
              <w:t>estimate</w:t>
            </w:r>
          </w:p>
        </w:tc>
      </w:tr>
      <w:tr w:rsidR="008D6F13" w:rsidRPr="003B6233" w14:paraId="7CFAA011" w14:textId="77777777" w:rsidTr="005B3D1D">
        <w:tc>
          <w:tcPr>
            <w:cnfStyle w:val="001000000000" w:firstRow="0" w:lastRow="0" w:firstColumn="1" w:lastColumn="0" w:oddVBand="0" w:evenVBand="0" w:oddHBand="0" w:evenHBand="0" w:firstRowFirstColumn="0" w:firstRowLastColumn="0" w:lastRowFirstColumn="0" w:lastRowLastColumn="0"/>
            <w:tcW w:w="4365" w:type="dxa"/>
          </w:tcPr>
          <w:p w14:paraId="6A2A79C7" w14:textId="77777777" w:rsidR="008D6F13" w:rsidRPr="003B6233" w:rsidRDefault="008D6F13" w:rsidP="0031078F">
            <w:pPr>
              <w:keepLines w:val="0"/>
              <w:autoSpaceDE w:val="0"/>
              <w:autoSpaceDN w:val="0"/>
              <w:adjustRightInd w:val="0"/>
              <w:rPr>
                <w:rFonts w:eastAsiaTheme="minorEastAsia" w:cs="Calibri"/>
                <w:color w:val="000000"/>
                <w:szCs w:val="17"/>
              </w:rPr>
            </w:pPr>
            <w:r w:rsidRPr="003B6233">
              <w:rPr>
                <w:rFonts w:eastAsiaTheme="minorEastAsia" w:cs="Calibri"/>
                <w:color w:val="000000"/>
                <w:szCs w:val="17"/>
              </w:rPr>
              <w:t>Income from transactions</w:t>
            </w:r>
          </w:p>
        </w:tc>
        <w:tc>
          <w:tcPr>
            <w:tcW w:w="850" w:type="dxa"/>
          </w:tcPr>
          <w:p w14:paraId="7A8EC877"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9B15B8">
              <w:t>(271.0)</w:t>
            </w:r>
          </w:p>
        </w:tc>
        <w:tc>
          <w:tcPr>
            <w:tcW w:w="850" w:type="dxa"/>
          </w:tcPr>
          <w:p w14:paraId="52AD8320"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9B15B8">
              <w:t>(787.6)</w:t>
            </w:r>
          </w:p>
        </w:tc>
        <w:tc>
          <w:tcPr>
            <w:tcW w:w="850" w:type="dxa"/>
          </w:tcPr>
          <w:p w14:paraId="658C533E"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9B15B8">
              <w:t>(816.2)</w:t>
            </w:r>
          </w:p>
        </w:tc>
        <w:tc>
          <w:tcPr>
            <w:tcW w:w="850" w:type="dxa"/>
          </w:tcPr>
          <w:p w14:paraId="53624B96"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9B15B8">
              <w:t>(802.8)</w:t>
            </w:r>
          </w:p>
        </w:tc>
      </w:tr>
      <w:tr w:rsidR="008D6F13" w:rsidRPr="003B6233" w14:paraId="7AF115CD" w14:textId="77777777" w:rsidTr="005B3D1D">
        <w:tc>
          <w:tcPr>
            <w:cnfStyle w:val="001000000000" w:firstRow="0" w:lastRow="0" w:firstColumn="1" w:lastColumn="0" w:oddVBand="0" w:evenVBand="0" w:oddHBand="0" w:evenHBand="0" w:firstRowFirstColumn="0" w:firstRowLastColumn="0" w:lastRowFirstColumn="0" w:lastRowLastColumn="0"/>
            <w:tcW w:w="4365" w:type="dxa"/>
            <w:tcBorders>
              <w:bottom w:val="single" w:sz="6" w:space="0" w:color="auto"/>
            </w:tcBorders>
          </w:tcPr>
          <w:p w14:paraId="35DB9F91" w14:textId="77777777" w:rsidR="008D6F13" w:rsidRPr="003B6233" w:rsidRDefault="008D6F13" w:rsidP="0031078F">
            <w:pPr>
              <w:keepLines w:val="0"/>
              <w:autoSpaceDE w:val="0"/>
              <w:autoSpaceDN w:val="0"/>
              <w:adjustRightInd w:val="0"/>
              <w:rPr>
                <w:rFonts w:eastAsiaTheme="minorEastAsia" w:cs="Calibri"/>
                <w:color w:val="000000"/>
                <w:szCs w:val="17"/>
              </w:rPr>
            </w:pPr>
            <w:r w:rsidRPr="003B6233">
              <w:rPr>
                <w:rFonts w:eastAsiaTheme="minorEastAsia" w:cs="Calibri"/>
                <w:color w:val="000000"/>
                <w:szCs w:val="17"/>
              </w:rPr>
              <w:t>Expenses from transactions</w:t>
            </w:r>
          </w:p>
        </w:tc>
        <w:tc>
          <w:tcPr>
            <w:tcW w:w="850" w:type="dxa"/>
            <w:tcBorders>
              <w:bottom w:val="single" w:sz="6" w:space="0" w:color="auto"/>
            </w:tcBorders>
          </w:tcPr>
          <w:p w14:paraId="45854D06"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9B15B8">
              <w:t>(138.9)</w:t>
            </w:r>
          </w:p>
        </w:tc>
        <w:tc>
          <w:tcPr>
            <w:tcW w:w="850" w:type="dxa"/>
            <w:tcBorders>
              <w:bottom w:val="single" w:sz="6" w:space="0" w:color="auto"/>
            </w:tcBorders>
          </w:tcPr>
          <w:p w14:paraId="25E8C6BC"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9B15B8">
              <w:t>(433.8)</w:t>
            </w:r>
          </w:p>
        </w:tc>
        <w:tc>
          <w:tcPr>
            <w:tcW w:w="850" w:type="dxa"/>
            <w:tcBorders>
              <w:bottom w:val="single" w:sz="6" w:space="0" w:color="auto"/>
            </w:tcBorders>
          </w:tcPr>
          <w:p w14:paraId="6E1CCED2"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9B15B8">
              <w:t>(489.5)</w:t>
            </w:r>
          </w:p>
        </w:tc>
        <w:tc>
          <w:tcPr>
            <w:tcW w:w="850" w:type="dxa"/>
            <w:tcBorders>
              <w:bottom w:val="single" w:sz="6" w:space="0" w:color="auto"/>
            </w:tcBorders>
          </w:tcPr>
          <w:p w14:paraId="623734CA"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9B15B8">
              <w:t>(472.9)</w:t>
            </w:r>
          </w:p>
        </w:tc>
      </w:tr>
      <w:tr w:rsidR="008D6F13" w:rsidRPr="003B6233" w14:paraId="61F37DDB" w14:textId="77777777" w:rsidTr="005B3D1D">
        <w:tc>
          <w:tcPr>
            <w:cnfStyle w:val="001000000000" w:firstRow="0" w:lastRow="0" w:firstColumn="1" w:lastColumn="0" w:oddVBand="0" w:evenVBand="0" w:oddHBand="0" w:evenHBand="0" w:firstRowFirstColumn="0" w:firstRowLastColumn="0" w:lastRowFirstColumn="0" w:lastRowLastColumn="0"/>
            <w:tcW w:w="4365" w:type="dxa"/>
            <w:tcBorders>
              <w:top w:val="single" w:sz="6" w:space="0" w:color="auto"/>
              <w:bottom w:val="single" w:sz="6" w:space="0" w:color="auto"/>
            </w:tcBorders>
          </w:tcPr>
          <w:p w14:paraId="0DDE534F" w14:textId="77777777" w:rsidR="008D6F13" w:rsidRPr="003B6233" w:rsidRDefault="008D6F13" w:rsidP="0031078F">
            <w:pPr>
              <w:keepLines w:val="0"/>
              <w:autoSpaceDE w:val="0"/>
              <w:autoSpaceDN w:val="0"/>
              <w:adjustRightInd w:val="0"/>
              <w:rPr>
                <w:rFonts w:eastAsiaTheme="minorEastAsia" w:cs="Calibri"/>
                <w:b/>
                <w:bCs/>
                <w:color w:val="000000"/>
                <w:szCs w:val="17"/>
              </w:rPr>
            </w:pPr>
            <w:r w:rsidRPr="003B6233">
              <w:rPr>
                <w:rFonts w:eastAsiaTheme="minorEastAsia" w:cs="Calibri"/>
                <w:b/>
                <w:bCs/>
                <w:color w:val="000000"/>
                <w:szCs w:val="17"/>
              </w:rPr>
              <w:t>Net result from transactions</w:t>
            </w:r>
          </w:p>
        </w:tc>
        <w:tc>
          <w:tcPr>
            <w:tcW w:w="850" w:type="dxa"/>
            <w:tcBorders>
              <w:top w:val="single" w:sz="6" w:space="0" w:color="auto"/>
              <w:bottom w:val="single" w:sz="6" w:space="0" w:color="auto"/>
            </w:tcBorders>
          </w:tcPr>
          <w:p w14:paraId="252EBEAA" w14:textId="77777777" w:rsidR="008D6F13" w:rsidRPr="00A22DB7"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A22DB7">
              <w:rPr>
                <w:b/>
                <w:bCs/>
              </w:rPr>
              <w:t>(132.1)</w:t>
            </w:r>
          </w:p>
        </w:tc>
        <w:tc>
          <w:tcPr>
            <w:tcW w:w="850" w:type="dxa"/>
            <w:tcBorders>
              <w:top w:val="single" w:sz="6" w:space="0" w:color="auto"/>
              <w:bottom w:val="single" w:sz="6" w:space="0" w:color="auto"/>
            </w:tcBorders>
          </w:tcPr>
          <w:p w14:paraId="0D5545BF" w14:textId="77777777" w:rsidR="008D6F13" w:rsidRPr="00A22DB7"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A22DB7">
              <w:rPr>
                <w:b/>
                <w:bCs/>
              </w:rPr>
              <w:t>(353.8)</w:t>
            </w:r>
          </w:p>
        </w:tc>
        <w:tc>
          <w:tcPr>
            <w:tcW w:w="850" w:type="dxa"/>
            <w:tcBorders>
              <w:top w:val="single" w:sz="6" w:space="0" w:color="auto"/>
              <w:bottom w:val="single" w:sz="6" w:space="0" w:color="auto"/>
            </w:tcBorders>
          </w:tcPr>
          <w:p w14:paraId="1B615687" w14:textId="77777777" w:rsidR="008D6F13" w:rsidRPr="00A22DB7"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A22DB7">
              <w:rPr>
                <w:b/>
                <w:bCs/>
              </w:rPr>
              <w:t>(326.7)</w:t>
            </w:r>
          </w:p>
        </w:tc>
        <w:tc>
          <w:tcPr>
            <w:tcW w:w="850" w:type="dxa"/>
            <w:tcBorders>
              <w:top w:val="single" w:sz="6" w:space="0" w:color="auto"/>
              <w:bottom w:val="single" w:sz="6" w:space="0" w:color="auto"/>
            </w:tcBorders>
          </w:tcPr>
          <w:p w14:paraId="00413DFB" w14:textId="77777777" w:rsidR="008D6F13" w:rsidRPr="00A22DB7"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A22DB7">
              <w:rPr>
                <w:b/>
                <w:bCs/>
              </w:rPr>
              <w:t>(329.8)</w:t>
            </w:r>
          </w:p>
        </w:tc>
      </w:tr>
      <w:tr w:rsidR="008D6F13" w:rsidRPr="003B6233" w14:paraId="556BC93F" w14:textId="77777777" w:rsidTr="005B3D1D">
        <w:tc>
          <w:tcPr>
            <w:cnfStyle w:val="001000000000" w:firstRow="0" w:lastRow="0" w:firstColumn="1" w:lastColumn="0" w:oddVBand="0" w:evenVBand="0" w:oddHBand="0" w:evenHBand="0" w:firstRowFirstColumn="0" w:firstRowLastColumn="0" w:lastRowFirstColumn="0" w:lastRowLastColumn="0"/>
            <w:tcW w:w="4365" w:type="dxa"/>
            <w:tcBorders>
              <w:top w:val="single" w:sz="6" w:space="0" w:color="auto"/>
              <w:bottom w:val="single" w:sz="6" w:space="0" w:color="auto"/>
            </w:tcBorders>
          </w:tcPr>
          <w:p w14:paraId="553012D3" w14:textId="77777777" w:rsidR="008D6F13" w:rsidRPr="003B6233" w:rsidRDefault="008D6F13" w:rsidP="0031078F">
            <w:pPr>
              <w:keepLines w:val="0"/>
              <w:autoSpaceDE w:val="0"/>
              <w:autoSpaceDN w:val="0"/>
              <w:adjustRightInd w:val="0"/>
              <w:rPr>
                <w:rFonts w:eastAsiaTheme="minorEastAsia" w:cs="Calibri"/>
                <w:color w:val="000000"/>
                <w:szCs w:val="17"/>
              </w:rPr>
            </w:pPr>
            <w:r w:rsidRPr="003B6233">
              <w:rPr>
                <w:rFonts w:eastAsiaTheme="minorEastAsia" w:cs="Calibri"/>
                <w:color w:val="000000"/>
                <w:szCs w:val="17"/>
              </w:rPr>
              <w:t>Other economic flows</w:t>
            </w:r>
          </w:p>
        </w:tc>
        <w:tc>
          <w:tcPr>
            <w:tcW w:w="850" w:type="dxa"/>
            <w:tcBorders>
              <w:top w:val="single" w:sz="6" w:space="0" w:color="auto"/>
              <w:bottom w:val="single" w:sz="6" w:space="0" w:color="auto"/>
            </w:tcBorders>
          </w:tcPr>
          <w:p w14:paraId="304F0FD4"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2D5D91">
              <w:t>(1.7)</w:t>
            </w:r>
          </w:p>
        </w:tc>
        <w:tc>
          <w:tcPr>
            <w:tcW w:w="850" w:type="dxa"/>
            <w:tcBorders>
              <w:top w:val="single" w:sz="6" w:space="0" w:color="auto"/>
              <w:bottom w:val="single" w:sz="6" w:space="0" w:color="auto"/>
            </w:tcBorders>
          </w:tcPr>
          <w:p w14:paraId="641F166C"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2D5D91">
              <w:t>(11.5)</w:t>
            </w:r>
          </w:p>
        </w:tc>
        <w:tc>
          <w:tcPr>
            <w:tcW w:w="850" w:type="dxa"/>
            <w:tcBorders>
              <w:top w:val="single" w:sz="6" w:space="0" w:color="auto"/>
              <w:bottom w:val="single" w:sz="6" w:space="0" w:color="auto"/>
            </w:tcBorders>
          </w:tcPr>
          <w:p w14:paraId="17AC2858"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2D5D91">
              <w:t>(9.0)</w:t>
            </w:r>
          </w:p>
        </w:tc>
        <w:tc>
          <w:tcPr>
            <w:tcW w:w="850" w:type="dxa"/>
            <w:tcBorders>
              <w:top w:val="single" w:sz="6" w:space="0" w:color="auto"/>
              <w:bottom w:val="single" w:sz="6" w:space="0" w:color="auto"/>
            </w:tcBorders>
          </w:tcPr>
          <w:p w14:paraId="42947C27"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2D5D91">
              <w:t>(6.9)</w:t>
            </w:r>
          </w:p>
        </w:tc>
      </w:tr>
      <w:tr w:rsidR="008D6F13" w:rsidRPr="003B6233" w14:paraId="7AECCD9B" w14:textId="77777777" w:rsidTr="005B3D1D">
        <w:tc>
          <w:tcPr>
            <w:cnfStyle w:val="001000000000" w:firstRow="0" w:lastRow="0" w:firstColumn="1" w:lastColumn="0" w:oddVBand="0" w:evenVBand="0" w:oddHBand="0" w:evenHBand="0" w:firstRowFirstColumn="0" w:firstRowLastColumn="0" w:lastRowFirstColumn="0" w:lastRowLastColumn="0"/>
            <w:tcW w:w="4365" w:type="dxa"/>
            <w:tcBorders>
              <w:top w:val="single" w:sz="6" w:space="0" w:color="auto"/>
              <w:bottom w:val="single" w:sz="6" w:space="0" w:color="auto"/>
            </w:tcBorders>
          </w:tcPr>
          <w:p w14:paraId="23145100" w14:textId="77777777" w:rsidR="008D6F13" w:rsidRPr="003B6233" w:rsidRDefault="008D6F13" w:rsidP="0031078F">
            <w:pPr>
              <w:keepLines w:val="0"/>
              <w:autoSpaceDE w:val="0"/>
              <w:autoSpaceDN w:val="0"/>
              <w:adjustRightInd w:val="0"/>
              <w:rPr>
                <w:rFonts w:eastAsiaTheme="minorEastAsia" w:cs="Calibri"/>
                <w:b/>
                <w:bCs/>
                <w:color w:val="000000"/>
                <w:szCs w:val="17"/>
              </w:rPr>
            </w:pPr>
            <w:r w:rsidRPr="003B6233">
              <w:rPr>
                <w:rFonts w:eastAsiaTheme="minorEastAsia" w:cs="Calibri"/>
                <w:b/>
                <w:bCs/>
                <w:color w:val="000000"/>
                <w:szCs w:val="17"/>
              </w:rPr>
              <w:t>Net result</w:t>
            </w:r>
          </w:p>
        </w:tc>
        <w:tc>
          <w:tcPr>
            <w:tcW w:w="850" w:type="dxa"/>
            <w:tcBorders>
              <w:top w:val="single" w:sz="6" w:space="0" w:color="auto"/>
              <w:bottom w:val="single" w:sz="6" w:space="0" w:color="auto"/>
            </w:tcBorders>
          </w:tcPr>
          <w:p w14:paraId="5D74420B" w14:textId="77777777" w:rsidR="008D6F13" w:rsidRPr="00A22DB7"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A22DB7">
              <w:rPr>
                <w:b/>
                <w:bCs/>
              </w:rPr>
              <w:t>(133.8)</w:t>
            </w:r>
          </w:p>
        </w:tc>
        <w:tc>
          <w:tcPr>
            <w:tcW w:w="850" w:type="dxa"/>
            <w:tcBorders>
              <w:top w:val="single" w:sz="6" w:space="0" w:color="auto"/>
              <w:bottom w:val="single" w:sz="6" w:space="0" w:color="auto"/>
            </w:tcBorders>
          </w:tcPr>
          <w:p w14:paraId="5016800E" w14:textId="77777777" w:rsidR="008D6F13" w:rsidRPr="00A22DB7"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A22DB7">
              <w:rPr>
                <w:b/>
                <w:bCs/>
              </w:rPr>
              <w:t>(365.3)</w:t>
            </w:r>
          </w:p>
        </w:tc>
        <w:tc>
          <w:tcPr>
            <w:tcW w:w="850" w:type="dxa"/>
            <w:tcBorders>
              <w:top w:val="single" w:sz="6" w:space="0" w:color="auto"/>
              <w:bottom w:val="single" w:sz="6" w:space="0" w:color="auto"/>
            </w:tcBorders>
          </w:tcPr>
          <w:p w14:paraId="0A3B6DAF" w14:textId="77777777" w:rsidR="008D6F13" w:rsidRPr="00A22DB7"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A22DB7">
              <w:rPr>
                <w:b/>
                <w:bCs/>
              </w:rPr>
              <w:t>(335.7)</w:t>
            </w:r>
          </w:p>
        </w:tc>
        <w:tc>
          <w:tcPr>
            <w:tcW w:w="850" w:type="dxa"/>
            <w:tcBorders>
              <w:top w:val="single" w:sz="6" w:space="0" w:color="auto"/>
              <w:bottom w:val="single" w:sz="6" w:space="0" w:color="auto"/>
            </w:tcBorders>
          </w:tcPr>
          <w:p w14:paraId="24EB88D3" w14:textId="77777777" w:rsidR="008D6F13" w:rsidRPr="00A22DB7"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A22DB7">
              <w:rPr>
                <w:b/>
                <w:bCs/>
              </w:rPr>
              <w:t>(336.7)</w:t>
            </w:r>
          </w:p>
        </w:tc>
      </w:tr>
      <w:tr w:rsidR="008D6F13" w:rsidRPr="003B6233" w14:paraId="11A8BC3D" w14:textId="77777777" w:rsidTr="005B3D1D">
        <w:tc>
          <w:tcPr>
            <w:cnfStyle w:val="001000000000" w:firstRow="0" w:lastRow="0" w:firstColumn="1" w:lastColumn="0" w:oddVBand="0" w:evenVBand="0" w:oddHBand="0" w:evenHBand="0" w:firstRowFirstColumn="0" w:firstRowLastColumn="0" w:lastRowFirstColumn="0" w:lastRowLastColumn="0"/>
            <w:tcW w:w="4365" w:type="dxa"/>
            <w:tcBorders>
              <w:top w:val="single" w:sz="6" w:space="0" w:color="auto"/>
            </w:tcBorders>
          </w:tcPr>
          <w:p w14:paraId="6998B408" w14:textId="77777777" w:rsidR="008D6F13" w:rsidRPr="004B4350" w:rsidRDefault="008D6F13" w:rsidP="0031078F">
            <w:pPr>
              <w:keepLines w:val="0"/>
              <w:autoSpaceDE w:val="0"/>
              <w:autoSpaceDN w:val="0"/>
              <w:adjustRightInd w:val="0"/>
              <w:rPr>
                <w:rFonts w:eastAsiaTheme="minorEastAsia" w:cs="Calibri"/>
                <w:b/>
                <w:bCs/>
                <w:color w:val="000000"/>
                <w:szCs w:val="17"/>
              </w:rPr>
            </w:pPr>
            <w:r w:rsidRPr="004B4350">
              <w:rPr>
                <w:rFonts w:eastAsiaTheme="minorEastAsia" w:cs="Calibri"/>
                <w:b/>
                <w:bCs/>
                <w:color w:val="000000"/>
                <w:szCs w:val="17"/>
              </w:rPr>
              <w:t>Net debt (cumulative)</w:t>
            </w:r>
          </w:p>
        </w:tc>
        <w:tc>
          <w:tcPr>
            <w:tcW w:w="850" w:type="dxa"/>
            <w:tcBorders>
              <w:top w:val="single" w:sz="6" w:space="0" w:color="auto"/>
            </w:tcBorders>
          </w:tcPr>
          <w:p w14:paraId="223F9982" w14:textId="77777777" w:rsidR="008D6F13" w:rsidRPr="00A22DB7"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A22DB7">
              <w:rPr>
                <w:b/>
                <w:bCs/>
              </w:rPr>
              <w:t>133.8</w:t>
            </w:r>
          </w:p>
        </w:tc>
        <w:tc>
          <w:tcPr>
            <w:tcW w:w="850" w:type="dxa"/>
            <w:tcBorders>
              <w:top w:val="single" w:sz="6" w:space="0" w:color="auto"/>
            </w:tcBorders>
          </w:tcPr>
          <w:p w14:paraId="7CF0DAB4" w14:textId="77777777" w:rsidR="008D6F13" w:rsidRPr="00A22DB7"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A22DB7">
              <w:rPr>
                <w:b/>
                <w:bCs/>
              </w:rPr>
              <w:t>500.1</w:t>
            </w:r>
          </w:p>
        </w:tc>
        <w:tc>
          <w:tcPr>
            <w:tcW w:w="850" w:type="dxa"/>
            <w:tcBorders>
              <w:top w:val="single" w:sz="6" w:space="0" w:color="auto"/>
            </w:tcBorders>
          </w:tcPr>
          <w:p w14:paraId="3F031A5C" w14:textId="77777777" w:rsidR="008D6F13" w:rsidRPr="00A22DB7"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A22DB7">
              <w:rPr>
                <w:b/>
                <w:bCs/>
              </w:rPr>
              <w:t>836.8</w:t>
            </w:r>
          </w:p>
        </w:tc>
        <w:tc>
          <w:tcPr>
            <w:tcW w:w="850" w:type="dxa"/>
            <w:tcBorders>
              <w:top w:val="single" w:sz="6" w:space="0" w:color="auto"/>
            </w:tcBorders>
          </w:tcPr>
          <w:p w14:paraId="751715B5" w14:textId="77777777" w:rsidR="008D6F13" w:rsidRPr="00A22DB7"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A22DB7">
              <w:rPr>
                <w:b/>
                <w:bCs/>
              </w:rPr>
              <w:t>1174.6</w:t>
            </w:r>
          </w:p>
        </w:tc>
      </w:tr>
      <w:tr w:rsidR="008D6F13" w:rsidRPr="00EF3B82" w14:paraId="3342A671" w14:textId="77777777" w:rsidTr="005B3D1D">
        <w:tc>
          <w:tcPr>
            <w:cnfStyle w:val="001000000000" w:firstRow="0" w:lastRow="0" w:firstColumn="1" w:lastColumn="0" w:oddVBand="0" w:evenVBand="0" w:oddHBand="0" w:evenHBand="0" w:firstRowFirstColumn="0" w:firstRowLastColumn="0" w:lastRowFirstColumn="0" w:lastRowLastColumn="0"/>
            <w:tcW w:w="4365" w:type="dxa"/>
          </w:tcPr>
          <w:p w14:paraId="114A30D4" w14:textId="77777777" w:rsidR="008D6F13" w:rsidRPr="00EF3B82" w:rsidRDefault="008D6F13" w:rsidP="0031078F">
            <w:pPr>
              <w:keepLines w:val="0"/>
              <w:autoSpaceDE w:val="0"/>
              <w:autoSpaceDN w:val="0"/>
              <w:adjustRightInd w:val="0"/>
              <w:rPr>
                <w:rFonts w:eastAsiaTheme="minorEastAsia" w:cs="Calibri"/>
                <w:b/>
                <w:color w:val="000000"/>
                <w:szCs w:val="17"/>
              </w:rPr>
            </w:pPr>
            <w:r w:rsidRPr="00EF3B82">
              <w:rPr>
                <w:rFonts w:eastAsiaTheme="minorEastAsia" w:cs="Calibri"/>
                <w:b/>
                <w:color w:val="000000"/>
                <w:szCs w:val="17"/>
              </w:rPr>
              <w:t>Net debt to GSP ratio (percentage point difference)</w:t>
            </w:r>
          </w:p>
        </w:tc>
        <w:tc>
          <w:tcPr>
            <w:tcW w:w="850" w:type="dxa"/>
          </w:tcPr>
          <w:p w14:paraId="663FDF20" w14:textId="77777777" w:rsidR="008D6F13" w:rsidRPr="00A22DB7"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A22DB7">
              <w:rPr>
                <w:b/>
                <w:bCs/>
              </w:rPr>
              <w:t>0.03</w:t>
            </w:r>
          </w:p>
        </w:tc>
        <w:tc>
          <w:tcPr>
            <w:tcW w:w="850" w:type="dxa"/>
          </w:tcPr>
          <w:p w14:paraId="3B5FAB9D" w14:textId="77777777" w:rsidR="008D6F13" w:rsidRPr="00A22DB7"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A22DB7">
              <w:rPr>
                <w:b/>
                <w:bCs/>
              </w:rPr>
              <w:t>0.09</w:t>
            </w:r>
          </w:p>
        </w:tc>
        <w:tc>
          <w:tcPr>
            <w:tcW w:w="850" w:type="dxa"/>
          </w:tcPr>
          <w:p w14:paraId="60476978" w14:textId="77777777" w:rsidR="008D6F13" w:rsidRPr="00A22DB7"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A22DB7">
              <w:rPr>
                <w:b/>
                <w:bCs/>
              </w:rPr>
              <w:t>0.15</w:t>
            </w:r>
          </w:p>
        </w:tc>
        <w:tc>
          <w:tcPr>
            <w:tcW w:w="850" w:type="dxa"/>
          </w:tcPr>
          <w:p w14:paraId="2EA60CB7" w14:textId="77777777" w:rsidR="008D6F13" w:rsidRPr="00A22DB7"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A22DB7">
              <w:rPr>
                <w:b/>
                <w:bCs/>
              </w:rPr>
              <w:t>0.20</w:t>
            </w:r>
          </w:p>
        </w:tc>
      </w:tr>
    </w:tbl>
    <w:p w14:paraId="692F73AB" w14:textId="77777777" w:rsidR="005B3D1D" w:rsidRDefault="008D6F13" w:rsidP="008D6F13">
      <w:pPr>
        <w:pStyle w:val="Note"/>
      </w:pPr>
      <w:r w:rsidRPr="00134665">
        <w:t xml:space="preserve">Note: </w:t>
      </w:r>
    </w:p>
    <w:p w14:paraId="1EF80E5A" w14:textId="75C6DD94" w:rsidR="008D6F13" w:rsidRDefault="008D6F13" w:rsidP="008D6F13">
      <w:pPr>
        <w:pStyle w:val="Note"/>
      </w:pPr>
      <w:r w:rsidRPr="00134665">
        <w:t>(a)</w:t>
      </w:r>
      <w:r w:rsidRPr="00134665">
        <w:tab/>
        <w:t xml:space="preserve">Figures </w:t>
      </w:r>
      <w:r>
        <w:t>may not add due to rounding.</w:t>
      </w:r>
    </w:p>
    <w:p w14:paraId="2D4B493F" w14:textId="77777777" w:rsidR="008D6F13" w:rsidRPr="00CE6BD7" w:rsidRDefault="008D6F13" w:rsidP="008D6F13">
      <w:pPr>
        <w:pStyle w:val="Heading10"/>
      </w:pPr>
      <w:bookmarkStart w:id="234" w:name="_Toc9436042"/>
      <w:bookmarkStart w:id="235" w:name="_Toc89418984"/>
      <w:bookmarkStart w:id="236" w:name="_Toc89419208"/>
      <w:bookmarkStart w:id="237" w:name="_Toc89420166"/>
      <w:bookmarkStart w:id="238" w:name="_Toc89423406"/>
      <w:bookmarkStart w:id="239" w:name="_Toc89423615"/>
      <w:bookmarkEnd w:id="233"/>
      <w:r w:rsidRPr="00BB71B2">
        <w:lastRenderedPageBreak/>
        <w:t xml:space="preserve">Sensitivity to independent variations in major economic </w:t>
      </w:r>
      <w:r w:rsidRPr="00CE6BD7">
        <w:t>parameters</w:t>
      </w:r>
      <w:bookmarkEnd w:id="234"/>
      <w:bookmarkEnd w:id="235"/>
      <w:bookmarkEnd w:id="236"/>
      <w:bookmarkEnd w:id="237"/>
      <w:bookmarkEnd w:id="238"/>
      <w:bookmarkEnd w:id="239"/>
    </w:p>
    <w:p w14:paraId="3C45B25B" w14:textId="77777777" w:rsidR="008D6F13" w:rsidRPr="00C5167F" w:rsidRDefault="008D6F13" w:rsidP="008D6F13">
      <w:pPr>
        <w:ind w:right="-227"/>
        <w:rPr>
          <w:color w:val="000000" w:themeColor="text1"/>
        </w:rPr>
      </w:pPr>
      <w:r w:rsidRPr="00C5167F">
        <w:rPr>
          <w:color w:val="000000" w:themeColor="text1"/>
        </w:rPr>
        <w:t xml:space="preserve">Table D.3 presents the sensitivity of financial aggregates where the levels of key economic parameters are 1 per cent (or, for interest rates, 1 percentage point) above the forecast for each year of the budget and forward estimates, holding all else constant. </w:t>
      </w:r>
    </w:p>
    <w:p w14:paraId="58D816F0" w14:textId="77777777" w:rsidR="008D6F13" w:rsidRDefault="008D6F13" w:rsidP="008D6F13">
      <w:pPr>
        <w:ind w:right="-227"/>
        <w:rPr>
          <w:color w:val="000000" w:themeColor="text1"/>
        </w:rPr>
      </w:pPr>
      <w:r w:rsidRPr="00C5167F">
        <w:rPr>
          <w:color w:val="000000" w:themeColor="text1"/>
        </w:rPr>
        <w:t>The impacts shown are broadly symmetric; that is, the estimated fiscal impacts would apply approximately equally in the opposite direction where there is a decrease in the parameter. Differences may arise to the extent that the impact on income tax equivalent income may not be symmetric becaus</w:t>
      </w:r>
      <w:r w:rsidRPr="00D50DBF">
        <w:rPr>
          <w:color w:val="000000" w:themeColor="text1"/>
        </w:rPr>
        <w:t xml:space="preserve">e that line item is subject to a floor of zero, and the impact on dividends may be affected by some entities facing caps on the share of profits that can be returned to the general government sector. </w:t>
      </w:r>
    </w:p>
    <w:p w14:paraId="74F4D2C5" w14:textId="77777777" w:rsidR="008D6F13" w:rsidRPr="00781757" w:rsidRDefault="008D6F13" w:rsidP="008D6F13">
      <w:pPr>
        <w:pStyle w:val="TableHeading"/>
      </w:pPr>
      <w:r>
        <w:t>Table D</w:t>
      </w:r>
      <w:r w:rsidRPr="00781757">
        <w:t>.</w:t>
      </w:r>
      <w:r>
        <w:t>3</w:t>
      </w:r>
      <w:r w:rsidRPr="00781757">
        <w:t>:</w:t>
      </w:r>
      <w:r w:rsidRPr="00781757">
        <w:tab/>
        <w:t>Sensitivity of key fiscal aggregates to selected indicators being</w:t>
      </w:r>
      <w:r w:rsidRPr="00781757">
        <w:br/>
        <w:t>1</w:t>
      </w:r>
      <w:r>
        <w:t> per cent</w:t>
      </w:r>
      <w:r w:rsidRPr="00781757">
        <w:t xml:space="preserve"> higher than expected from 20</w:t>
      </w:r>
      <w:r>
        <w:t>21</w:t>
      </w:r>
      <w:r w:rsidRPr="00781757">
        <w:t>-2</w:t>
      </w:r>
      <w:r>
        <w:t>2</w:t>
      </w:r>
      <w:r w:rsidRPr="00781757">
        <w:rPr>
          <w:vertAlign w:val="superscript"/>
        </w:rPr>
        <w:t xml:space="preserve"> (a)(b)(c)(d)</w:t>
      </w:r>
      <w:r>
        <w:rPr>
          <w:vertAlign w:val="superscript"/>
        </w:rPr>
        <w:t>(e)</w:t>
      </w:r>
      <w:r w:rsidRPr="00781757">
        <w:rPr>
          <w:vertAlign w:val="superscript"/>
        </w:rPr>
        <w:t xml:space="preserve"> </w:t>
      </w:r>
      <w:r w:rsidRPr="00781757">
        <w:rPr>
          <w:vertAlign w:val="superscript"/>
        </w:rPr>
        <w:tab/>
      </w:r>
      <w:r w:rsidRPr="00781757">
        <w:t>($</w:t>
      </w:r>
      <w:r>
        <w:t> million</w:t>
      </w:r>
      <w:r w:rsidRPr="00781757">
        <w:t>)</w:t>
      </w:r>
    </w:p>
    <w:tbl>
      <w:tblPr>
        <w:tblStyle w:val="DTFTable"/>
        <w:tblW w:w="7711" w:type="dxa"/>
        <w:tblLayout w:type="fixed"/>
        <w:tblLook w:val="06E0" w:firstRow="1" w:lastRow="1" w:firstColumn="1" w:lastColumn="0" w:noHBand="1" w:noVBand="1"/>
      </w:tblPr>
      <w:tblGrid>
        <w:gridCol w:w="4333"/>
        <w:gridCol w:w="844"/>
        <w:gridCol w:w="844"/>
        <w:gridCol w:w="845"/>
        <w:gridCol w:w="845"/>
      </w:tblGrid>
      <w:tr w:rsidR="008D6F13" w:rsidRPr="00781757" w14:paraId="2FF387AC" w14:textId="77777777" w:rsidTr="00A512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33" w:type="dxa"/>
          </w:tcPr>
          <w:p w14:paraId="6F46CABF" w14:textId="77777777" w:rsidR="008D6F13" w:rsidRPr="00781757" w:rsidRDefault="008D6F13" w:rsidP="0031078F">
            <w:pPr>
              <w:keepLines w:val="0"/>
              <w:autoSpaceDE w:val="0"/>
              <w:autoSpaceDN w:val="0"/>
              <w:adjustRightInd w:val="0"/>
              <w:ind w:left="0" w:firstLine="0"/>
              <w:rPr>
                <w:szCs w:val="17"/>
              </w:rPr>
            </w:pPr>
          </w:p>
        </w:tc>
        <w:tc>
          <w:tcPr>
            <w:tcW w:w="844" w:type="dxa"/>
          </w:tcPr>
          <w:p w14:paraId="09DCF2E8" w14:textId="77777777" w:rsidR="008D6F13" w:rsidRPr="00781757" w:rsidRDefault="008D6F13" w:rsidP="0031078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szCs w:val="17"/>
                <w:lang w:eastAsia="en-AU"/>
              </w:rPr>
            </w:pPr>
            <w:r w:rsidRPr="00781757">
              <w:rPr>
                <w:rFonts w:eastAsiaTheme="minorEastAsia" w:cs="Calibri"/>
                <w:iCs/>
                <w:szCs w:val="17"/>
                <w:lang w:eastAsia="en-AU"/>
              </w:rPr>
              <w:t>20</w:t>
            </w:r>
            <w:r>
              <w:rPr>
                <w:rFonts w:eastAsiaTheme="minorEastAsia" w:cs="Calibri"/>
                <w:iCs/>
                <w:szCs w:val="17"/>
                <w:lang w:eastAsia="en-AU"/>
              </w:rPr>
              <w:t>21</w:t>
            </w:r>
            <w:r w:rsidRPr="00781757">
              <w:rPr>
                <w:rFonts w:eastAsiaTheme="minorEastAsia" w:cs="Calibri"/>
                <w:iCs/>
                <w:szCs w:val="17"/>
                <w:lang w:eastAsia="en-AU"/>
              </w:rPr>
              <w:t>-2</w:t>
            </w:r>
            <w:r>
              <w:rPr>
                <w:rFonts w:eastAsiaTheme="minorEastAsia" w:cs="Calibri"/>
                <w:iCs/>
                <w:szCs w:val="17"/>
                <w:lang w:eastAsia="en-AU"/>
              </w:rPr>
              <w:t>2</w:t>
            </w:r>
          </w:p>
        </w:tc>
        <w:tc>
          <w:tcPr>
            <w:tcW w:w="844" w:type="dxa"/>
          </w:tcPr>
          <w:p w14:paraId="7C5F68F2" w14:textId="77777777" w:rsidR="008D6F13" w:rsidRPr="00781757" w:rsidRDefault="008D6F13" w:rsidP="0031078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szCs w:val="17"/>
                <w:lang w:eastAsia="en-AU"/>
              </w:rPr>
            </w:pPr>
            <w:r w:rsidRPr="00781757">
              <w:rPr>
                <w:rFonts w:eastAsiaTheme="minorEastAsia" w:cs="Calibri"/>
                <w:iCs/>
                <w:szCs w:val="17"/>
                <w:lang w:eastAsia="en-AU"/>
              </w:rPr>
              <w:t>202</w:t>
            </w:r>
            <w:r>
              <w:rPr>
                <w:rFonts w:eastAsiaTheme="minorEastAsia" w:cs="Calibri"/>
                <w:iCs/>
                <w:szCs w:val="17"/>
                <w:lang w:eastAsia="en-AU"/>
              </w:rPr>
              <w:t>2</w:t>
            </w:r>
            <w:r w:rsidRPr="00781757">
              <w:rPr>
                <w:rFonts w:eastAsiaTheme="minorEastAsia" w:cs="Calibri"/>
                <w:iCs/>
                <w:szCs w:val="17"/>
                <w:lang w:eastAsia="en-AU"/>
              </w:rPr>
              <w:t>-2</w:t>
            </w:r>
            <w:r>
              <w:rPr>
                <w:rFonts w:eastAsiaTheme="minorEastAsia" w:cs="Calibri"/>
                <w:iCs/>
                <w:szCs w:val="17"/>
                <w:lang w:eastAsia="en-AU"/>
              </w:rPr>
              <w:t>3</w:t>
            </w:r>
          </w:p>
        </w:tc>
        <w:tc>
          <w:tcPr>
            <w:tcW w:w="845" w:type="dxa"/>
          </w:tcPr>
          <w:p w14:paraId="734A14BB" w14:textId="77777777" w:rsidR="008D6F13" w:rsidRPr="00781757" w:rsidRDefault="008D6F13" w:rsidP="0031078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szCs w:val="17"/>
                <w:lang w:eastAsia="en-AU"/>
              </w:rPr>
            </w:pPr>
            <w:r w:rsidRPr="00781757">
              <w:rPr>
                <w:rFonts w:eastAsiaTheme="minorEastAsia" w:cs="Calibri"/>
                <w:iCs/>
                <w:szCs w:val="17"/>
                <w:lang w:eastAsia="en-AU"/>
              </w:rPr>
              <w:t>202</w:t>
            </w:r>
            <w:r>
              <w:rPr>
                <w:rFonts w:eastAsiaTheme="minorEastAsia" w:cs="Calibri"/>
                <w:iCs/>
                <w:szCs w:val="17"/>
                <w:lang w:eastAsia="en-AU"/>
              </w:rPr>
              <w:t>3</w:t>
            </w:r>
            <w:r w:rsidRPr="00781757">
              <w:rPr>
                <w:rFonts w:eastAsiaTheme="minorEastAsia" w:cs="Calibri"/>
                <w:iCs/>
                <w:szCs w:val="17"/>
                <w:lang w:eastAsia="en-AU"/>
              </w:rPr>
              <w:t>-2</w:t>
            </w:r>
            <w:r>
              <w:rPr>
                <w:rFonts w:eastAsiaTheme="minorEastAsia" w:cs="Calibri"/>
                <w:iCs/>
                <w:szCs w:val="17"/>
                <w:lang w:eastAsia="en-AU"/>
              </w:rPr>
              <w:t>4</w:t>
            </w:r>
          </w:p>
        </w:tc>
        <w:tc>
          <w:tcPr>
            <w:tcW w:w="845" w:type="dxa"/>
          </w:tcPr>
          <w:p w14:paraId="7C0A3DD8" w14:textId="77777777" w:rsidR="008D6F13" w:rsidRPr="00781757" w:rsidRDefault="008D6F13" w:rsidP="0031078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szCs w:val="17"/>
                <w:lang w:eastAsia="en-AU"/>
              </w:rPr>
            </w:pPr>
            <w:r w:rsidRPr="00781757">
              <w:rPr>
                <w:rFonts w:eastAsiaTheme="minorEastAsia" w:cs="Calibri"/>
                <w:iCs/>
                <w:szCs w:val="17"/>
                <w:lang w:eastAsia="en-AU"/>
              </w:rPr>
              <w:t>202</w:t>
            </w:r>
            <w:r>
              <w:rPr>
                <w:rFonts w:eastAsiaTheme="minorEastAsia" w:cs="Calibri"/>
                <w:iCs/>
                <w:szCs w:val="17"/>
                <w:lang w:eastAsia="en-AU"/>
              </w:rPr>
              <w:t>4</w:t>
            </w:r>
            <w:r w:rsidRPr="00781757">
              <w:rPr>
                <w:rFonts w:eastAsiaTheme="minorEastAsia" w:cs="Calibri"/>
                <w:iCs/>
                <w:szCs w:val="17"/>
                <w:lang w:eastAsia="en-AU"/>
              </w:rPr>
              <w:t>-2</w:t>
            </w:r>
            <w:r>
              <w:rPr>
                <w:rFonts w:eastAsiaTheme="minorEastAsia" w:cs="Calibri"/>
                <w:iCs/>
                <w:szCs w:val="17"/>
                <w:lang w:eastAsia="en-AU"/>
              </w:rPr>
              <w:t>5</w:t>
            </w:r>
          </w:p>
        </w:tc>
      </w:tr>
      <w:tr w:rsidR="008D6F13" w:rsidRPr="00781757" w14:paraId="0D994AF4" w14:textId="77777777" w:rsidTr="00A512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33" w:type="dxa"/>
          </w:tcPr>
          <w:p w14:paraId="2CA8A33C" w14:textId="77777777" w:rsidR="008D6F13" w:rsidRPr="00781757" w:rsidRDefault="008D6F13" w:rsidP="0031078F">
            <w:pPr>
              <w:keepLines w:val="0"/>
              <w:autoSpaceDE w:val="0"/>
              <w:autoSpaceDN w:val="0"/>
              <w:adjustRightInd w:val="0"/>
              <w:rPr>
                <w:rFonts w:eastAsiaTheme="minorEastAsia" w:cs="Calibri"/>
                <w:szCs w:val="17"/>
                <w:lang w:eastAsia="en-AU"/>
              </w:rPr>
            </w:pPr>
            <w:r w:rsidRPr="00781757">
              <w:rPr>
                <w:rFonts w:eastAsiaTheme="minorEastAsia" w:cs="Calibri"/>
                <w:szCs w:val="17"/>
                <w:lang w:eastAsia="en-AU"/>
              </w:rPr>
              <w:t xml:space="preserve"> </w:t>
            </w:r>
          </w:p>
        </w:tc>
        <w:tc>
          <w:tcPr>
            <w:tcW w:w="844" w:type="dxa"/>
          </w:tcPr>
          <w:p w14:paraId="5C8AEECA" w14:textId="09BC34A2" w:rsidR="008D6F13" w:rsidRPr="00781757" w:rsidRDefault="005B3D1D" w:rsidP="0031078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szCs w:val="17"/>
                <w:lang w:eastAsia="en-AU"/>
              </w:rPr>
            </w:pPr>
            <w:r w:rsidRPr="00781757">
              <w:rPr>
                <w:rFonts w:eastAsiaTheme="minorEastAsia" w:cs="Calibri"/>
                <w:iCs/>
                <w:szCs w:val="17"/>
                <w:lang w:eastAsia="en-AU"/>
              </w:rPr>
              <w:t>estimate</w:t>
            </w:r>
          </w:p>
        </w:tc>
        <w:tc>
          <w:tcPr>
            <w:tcW w:w="844" w:type="dxa"/>
          </w:tcPr>
          <w:p w14:paraId="58F7ABD9" w14:textId="56F857C2" w:rsidR="008D6F13" w:rsidRPr="00781757" w:rsidRDefault="005B3D1D" w:rsidP="0031078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szCs w:val="17"/>
                <w:lang w:eastAsia="en-AU"/>
              </w:rPr>
            </w:pPr>
            <w:r w:rsidRPr="00781757">
              <w:rPr>
                <w:rFonts w:eastAsiaTheme="minorEastAsia" w:cs="Calibri"/>
                <w:iCs/>
                <w:szCs w:val="17"/>
                <w:lang w:eastAsia="en-AU"/>
              </w:rPr>
              <w:t>estimate</w:t>
            </w:r>
          </w:p>
        </w:tc>
        <w:tc>
          <w:tcPr>
            <w:tcW w:w="845" w:type="dxa"/>
          </w:tcPr>
          <w:p w14:paraId="30889653" w14:textId="3C37043D" w:rsidR="008D6F13" w:rsidRPr="00781757" w:rsidRDefault="005B3D1D" w:rsidP="0031078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szCs w:val="17"/>
                <w:lang w:eastAsia="en-AU"/>
              </w:rPr>
            </w:pPr>
            <w:r w:rsidRPr="00781757">
              <w:rPr>
                <w:rFonts w:eastAsiaTheme="minorEastAsia" w:cs="Calibri"/>
                <w:iCs/>
                <w:szCs w:val="17"/>
                <w:lang w:eastAsia="en-AU"/>
              </w:rPr>
              <w:t>estimate</w:t>
            </w:r>
          </w:p>
        </w:tc>
        <w:tc>
          <w:tcPr>
            <w:tcW w:w="845" w:type="dxa"/>
          </w:tcPr>
          <w:p w14:paraId="02FBB69D" w14:textId="139721B2" w:rsidR="008D6F13" w:rsidRPr="00781757" w:rsidRDefault="005B3D1D" w:rsidP="0031078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szCs w:val="17"/>
                <w:lang w:eastAsia="en-AU"/>
              </w:rPr>
            </w:pPr>
            <w:r w:rsidRPr="00781757">
              <w:rPr>
                <w:rFonts w:eastAsiaTheme="minorEastAsia" w:cs="Calibri"/>
                <w:iCs/>
                <w:szCs w:val="17"/>
                <w:lang w:eastAsia="en-AU"/>
              </w:rPr>
              <w:t>estimate</w:t>
            </w:r>
          </w:p>
        </w:tc>
      </w:tr>
      <w:tr w:rsidR="008D6F13" w:rsidRPr="00781757" w14:paraId="64FC875D" w14:textId="77777777" w:rsidTr="00A51211">
        <w:tc>
          <w:tcPr>
            <w:cnfStyle w:val="001000000000" w:firstRow="0" w:lastRow="0" w:firstColumn="1" w:lastColumn="0" w:oddVBand="0" w:evenVBand="0" w:oddHBand="0" w:evenHBand="0" w:firstRowFirstColumn="0" w:firstRowLastColumn="0" w:lastRowFirstColumn="0" w:lastRowLastColumn="0"/>
            <w:tcW w:w="4333" w:type="dxa"/>
          </w:tcPr>
          <w:p w14:paraId="4CDD22AC" w14:textId="77777777" w:rsidR="008D6F13" w:rsidRPr="00D412FE" w:rsidRDefault="008D6F13" w:rsidP="0031078F">
            <w:pPr>
              <w:keepLines w:val="0"/>
              <w:autoSpaceDE w:val="0"/>
              <w:autoSpaceDN w:val="0"/>
              <w:adjustRightInd w:val="0"/>
              <w:rPr>
                <w:rFonts w:eastAsiaTheme="minorEastAsia" w:cs="Calibri"/>
                <w:b/>
                <w:bCs/>
                <w:szCs w:val="17"/>
                <w:lang w:eastAsia="en-AU"/>
              </w:rPr>
            </w:pPr>
            <w:r w:rsidRPr="00D412FE">
              <w:rPr>
                <w:rFonts w:eastAsiaTheme="minorEastAsia" w:cs="Calibri"/>
                <w:b/>
                <w:bCs/>
                <w:szCs w:val="17"/>
                <w:lang w:eastAsia="en-AU"/>
              </w:rPr>
              <w:t>GSP</w:t>
            </w:r>
          </w:p>
        </w:tc>
        <w:tc>
          <w:tcPr>
            <w:tcW w:w="844" w:type="dxa"/>
          </w:tcPr>
          <w:p w14:paraId="5A87FB85" w14:textId="77777777" w:rsidR="008D6F13" w:rsidRPr="00753B0E" w:rsidRDefault="008D6F13" w:rsidP="0031078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highlight w:val="yellow"/>
                <w:lang w:eastAsia="en-AU"/>
              </w:rPr>
            </w:pPr>
          </w:p>
        </w:tc>
        <w:tc>
          <w:tcPr>
            <w:tcW w:w="844" w:type="dxa"/>
          </w:tcPr>
          <w:p w14:paraId="2DC911C2" w14:textId="77777777" w:rsidR="008D6F13" w:rsidRPr="00753B0E" w:rsidRDefault="008D6F13" w:rsidP="0031078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highlight w:val="yellow"/>
                <w:lang w:eastAsia="en-AU"/>
              </w:rPr>
            </w:pPr>
          </w:p>
        </w:tc>
        <w:tc>
          <w:tcPr>
            <w:tcW w:w="845" w:type="dxa"/>
          </w:tcPr>
          <w:p w14:paraId="15BAFD4C" w14:textId="77777777" w:rsidR="008D6F13" w:rsidRPr="00753B0E" w:rsidRDefault="008D6F13" w:rsidP="0031078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highlight w:val="yellow"/>
                <w:lang w:eastAsia="en-AU"/>
              </w:rPr>
            </w:pPr>
          </w:p>
        </w:tc>
        <w:tc>
          <w:tcPr>
            <w:tcW w:w="845" w:type="dxa"/>
          </w:tcPr>
          <w:p w14:paraId="4193FA77" w14:textId="77777777" w:rsidR="008D6F13" w:rsidRPr="00753B0E" w:rsidRDefault="008D6F13" w:rsidP="0031078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highlight w:val="yellow"/>
                <w:lang w:eastAsia="en-AU"/>
              </w:rPr>
            </w:pPr>
          </w:p>
        </w:tc>
      </w:tr>
      <w:tr w:rsidR="008D6F13" w:rsidRPr="00781757" w14:paraId="7A834FF9" w14:textId="77777777" w:rsidTr="00A51211">
        <w:tc>
          <w:tcPr>
            <w:cnfStyle w:val="001000000000" w:firstRow="0" w:lastRow="0" w:firstColumn="1" w:lastColumn="0" w:oddVBand="0" w:evenVBand="0" w:oddHBand="0" w:evenHBand="0" w:firstRowFirstColumn="0" w:firstRowLastColumn="0" w:lastRowFirstColumn="0" w:lastRowLastColumn="0"/>
            <w:tcW w:w="4333" w:type="dxa"/>
          </w:tcPr>
          <w:p w14:paraId="46E1D659" w14:textId="77777777" w:rsidR="008D6F13" w:rsidRPr="00D412FE" w:rsidRDefault="008D6F13" w:rsidP="0031078F">
            <w:pPr>
              <w:keepLines w:val="0"/>
              <w:autoSpaceDE w:val="0"/>
              <w:autoSpaceDN w:val="0"/>
              <w:adjustRightInd w:val="0"/>
              <w:rPr>
                <w:rFonts w:eastAsiaTheme="minorEastAsia" w:cs="Calibri"/>
                <w:szCs w:val="17"/>
                <w:lang w:eastAsia="en-AU"/>
              </w:rPr>
            </w:pPr>
            <w:r w:rsidRPr="00D412FE">
              <w:rPr>
                <w:rFonts w:eastAsiaTheme="minorEastAsia" w:cs="Calibri"/>
                <w:szCs w:val="17"/>
                <w:lang w:eastAsia="en-AU"/>
              </w:rPr>
              <w:t>Income from transactions</w:t>
            </w:r>
          </w:p>
        </w:tc>
        <w:tc>
          <w:tcPr>
            <w:tcW w:w="844" w:type="dxa"/>
            <w:tcBorders>
              <w:top w:val="nil"/>
              <w:left w:val="nil"/>
              <w:bottom w:val="nil"/>
              <w:right w:val="nil"/>
            </w:tcBorders>
            <w:shd w:val="clear" w:color="000000" w:fill="FFFFFF"/>
          </w:tcPr>
          <w:p w14:paraId="60E8ECD2"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9E2E13">
              <w:t>121</w:t>
            </w:r>
          </w:p>
        </w:tc>
        <w:tc>
          <w:tcPr>
            <w:tcW w:w="844" w:type="dxa"/>
            <w:tcBorders>
              <w:top w:val="nil"/>
              <w:left w:val="nil"/>
              <w:bottom w:val="nil"/>
              <w:right w:val="nil"/>
            </w:tcBorders>
            <w:shd w:val="clear" w:color="000000" w:fill="FFFFFF"/>
          </w:tcPr>
          <w:p w14:paraId="62D221FB"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9E2E13">
              <w:t>127</w:t>
            </w:r>
          </w:p>
        </w:tc>
        <w:tc>
          <w:tcPr>
            <w:tcW w:w="845" w:type="dxa"/>
            <w:tcBorders>
              <w:top w:val="nil"/>
              <w:left w:val="nil"/>
              <w:bottom w:val="nil"/>
              <w:right w:val="nil"/>
            </w:tcBorders>
            <w:shd w:val="clear" w:color="000000" w:fill="FFFFFF"/>
          </w:tcPr>
          <w:p w14:paraId="326E9764"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9E2E13">
              <w:t>129</w:t>
            </w:r>
          </w:p>
        </w:tc>
        <w:tc>
          <w:tcPr>
            <w:tcW w:w="845" w:type="dxa"/>
            <w:tcBorders>
              <w:top w:val="nil"/>
              <w:left w:val="nil"/>
              <w:bottom w:val="nil"/>
              <w:right w:val="nil"/>
            </w:tcBorders>
            <w:shd w:val="clear" w:color="000000" w:fill="FFFFFF"/>
          </w:tcPr>
          <w:p w14:paraId="57B29ECF"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9E2E13">
              <w:t>136</w:t>
            </w:r>
          </w:p>
        </w:tc>
      </w:tr>
      <w:tr w:rsidR="008D6F13" w:rsidRPr="00781757" w14:paraId="52C47CC6"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bottom w:val="single" w:sz="6" w:space="0" w:color="000000" w:themeColor="text1"/>
            </w:tcBorders>
          </w:tcPr>
          <w:p w14:paraId="1AA00F6D" w14:textId="77777777" w:rsidR="008D6F13" w:rsidRPr="00D412FE" w:rsidRDefault="008D6F13" w:rsidP="0031078F">
            <w:pPr>
              <w:keepLines w:val="0"/>
              <w:autoSpaceDE w:val="0"/>
              <w:autoSpaceDN w:val="0"/>
              <w:adjustRightInd w:val="0"/>
              <w:rPr>
                <w:rFonts w:eastAsiaTheme="minorEastAsia" w:cs="Calibri"/>
                <w:szCs w:val="17"/>
                <w:lang w:eastAsia="en-AU"/>
              </w:rPr>
            </w:pPr>
            <w:r w:rsidRPr="00D412FE">
              <w:rPr>
                <w:rFonts w:eastAsiaTheme="minorEastAsia" w:cs="Calibri"/>
                <w:szCs w:val="17"/>
                <w:lang w:eastAsia="en-AU"/>
              </w:rPr>
              <w:t>Expenses from transactions</w:t>
            </w:r>
          </w:p>
        </w:tc>
        <w:tc>
          <w:tcPr>
            <w:tcW w:w="844" w:type="dxa"/>
            <w:tcBorders>
              <w:top w:val="nil"/>
              <w:left w:val="nil"/>
              <w:bottom w:val="nil"/>
              <w:right w:val="nil"/>
            </w:tcBorders>
            <w:shd w:val="clear" w:color="000000" w:fill="FFFFFF"/>
          </w:tcPr>
          <w:p w14:paraId="097C87C4"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9E2E13">
              <w:t>4</w:t>
            </w:r>
          </w:p>
        </w:tc>
        <w:tc>
          <w:tcPr>
            <w:tcW w:w="844" w:type="dxa"/>
            <w:tcBorders>
              <w:top w:val="nil"/>
              <w:left w:val="nil"/>
              <w:bottom w:val="nil"/>
              <w:right w:val="nil"/>
            </w:tcBorders>
            <w:shd w:val="clear" w:color="000000" w:fill="FFFFFF"/>
          </w:tcPr>
          <w:p w14:paraId="09712267"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9E2E13">
              <w:t>(0)</w:t>
            </w:r>
          </w:p>
        </w:tc>
        <w:tc>
          <w:tcPr>
            <w:tcW w:w="845" w:type="dxa"/>
            <w:tcBorders>
              <w:top w:val="nil"/>
              <w:left w:val="nil"/>
              <w:bottom w:val="nil"/>
              <w:right w:val="nil"/>
            </w:tcBorders>
            <w:shd w:val="clear" w:color="000000" w:fill="FFFFFF"/>
          </w:tcPr>
          <w:p w14:paraId="544185BC"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9E2E13">
              <w:t>(4)</w:t>
            </w:r>
          </w:p>
        </w:tc>
        <w:tc>
          <w:tcPr>
            <w:tcW w:w="845" w:type="dxa"/>
            <w:tcBorders>
              <w:top w:val="nil"/>
              <w:left w:val="nil"/>
              <w:bottom w:val="nil"/>
              <w:right w:val="nil"/>
            </w:tcBorders>
            <w:shd w:val="clear" w:color="000000" w:fill="FFFFFF"/>
          </w:tcPr>
          <w:p w14:paraId="70B45F9A"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9E2E13">
              <w:t>(8)</w:t>
            </w:r>
          </w:p>
        </w:tc>
      </w:tr>
      <w:tr w:rsidR="008D6F13" w:rsidRPr="00781757" w14:paraId="5670B77E"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top w:val="single" w:sz="6" w:space="0" w:color="000000" w:themeColor="text1"/>
              <w:bottom w:val="nil"/>
            </w:tcBorders>
          </w:tcPr>
          <w:p w14:paraId="56F38C13" w14:textId="77777777" w:rsidR="008D6F13" w:rsidRPr="00D412FE" w:rsidRDefault="008D6F13" w:rsidP="0031078F">
            <w:pPr>
              <w:keepLines w:val="0"/>
              <w:autoSpaceDE w:val="0"/>
              <w:autoSpaceDN w:val="0"/>
              <w:adjustRightInd w:val="0"/>
              <w:rPr>
                <w:rFonts w:eastAsiaTheme="minorEastAsia" w:cs="Calibri"/>
                <w:b/>
                <w:bCs/>
                <w:szCs w:val="17"/>
                <w:lang w:eastAsia="en-AU"/>
              </w:rPr>
            </w:pPr>
            <w:r w:rsidRPr="00D412FE">
              <w:rPr>
                <w:rFonts w:eastAsiaTheme="minorEastAsia" w:cs="Calibri"/>
                <w:b/>
                <w:bCs/>
                <w:szCs w:val="17"/>
                <w:lang w:eastAsia="en-AU"/>
              </w:rPr>
              <w:t>Net result from transactions</w:t>
            </w:r>
          </w:p>
        </w:tc>
        <w:tc>
          <w:tcPr>
            <w:tcW w:w="844" w:type="dxa"/>
            <w:tcBorders>
              <w:top w:val="single" w:sz="4" w:space="0" w:color="auto"/>
              <w:left w:val="nil"/>
              <w:bottom w:val="nil"/>
              <w:right w:val="nil"/>
            </w:tcBorders>
            <w:shd w:val="clear" w:color="000000" w:fill="FFFFFF"/>
          </w:tcPr>
          <w:p w14:paraId="58518E11"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117</w:t>
            </w:r>
          </w:p>
        </w:tc>
        <w:tc>
          <w:tcPr>
            <w:tcW w:w="844" w:type="dxa"/>
            <w:tcBorders>
              <w:top w:val="single" w:sz="4" w:space="0" w:color="auto"/>
              <w:left w:val="nil"/>
              <w:bottom w:val="nil"/>
              <w:right w:val="nil"/>
            </w:tcBorders>
            <w:shd w:val="clear" w:color="000000" w:fill="FFFFFF"/>
          </w:tcPr>
          <w:p w14:paraId="4BC401DC"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128</w:t>
            </w:r>
          </w:p>
        </w:tc>
        <w:tc>
          <w:tcPr>
            <w:tcW w:w="845" w:type="dxa"/>
            <w:tcBorders>
              <w:top w:val="single" w:sz="4" w:space="0" w:color="auto"/>
              <w:left w:val="nil"/>
              <w:bottom w:val="nil"/>
              <w:right w:val="nil"/>
            </w:tcBorders>
            <w:shd w:val="clear" w:color="000000" w:fill="FFFFFF"/>
          </w:tcPr>
          <w:p w14:paraId="39882D0A"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132</w:t>
            </w:r>
          </w:p>
        </w:tc>
        <w:tc>
          <w:tcPr>
            <w:tcW w:w="845" w:type="dxa"/>
            <w:tcBorders>
              <w:top w:val="single" w:sz="4" w:space="0" w:color="auto"/>
              <w:left w:val="nil"/>
              <w:bottom w:val="nil"/>
              <w:right w:val="nil"/>
            </w:tcBorders>
            <w:shd w:val="clear" w:color="000000" w:fill="FFFFFF"/>
          </w:tcPr>
          <w:p w14:paraId="3834A37D"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143</w:t>
            </w:r>
          </w:p>
        </w:tc>
      </w:tr>
      <w:tr w:rsidR="008D6F13" w:rsidRPr="00781757" w14:paraId="329CCF74"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top w:val="nil"/>
              <w:bottom w:val="single" w:sz="12" w:space="0" w:color="auto"/>
            </w:tcBorders>
          </w:tcPr>
          <w:p w14:paraId="3D3C48BF" w14:textId="77777777" w:rsidR="008D6F13" w:rsidRPr="00D412FE" w:rsidRDefault="008D6F13" w:rsidP="0031078F">
            <w:pPr>
              <w:keepLines w:val="0"/>
              <w:autoSpaceDE w:val="0"/>
              <w:autoSpaceDN w:val="0"/>
              <w:adjustRightInd w:val="0"/>
              <w:rPr>
                <w:rFonts w:eastAsiaTheme="minorEastAsia" w:cs="Calibri"/>
                <w:b/>
                <w:bCs/>
                <w:szCs w:val="17"/>
                <w:lang w:eastAsia="en-AU"/>
              </w:rPr>
            </w:pPr>
            <w:r w:rsidRPr="00D412FE">
              <w:rPr>
                <w:rFonts w:eastAsiaTheme="minorEastAsia" w:cs="Calibri"/>
                <w:b/>
                <w:bCs/>
                <w:szCs w:val="17"/>
                <w:lang w:eastAsia="en-AU"/>
              </w:rPr>
              <w:t>Net debt</w:t>
            </w:r>
          </w:p>
        </w:tc>
        <w:tc>
          <w:tcPr>
            <w:tcW w:w="844" w:type="dxa"/>
            <w:tcBorders>
              <w:top w:val="nil"/>
              <w:left w:val="nil"/>
              <w:bottom w:val="single" w:sz="12" w:space="0" w:color="auto"/>
              <w:right w:val="nil"/>
            </w:tcBorders>
            <w:shd w:val="clear" w:color="000000" w:fill="FFFFFF"/>
          </w:tcPr>
          <w:p w14:paraId="4CBF9769"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(117)</w:t>
            </w:r>
          </w:p>
        </w:tc>
        <w:tc>
          <w:tcPr>
            <w:tcW w:w="844" w:type="dxa"/>
            <w:tcBorders>
              <w:top w:val="nil"/>
              <w:left w:val="nil"/>
              <w:bottom w:val="single" w:sz="12" w:space="0" w:color="auto"/>
              <w:right w:val="nil"/>
            </w:tcBorders>
            <w:shd w:val="clear" w:color="000000" w:fill="FFFFFF"/>
          </w:tcPr>
          <w:p w14:paraId="6D2070AE"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(245)</w:t>
            </w:r>
          </w:p>
        </w:tc>
        <w:tc>
          <w:tcPr>
            <w:tcW w:w="845" w:type="dxa"/>
            <w:tcBorders>
              <w:top w:val="nil"/>
              <w:left w:val="nil"/>
              <w:bottom w:val="single" w:sz="12" w:space="0" w:color="auto"/>
              <w:right w:val="nil"/>
            </w:tcBorders>
            <w:shd w:val="clear" w:color="000000" w:fill="FFFFFF"/>
          </w:tcPr>
          <w:p w14:paraId="108FC5BD"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(377)</w:t>
            </w:r>
          </w:p>
        </w:tc>
        <w:tc>
          <w:tcPr>
            <w:tcW w:w="845" w:type="dxa"/>
            <w:tcBorders>
              <w:top w:val="nil"/>
              <w:left w:val="nil"/>
              <w:bottom w:val="single" w:sz="12" w:space="0" w:color="auto"/>
              <w:right w:val="nil"/>
            </w:tcBorders>
            <w:shd w:val="clear" w:color="000000" w:fill="FFFFFF"/>
          </w:tcPr>
          <w:p w14:paraId="76A1A751"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(521)</w:t>
            </w:r>
          </w:p>
        </w:tc>
      </w:tr>
      <w:tr w:rsidR="008D6F13" w:rsidRPr="00781757" w14:paraId="055BCD7C"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top w:val="single" w:sz="12" w:space="0" w:color="auto"/>
            </w:tcBorders>
          </w:tcPr>
          <w:p w14:paraId="44CF66E3" w14:textId="77777777" w:rsidR="008D6F13" w:rsidRPr="00D412FE" w:rsidRDefault="008D6F13" w:rsidP="0031078F">
            <w:pPr>
              <w:keepLines w:val="0"/>
              <w:autoSpaceDE w:val="0"/>
              <w:autoSpaceDN w:val="0"/>
              <w:adjustRightInd w:val="0"/>
              <w:rPr>
                <w:rFonts w:eastAsiaTheme="minorEastAsia" w:cs="Calibri"/>
                <w:b/>
                <w:bCs/>
                <w:szCs w:val="17"/>
                <w:lang w:eastAsia="en-AU"/>
              </w:rPr>
            </w:pPr>
            <w:r w:rsidRPr="00D412FE">
              <w:rPr>
                <w:rFonts w:eastAsiaTheme="minorEastAsia" w:cs="Calibri"/>
                <w:b/>
                <w:bCs/>
                <w:szCs w:val="17"/>
                <w:lang w:eastAsia="en-AU"/>
              </w:rPr>
              <w:t xml:space="preserve">Employment </w:t>
            </w:r>
            <w:r w:rsidRPr="00D412FE">
              <w:rPr>
                <w:rFonts w:eastAsiaTheme="minorEastAsia" w:cs="Calibri"/>
                <w:b/>
                <w:bCs/>
                <w:szCs w:val="17"/>
                <w:vertAlign w:val="superscript"/>
                <w:lang w:eastAsia="en-AU"/>
              </w:rPr>
              <w:t>(f)</w:t>
            </w:r>
            <w:r w:rsidRPr="00D412FE">
              <w:rPr>
                <w:rFonts w:eastAsiaTheme="minorEastAsia" w:cs="Calibri"/>
                <w:b/>
                <w:bCs/>
                <w:szCs w:val="17"/>
                <w:lang w:eastAsia="en-AU"/>
              </w:rPr>
              <w:t xml:space="preserve"> </w:t>
            </w:r>
          </w:p>
        </w:tc>
        <w:tc>
          <w:tcPr>
            <w:tcW w:w="844" w:type="dxa"/>
            <w:tcBorders>
              <w:top w:val="single" w:sz="12" w:space="0" w:color="auto"/>
              <w:left w:val="nil"/>
              <w:bottom w:val="nil"/>
              <w:right w:val="nil"/>
            </w:tcBorders>
            <w:shd w:val="clear" w:color="auto" w:fill="auto"/>
          </w:tcPr>
          <w:p w14:paraId="63AAF2D2"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c>
          <w:tcPr>
            <w:tcW w:w="844" w:type="dxa"/>
            <w:tcBorders>
              <w:top w:val="single" w:sz="12" w:space="0" w:color="auto"/>
              <w:left w:val="nil"/>
              <w:bottom w:val="nil"/>
              <w:right w:val="nil"/>
            </w:tcBorders>
            <w:shd w:val="clear" w:color="auto" w:fill="auto"/>
          </w:tcPr>
          <w:p w14:paraId="303252C2"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c>
          <w:tcPr>
            <w:tcW w:w="845" w:type="dxa"/>
            <w:tcBorders>
              <w:top w:val="single" w:sz="12" w:space="0" w:color="auto"/>
              <w:left w:val="nil"/>
              <w:bottom w:val="nil"/>
              <w:right w:val="nil"/>
            </w:tcBorders>
            <w:shd w:val="clear" w:color="auto" w:fill="auto"/>
          </w:tcPr>
          <w:p w14:paraId="159DA89B"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c>
          <w:tcPr>
            <w:tcW w:w="845" w:type="dxa"/>
            <w:tcBorders>
              <w:top w:val="single" w:sz="12" w:space="0" w:color="auto"/>
              <w:left w:val="nil"/>
              <w:bottom w:val="nil"/>
              <w:right w:val="nil"/>
            </w:tcBorders>
            <w:shd w:val="clear" w:color="auto" w:fill="auto"/>
          </w:tcPr>
          <w:p w14:paraId="5C5A0AC3"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r>
      <w:tr w:rsidR="008D6F13" w:rsidRPr="00781757" w14:paraId="5ED5401A" w14:textId="77777777" w:rsidTr="00A51211">
        <w:tc>
          <w:tcPr>
            <w:cnfStyle w:val="001000000000" w:firstRow="0" w:lastRow="0" w:firstColumn="1" w:lastColumn="0" w:oddVBand="0" w:evenVBand="0" w:oddHBand="0" w:evenHBand="0" w:firstRowFirstColumn="0" w:firstRowLastColumn="0" w:lastRowFirstColumn="0" w:lastRowLastColumn="0"/>
            <w:tcW w:w="4333" w:type="dxa"/>
          </w:tcPr>
          <w:p w14:paraId="2DE6BE14" w14:textId="77777777" w:rsidR="008D6F13" w:rsidRPr="00D412FE" w:rsidRDefault="008D6F13" w:rsidP="0031078F">
            <w:pPr>
              <w:keepLines w:val="0"/>
              <w:autoSpaceDE w:val="0"/>
              <w:autoSpaceDN w:val="0"/>
              <w:adjustRightInd w:val="0"/>
              <w:rPr>
                <w:rFonts w:eastAsiaTheme="minorEastAsia" w:cs="Calibri"/>
                <w:szCs w:val="17"/>
                <w:lang w:eastAsia="en-AU"/>
              </w:rPr>
            </w:pPr>
            <w:r w:rsidRPr="00D412FE">
              <w:rPr>
                <w:rFonts w:eastAsiaTheme="minorEastAsia" w:cs="Calibri"/>
                <w:szCs w:val="17"/>
                <w:lang w:eastAsia="en-AU"/>
              </w:rPr>
              <w:t>Income from transactions</w:t>
            </w:r>
          </w:p>
        </w:tc>
        <w:tc>
          <w:tcPr>
            <w:tcW w:w="844" w:type="dxa"/>
            <w:tcBorders>
              <w:top w:val="nil"/>
              <w:left w:val="nil"/>
              <w:bottom w:val="nil"/>
              <w:right w:val="nil"/>
            </w:tcBorders>
            <w:shd w:val="clear" w:color="auto" w:fill="auto"/>
          </w:tcPr>
          <w:p w14:paraId="0816C94E"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4D1009">
              <w:t>85</w:t>
            </w:r>
          </w:p>
        </w:tc>
        <w:tc>
          <w:tcPr>
            <w:tcW w:w="844" w:type="dxa"/>
            <w:tcBorders>
              <w:top w:val="nil"/>
              <w:left w:val="nil"/>
              <w:bottom w:val="nil"/>
              <w:right w:val="nil"/>
            </w:tcBorders>
            <w:shd w:val="clear" w:color="auto" w:fill="auto"/>
          </w:tcPr>
          <w:p w14:paraId="6D35661D"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4D1009">
              <w:t>101</w:t>
            </w:r>
          </w:p>
        </w:tc>
        <w:tc>
          <w:tcPr>
            <w:tcW w:w="845" w:type="dxa"/>
            <w:tcBorders>
              <w:top w:val="nil"/>
              <w:left w:val="nil"/>
              <w:bottom w:val="nil"/>
              <w:right w:val="nil"/>
            </w:tcBorders>
            <w:shd w:val="clear" w:color="auto" w:fill="auto"/>
          </w:tcPr>
          <w:p w14:paraId="349B49E4"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4D1009">
              <w:t>109</w:t>
            </w:r>
          </w:p>
        </w:tc>
        <w:tc>
          <w:tcPr>
            <w:tcW w:w="845" w:type="dxa"/>
            <w:tcBorders>
              <w:top w:val="nil"/>
              <w:left w:val="nil"/>
              <w:bottom w:val="nil"/>
              <w:right w:val="nil"/>
            </w:tcBorders>
            <w:shd w:val="clear" w:color="auto" w:fill="auto"/>
          </w:tcPr>
          <w:p w14:paraId="446E8446"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4D1009">
              <w:t>114</w:t>
            </w:r>
          </w:p>
        </w:tc>
      </w:tr>
      <w:tr w:rsidR="008D6F13" w:rsidRPr="00781757" w14:paraId="2F949AF9"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bottom w:val="single" w:sz="6" w:space="0" w:color="000000" w:themeColor="text1"/>
            </w:tcBorders>
          </w:tcPr>
          <w:p w14:paraId="36091B02" w14:textId="77777777" w:rsidR="008D6F13" w:rsidRPr="00D412FE" w:rsidRDefault="008D6F13" w:rsidP="0031078F">
            <w:pPr>
              <w:keepLines w:val="0"/>
              <w:autoSpaceDE w:val="0"/>
              <w:autoSpaceDN w:val="0"/>
              <w:adjustRightInd w:val="0"/>
              <w:rPr>
                <w:rFonts w:eastAsiaTheme="minorEastAsia" w:cs="Calibri"/>
                <w:szCs w:val="17"/>
                <w:lang w:eastAsia="en-AU"/>
              </w:rPr>
            </w:pPr>
            <w:r w:rsidRPr="00D412FE">
              <w:rPr>
                <w:rFonts w:eastAsiaTheme="minorEastAsia" w:cs="Calibri"/>
                <w:szCs w:val="17"/>
                <w:lang w:eastAsia="en-AU"/>
              </w:rPr>
              <w:t>Expenses from transactions</w:t>
            </w:r>
          </w:p>
        </w:tc>
        <w:tc>
          <w:tcPr>
            <w:tcW w:w="844" w:type="dxa"/>
            <w:tcBorders>
              <w:top w:val="nil"/>
              <w:left w:val="nil"/>
              <w:bottom w:val="nil"/>
              <w:right w:val="nil"/>
            </w:tcBorders>
            <w:shd w:val="clear" w:color="auto" w:fill="auto"/>
          </w:tcPr>
          <w:p w14:paraId="165DF558"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4D1009">
              <w:t>330</w:t>
            </w:r>
          </w:p>
        </w:tc>
        <w:tc>
          <w:tcPr>
            <w:tcW w:w="844" w:type="dxa"/>
            <w:tcBorders>
              <w:top w:val="nil"/>
              <w:left w:val="nil"/>
              <w:bottom w:val="nil"/>
              <w:right w:val="nil"/>
            </w:tcBorders>
            <w:shd w:val="clear" w:color="auto" w:fill="auto"/>
          </w:tcPr>
          <w:p w14:paraId="2D99EDBD"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4D1009">
              <w:t>339</w:t>
            </w:r>
          </w:p>
        </w:tc>
        <w:tc>
          <w:tcPr>
            <w:tcW w:w="845" w:type="dxa"/>
            <w:tcBorders>
              <w:top w:val="nil"/>
              <w:left w:val="nil"/>
              <w:bottom w:val="nil"/>
              <w:right w:val="nil"/>
            </w:tcBorders>
            <w:shd w:val="clear" w:color="auto" w:fill="auto"/>
          </w:tcPr>
          <w:p w14:paraId="05422B0E"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4D1009">
              <w:t>352</w:t>
            </w:r>
          </w:p>
        </w:tc>
        <w:tc>
          <w:tcPr>
            <w:tcW w:w="845" w:type="dxa"/>
            <w:tcBorders>
              <w:top w:val="nil"/>
              <w:left w:val="nil"/>
              <w:bottom w:val="nil"/>
              <w:right w:val="nil"/>
            </w:tcBorders>
            <w:shd w:val="clear" w:color="auto" w:fill="auto"/>
          </w:tcPr>
          <w:p w14:paraId="567A5ED3"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4D1009">
              <w:t>368</w:t>
            </w:r>
          </w:p>
        </w:tc>
      </w:tr>
      <w:tr w:rsidR="008D6F13" w:rsidRPr="00781757" w14:paraId="3F5C3BC6"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top w:val="single" w:sz="6" w:space="0" w:color="000000" w:themeColor="text1"/>
              <w:bottom w:val="nil"/>
            </w:tcBorders>
          </w:tcPr>
          <w:p w14:paraId="7309FF85" w14:textId="77777777" w:rsidR="008D6F13" w:rsidRPr="00D412FE" w:rsidRDefault="008D6F13" w:rsidP="0031078F">
            <w:pPr>
              <w:keepLines w:val="0"/>
              <w:autoSpaceDE w:val="0"/>
              <w:autoSpaceDN w:val="0"/>
              <w:adjustRightInd w:val="0"/>
              <w:rPr>
                <w:rFonts w:eastAsiaTheme="minorEastAsia" w:cs="Calibri"/>
                <w:b/>
                <w:bCs/>
                <w:szCs w:val="17"/>
                <w:lang w:eastAsia="en-AU"/>
              </w:rPr>
            </w:pPr>
            <w:r w:rsidRPr="00D412FE">
              <w:rPr>
                <w:rFonts w:eastAsiaTheme="minorEastAsia" w:cs="Calibri"/>
                <w:b/>
                <w:bCs/>
                <w:szCs w:val="17"/>
                <w:lang w:eastAsia="en-AU"/>
              </w:rPr>
              <w:t>Net result from transactions</w:t>
            </w:r>
          </w:p>
        </w:tc>
        <w:tc>
          <w:tcPr>
            <w:tcW w:w="844" w:type="dxa"/>
            <w:tcBorders>
              <w:top w:val="single" w:sz="4" w:space="0" w:color="auto"/>
              <w:left w:val="nil"/>
              <w:bottom w:val="nil"/>
              <w:right w:val="nil"/>
            </w:tcBorders>
            <w:shd w:val="clear" w:color="auto" w:fill="auto"/>
          </w:tcPr>
          <w:p w14:paraId="619C92F1"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(245)</w:t>
            </w:r>
          </w:p>
        </w:tc>
        <w:tc>
          <w:tcPr>
            <w:tcW w:w="844" w:type="dxa"/>
            <w:tcBorders>
              <w:top w:val="single" w:sz="4" w:space="0" w:color="auto"/>
              <w:left w:val="nil"/>
              <w:bottom w:val="nil"/>
              <w:right w:val="nil"/>
            </w:tcBorders>
            <w:shd w:val="clear" w:color="auto" w:fill="auto"/>
          </w:tcPr>
          <w:p w14:paraId="4EBE0AAE"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(237)</w:t>
            </w:r>
          </w:p>
        </w:tc>
        <w:tc>
          <w:tcPr>
            <w:tcW w:w="845" w:type="dxa"/>
            <w:tcBorders>
              <w:top w:val="single" w:sz="4" w:space="0" w:color="auto"/>
              <w:left w:val="nil"/>
              <w:bottom w:val="nil"/>
              <w:right w:val="nil"/>
            </w:tcBorders>
            <w:shd w:val="clear" w:color="auto" w:fill="auto"/>
          </w:tcPr>
          <w:p w14:paraId="6BAC9AF6"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(243)</w:t>
            </w:r>
          </w:p>
        </w:tc>
        <w:tc>
          <w:tcPr>
            <w:tcW w:w="845" w:type="dxa"/>
            <w:tcBorders>
              <w:top w:val="single" w:sz="4" w:space="0" w:color="auto"/>
              <w:left w:val="nil"/>
              <w:bottom w:val="nil"/>
              <w:right w:val="nil"/>
            </w:tcBorders>
            <w:shd w:val="clear" w:color="auto" w:fill="auto"/>
          </w:tcPr>
          <w:p w14:paraId="57C1C2D5"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(254)</w:t>
            </w:r>
          </w:p>
        </w:tc>
      </w:tr>
      <w:tr w:rsidR="008D6F13" w:rsidRPr="00781757" w14:paraId="29902D9C"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top w:val="nil"/>
              <w:bottom w:val="single" w:sz="12" w:space="0" w:color="auto"/>
            </w:tcBorders>
          </w:tcPr>
          <w:p w14:paraId="506DDEF7" w14:textId="77777777" w:rsidR="008D6F13" w:rsidRPr="00D412FE" w:rsidRDefault="008D6F13" w:rsidP="0031078F">
            <w:pPr>
              <w:keepLines w:val="0"/>
              <w:autoSpaceDE w:val="0"/>
              <w:autoSpaceDN w:val="0"/>
              <w:adjustRightInd w:val="0"/>
              <w:rPr>
                <w:rFonts w:eastAsiaTheme="minorEastAsia" w:cs="Calibri"/>
                <w:b/>
                <w:bCs/>
                <w:szCs w:val="17"/>
                <w:lang w:eastAsia="en-AU"/>
              </w:rPr>
            </w:pPr>
            <w:r w:rsidRPr="00D412FE">
              <w:rPr>
                <w:rFonts w:eastAsiaTheme="minorEastAsia" w:cs="Calibri"/>
                <w:b/>
                <w:bCs/>
                <w:szCs w:val="17"/>
                <w:lang w:eastAsia="en-AU"/>
              </w:rPr>
              <w:t>Net debt</w:t>
            </w:r>
          </w:p>
        </w:tc>
        <w:tc>
          <w:tcPr>
            <w:tcW w:w="844" w:type="dxa"/>
            <w:tcBorders>
              <w:top w:val="nil"/>
              <w:left w:val="nil"/>
              <w:bottom w:val="single" w:sz="12" w:space="0" w:color="auto"/>
              <w:right w:val="nil"/>
            </w:tcBorders>
            <w:shd w:val="clear" w:color="auto" w:fill="auto"/>
          </w:tcPr>
          <w:p w14:paraId="220F80E0"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245</w:t>
            </w:r>
          </w:p>
        </w:tc>
        <w:tc>
          <w:tcPr>
            <w:tcW w:w="844" w:type="dxa"/>
            <w:tcBorders>
              <w:top w:val="nil"/>
              <w:left w:val="nil"/>
              <w:bottom w:val="single" w:sz="12" w:space="0" w:color="auto"/>
              <w:right w:val="nil"/>
            </w:tcBorders>
            <w:shd w:val="clear" w:color="auto" w:fill="auto"/>
          </w:tcPr>
          <w:p w14:paraId="47CFCE5E"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482</w:t>
            </w:r>
          </w:p>
        </w:tc>
        <w:tc>
          <w:tcPr>
            <w:tcW w:w="845" w:type="dxa"/>
            <w:tcBorders>
              <w:top w:val="nil"/>
              <w:left w:val="nil"/>
              <w:bottom w:val="single" w:sz="12" w:space="0" w:color="auto"/>
              <w:right w:val="nil"/>
            </w:tcBorders>
            <w:shd w:val="clear" w:color="auto" w:fill="auto"/>
          </w:tcPr>
          <w:p w14:paraId="0A2CC072"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726</w:t>
            </w:r>
          </w:p>
        </w:tc>
        <w:tc>
          <w:tcPr>
            <w:tcW w:w="845" w:type="dxa"/>
            <w:tcBorders>
              <w:top w:val="nil"/>
              <w:left w:val="nil"/>
              <w:bottom w:val="single" w:sz="12" w:space="0" w:color="auto"/>
              <w:right w:val="nil"/>
            </w:tcBorders>
            <w:shd w:val="clear" w:color="auto" w:fill="auto"/>
          </w:tcPr>
          <w:p w14:paraId="71DF9626"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979</w:t>
            </w:r>
          </w:p>
        </w:tc>
      </w:tr>
      <w:tr w:rsidR="008D6F13" w:rsidRPr="00781757" w14:paraId="3F0AE03E"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top w:val="single" w:sz="12" w:space="0" w:color="auto"/>
            </w:tcBorders>
          </w:tcPr>
          <w:p w14:paraId="1B32929D" w14:textId="77777777" w:rsidR="008D6F13" w:rsidRPr="00D412FE" w:rsidRDefault="008D6F13" w:rsidP="0031078F">
            <w:pPr>
              <w:keepLines w:val="0"/>
              <w:autoSpaceDE w:val="0"/>
              <w:autoSpaceDN w:val="0"/>
              <w:adjustRightInd w:val="0"/>
              <w:rPr>
                <w:rFonts w:eastAsiaTheme="minorEastAsia" w:cs="Calibri"/>
                <w:b/>
                <w:bCs/>
                <w:szCs w:val="17"/>
                <w:lang w:eastAsia="en-AU"/>
              </w:rPr>
            </w:pPr>
            <w:r w:rsidRPr="00D412FE">
              <w:rPr>
                <w:rFonts w:eastAsiaTheme="minorEastAsia" w:cs="Calibri"/>
                <w:b/>
                <w:bCs/>
                <w:szCs w:val="17"/>
                <w:lang w:eastAsia="en-AU"/>
              </w:rPr>
              <w:t xml:space="preserve">Consumer prices </w:t>
            </w:r>
            <w:r w:rsidRPr="00D412FE">
              <w:rPr>
                <w:rFonts w:eastAsiaTheme="minorEastAsia" w:cs="Calibri"/>
                <w:b/>
                <w:bCs/>
                <w:szCs w:val="17"/>
                <w:vertAlign w:val="superscript"/>
                <w:lang w:eastAsia="en-AU"/>
              </w:rPr>
              <w:t>(g)</w:t>
            </w:r>
          </w:p>
        </w:tc>
        <w:tc>
          <w:tcPr>
            <w:tcW w:w="844" w:type="dxa"/>
            <w:tcBorders>
              <w:top w:val="single" w:sz="12" w:space="0" w:color="auto"/>
              <w:left w:val="nil"/>
              <w:bottom w:val="nil"/>
              <w:right w:val="nil"/>
            </w:tcBorders>
            <w:shd w:val="clear" w:color="auto" w:fill="auto"/>
          </w:tcPr>
          <w:p w14:paraId="7E2F5BCF"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c>
          <w:tcPr>
            <w:tcW w:w="844" w:type="dxa"/>
            <w:tcBorders>
              <w:top w:val="single" w:sz="12" w:space="0" w:color="auto"/>
              <w:left w:val="nil"/>
              <w:bottom w:val="nil"/>
              <w:right w:val="nil"/>
            </w:tcBorders>
            <w:shd w:val="clear" w:color="auto" w:fill="auto"/>
          </w:tcPr>
          <w:p w14:paraId="79E21F0A"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c>
          <w:tcPr>
            <w:tcW w:w="845" w:type="dxa"/>
            <w:tcBorders>
              <w:top w:val="single" w:sz="12" w:space="0" w:color="auto"/>
              <w:left w:val="nil"/>
              <w:bottom w:val="nil"/>
              <w:right w:val="nil"/>
            </w:tcBorders>
            <w:shd w:val="clear" w:color="auto" w:fill="auto"/>
          </w:tcPr>
          <w:p w14:paraId="72CDB2CC"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c>
          <w:tcPr>
            <w:tcW w:w="845" w:type="dxa"/>
            <w:tcBorders>
              <w:top w:val="single" w:sz="12" w:space="0" w:color="auto"/>
              <w:left w:val="nil"/>
              <w:bottom w:val="nil"/>
              <w:right w:val="nil"/>
            </w:tcBorders>
            <w:shd w:val="clear" w:color="auto" w:fill="auto"/>
          </w:tcPr>
          <w:p w14:paraId="5851392A"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r>
      <w:tr w:rsidR="008D6F13" w:rsidRPr="00781757" w14:paraId="4CB9315A" w14:textId="77777777" w:rsidTr="00A51211">
        <w:tc>
          <w:tcPr>
            <w:cnfStyle w:val="001000000000" w:firstRow="0" w:lastRow="0" w:firstColumn="1" w:lastColumn="0" w:oddVBand="0" w:evenVBand="0" w:oddHBand="0" w:evenHBand="0" w:firstRowFirstColumn="0" w:firstRowLastColumn="0" w:lastRowFirstColumn="0" w:lastRowLastColumn="0"/>
            <w:tcW w:w="4333" w:type="dxa"/>
          </w:tcPr>
          <w:p w14:paraId="1F497827" w14:textId="77777777" w:rsidR="008D6F13" w:rsidRPr="00D412FE" w:rsidRDefault="008D6F13" w:rsidP="0031078F">
            <w:pPr>
              <w:keepLines w:val="0"/>
              <w:autoSpaceDE w:val="0"/>
              <w:autoSpaceDN w:val="0"/>
              <w:adjustRightInd w:val="0"/>
              <w:rPr>
                <w:rFonts w:eastAsiaTheme="minorEastAsia" w:cs="Calibri"/>
                <w:szCs w:val="17"/>
                <w:lang w:eastAsia="en-AU"/>
              </w:rPr>
            </w:pPr>
            <w:r w:rsidRPr="00D412FE">
              <w:rPr>
                <w:rFonts w:eastAsiaTheme="minorEastAsia" w:cs="Calibri"/>
                <w:szCs w:val="17"/>
                <w:lang w:eastAsia="en-AU"/>
              </w:rPr>
              <w:t>Income from transactions</w:t>
            </w:r>
          </w:p>
        </w:tc>
        <w:tc>
          <w:tcPr>
            <w:tcW w:w="844" w:type="dxa"/>
            <w:tcBorders>
              <w:top w:val="nil"/>
              <w:left w:val="nil"/>
              <w:bottom w:val="nil"/>
              <w:right w:val="nil"/>
            </w:tcBorders>
            <w:shd w:val="clear" w:color="000000" w:fill="FFFFFF"/>
          </w:tcPr>
          <w:p w14:paraId="60932A89"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6169B1">
              <w:t>281</w:t>
            </w:r>
          </w:p>
        </w:tc>
        <w:tc>
          <w:tcPr>
            <w:tcW w:w="844" w:type="dxa"/>
            <w:tcBorders>
              <w:top w:val="nil"/>
              <w:left w:val="nil"/>
              <w:bottom w:val="nil"/>
              <w:right w:val="nil"/>
            </w:tcBorders>
            <w:shd w:val="clear" w:color="000000" w:fill="FFFFFF"/>
          </w:tcPr>
          <w:p w14:paraId="08D3B6B8"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6169B1">
              <w:t>303</w:t>
            </w:r>
          </w:p>
        </w:tc>
        <w:tc>
          <w:tcPr>
            <w:tcW w:w="845" w:type="dxa"/>
            <w:tcBorders>
              <w:top w:val="nil"/>
              <w:left w:val="nil"/>
              <w:bottom w:val="nil"/>
              <w:right w:val="nil"/>
            </w:tcBorders>
            <w:shd w:val="clear" w:color="000000" w:fill="FFFFFF"/>
          </w:tcPr>
          <w:p w14:paraId="3D15685E"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6169B1">
              <w:t>311</w:t>
            </w:r>
          </w:p>
        </w:tc>
        <w:tc>
          <w:tcPr>
            <w:tcW w:w="845" w:type="dxa"/>
            <w:tcBorders>
              <w:top w:val="nil"/>
              <w:left w:val="nil"/>
              <w:bottom w:val="nil"/>
              <w:right w:val="nil"/>
            </w:tcBorders>
            <w:shd w:val="clear" w:color="000000" w:fill="FFFFFF"/>
          </w:tcPr>
          <w:p w14:paraId="7951A879"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6169B1">
              <w:t>326</w:t>
            </w:r>
          </w:p>
        </w:tc>
      </w:tr>
      <w:tr w:rsidR="008D6F13" w:rsidRPr="00781757" w14:paraId="263D6877"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bottom w:val="single" w:sz="6" w:space="0" w:color="000000" w:themeColor="text1"/>
            </w:tcBorders>
          </w:tcPr>
          <w:p w14:paraId="77A72C39" w14:textId="77777777" w:rsidR="008D6F13" w:rsidRPr="00D412FE" w:rsidRDefault="008D6F13" w:rsidP="0031078F">
            <w:pPr>
              <w:keepLines w:val="0"/>
              <w:autoSpaceDE w:val="0"/>
              <w:autoSpaceDN w:val="0"/>
              <w:adjustRightInd w:val="0"/>
              <w:rPr>
                <w:rFonts w:eastAsiaTheme="minorEastAsia" w:cs="Calibri"/>
                <w:szCs w:val="17"/>
                <w:lang w:eastAsia="en-AU"/>
              </w:rPr>
            </w:pPr>
            <w:r w:rsidRPr="00D412FE">
              <w:rPr>
                <w:rFonts w:eastAsiaTheme="minorEastAsia" w:cs="Calibri"/>
                <w:szCs w:val="17"/>
                <w:lang w:eastAsia="en-AU"/>
              </w:rPr>
              <w:t>Expenses from transactions</w:t>
            </w:r>
          </w:p>
        </w:tc>
        <w:tc>
          <w:tcPr>
            <w:tcW w:w="844" w:type="dxa"/>
            <w:tcBorders>
              <w:top w:val="nil"/>
              <w:left w:val="nil"/>
              <w:bottom w:val="nil"/>
              <w:right w:val="nil"/>
            </w:tcBorders>
            <w:shd w:val="clear" w:color="000000" w:fill="FFFFFF"/>
          </w:tcPr>
          <w:p w14:paraId="63588170"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6169B1">
              <w:t>293</w:t>
            </w:r>
          </w:p>
        </w:tc>
        <w:tc>
          <w:tcPr>
            <w:tcW w:w="844" w:type="dxa"/>
            <w:tcBorders>
              <w:top w:val="nil"/>
              <w:left w:val="nil"/>
              <w:bottom w:val="nil"/>
              <w:right w:val="nil"/>
            </w:tcBorders>
            <w:shd w:val="clear" w:color="000000" w:fill="FFFFFF"/>
          </w:tcPr>
          <w:p w14:paraId="556A93E8"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6169B1">
              <w:t>244</w:t>
            </w:r>
          </w:p>
        </w:tc>
        <w:tc>
          <w:tcPr>
            <w:tcW w:w="845" w:type="dxa"/>
            <w:tcBorders>
              <w:top w:val="nil"/>
              <w:left w:val="nil"/>
              <w:bottom w:val="nil"/>
              <w:right w:val="nil"/>
            </w:tcBorders>
            <w:shd w:val="clear" w:color="000000" w:fill="FFFFFF"/>
          </w:tcPr>
          <w:p w14:paraId="74B90C89"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6169B1">
              <w:t>237</w:t>
            </w:r>
          </w:p>
        </w:tc>
        <w:tc>
          <w:tcPr>
            <w:tcW w:w="845" w:type="dxa"/>
            <w:tcBorders>
              <w:top w:val="nil"/>
              <w:left w:val="nil"/>
              <w:bottom w:val="nil"/>
              <w:right w:val="nil"/>
            </w:tcBorders>
            <w:shd w:val="clear" w:color="000000" w:fill="FFFFFF"/>
          </w:tcPr>
          <w:p w14:paraId="7A22DB21"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6169B1">
              <w:t>234</w:t>
            </w:r>
          </w:p>
        </w:tc>
      </w:tr>
      <w:tr w:rsidR="008D6F13" w:rsidRPr="00781757" w14:paraId="192E6FDC"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top w:val="single" w:sz="6" w:space="0" w:color="000000" w:themeColor="text1"/>
              <w:bottom w:val="nil"/>
            </w:tcBorders>
          </w:tcPr>
          <w:p w14:paraId="1CDD713A" w14:textId="77777777" w:rsidR="008D6F13" w:rsidRPr="00D412FE" w:rsidRDefault="008D6F13" w:rsidP="0031078F">
            <w:pPr>
              <w:keepLines w:val="0"/>
              <w:autoSpaceDE w:val="0"/>
              <w:autoSpaceDN w:val="0"/>
              <w:adjustRightInd w:val="0"/>
              <w:rPr>
                <w:rFonts w:eastAsiaTheme="minorEastAsia" w:cs="Calibri"/>
                <w:b/>
                <w:bCs/>
                <w:szCs w:val="17"/>
                <w:lang w:eastAsia="en-AU"/>
              </w:rPr>
            </w:pPr>
            <w:r w:rsidRPr="00D412FE">
              <w:rPr>
                <w:rFonts w:eastAsiaTheme="minorEastAsia" w:cs="Calibri"/>
                <w:b/>
                <w:bCs/>
                <w:szCs w:val="17"/>
                <w:lang w:eastAsia="en-AU"/>
              </w:rPr>
              <w:t>Net result from transactions</w:t>
            </w:r>
          </w:p>
        </w:tc>
        <w:tc>
          <w:tcPr>
            <w:tcW w:w="844" w:type="dxa"/>
            <w:tcBorders>
              <w:top w:val="single" w:sz="4" w:space="0" w:color="auto"/>
              <w:left w:val="nil"/>
              <w:bottom w:val="nil"/>
              <w:right w:val="nil"/>
            </w:tcBorders>
            <w:shd w:val="clear" w:color="000000" w:fill="FFFFFF"/>
          </w:tcPr>
          <w:p w14:paraId="764D894C"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(11)</w:t>
            </w:r>
          </w:p>
        </w:tc>
        <w:tc>
          <w:tcPr>
            <w:tcW w:w="844" w:type="dxa"/>
            <w:tcBorders>
              <w:top w:val="single" w:sz="4" w:space="0" w:color="auto"/>
              <w:left w:val="nil"/>
              <w:bottom w:val="nil"/>
              <w:right w:val="nil"/>
            </w:tcBorders>
            <w:shd w:val="clear" w:color="000000" w:fill="FFFFFF"/>
          </w:tcPr>
          <w:p w14:paraId="1799108A"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60</w:t>
            </w:r>
          </w:p>
        </w:tc>
        <w:tc>
          <w:tcPr>
            <w:tcW w:w="845" w:type="dxa"/>
            <w:tcBorders>
              <w:top w:val="single" w:sz="4" w:space="0" w:color="auto"/>
              <w:left w:val="nil"/>
              <w:bottom w:val="nil"/>
              <w:right w:val="nil"/>
            </w:tcBorders>
            <w:shd w:val="clear" w:color="000000" w:fill="FFFFFF"/>
          </w:tcPr>
          <w:p w14:paraId="661C2F35"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74</w:t>
            </w:r>
          </w:p>
        </w:tc>
        <w:tc>
          <w:tcPr>
            <w:tcW w:w="845" w:type="dxa"/>
            <w:tcBorders>
              <w:top w:val="single" w:sz="4" w:space="0" w:color="auto"/>
              <w:left w:val="nil"/>
              <w:bottom w:val="nil"/>
              <w:right w:val="nil"/>
            </w:tcBorders>
            <w:shd w:val="clear" w:color="000000" w:fill="FFFFFF"/>
          </w:tcPr>
          <w:p w14:paraId="624C037B"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91</w:t>
            </w:r>
          </w:p>
        </w:tc>
      </w:tr>
      <w:tr w:rsidR="008D6F13" w:rsidRPr="00781757" w14:paraId="0740DE02"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top w:val="nil"/>
              <w:bottom w:val="single" w:sz="12" w:space="0" w:color="auto"/>
            </w:tcBorders>
          </w:tcPr>
          <w:p w14:paraId="25860D29" w14:textId="77777777" w:rsidR="008D6F13" w:rsidRPr="00D412FE" w:rsidRDefault="008D6F13" w:rsidP="0031078F">
            <w:pPr>
              <w:keepLines w:val="0"/>
              <w:autoSpaceDE w:val="0"/>
              <w:autoSpaceDN w:val="0"/>
              <w:adjustRightInd w:val="0"/>
              <w:rPr>
                <w:rFonts w:eastAsiaTheme="minorEastAsia" w:cs="Calibri"/>
                <w:b/>
                <w:bCs/>
                <w:szCs w:val="17"/>
                <w:lang w:eastAsia="en-AU"/>
              </w:rPr>
            </w:pPr>
            <w:r w:rsidRPr="00D412FE">
              <w:rPr>
                <w:rFonts w:eastAsiaTheme="minorEastAsia" w:cs="Calibri"/>
                <w:b/>
                <w:bCs/>
                <w:szCs w:val="17"/>
                <w:lang w:eastAsia="en-AU"/>
              </w:rPr>
              <w:t>Net debt</w:t>
            </w:r>
          </w:p>
        </w:tc>
        <w:tc>
          <w:tcPr>
            <w:tcW w:w="844" w:type="dxa"/>
            <w:tcBorders>
              <w:top w:val="nil"/>
              <w:left w:val="nil"/>
              <w:bottom w:val="single" w:sz="12" w:space="0" w:color="auto"/>
              <w:right w:val="nil"/>
            </w:tcBorders>
            <w:shd w:val="clear" w:color="000000" w:fill="FFFFFF"/>
          </w:tcPr>
          <w:p w14:paraId="22B3A740"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11</w:t>
            </w:r>
          </w:p>
        </w:tc>
        <w:tc>
          <w:tcPr>
            <w:tcW w:w="844" w:type="dxa"/>
            <w:tcBorders>
              <w:top w:val="nil"/>
              <w:left w:val="nil"/>
              <w:bottom w:val="single" w:sz="12" w:space="0" w:color="auto"/>
              <w:right w:val="nil"/>
            </w:tcBorders>
            <w:shd w:val="clear" w:color="000000" w:fill="FFFFFF"/>
          </w:tcPr>
          <w:p w14:paraId="6124156B"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(49)</w:t>
            </w:r>
          </w:p>
        </w:tc>
        <w:tc>
          <w:tcPr>
            <w:tcW w:w="845" w:type="dxa"/>
            <w:tcBorders>
              <w:top w:val="nil"/>
              <w:left w:val="nil"/>
              <w:bottom w:val="single" w:sz="12" w:space="0" w:color="auto"/>
              <w:right w:val="nil"/>
            </w:tcBorders>
            <w:shd w:val="clear" w:color="000000" w:fill="FFFFFF"/>
          </w:tcPr>
          <w:p w14:paraId="40569B8A"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(124)</w:t>
            </w:r>
          </w:p>
        </w:tc>
        <w:tc>
          <w:tcPr>
            <w:tcW w:w="845" w:type="dxa"/>
            <w:tcBorders>
              <w:top w:val="nil"/>
              <w:left w:val="nil"/>
              <w:bottom w:val="single" w:sz="12" w:space="0" w:color="auto"/>
              <w:right w:val="nil"/>
            </w:tcBorders>
            <w:shd w:val="clear" w:color="000000" w:fill="FFFFFF"/>
          </w:tcPr>
          <w:p w14:paraId="5599C5AA"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(216)</w:t>
            </w:r>
          </w:p>
        </w:tc>
      </w:tr>
      <w:tr w:rsidR="008D6F13" w:rsidRPr="00781757" w14:paraId="7B409D97"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top w:val="single" w:sz="12" w:space="0" w:color="auto"/>
            </w:tcBorders>
          </w:tcPr>
          <w:p w14:paraId="5E919EA2" w14:textId="77777777" w:rsidR="008D6F13" w:rsidRPr="00D412FE" w:rsidRDefault="008D6F13" w:rsidP="0031078F">
            <w:pPr>
              <w:keepLines w:val="0"/>
              <w:autoSpaceDE w:val="0"/>
              <w:autoSpaceDN w:val="0"/>
              <w:adjustRightInd w:val="0"/>
              <w:rPr>
                <w:rFonts w:eastAsiaTheme="minorEastAsia" w:cs="Calibri"/>
                <w:b/>
                <w:bCs/>
                <w:szCs w:val="17"/>
                <w:lang w:eastAsia="en-AU"/>
              </w:rPr>
            </w:pPr>
            <w:r w:rsidRPr="00D412FE">
              <w:rPr>
                <w:rFonts w:eastAsiaTheme="minorEastAsia" w:cs="Calibri"/>
                <w:b/>
                <w:bCs/>
                <w:szCs w:val="17"/>
                <w:lang w:eastAsia="en-AU"/>
              </w:rPr>
              <w:t xml:space="preserve">Average weekly earnings </w:t>
            </w:r>
            <w:r w:rsidRPr="00D412FE">
              <w:rPr>
                <w:rFonts w:eastAsiaTheme="minorEastAsia" w:cs="Calibri"/>
                <w:b/>
                <w:bCs/>
                <w:szCs w:val="17"/>
                <w:vertAlign w:val="superscript"/>
                <w:lang w:eastAsia="en-AU"/>
              </w:rPr>
              <w:t>(h)</w:t>
            </w:r>
          </w:p>
        </w:tc>
        <w:tc>
          <w:tcPr>
            <w:tcW w:w="844" w:type="dxa"/>
            <w:tcBorders>
              <w:top w:val="single" w:sz="12" w:space="0" w:color="auto"/>
              <w:left w:val="nil"/>
              <w:bottom w:val="nil"/>
              <w:right w:val="nil"/>
            </w:tcBorders>
            <w:shd w:val="clear" w:color="auto" w:fill="auto"/>
          </w:tcPr>
          <w:p w14:paraId="137F97A1"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c>
          <w:tcPr>
            <w:tcW w:w="844" w:type="dxa"/>
            <w:tcBorders>
              <w:top w:val="single" w:sz="12" w:space="0" w:color="auto"/>
              <w:left w:val="nil"/>
              <w:bottom w:val="nil"/>
              <w:right w:val="nil"/>
            </w:tcBorders>
            <w:shd w:val="clear" w:color="auto" w:fill="auto"/>
          </w:tcPr>
          <w:p w14:paraId="20E8A8BF"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c>
          <w:tcPr>
            <w:tcW w:w="845" w:type="dxa"/>
            <w:tcBorders>
              <w:top w:val="single" w:sz="12" w:space="0" w:color="auto"/>
              <w:left w:val="nil"/>
              <w:bottom w:val="nil"/>
              <w:right w:val="nil"/>
            </w:tcBorders>
            <w:shd w:val="clear" w:color="auto" w:fill="auto"/>
          </w:tcPr>
          <w:p w14:paraId="189E7624"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c>
          <w:tcPr>
            <w:tcW w:w="845" w:type="dxa"/>
            <w:tcBorders>
              <w:top w:val="single" w:sz="12" w:space="0" w:color="auto"/>
              <w:left w:val="nil"/>
              <w:bottom w:val="nil"/>
              <w:right w:val="nil"/>
            </w:tcBorders>
            <w:shd w:val="clear" w:color="auto" w:fill="auto"/>
          </w:tcPr>
          <w:p w14:paraId="1226F2E3"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r>
      <w:tr w:rsidR="008D6F13" w:rsidRPr="00781757" w14:paraId="07847007" w14:textId="77777777" w:rsidTr="00A51211">
        <w:tc>
          <w:tcPr>
            <w:cnfStyle w:val="001000000000" w:firstRow="0" w:lastRow="0" w:firstColumn="1" w:lastColumn="0" w:oddVBand="0" w:evenVBand="0" w:oddHBand="0" w:evenHBand="0" w:firstRowFirstColumn="0" w:firstRowLastColumn="0" w:lastRowFirstColumn="0" w:lastRowLastColumn="0"/>
            <w:tcW w:w="4333" w:type="dxa"/>
          </w:tcPr>
          <w:p w14:paraId="78EAB3B8" w14:textId="77777777" w:rsidR="008D6F13" w:rsidRPr="00D412FE" w:rsidRDefault="008D6F13" w:rsidP="0031078F">
            <w:pPr>
              <w:keepLines w:val="0"/>
              <w:autoSpaceDE w:val="0"/>
              <w:autoSpaceDN w:val="0"/>
              <w:adjustRightInd w:val="0"/>
              <w:rPr>
                <w:rFonts w:eastAsiaTheme="minorEastAsia" w:cs="Calibri"/>
                <w:szCs w:val="17"/>
                <w:lang w:eastAsia="en-AU"/>
              </w:rPr>
            </w:pPr>
            <w:r w:rsidRPr="00D412FE">
              <w:rPr>
                <w:rFonts w:eastAsiaTheme="minorEastAsia" w:cs="Calibri"/>
                <w:szCs w:val="17"/>
                <w:lang w:eastAsia="en-AU"/>
              </w:rPr>
              <w:t>Income from transactions</w:t>
            </w:r>
          </w:p>
        </w:tc>
        <w:tc>
          <w:tcPr>
            <w:tcW w:w="844" w:type="dxa"/>
            <w:tcBorders>
              <w:top w:val="nil"/>
              <w:left w:val="nil"/>
              <w:bottom w:val="nil"/>
              <w:right w:val="nil"/>
            </w:tcBorders>
            <w:shd w:val="clear" w:color="000000" w:fill="FFFFFF"/>
          </w:tcPr>
          <w:p w14:paraId="5EFDA270"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9B6C67">
              <w:t>90</w:t>
            </w:r>
          </w:p>
        </w:tc>
        <w:tc>
          <w:tcPr>
            <w:tcW w:w="844" w:type="dxa"/>
            <w:tcBorders>
              <w:top w:val="nil"/>
              <w:left w:val="nil"/>
              <w:bottom w:val="nil"/>
              <w:right w:val="nil"/>
            </w:tcBorders>
            <w:shd w:val="clear" w:color="000000" w:fill="FFFFFF"/>
          </w:tcPr>
          <w:p w14:paraId="434D819F"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9B6C67">
              <w:t>104</w:t>
            </w:r>
          </w:p>
        </w:tc>
        <w:tc>
          <w:tcPr>
            <w:tcW w:w="845" w:type="dxa"/>
            <w:tcBorders>
              <w:top w:val="nil"/>
              <w:left w:val="nil"/>
              <w:bottom w:val="nil"/>
              <w:right w:val="nil"/>
            </w:tcBorders>
            <w:shd w:val="clear" w:color="000000" w:fill="FFFFFF"/>
          </w:tcPr>
          <w:p w14:paraId="0F728FED"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9B6C67">
              <w:t>112</w:t>
            </w:r>
          </w:p>
        </w:tc>
        <w:tc>
          <w:tcPr>
            <w:tcW w:w="845" w:type="dxa"/>
            <w:tcBorders>
              <w:top w:val="nil"/>
              <w:left w:val="nil"/>
              <w:bottom w:val="nil"/>
              <w:right w:val="nil"/>
            </w:tcBorders>
            <w:shd w:val="clear" w:color="000000" w:fill="FFFFFF"/>
          </w:tcPr>
          <w:p w14:paraId="39081E70"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9B6C67">
              <w:t>117</w:t>
            </w:r>
          </w:p>
        </w:tc>
      </w:tr>
      <w:tr w:rsidR="008D6F13" w:rsidRPr="00781757" w14:paraId="67EC3B53"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bottom w:val="single" w:sz="6" w:space="0" w:color="000000" w:themeColor="text1"/>
            </w:tcBorders>
          </w:tcPr>
          <w:p w14:paraId="7ECA7F00" w14:textId="77777777" w:rsidR="008D6F13" w:rsidRPr="00D412FE" w:rsidRDefault="008D6F13" w:rsidP="0031078F">
            <w:pPr>
              <w:keepLines w:val="0"/>
              <w:autoSpaceDE w:val="0"/>
              <w:autoSpaceDN w:val="0"/>
              <w:adjustRightInd w:val="0"/>
              <w:rPr>
                <w:rFonts w:eastAsiaTheme="minorEastAsia" w:cs="Calibri"/>
                <w:szCs w:val="17"/>
                <w:lang w:eastAsia="en-AU"/>
              </w:rPr>
            </w:pPr>
            <w:r w:rsidRPr="00D412FE">
              <w:rPr>
                <w:rFonts w:eastAsiaTheme="minorEastAsia" w:cs="Calibri"/>
                <w:szCs w:val="17"/>
                <w:lang w:eastAsia="en-AU"/>
              </w:rPr>
              <w:t>Expenses from transactions</w:t>
            </w:r>
          </w:p>
        </w:tc>
        <w:tc>
          <w:tcPr>
            <w:tcW w:w="844" w:type="dxa"/>
            <w:tcBorders>
              <w:top w:val="nil"/>
              <w:left w:val="nil"/>
              <w:bottom w:val="nil"/>
              <w:right w:val="nil"/>
            </w:tcBorders>
            <w:shd w:val="clear" w:color="000000" w:fill="FFFFFF"/>
          </w:tcPr>
          <w:p w14:paraId="397727A0"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9B6C67">
              <w:t>6</w:t>
            </w:r>
          </w:p>
        </w:tc>
        <w:tc>
          <w:tcPr>
            <w:tcW w:w="844" w:type="dxa"/>
            <w:tcBorders>
              <w:top w:val="nil"/>
              <w:left w:val="nil"/>
              <w:bottom w:val="nil"/>
              <w:right w:val="nil"/>
            </w:tcBorders>
            <w:shd w:val="clear" w:color="000000" w:fill="FFFFFF"/>
          </w:tcPr>
          <w:p w14:paraId="2B37EC15"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9B6C67">
              <w:t>2</w:t>
            </w:r>
          </w:p>
        </w:tc>
        <w:tc>
          <w:tcPr>
            <w:tcW w:w="845" w:type="dxa"/>
            <w:tcBorders>
              <w:top w:val="nil"/>
              <w:left w:val="nil"/>
              <w:bottom w:val="nil"/>
              <w:right w:val="nil"/>
            </w:tcBorders>
            <w:shd w:val="clear" w:color="000000" w:fill="FFFFFF"/>
          </w:tcPr>
          <w:p w14:paraId="1B68BBFF"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9B6C67">
              <w:t>(1)</w:t>
            </w:r>
          </w:p>
        </w:tc>
        <w:tc>
          <w:tcPr>
            <w:tcW w:w="845" w:type="dxa"/>
            <w:tcBorders>
              <w:top w:val="nil"/>
              <w:left w:val="nil"/>
              <w:bottom w:val="nil"/>
              <w:right w:val="nil"/>
            </w:tcBorders>
            <w:shd w:val="clear" w:color="000000" w:fill="FFFFFF"/>
          </w:tcPr>
          <w:p w14:paraId="1C00DB5D"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9B6C67">
              <w:t>(4)</w:t>
            </w:r>
          </w:p>
        </w:tc>
      </w:tr>
      <w:tr w:rsidR="008D6F13" w:rsidRPr="00781757" w14:paraId="6EF0D3E1"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top w:val="single" w:sz="6" w:space="0" w:color="000000" w:themeColor="text1"/>
              <w:bottom w:val="nil"/>
            </w:tcBorders>
          </w:tcPr>
          <w:p w14:paraId="6CACD65C" w14:textId="77777777" w:rsidR="008D6F13" w:rsidRPr="00D412FE" w:rsidRDefault="008D6F13" w:rsidP="0031078F">
            <w:pPr>
              <w:keepLines w:val="0"/>
              <w:autoSpaceDE w:val="0"/>
              <w:autoSpaceDN w:val="0"/>
              <w:adjustRightInd w:val="0"/>
              <w:rPr>
                <w:rFonts w:eastAsiaTheme="minorEastAsia" w:cs="Calibri"/>
                <w:b/>
                <w:bCs/>
                <w:szCs w:val="17"/>
                <w:lang w:eastAsia="en-AU"/>
              </w:rPr>
            </w:pPr>
            <w:r w:rsidRPr="00D412FE">
              <w:rPr>
                <w:rFonts w:eastAsiaTheme="minorEastAsia" w:cs="Calibri"/>
                <w:b/>
                <w:bCs/>
                <w:szCs w:val="17"/>
                <w:lang w:eastAsia="en-AU"/>
              </w:rPr>
              <w:t>Net result from transactions</w:t>
            </w:r>
          </w:p>
        </w:tc>
        <w:tc>
          <w:tcPr>
            <w:tcW w:w="844" w:type="dxa"/>
            <w:tcBorders>
              <w:top w:val="single" w:sz="4" w:space="0" w:color="auto"/>
              <w:left w:val="nil"/>
              <w:bottom w:val="nil"/>
              <w:right w:val="nil"/>
            </w:tcBorders>
            <w:shd w:val="clear" w:color="000000" w:fill="FFFFFF"/>
          </w:tcPr>
          <w:p w14:paraId="3DA88740"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85</w:t>
            </w:r>
          </w:p>
        </w:tc>
        <w:tc>
          <w:tcPr>
            <w:tcW w:w="844" w:type="dxa"/>
            <w:tcBorders>
              <w:top w:val="single" w:sz="4" w:space="0" w:color="auto"/>
              <w:left w:val="nil"/>
              <w:bottom w:val="nil"/>
              <w:right w:val="nil"/>
            </w:tcBorders>
            <w:shd w:val="clear" w:color="000000" w:fill="FFFFFF"/>
          </w:tcPr>
          <w:p w14:paraId="05597799"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102</w:t>
            </w:r>
          </w:p>
        </w:tc>
        <w:tc>
          <w:tcPr>
            <w:tcW w:w="845" w:type="dxa"/>
            <w:tcBorders>
              <w:top w:val="single" w:sz="4" w:space="0" w:color="auto"/>
              <w:left w:val="nil"/>
              <w:bottom w:val="nil"/>
              <w:right w:val="nil"/>
            </w:tcBorders>
            <w:shd w:val="clear" w:color="000000" w:fill="FFFFFF"/>
          </w:tcPr>
          <w:p w14:paraId="544DD7C9"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113</w:t>
            </w:r>
          </w:p>
        </w:tc>
        <w:tc>
          <w:tcPr>
            <w:tcW w:w="845" w:type="dxa"/>
            <w:tcBorders>
              <w:top w:val="single" w:sz="4" w:space="0" w:color="auto"/>
              <w:left w:val="nil"/>
              <w:bottom w:val="nil"/>
              <w:right w:val="nil"/>
            </w:tcBorders>
            <w:shd w:val="clear" w:color="000000" w:fill="FFFFFF"/>
          </w:tcPr>
          <w:p w14:paraId="495C247E"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121</w:t>
            </w:r>
          </w:p>
        </w:tc>
      </w:tr>
      <w:tr w:rsidR="008D6F13" w:rsidRPr="00781757" w14:paraId="10D77EC1"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top w:val="nil"/>
              <w:bottom w:val="single" w:sz="12" w:space="0" w:color="auto"/>
            </w:tcBorders>
          </w:tcPr>
          <w:p w14:paraId="27FD6456" w14:textId="77777777" w:rsidR="008D6F13" w:rsidRPr="00D412FE" w:rsidRDefault="008D6F13" w:rsidP="0031078F">
            <w:pPr>
              <w:keepLines w:val="0"/>
              <w:autoSpaceDE w:val="0"/>
              <w:autoSpaceDN w:val="0"/>
              <w:adjustRightInd w:val="0"/>
              <w:rPr>
                <w:rFonts w:eastAsiaTheme="minorEastAsia" w:cs="Calibri"/>
                <w:b/>
                <w:bCs/>
                <w:szCs w:val="17"/>
                <w:lang w:eastAsia="en-AU"/>
              </w:rPr>
            </w:pPr>
            <w:r w:rsidRPr="00D412FE">
              <w:rPr>
                <w:rFonts w:eastAsiaTheme="minorEastAsia" w:cs="Calibri"/>
                <w:b/>
                <w:bCs/>
                <w:szCs w:val="17"/>
                <w:lang w:eastAsia="en-AU"/>
              </w:rPr>
              <w:t>Net debt</w:t>
            </w:r>
          </w:p>
        </w:tc>
        <w:tc>
          <w:tcPr>
            <w:tcW w:w="844" w:type="dxa"/>
            <w:tcBorders>
              <w:top w:val="nil"/>
              <w:left w:val="nil"/>
              <w:bottom w:val="single" w:sz="12" w:space="0" w:color="auto"/>
              <w:right w:val="nil"/>
            </w:tcBorders>
            <w:shd w:val="clear" w:color="000000" w:fill="FFFFFF"/>
          </w:tcPr>
          <w:p w14:paraId="3EFF0BFD"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(85)</w:t>
            </w:r>
          </w:p>
        </w:tc>
        <w:tc>
          <w:tcPr>
            <w:tcW w:w="844" w:type="dxa"/>
            <w:tcBorders>
              <w:top w:val="nil"/>
              <w:left w:val="nil"/>
              <w:bottom w:val="single" w:sz="12" w:space="0" w:color="auto"/>
              <w:right w:val="nil"/>
            </w:tcBorders>
            <w:shd w:val="clear" w:color="000000" w:fill="FFFFFF"/>
          </w:tcPr>
          <w:p w14:paraId="597BAD18"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(187)</w:t>
            </w:r>
          </w:p>
        </w:tc>
        <w:tc>
          <w:tcPr>
            <w:tcW w:w="845" w:type="dxa"/>
            <w:tcBorders>
              <w:top w:val="nil"/>
              <w:left w:val="nil"/>
              <w:bottom w:val="single" w:sz="12" w:space="0" w:color="auto"/>
              <w:right w:val="nil"/>
            </w:tcBorders>
            <w:shd w:val="clear" w:color="000000" w:fill="FFFFFF"/>
          </w:tcPr>
          <w:p w14:paraId="78AC56CB"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(300)</w:t>
            </w:r>
          </w:p>
        </w:tc>
        <w:tc>
          <w:tcPr>
            <w:tcW w:w="845" w:type="dxa"/>
            <w:tcBorders>
              <w:top w:val="nil"/>
              <w:left w:val="nil"/>
              <w:bottom w:val="single" w:sz="12" w:space="0" w:color="auto"/>
              <w:right w:val="nil"/>
            </w:tcBorders>
            <w:shd w:val="clear" w:color="000000" w:fill="FFFFFF"/>
          </w:tcPr>
          <w:p w14:paraId="068AAB3A"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(421)</w:t>
            </w:r>
          </w:p>
        </w:tc>
      </w:tr>
      <w:tr w:rsidR="008D6F13" w:rsidRPr="00781757" w14:paraId="0E4C9709"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top w:val="single" w:sz="12" w:space="0" w:color="auto"/>
            </w:tcBorders>
          </w:tcPr>
          <w:p w14:paraId="36266BCF" w14:textId="77777777" w:rsidR="008D6F13" w:rsidRPr="00D412FE" w:rsidRDefault="008D6F13" w:rsidP="0031078F">
            <w:pPr>
              <w:keepLines w:val="0"/>
              <w:autoSpaceDE w:val="0"/>
              <w:autoSpaceDN w:val="0"/>
              <w:adjustRightInd w:val="0"/>
              <w:rPr>
                <w:rFonts w:eastAsiaTheme="minorEastAsia" w:cs="Calibri"/>
                <w:b/>
                <w:bCs/>
                <w:szCs w:val="17"/>
                <w:lang w:eastAsia="en-AU"/>
              </w:rPr>
            </w:pPr>
            <w:r w:rsidRPr="00D412FE">
              <w:rPr>
                <w:rFonts w:eastAsiaTheme="minorEastAsia" w:cs="Calibri"/>
                <w:b/>
                <w:bCs/>
                <w:szCs w:val="17"/>
                <w:lang w:eastAsia="en-AU"/>
              </w:rPr>
              <w:t xml:space="preserve">Total employee expenses </w:t>
            </w:r>
          </w:p>
        </w:tc>
        <w:tc>
          <w:tcPr>
            <w:tcW w:w="844" w:type="dxa"/>
            <w:tcBorders>
              <w:top w:val="single" w:sz="12" w:space="0" w:color="auto"/>
              <w:left w:val="nil"/>
              <w:bottom w:val="nil"/>
              <w:right w:val="nil"/>
            </w:tcBorders>
            <w:shd w:val="clear" w:color="auto" w:fill="auto"/>
          </w:tcPr>
          <w:p w14:paraId="7B02B8CA"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c>
          <w:tcPr>
            <w:tcW w:w="844" w:type="dxa"/>
            <w:tcBorders>
              <w:top w:val="single" w:sz="12" w:space="0" w:color="auto"/>
              <w:left w:val="nil"/>
              <w:bottom w:val="nil"/>
              <w:right w:val="nil"/>
            </w:tcBorders>
            <w:shd w:val="clear" w:color="auto" w:fill="auto"/>
          </w:tcPr>
          <w:p w14:paraId="3278205C"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c>
          <w:tcPr>
            <w:tcW w:w="845" w:type="dxa"/>
            <w:tcBorders>
              <w:top w:val="single" w:sz="12" w:space="0" w:color="auto"/>
              <w:left w:val="nil"/>
              <w:bottom w:val="nil"/>
              <w:right w:val="nil"/>
            </w:tcBorders>
            <w:shd w:val="clear" w:color="auto" w:fill="auto"/>
          </w:tcPr>
          <w:p w14:paraId="457E3061"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c>
          <w:tcPr>
            <w:tcW w:w="845" w:type="dxa"/>
            <w:tcBorders>
              <w:top w:val="single" w:sz="12" w:space="0" w:color="auto"/>
              <w:left w:val="nil"/>
              <w:bottom w:val="nil"/>
              <w:right w:val="nil"/>
            </w:tcBorders>
            <w:shd w:val="clear" w:color="auto" w:fill="auto"/>
          </w:tcPr>
          <w:p w14:paraId="1512D39B"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r>
      <w:tr w:rsidR="008D6F13" w:rsidRPr="00781757" w14:paraId="0B99384B" w14:textId="77777777" w:rsidTr="00A51211">
        <w:tc>
          <w:tcPr>
            <w:cnfStyle w:val="001000000000" w:firstRow="0" w:lastRow="0" w:firstColumn="1" w:lastColumn="0" w:oddVBand="0" w:evenVBand="0" w:oddHBand="0" w:evenHBand="0" w:firstRowFirstColumn="0" w:firstRowLastColumn="0" w:lastRowFirstColumn="0" w:lastRowLastColumn="0"/>
            <w:tcW w:w="4333" w:type="dxa"/>
          </w:tcPr>
          <w:p w14:paraId="2B4AF0D0" w14:textId="77777777" w:rsidR="008D6F13" w:rsidRPr="00D412FE" w:rsidRDefault="008D6F13" w:rsidP="0031078F">
            <w:pPr>
              <w:keepLines w:val="0"/>
              <w:autoSpaceDE w:val="0"/>
              <w:autoSpaceDN w:val="0"/>
              <w:adjustRightInd w:val="0"/>
              <w:rPr>
                <w:rFonts w:eastAsiaTheme="minorEastAsia" w:cs="Calibri"/>
                <w:szCs w:val="17"/>
                <w:lang w:eastAsia="en-AU"/>
              </w:rPr>
            </w:pPr>
            <w:r w:rsidRPr="00D412FE">
              <w:rPr>
                <w:rFonts w:eastAsiaTheme="minorEastAsia" w:cs="Calibri"/>
                <w:szCs w:val="17"/>
                <w:lang w:eastAsia="en-AU"/>
              </w:rPr>
              <w:t>Income from transactions</w:t>
            </w:r>
          </w:p>
        </w:tc>
        <w:tc>
          <w:tcPr>
            <w:tcW w:w="844" w:type="dxa"/>
            <w:tcBorders>
              <w:top w:val="nil"/>
              <w:left w:val="nil"/>
              <w:bottom w:val="nil"/>
              <w:right w:val="nil"/>
            </w:tcBorders>
            <w:shd w:val="clear" w:color="000000" w:fill="FFFFFF"/>
            <w:vAlign w:val="bottom"/>
          </w:tcPr>
          <w:p w14:paraId="75052C68"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pPr>
            <w:r w:rsidRPr="00B655F9">
              <w:t>..</w:t>
            </w:r>
          </w:p>
        </w:tc>
        <w:tc>
          <w:tcPr>
            <w:tcW w:w="844" w:type="dxa"/>
            <w:tcBorders>
              <w:top w:val="nil"/>
              <w:left w:val="nil"/>
              <w:bottom w:val="nil"/>
              <w:right w:val="nil"/>
            </w:tcBorders>
            <w:shd w:val="clear" w:color="000000" w:fill="FFFFFF"/>
            <w:vAlign w:val="bottom"/>
          </w:tcPr>
          <w:p w14:paraId="6285919B"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pPr>
            <w:r w:rsidRPr="00B655F9">
              <w:t>33</w:t>
            </w:r>
          </w:p>
        </w:tc>
        <w:tc>
          <w:tcPr>
            <w:tcW w:w="845" w:type="dxa"/>
            <w:tcBorders>
              <w:top w:val="nil"/>
              <w:left w:val="nil"/>
              <w:bottom w:val="nil"/>
              <w:right w:val="nil"/>
            </w:tcBorders>
            <w:shd w:val="clear" w:color="000000" w:fill="FFFFFF"/>
            <w:vAlign w:val="bottom"/>
          </w:tcPr>
          <w:p w14:paraId="392FE304"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pPr>
            <w:r w:rsidRPr="00B655F9">
              <w:t>116</w:t>
            </w:r>
          </w:p>
        </w:tc>
        <w:tc>
          <w:tcPr>
            <w:tcW w:w="845" w:type="dxa"/>
            <w:tcBorders>
              <w:top w:val="nil"/>
              <w:left w:val="nil"/>
              <w:bottom w:val="nil"/>
              <w:right w:val="nil"/>
            </w:tcBorders>
            <w:shd w:val="clear" w:color="000000" w:fill="FFFFFF"/>
            <w:vAlign w:val="bottom"/>
          </w:tcPr>
          <w:p w14:paraId="7D24E605"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pPr>
            <w:r w:rsidRPr="00B655F9">
              <w:t>126</w:t>
            </w:r>
          </w:p>
        </w:tc>
      </w:tr>
      <w:tr w:rsidR="008D6F13" w:rsidRPr="00781757" w14:paraId="401FC526"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bottom w:val="single" w:sz="6" w:space="0" w:color="000000" w:themeColor="text1"/>
            </w:tcBorders>
          </w:tcPr>
          <w:p w14:paraId="10114D12" w14:textId="77777777" w:rsidR="008D6F13" w:rsidRPr="00D412FE" w:rsidRDefault="008D6F13" w:rsidP="0031078F">
            <w:pPr>
              <w:keepLines w:val="0"/>
              <w:autoSpaceDE w:val="0"/>
              <w:autoSpaceDN w:val="0"/>
              <w:adjustRightInd w:val="0"/>
              <w:rPr>
                <w:rFonts w:eastAsiaTheme="minorEastAsia" w:cs="Calibri"/>
                <w:szCs w:val="17"/>
                <w:lang w:eastAsia="en-AU"/>
              </w:rPr>
            </w:pPr>
            <w:r w:rsidRPr="00D412FE">
              <w:rPr>
                <w:rFonts w:eastAsiaTheme="minorEastAsia" w:cs="Calibri"/>
                <w:szCs w:val="17"/>
                <w:lang w:eastAsia="en-AU"/>
              </w:rPr>
              <w:t>Expenses from transactions</w:t>
            </w:r>
          </w:p>
        </w:tc>
        <w:tc>
          <w:tcPr>
            <w:tcW w:w="844" w:type="dxa"/>
            <w:tcBorders>
              <w:top w:val="nil"/>
              <w:left w:val="nil"/>
              <w:bottom w:val="nil"/>
              <w:right w:val="nil"/>
            </w:tcBorders>
            <w:shd w:val="clear" w:color="000000" w:fill="FFFFFF"/>
            <w:vAlign w:val="bottom"/>
          </w:tcPr>
          <w:p w14:paraId="02C66B62"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pPr>
            <w:r w:rsidRPr="00B655F9">
              <w:t>331</w:t>
            </w:r>
          </w:p>
        </w:tc>
        <w:tc>
          <w:tcPr>
            <w:tcW w:w="844" w:type="dxa"/>
            <w:tcBorders>
              <w:top w:val="nil"/>
              <w:left w:val="nil"/>
              <w:bottom w:val="nil"/>
              <w:right w:val="nil"/>
            </w:tcBorders>
            <w:shd w:val="clear" w:color="000000" w:fill="FFFFFF"/>
            <w:vAlign w:val="bottom"/>
          </w:tcPr>
          <w:p w14:paraId="111238CA"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pPr>
            <w:r w:rsidRPr="00B655F9">
              <w:t>341</w:t>
            </w:r>
          </w:p>
        </w:tc>
        <w:tc>
          <w:tcPr>
            <w:tcW w:w="845" w:type="dxa"/>
            <w:tcBorders>
              <w:top w:val="nil"/>
              <w:left w:val="nil"/>
              <w:bottom w:val="nil"/>
              <w:right w:val="nil"/>
            </w:tcBorders>
            <w:shd w:val="clear" w:color="000000" w:fill="FFFFFF"/>
            <w:vAlign w:val="bottom"/>
          </w:tcPr>
          <w:p w14:paraId="03195AFB"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pPr>
            <w:r w:rsidRPr="00B655F9">
              <w:t>356</w:t>
            </w:r>
          </w:p>
        </w:tc>
        <w:tc>
          <w:tcPr>
            <w:tcW w:w="845" w:type="dxa"/>
            <w:tcBorders>
              <w:top w:val="nil"/>
              <w:left w:val="nil"/>
              <w:bottom w:val="nil"/>
              <w:right w:val="nil"/>
            </w:tcBorders>
            <w:shd w:val="clear" w:color="000000" w:fill="FFFFFF"/>
            <w:vAlign w:val="bottom"/>
          </w:tcPr>
          <w:p w14:paraId="7EC3FF22"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pPr>
            <w:r w:rsidRPr="00B655F9">
              <w:t>372</w:t>
            </w:r>
          </w:p>
        </w:tc>
      </w:tr>
      <w:tr w:rsidR="008D6F13" w:rsidRPr="005F1622" w14:paraId="1B5E730E"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top w:val="single" w:sz="6" w:space="0" w:color="000000" w:themeColor="text1"/>
              <w:bottom w:val="nil"/>
            </w:tcBorders>
          </w:tcPr>
          <w:p w14:paraId="1DDB0EB6" w14:textId="77777777" w:rsidR="008D6F13" w:rsidRPr="00D412FE" w:rsidRDefault="008D6F13" w:rsidP="0031078F">
            <w:pPr>
              <w:keepLines w:val="0"/>
              <w:autoSpaceDE w:val="0"/>
              <w:autoSpaceDN w:val="0"/>
              <w:adjustRightInd w:val="0"/>
              <w:rPr>
                <w:rFonts w:eastAsiaTheme="minorEastAsia" w:cs="Calibri"/>
                <w:b/>
                <w:bCs/>
                <w:szCs w:val="17"/>
                <w:lang w:eastAsia="en-AU"/>
              </w:rPr>
            </w:pPr>
            <w:r w:rsidRPr="00D412FE">
              <w:rPr>
                <w:rFonts w:eastAsiaTheme="minorEastAsia" w:cs="Calibri"/>
                <w:b/>
                <w:bCs/>
                <w:szCs w:val="17"/>
                <w:lang w:eastAsia="en-AU"/>
              </w:rPr>
              <w:t>Net result from transactions</w:t>
            </w:r>
          </w:p>
        </w:tc>
        <w:tc>
          <w:tcPr>
            <w:tcW w:w="844" w:type="dxa"/>
            <w:tcBorders>
              <w:top w:val="single" w:sz="4" w:space="0" w:color="auto"/>
              <w:left w:val="nil"/>
              <w:bottom w:val="nil"/>
              <w:right w:val="nil"/>
            </w:tcBorders>
            <w:shd w:val="clear" w:color="000000" w:fill="FFFFFF"/>
            <w:vAlign w:val="bottom"/>
          </w:tcPr>
          <w:p w14:paraId="77D00FAA"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rPr>
            </w:pPr>
            <w:r w:rsidRPr="00B655F9">
              <w:rPr>
                <w:b/>
                <w:bCs/>
              </w:rPr>
              <w:t>(331)</w:t>
            </w:r>
          </w:p>
        </w:tc>
        <w:tc>
          <w:tcPr>
            <w:tcW w:w="844" w:type="dxa"/>
            <w:tcBorders>
              <w:top w:val="single" w:sz="4" w:space="0" w:color="auto"/>
              <w:left w:val="nil"/>
              <w:bottom w:val="nil"/>
              <w:right w:val="nil"/>
            </w:tcBorders>
            <w:shd w:val="clear" w:color="000000" w:fill="FFFFFF"/>
            <w:vAlign w:val="bottom"/>
          </w:tcPr>
          <w:p w14:paraId="03F5EBC4"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rPr>
            </w:pPr>
            <w:r w:rsidRPr="00B655F9">
              <w:rPr>
                <w:b/>
                <w:bCs/>
              </w:rPr>
              <w:t>(309)</w:t>
            </w:r>
          </w:p>
        </w:tc>
        <w:tc>
          <w:tcPr>
            <w:tcW w:w="845" w:type="dxa"/>
            <w:tcBorders>
              <w:top w:val="single" w:sz="4" w:space="0" w:color="auto"/>
              <w:left w:val="nil"/>
              <w:bottom w:val="nil"/>
              <w:right w:val="nil"/>
            </w:tcBorders>
            <w:shd w:val="clear" w:color="000000" w:fill="FFFFFF"/>
            <w:vAlign w:val="bottom"/>
          </w:tcPr>
          <w:p w14:paraId="0C626D30"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rPr>
            </w:pPr>
            <w:r w:rsidRPr="00B655F9">
              <w:rPr>
                <w:b/>
                <w:bCs/>
              </w:rPr>
              <w:t>(240)</w:t>
            </w:r>
          </w:p>
        </w:tc>
        <w:tc>
          <w:tcPr>
            <w:tcW w:w="845" w:type="dxa"/>
            <w:tcBorders>
              <w:top w:val="single" w:sz="4" w:space="0" w:color="auto"/>
              <w:left w:val="nil"/>
              <w:bottom w:val="nil"/>
              <w:right w:val="nil"/>
            </w:tcBorders>
            <w:shd w:val="clear" w:color="000000" w:fill="FFFFFF"/>
            <w:vAlign w:val="bottom"/>
          </w:tcPr>
          <w:p w14:paraId="370379A5"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rPr>
            </w:pPr>
            <w:r w:rsidRPr="00B655F9">
              <w:rPr>
                <w:b/>
                <w:bCs/>
              </w:rPr>
              <w:t>(245)</w:t>
            </w:r>
          </w:p>
        </w:tc>
      </w:tr>
      <w:tr w:rsidR="008D6F13" w:rsidRPr="005F1622" w14:paraId="299736FC" w14:textId="77777777" w:rsidTr="00A5121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3" w:type="dxa"/>
            <w:tcBorders>
              <w:top w:val="nil"/>
              <w:bottom w:val="single" w:sz="12" w:space="0" w:color="auto"/>
            </w:tcBorders>
          </w:tcPr>
          <w:p w14:paraId="117097D6" w14:textId="77777777" w:rsidR="008D6F13" w:rsidRPr="00D412FE" w:rsidRDefault="008D6F13" w:rsidP="0031078F">
            <w:pPr>
              <w:keepLines w:val="0"/>
              <w:autoSpaceDE w:val="0"/>
              <w:autoSpaceDN w:val="0"/>
              <w:adjustRightInd w:val="0"/>
              <w:rPr>
                <w:rFonts w:eastAsiaTheme="minorEastAsia" w:cs="Calibri"/>
                <w:b w:val="0"/>
                <w:bCs/>
                <w:szCs w:val="17"/>
                <w:lang w:eastAsia="en-AU"/>
              </w:rPr>
            </w:pPr>
            <w:r w:rsidRPr="00D412FE">
              <w:rPr>
                <w:rFonts w:eastAsiaTheme="minorEastAsia" w:cs="Calibri"/>
                <w:b w:val="0"/>
                <w:bCs/>
                <w:szCs w:val="17"/>
                <w:lang w:eastAsia="en-AU"/>
              </w:rPr>
              <w:t>Net debt</w:t>
            </w:r>
          </w:p>
        </w:tc>
        <w:tc>
          <w:tcPr>
            <w:tcW w:w="844" w:type="dxa"/>
            <w:tcBorders>
              <w:top w:val="nil"/>
              <w:bottom w:val="single" w:sz="12" w:space="0" w:color="auto"/>
            </w:tcBorders>
            <w:shd w:val="clear" w:color="000000" w:fill="FFFFFF"/>
            <w:vAlign w:val="bottom"/>
          </w:tcPr>
          <w:p w14:paraId="277DA59D" w14:textId="77777777" w:rsidR="008D6F13" w:rsidRPr="00B655F9" w:rsidRDefault="008D6F13" w:rsidP="0031078F">
            <w:pPr>
              <w:cnfStyle w:val="010000000000" w:firstRow="0" w:lastRow="1" w:firstColumn="0" w:lastColumn="0" w:oddVBand="0" w:evenVBand="0" w:oddHBand="0" w:evenHBand="0" w:firstRowFirstColumn="0" w:firstRowLastColumn="0" w:lastRowFirstColumn="0" w:lastRowLastColumn="0"/>
              <w:rPr>
                <w:b w:val="0"/>
                <w:bCs/>
              </w:rPr>
            </w:pPr>
            <w:r w:rsidRPr="00B655F9">
              <w:rPr>
                <w:b w:val="0"/>
                <w:bCs/>
              </w:rPr>
              <w:t>331</w:t>
            </w:r>
          </w:p>
        </w:tc>
        <w:tc>
          <w:tcPr>
            <w:tcW w:w="844" w:type="dxa"/>
            <w:tcBorders>
              <w:top w:val="nil"/>
              <w:bottom w:val="single" w:sz="12" w:space="0" w:color="auto"/>
            </w:tcBorders>
            <w:shd w:val="clear" w:color="000000" w:fill="FFFFFF"/>
            <w:vAlign w:val="bottom"/>
          </w:tcPr>
          <w:p w14:paraId="1A474CB5" w14:textId="77777777" w:rsidR="008D6F13" w:rsidRPr="00B655F9" w:rsidRDefault="008D6F13" w:rsidP="0031078F">
            <w:pPr>
              <w:cnfStyle w:val="010000000000" w:firstRow="0" w:lastRow="1" w:firstColumn="0" w:lastColumn="0" w:oddVBand="0" w:evenVBand="0" w:oddHBand="0" w:evenHBand="0" w:firstRowFirstColumn="0" w:firstRowLastColumn="0" w:lastRowFirstColumn="0" w:lastRowLastColumn="0"/>
              <w:rPr>
                <w:b w:val="0"/>
                <w:bCs/>
              </w:rPr>
            </w:pPr>
            <w:r w:rsidRPr="00B655F9">
              <w:rPr>
                <w:b w:val="0"/>
                <w:bCs/>
              </w:rPr>
              <w:t>640</w:t>
            </w:r>
          </w:p>
        </w:tc>
        <w:tc>
          <w:tcPr>
            <w:tcW w:w="845" w:type="dxa"/>
            <w:tcBorders>
              <w:top w:val="nil"/>
              <w:bottom w:val="single" w:sz="12" w:space="0" w:color="auto"/>
            </w:tcBorders>
            <w:shd w:val="clear" w:color="000000" w:fill="FFFFFF"/>
            <w:vAlign w:val="bottom"/>
          </w:tcPr>
          <w:p w14:paraId="3C5678F9" w14:textId="77777777" w:rsidR="008D6F13" w:rsidRPr="00B655F9" w:rsidRDefault="008D6F13" w:rsidP="0031078F">
            <w:pPr>
              <w:cnfStyle w:val="010000000000" w:firstRow="0" w:lastRow="1" w:firstColumn="0" w:lastColumn="0" w:oddVBand="0" w:evenVBand="0" w:oddHBand="0" w:evenHBand="0" w:firstRowFirstColumn="0" w:firstRowLastColumn="0" w:lastRowFirstColumn="0" w:lastRowLastColumn="0"/>
              <w:rPr>
                <w:b w:val="0"/>
                <w:bCs/>
              </w:rPr>
            </w:pPr>
            <w:r w:rsidRPr="00B655F9">
              <w:rPr>
                <w:b w:val="0"/>
                <w:bCs/>
              </w:rPr>
              <w:t>880</w:t>
            </w:r>
          </w:p>
        </w:tc>
        <w:tc>
          <w:tcPr>
            <w:tcW w:w="845" w:type="dxa"/>
            <w:tcBorders>
              <w:top w:val="nil"/>
              <w:bottom w:val="single" w:sz="12" w:space="0" w:color="auto"/>
            </w:tcBorders>
            <w:shd w:val="clear" w:color="000000" w:fill="FFFFFF"/>
            <w:vAlign w:val="bottom"/>
          </w:tcPr>
          <w:p w14:paraId="5C6BAB4B" w14:textId="77777777" w:rsidR="008D6F13" w:rsidRPr="00B655F9" w:rsidRDefault="008D6F13" w:rsidP="0031078F">
            <w:pPr>
              <w:cnfStyle w:val="010000000000" w:firstRow="0" w:lastRow="1" w:firstColumn="0" w:lastColumn="0" w:oddVBand="0" w:evenVBand="0" w:oddHBand="0" w:evenHBand="0" w:firstRowFirstColumn="0" w:firstRowLastColumn="0" w:lastRowFirstColumn="0" w:lastRowLastColumn="0"/>
              <w:rPr>
                <w:b w:val="0"/>
                <w:bCs/>
              </w:rPr>
            </w:pPr>
            <w:r w:rsidRPr="00B655F9">
              <w:rPr>
                <w:b w:val="0"/>
                <w:bCs/>
              </w:rPr>
              <w:t>1126</w:t>
            </w:r>
          </w:p>
        </w:tc>
      </w:tr>
    </w:tbl>
    <w:p w14:paraId="26AAB027" w14:textId="09B4FD27" w:rsidR="00A51211" w:rsidRDefault="00A51211"/>
    <w:p w14:paraId="1AE710B0" w14:textId="618F6DF5" w:rsidR="00B14515" w:rsidRPr="00781757" w:rsidRDefault="00B14515" w:rsidP="00B14515">
      <w:pPr>
        <w:pStyle w:val="TableHeading"/>
      </w:pPr>
      <w:r>
        <w:lastRenderedPageBreak/>
        <w:t>Table D</w:t>
      </w:r>
      <w:r w:rsidRPr="00781757">
        <w:t>.</w:t>
      </w:r>
      <w:r>
        <w:t>3</w:t>
      </w:r>
      <w:r w:rsidRPr="00781757">
        <w:t>:</w:t>
      </w:r>
      <w:r w:rsidRPr="00781757">
        <w:tab/>
        <w:t>Sensitivity of key fiscal aggregates to selected indicators being</w:t>
      </w:r>
      <w:r w:rsidRPr="00781757">
        <w:br/>
        <w:t>1</w:t>
      </w:r>
      <w:r>
        <w:t> per cent</w:t>
      </w:r>
      <w:r w:rsidRPr="00781757">
        <w:t xml:space="preserve"> higher than expected from 20</w:t>
      </w:r>
      <w:r>
        <w:t>21</w:t>
      </w:r>
      <w:r w:rsidRPr="00781757">
        <w:t>-2</w:t>
      </w:r>
      <w:r>
        <w:t>2</w:t>
      </w:r>
      <w:r w:rsidRPr="00781757">
        <w:rPr>
          <w:vertAlign w:val="superscript"/>
        </w:rPr>
        <w:t xml:space="preserve"> </w:t>
      </w:r>
      <w:r w:rsidRPr="00B14515">
        <w:rPr>
          <w:i/>
          <w:iCs/>
        </w:rPr>
        <w:t>(continued)</w:t>
      </w:r>
      <w:r w:rsidRPr="00781757">
        <w:rPr>
          <w:vertAlign w:val="superscript"/>
        </w:rPr>
        <w:t xml:space="preserve"> </w:t>
      </w:r>
      <w:r w:rsidRPr="00781757">
        <w:rPr>
          <w:vertAlign w:val="superscript"/>
        </w:rPr>
        <w:tab/>
      </w:r>
      <w:r w:rsidRPr="00781757">
        <w:t>($</w:t>
      </w:r>
      <w:r>
        <w:t> million</w:t>
      </w:r>
      <w:r w:rsidRPr="00781757">
        <w:t>)</w:t>
      </w:r>
    </w:p>
    <w:tbl>
      <w:tblPr>
        <w:tblStyle w:val="DTFTable"/>
        <w:tblW w:w="7711" w:type="dxa"/>
        <w:tblLayout w:type="fixed"/>
        <w:tblLook w:val="06E0" w:firstRow="1" w:lastRow="1" w:firstColumn="1" w:lastColumn="0" w:noHBand="1" w:noVBand="1"/>
      </w:tblPr>
      <w:tblGrid>
        <w:gridCol w:w="4333"/>
        <w:gridCol w:w="844"/>
        <w:gridCol w:w="844"/>
        <w:gridCol w:w="845"/>
        <w:gridCol w:w="845"/>
      </w:tblGrid>
      <w:tr w:rsidR="00B14515" w:rsidRPr="00781757" w14:paraId="3F683FAE" w14:textId="77777777" w:rsidTr="00B145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33" w:type="dxa"/>
          </w:tcPr>
          <w:p w14:paraId="2D77ED4E" w14:textId="77777777" w:rsidR="00B14515" w:rsidRPr="00781757" w:rsidRDefault="00B14515" w:rsidP="005A7369">
            <w:pPr>
              <w:keepLines w:val="0"/>
              <w:autoSpaceDE w:val="0"/>
              <w:autoSpaceDN w:val="0"/>
              <w:adjustRightInd w:val="0"/>
              <w:ind w:left="0" w:firstLine="0"/>
              <w:rPr>
                <w:szCs w:val="17"/>
              </w:rPr>
            </w:pPr>
          </w:p>
        </w:tc>
        <w:tc>
          <w:tcPr>
            <w:tcW w:w="844" w:type="dxa"/>
          </w:tcPr>
          <w:p w14:paraId="6CD79A1B" w14:textId="77777777" w:rsidR="00B14515" w:rsidRPr="00781757" w:rsidRDefault="00B14515" w:rsidP="005A7369">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szCs w:val="17"/>
                <w:lang w:eastAsia="en-AU"/>
              </w:rPr>
            </w:pPr>
            <w:r w:rsidRPr="00781757">
              <w:rPr>
                <w:rFonts w:eastAsiaTheme="minorEastAsia" w:cs="Calibri"/>
                <w:iCs/>
                <w:szCs w:val="17"/>
                <w:lang w:eastAsia="en-AU"/>
              </w:rPr>
              <w:t>20</w:t>
            </w:r>
            <w:r>
              <w:rPr>
                <w:rFonts w:eastAsiaTheme="minorEastAsia" w:cs="Calibri"/>
                <w:iCs/>
                <w:szCs w:val="17"/>
                <w:lang w:eastAsia="en-AU"/>
              </w:rPr>
              <w:t>21</w:t>
            </w:r>
            <w:r w:rsidRPr="00781757">
              <w:rPr>
                <w:rFonts w:eastAsiaTheme="minorEastAsia" w:cs="Calibri"/>
                <w:iCs/>
                <w:szCs w:val="17"/>
                <w:lang w:eastAsia="en-AU"/>
              </w:rPr>
              <w:t>-2</w:t>
            </w:r>
            <w:r>
              <w:rPr>
                <w:rFonts w:eastAsiaTheme="minorEastAsia" w:cs="Calibri"/>
                <w:iCs/>
                <w:szCs w:val="17"/>
                <w:lang w:eastAsia="en-AU"/>
              </w:rPr>
              <w:t>2</w:t>
            </w:r>
          </w:p>
        </w:tc>
        <w:tc>
          <w:tcPr>
            <w:tcW w:w="844" w:type="dxa"/>
          </w:tcPr>
          <w:p w14:paraId="263FF6AB" w14:textId="77777777" w:rsidR="00B14515" w:rsidRPr="00781757" w:rsidRDefault="00B14515" w:rsidP="005A7369">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szCs w:val="17"/>
                <w:lang w:eastAsia="en-AU"/>
              </w:rPr>
            </w:pPr>
            <w:r w:rsidRPr="00781757">
              <w:rPr>
                <w:rFonts w:eastAsiaTheme="minorEastAsia" w:cs="Calibri"/>
                <w:iCs/>
                <w:szCs w:val="17"/>
                <w:lang w:eastAsia="en-AU"/>
              </w:rPr>
              <w:t>202</w:t>
            </w:r>
            <w:r>
              <w:rPr>
                <w:rFonts w:eastAsiaTheme="minorEastAsia" w:cs="Calibri"/>
                <w:iCs/>
                <w:szCs w:val="17"/>
                <w:lang w:eastAsia="en-AU"/>
              </w:rPr>
              <w:t>2</w:t>
            </w:r>
            <w:r w:rsidRPr="00781757">
              <w:rPr>
                <w:rFonts w:eastAsiaTheme="minorEastAsia" w:cs="Calibri"/>
                <w:iCs/>
                <w:szCs w:val="17"/>
                <w:lang w:eastAsia="en-AU"/>
              </w:rPr>
              <w:t>-2</w:t>
            </w:r>
            <w:r>
              <w:rPr>
                <w:rFonts w:eastAsiaTheme="minorEastAsia" w:cs="Calibri"/>
                <w:iCs/>
                <w:szCs w:val="17"/>
                <w:lang w:eastAsia="en-AU"/>
              </w:rPr>
              <w:t>3</w:t>
            </w:r>
          </w:p>
        </w:tc>
        <w:tc>
          <w:tcPr>
            <w:tcW w:w="845" w:type="dxa"/>
          </w:tcPr>
          <w:p w14:paraId="7EE6D782" w14:textId="77777777" w:rsidR="00B14515" w:rsidRPr="00781757" w:rsidRDefault="00B14515" w:rsidP="005A7369">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szCs w:val="17"/>
                <w:lang w:eastAsia="en-AU"/>
              </w:rPr>
            </w:pPr>
            <w:r w:rsidRPr="00781757">
              <w:rPr>
                <w:rFonts w:eastAsiaTheme="minorEastAsia" w:cs="Calibri"/>
                <w:iCs/>
                <w:szCs w:val="17"/>
                <w:lang w:eastAsia="en-AU"/>
              </w:rPr>
              <w:t>202</w:t>
            </w:r>
            <w:r>
              <w:rPr>
                <w:rFonts w:eastAsiaTheme="minorEastAsia" w:cs="Calibri"/>
                <w:iCs/>
                <w:szCs w:val="17"/>
                <w:lang w:eastAsia="en-AU"/>
              </w:rPr>
              <w:t>3</w:t>
            </w:r>
            <w:r w:rsidRPr="00781757">
              <w:rPr>
                <w:rFonts w:eastAsiaTheme="minorEastAsia" w:cs="Calibri"/>
                <w:iCs/>
                <w:szCs w:val="17"/>
                <w:lang w:eastAsia="en-AU"/>
              </w:rPr>
              <w:t>-2</w:t>
            </w:r>
            <w:r>
              <w:rPr>
                <w:rFonts w:eastAsiaTheme="minorEastAsia" w:cs="Calibri"/>
                <w:iCs/>
                <w:szCs w:val="17"/>
                <w:lang w:eastAsia="en-AU"/>
              </w:rPr>
              <w:t>4</w:t>
            </w:r>
          </w:p>
        </w:tc>
        <w:tc>
          <w:tcPr>
            <w:tcW w:w="845" w:type="dxa"/>
          </w:tcPr>
          <w:p w14:paraId="78E68AD0" w14:textId="77777777" w:rsidR="00B14515" w:rsidRPr="00781757" w:rsidRDefault="00B14515" w:rsidP="005A7369">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szCs w:val="17"/>
                <w:lang w:eastAsia="en-AU"/>
              </w:rPr>
            </w:pPr>
            <w:r w:rsidRPr="00781757">
              <w:rPr>
                <w:rFonts w:eastAsiaTheme="minorEastAsia" w:cs="Calibri"/>
                <w:iCs/>
                <w:szCs w:val="17"/>
                <w:lang w:eastAsia="en-AU"/>
              </w:rPr>
              <w:t>202</w:t>
            </w:r>
            <w:r>
              <w:rPr>
                <w:rFonts w:eastAsiaTheme="minorEastAsia" w:cs="Calibri"/>
                <w:iCs/>
                <w:szCs w:val="17"/>
                <w:lang w:eastAsia="en-AU"/>
              </w:rPr>
              <w:t>4</w:t>
            </w:r>
            <w:r w:rsidRPr="00781757">
              <w:rPr>
                <w:rFonts w:eastAsiaTheme="minorEastAsia" w:cs="Calibri"/>
                <w:iCs/>
                <w:szCs w:val="17"/>
                <w:lang w:eastAsia="en-AU"/>
              </w:rPr>
              <w:t>-2</w:t>
            </w:r>
            <w:r>
              <w:rPr>
                <w:rFonts w:eastAsiaTheme="minorEastAsia" w:cs="Calibri"/>
                <w:iCs/>
                <w:szCs w:val="17"/>
                <w:lang w:eastAsia="en-AU"/>
              </w:rPr>
              <w:t>5</w:t>
            </w:r>
          </w:p>
        </w:tc>
      </w:tr>
      <w:tr w:rsidR="00B14515" w:rsidRPr="00781757" w14:paraId="06757026" w14:textId="77777777" w:rsidTr="00B145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33" w:type="dxa"/>
          </w:tcPr>
          <w:p w14:paraId="1D5FC244" w14:textId="77777777" w:rsidR="00B14515" w:rsidRPr="00781757" w:rsidRDefault="00B14515" w:rsidP="005A7369">
            <w:pPr>
              <w:keepLines w:val="0"/>
              <w:autoSpaceDE w:val="0"/>
              <w:autoSpaceDN w:val="0"/>
              <w:adjustRightInd w:val="0"/>
              <w:rPr>
                <w:rFonts w:eastAsiaTheme="minorEastAsia" w:cs="Calibri"/>
                <w:szCs w:val="17"/>
                <w:lang w:eastAsia="en-AU"/>
              </w:rPr>
            </w:pPr>
            <w:r w:rsidRPr="00781757">
              <w:rPr>
                <w:rFonts w:eastAsiaTheme="minorEastAsia" w:cs="Calibri"/>
                <w:szCs w:val="17"/>
                <w:lang w:eastAsia="en-AU"/>
              </w:rPr>
              <w:t xml:space="preserve"> </w:t>
            </w:r>
          </w:p>
        </w:tc>
        <w:tc>
          <w:tcPr>
            <w:tcW w:w="844" w:type="dxa"/>
          </w:tcPr>
          <w:p w14:paraId="7DAC6C30" w14:textId="77777777" w:rsidR="00B14515" w:rsidRPr="00781757" w:rsidRDefault="00B14515" w:rsidP="005A7369">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szCs w:val="17"/>
                <w:lang w:eastAsia="en-AU"/>
              </w:rPr>
            </w:pPr>
            <w:r w:rsidRPr="00781757">
              <w:rPr>
                <w:rFonts w:eastAsiaTheme="minorEastAsia" w:cs="Calibri"/>
                <w:iCs/>
                <w:szCs w:val="17"/>
                <w:lang w:eastAsia="en-AU"/>
              </w:rPr>
              <w:t>estimate</w:t>
            </w:r>
          </w:p>
        </w:tc>
        <w:tc>
          <w:tcPr>
            <w:tcW w:w="844" w:type="dxa"/>
          </w:tcPr>
          <w:p w14:paraId="5ABF6433" w14:textId="77777777" w:rsidR="00B14515" w:rsidRPr="00781757" w:rsidRDefault="00B14515" w:rsidP="005A7369">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szCs w:val="17"/>
                <w:lang w:eastAsia="en-AU"/>
              </w:rPr>
            </w:pPr>
            <w:r w:rsidRPr="00781757">
              <w:rPr>
                <w:rFonts w:eastAsiaTheme="minorEastAsia" w:cs="Calibri"/>
                <w:iCs/>
                <w:szCs w:val="17"/>
                <w:lang w:eastAsia="en-AU"/>
              </w:rPr>
              <w:t>estimate</w:t>
            </w:r>
          </w:p>
        </w:tc>
        <w:tc>
          <w:tcPr>
            <w:tcW w:w="845" w:type="dxa"/>
          </w:tcPr>
          <w:p w14:paraId="7B73CE9E" w14:textId="77777777" w:rsidR="00B14515" w:rsidRPr="00781757" w:rsidRDefault="00B14515" w:rsidP="005A7369">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szCs w:val="17"/>
                <w:lang w:eastAsia="en-AU"/>
              </w:rPr>
            </w:pPr>
            <w:r w:rsidRPr="00781757">
              <w:rPr>
                <w:rFonts w:eastAsiaTheme="minorEastAsia" w:cs="Calibri"/>
                <w:iCs/>
                <w:szCs w:val="17"/>
                <w:lang w:eastAsia="en-AU"/>
              </w:rPr>
              <w:t>estimate</w:t>
            </w:r>
          </w:p>
        </w:tc>
        <w:tc>
          <w:tcPr>
            <w:tcW w:w="845" w:type="dxa"/>
          </w:tcPr>
          <w:p w14:paraId="24CA784A" w14:textId="77777777" w:rsidR="00B14515" w:rsidRPr="00781757" w:rsidRDefault="00B14515" w:rsidP="005A7369">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szCs w:val="17"/>
                <w:lang w:eastAsia="en-AU"/>
              </w:rPr>
            </w:pPr>
            <w:r w:rsidRPr="00781757">
              <w:rPr>
                <w:rFonts w:eastAsiaTheme="minorEastAsia" w:cs="Calibri"/>
                <w:iCs/>
                <w:szCs w:val="17"/>
                <w:lang w:eastAsia="en-AU"/>
              </w:rPr>
              <w:t>estimate</w:t>
            </w:r>
          </w:p>
        </w:tc>
      </w:tr>
      <w:tr w:rsidR="008D6F13" w:rsidRPr="00781757" w14:paraId="7DF0323E"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top w:val="single" w:sz="12" w:space="0" w:color="auto"/>
            </w:tcBorders>
          </w:tcPr>
          <w:p w14:paraId="29253A1D" w14:textId="77777777" w:rsidR="008D6F13" w:rsidRPr="00D412FE" w:rsidRDefault="008D6F13" w:rsidP="00B14515">
            <w:pPr>
              <w:keepNext/>
              <w:keepLines w:val="0"/>
              <w:autoSpaceDE w:val="0"/>
              <w:autoSpaceDN w:val="0"/>
              <w:adjustRightInd w:val="0"/>
              <w:ind w:left="176" w:hanging="176"/>
              <w:rPr>
                <w:rFonts w:eastAsiaTheme="minorEastAsia" w:cs="Calibri"/>
                <w:b/>
                <w:bCs/>
                <w:szCs w:val="17"/>
                <w:lang w:eastAsia="en-AU"/>
              </w:rPr>
            </w:pPr>
            <w:r w:rsidRPr="00D412FE">
              <w:rPr>
                <w:rFonts w:eastAsiaTheme="minorEastAsia" w:cs="Calibri"/>
                <w:b/>
                <w:bCs/>
                <w:szCs w:val="17"/>
                <w:lang w:eastAsia="en-AU"/>
              </w:rPr>
              <w:t xml:space="preserve">Domestic share prices </w:t>
            </w:r>
          </w:p>
        </w:tc>
        <w:tc>
          <w:tcPr>
            <w:tcW w:w="844" w:type="dxa"/>
            <w:tcBorders>
              <w:top w:val="single" w:sz="12" w:space="0" w:color="auto"/>
              <w:left w:val="nil"/>
              <w:bottom w:val="nil"/>
              <w:right w:val="nil"/>
            </w:tcBorders>
            <w:shd w:val="clear" w:color="auto" w:fill="auto"/>
          </w:tcPr>
          <w:p w14:paraId="143338D7"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c>
          <w:tcPr>
            <w:tcW w:w="844" w:type="dxa"/>
            <w:tcBorders>
              <w:top w:val="single" w:sz="12" w:space="0" w:color="auto"/>
              <w:left w:val="nil"/>
              <w:bottom w:val="nil"/>
              <w:right w:val="nil"/>
            </w:tcBorders>
            <w:shd w:val="clear" w:color="auto" w:fill="auto"/>
          </w:tcPr>
          <w:p w14:paraId="0C183C77"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c>
          <w:tcPr>
            <w:tcW w:w="845" w:type="dxa"/>
            <w:tcBorders>
              <w:top w:val="single" w:sz="12" w:space="0" w:color="auto"/>
              <w:left w:val="nil"/>
              <w:bottom w:val="nil"/>
              <w:right w:val="nil"/>
            </w:tcBorders>
            <w:shd w:val="clear" w:color="auto" w:fill="auto"/>
          </w:tcPr>
          <w:p w14:paraId="18D46917"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c>
          <w:tcPr>
            <w:tcW w:w="845" w:type="dxa"/>
            <w:tcBorders>
              <w:top w:val="single" w:sz="12" w:space="0" w:color="auto"/>
              <w:left w:val="nil"/>
              <w:bottom w:val="nil"/>
              <w:right w:val="nil"/>
            </w:tcBorders>
            <w:shd w:val="clear" w:color="auto" w:fill="auto"/>
          </w:tcPr>
          <w:p w14:paraId="27D05240"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r>
      <w:tr w:rsidR="008D6F13" w:rsidRPr="00781757" w14:paraId="321EE7B3" w14:textId="77777777" w:rsidTr="00A51211">
        <w:tc>
          <w:tcPr>
            <w:cnfStyle w:val="001000000000" w:firstRow="0" w:lastRow="0" w:firstColumn="1" w:lastColumn="0" w:oddVBand="0" w:evenVBand="0" w:oddHBand="0" w:evenHBand="0" w:firstRowFirstColumn="0" w:firstRowLastColumn="0" w:lastRowFirstColumn="0" w:lastRowLastColumn="0"/>
            <w:tcW w:w="4333" w:type="dxa"/>
          </w:tcPr>
          <w:p w14:paraId="02C4824B" w14:textId="77777777" w:rsidR="008D6F13" w:rsidRPr="00D412FE" w:rsidRDefault="008D6F13" w:rsidP="0031078F">
            <w:pPr>
              <w:keepNext/>
              <w:keepLines w:val="0"/>
              <w:autoSpaceDE w:val="0"/>
              <w:autoSpaceDN w:val="0"/>
              <w:adjustRightInd w:val="0"/>
              <w:ind w:left="173" w:hanging="173"/>
              <w:rPr>
                <w:rFonts w:eastAsiaTheme="minorEastAsia" w:cs="Calibri"/>
                <w:szCs w:val="17"/>
                <w:lang w:eastAsia="en-AU"/>
              </w:rPr>
            </w:pPr>
            <w:r w:rsidRPr="00D412FE">
              <w:rPr>
                <w:rFonts w:eastAsiaTheme="minorEastAsia" w:cs="Calibri"/>
                <w:szCs w:val="17"/>
                <w:lang w:eastAsia="en-AU"/>
              </w:rPr>
              <w:t>Income from transactions</w:t>
            </w:r>
          </w:p>
        </w:tc>
        <w:tc>
          <w:tcPr>
            <w:tcW w:w="844" w:type="dxa"/>
            <w:tcBorders>
              <w:top w:val="nil"/>
              <w:left w:val="nil"/>
              <w:bottom w:val="nil"/>
              <w:right w:val="nil"/>
            </w:tcBorders>
            <w:shd w:val="clear" w:color="auto" w:fill="auto"/>
          </w:tcPr>
          <w:p w14:paraId="47C71DD6"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C064F4">
              <w:t>..</w:t>
            </w:r>
          </w:p>
        </w:tc>
        <w:tc>
          <w:tcPr>
            <w:tcW w:w="844" w:type="dxa"/>
            <w:tcBorders>
              <w:top w:val="nil"/>
              <w:left w:val="nil"/>
              <w:bottom w:val="nil"/>
              <w:right w:val="nil"/>
            </w:tcBorders>
            <w:shd w:val="clear" w:color="auto" w:fill="auto"/>
          </w:tcPr>
          <w:p w14:paraId="3CD06320"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C064F4">
              <w:t>..</w:t>
            </w:r>
          </w:p>
        </w:tc>
        <w:tc>
          <w:tcPr>
            <w:tcW w:w="845" w:type="dxa"/>
            <w:tcBorders>
              <w:top w:val="nil"/>
              <w:left w:val="nil"/>
              <w:bottom w:val="nil"/>
              <w:right w:val="nil"/>
            </w:tcBorders>
            <w:shd w:val="clear" w:color="auto" w:fill="auto"/>
          </w:tcPr>
          <w:p w14:paraId="21779EF0"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C064F4">
              <w:t>..</w:t>
            </w:r>
          </w:p>
        </w:tc>
        <w:tc>
          <w:tcPr>
            <w:tcW w:w="845" w:type="dxa"/>
            <w:tcBorders>
              <w:top w:val="nil"/>
              <w:left w:val="nil"/>
              <w:bottom w:val="nil"/>
              <w:right w:val="nil"/>
            </w:tcBorders>
            <w:shd w:val="clear" w:color="auto" w:fill="auto"/>
          </w:tcPr>
          <w:p w14:paraId="05192EA3"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C064F4">
              <w:t>..</w:t>
            </w:r>
          </w:p>
        </w:tc>
      </w:tr>
      <w:tr w:rsidR="008D6F13" w:rsidRPr="00781757" w14:paraId="58A13297"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bottom w:val="single" w:sz="6" w:space="0" w:color="000000" w:themeColor="text1"/>
            </w:tcBorders>
          </w:tcPr>
          <w:p w14:paraId="66AB989D" w14:textId="77777777" w:rsidR="008D6F13" w:rsidRPr="00D412FE" w:rsidRDefault="008D6F13" w:rsidP="0031078F">
            <w:pPr>
              <w:keepNext/>
              <w:keepLines w:val="0"/>
              <w:autoSpaceDE w:val="0"/>
              <w:autoSpaceDN w:val="0"/>
              <w:adjustRightInd w:val="0"/>
              <w:ind w:left="173" w:hanging="173"/>
              <w:rPr>
                <w:rFonts w:eastAsiaTheme="minorEastAsia" w:cs="Calibri"/>
                <w:szCs w:val="17"/>
                <w:lang w:eastAsia="en-AU"/>
              </w:rPr>
            </w:pPr>
            <w:r w:rsidRPr="00D412FE">
              <w:rPr>
                <w:rFonts w:eastAsiaTheme="minorEastAsia" w:cs="Calibri"/>
                <w:szCs w:val="17"/>
                <w:lang w:eastAsia="en-AU"/>
              </w:rPr>
              <w:t>Expenses from transactions</w:t>
            </w:r>
          </w:p>
        </w:tc>
        <w:tc>
          <w:tcPr>
            <w:tcW w:w="844" w:type="dxa"/>
            <w:tcBorders>
              <w:top w:val="nil"/>
              <w:left w:val="nil"/>
              <w:bottom w:val="nil"/>
              <w:right w:val="nil"/>
            </w:tcBorders>
            <w:shd w:val="clear" w:color="auto" w:fill="auto"/>
          </w:tcPr>
          <w:p w14:paraId="600AB006"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C064F4">
              <w:t>..</w:t>
            </w:r>
          </w:p>
        </w:tc>
        <w:tc>
          <w:tcPr>
            <w:tcW w:w="844" w:type="dxa"/>
            <w:tcBorders>
              <w:top w:val="nil"/>
              <w:left w:val="nil"/>
              <w:bottom w:val="nil"/>
              <w:right w:val="nil"/>
            </w:tcBorders>
            <w:shd w:val="clear" w:color="auto" w:fill="auto"/>
          </w:tcPr>
          <w:p w14:paraId="150FD317"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C064F4">
              <w:t>..</w:t>
            </w:r>
          </w:p>
        </w:tc>
        <w:tc>
          <w:tcPr>
            <w:tcW w:w="845" w:type="dxa"/>
            <w:tcBorders>
              <w:top w:val="nil"/>
              <w:left w:val="nil"/>
              <w:bottom w:val="nil"/>
              <w:right w:val="nil"/>
            </w:tcBorders>
            <w:shd w:val="clear" w:color="auto" w:fill="auto"/>
          </w:tcPr>
          <w:p w14:paraId="1B21C4F7"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C064F4">
              <w:t>..</w:t>
            </w:r>
          </w:p>
        </w:tc>
        <w:tc>
          <w:tcPr>
            <w:tcW w:w="845" w:type="dxa"/>
            <w:tcBorders>
              <w:top w:val="nil"/>
              <w:left w:val="nil"/>
              <w:bottom w:val="nil"/>
              <w:right w:val="nil"/>
            </w:tcBorders>
            <w:shd w:val="clear" w:color="auto" w:fill="auto"/>
          </w:tcPr>
          <w:p w14:paraId="798E06A0"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C064F4">
              <w:t>..</w:t>
            </w:r>
          </w:p>
        </w:tc>
      </w:tr>
      <w:tr w:rsidR="008D6F13" w:rsidRPr="00781757" w14:paraId="06130DB0"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top w:val="single" w:sz="6" w:space="0" w:color="000000" w:themeColor="text1"/>
              <w:bottom w:val="nil"/>
            </w:tcBorders>
          </w:tcPr>
          <w:p w14:paraId="3B1EBE78" w14:textId="77777777" w:rsidR="008D6F13" w:rsidRPr="00D412FE" w:rsidRDefault="008D6F13" w:rsidP="0031078F">
            <w:pPr>
              <w:keepLines w:val="0"/>
              <w:autoSpaceDE w:val="0"/>
              <w:autoSpaceDN w:val="0"/>
              <w:adjustRightInd w:val="0"/>
              <w:rPr>
                <w:rFonts w:eastAsiaTheme="minorEastAsia" w:cs="Calibri"/>
                <w:b/>
                <w:bCs/>
                <w:szCs w:val="17"/>
                <w:lang w:eastAsia="en-AU"/>
              </w:rPr>
            </w:pPr>
            <w:r w:rsidRPr="00D412FE">
              <w:rPr>
                <w:rFonts w:eastAsiaTheme="minorEastAsia" w:cs="Calibri"/>
                <w:b/>
                <w:bCs/>
                <w:szCs w:val="17"/>
                <w:lang w:eastAsia="en-AU"/>
              </w:rPr>
              <w:t>Net result from transactions</w:t>
            </w:r>
          </w:p>
        </w:tc>
        <w:tc>
          <w:tcPr>
            <w:tcW w:w="844" w:type="dxa"/>
            <w:tcBorders>
              <w:top w:val="single" w:sz="4" w:space="0" w:color="auto"/>
              <w:left w:val="nil"/>
              <w:bottom w:val="nil"/>
              <w:right w:val="nil"/>
            </w:tcBorders>
            <w:shd w:val="clear" w:color="auto" w:fill="auto"/>
          </w:tcPr>
          <w:p w14:paraId="257DE5DA"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w:t>
            </w:r>
          </w:p>
        </w:tc>
        <w:tc>
          <w:tcPr>
            <w:tcW w:w="844" w:type="dxa"/>
            <w:tcBorders>
              <w:top w:val="single" w:sz="4" w:space="0" w:color="auto"/>
              <w:left w:val="nil"/>
              <w:bottom w:val="nil"/>
              <w:right w:val="nil"/>
            </w:tcBorders>
            <w:shd w:val="clear" w:color="auto" w:fill="auto"/>
          </w:tcPr>
          <w:p w14:paraId="69E79104"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w:t>
            </w:r>
          </w:p>
        </w:tc>
        <w:tc>
          <w:tcPr>
            <w:tcW w:w="845" w:type="dxa"/>
            <w:tcBorders>
              <w:top w:val="single" w:sz="4" w:space="0" w:color="auto"/>
              <w:left w:val="nil"/>
              <w:bottom w:val="nil"/>
              <w:right w:val="nil"/>
            </w:tcBorders>
            <w:shd w:val="clear" w:color="auto" w:fill="auto"/>
          </w:tcPr>
          <w:p w14:paraId="73B348D3"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w:t>
            </w:r>
          </w:p>
        </w:tc>
        <w:tc>
          <w:tcPr>
            <w:tcW w:w="845" w:type="dxa"/>
            <w:tcBorders>
              <w:top w:val="single" w:sz="4" w:space="0" w:color="auto"/>
              <w:left w:val="nil"/>
              <w:bottom w:val="nil"/>
              <w:right w:val="nil"/>
            </w:tcBorders>
            <w:shd w:val="clear" w:color="auto" w:fill="auto"/>
          </w:tcPr>
          <w:p w14:paraId="3FFDC8F4"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w:t>
            </w:r>
          </w:p>
        </w:tc>
      </w:tr>
      <w:tr w:rsidR="008D6F13" w:rsidRPr="00781757" w14:paraId="1B6ABC60"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top w:val="nil"/>
              <w:bottom w:val="single" w:sz="6" w:space="0" w:color="auto"/>
            </w:tcBorders>
          </w:tcPr>
          <w:p w14:paraId="2400D2A2" w14:textId="77777777" w:rsidR="008D6F13" w:rsidRPr="00D412FE" w:rsidRDefault="008D6F13" w:rsidP="0031078F">
            <w:pPr>
              <w:keepLines w:val="0"/>
              <w:autoSpaceDE w:val="0"/>
              <w:autoSpaceDN w:val="0"/>
              <w:adjustRightInd w:val="0"/>
              <w:rPr>
                <w:rFonts w:eastAsiaTheme="minorEastAsia" w:cs="Calibri"/>
                <w:b/>
                <w:bCs/>
                <w:szCs w:val="17"/>
                <w:lang w:eastAsia="en-AU"/>
              </w:rPr>
            </w:pPr>
            <w:r w:rsidRPr="00D412FE">
              <w:rPr>
                <w:rFonts w:eastAsiaTheme="minorEastAsia" w:cs="Calibri"/>
                <w:b/>
                <w:bCs/>
                <w:szCs w:val="17"/>
                <w:lang w:eastAsia="en-AU"/>
              </w:rPr>
              <w:t>Net debt</w:t>
            </w:r>
          </w:p>
        </w:tc>
        <w:tc>
          <w:tcPr>
            <w:tcW w:w="844" w:type="dxa"/>
            <w:tcBorders>
              <w:top w:val="nil"/>
              <w:left w:val="nil"/>
              <w:bottom w:val="single" w:sz="6" w:space="0" w:color="auto"/>
              <w:right w:val="nil"/>
            </w:tcBorders>
            <w:shd w:val="clear" w:color="auto" w:fill="auto"/>
          </w:tcPr>
          <w:p w14:paraId="4E9D6572"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w:t>
            </w:r>
          </w:p>
        </w:tc>
        <w:tc>
          <w:tcPr>
            <w:tcW w:w="844" w:type="dxa"/>
            <w:tcBorders>
              <w:top w:val="nil"/>
              <w:left w:val="nil"/>
              <w:bottom w:val="single" w:sz="6" w:space="0" w:color="auto"/>
              <w:right w:val="nil"/>
            </w:tcBorders>
            <w:shd w:val="clear" w:color="auto" w:fill="auto"/>
          </w:tcPr>
          <w:p w14:paraId="0749A307"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w:t>
            </w:r>
          </w:p>
        </w:tc>
        <w:tc>
          <w:tcPr>
            <w:tcW w:w="845" w:type="dxa"/>
            <w:tcBorders>
              <w:top w:val="nil"/>
              <w:left w:val="nil"/>
              <w:bottom w:val="single" w:sz="6" w:space="0" w:color="auto"/>
              <w:right w:val="nil"/>
            </w:tcBorders>
            <w:shd w:val="clear" w:color="auto" w:fill="auto"/>
          </w:tcPr>
          <w:p w14:paraId="2F000A80"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w:t>
            </w:r>
          </w:p>
        </w:tc>
        <w:tc>
          <w:tcPr>
            <w:tcW w:w="845" w:type="dxa"/>
            <w:tcBorders>
              <w:top w:val="nil"/>
              <w:left w:val="nil"/>
              <w:bottom w:val="single" w:sz="6" w:space="0" w:color="auto"/>
              <w:right w:val="nil"/>
            </w:tcBorders>
            <w:shd w:val="clear" w:color="auto" w:fill="auto"/>
          </w:tcPr>
          <w:p w14:paraId="2F9FAADD"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w:t>
            </w:r>
          </w:p>
        </w:tc>
      </w:tr>
      <w:tr w:rsidR="008D6F13" w:rsidRPr="00781757" w14:paraId="2F87BA01"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top w:val="single" w:sz="6" w:space="0" w:color="auto"/>
            </w:tcBorders>
          </w:tcPr>
          <w:p w14:paraId="68C96B6A" w14:textId="77777777" w:rsidR="008D6F13" w:rsidRPr="00D412FE" w:rsidRDefault="008D6F13" w:rsidP="0031078F">
            <w:pPr>
              <w:keepNext/>
              <w:autoSpaceDE w:val="0"/>
              <w:autoSpaceDN w:val="0"/>
              <w:adjustRightInd w:val="0"/>
              <w:rPr>
                <w:rFonts w:eastAsiaTheme="minorEastAsia" w:cs="Calibri"/>
                <w:b/>
                <w:bCs/>
                <w:szCs w:val="17"/>
                <w:lang w:eastAsia="en-AU"/>
              </w:rPr>
            </w:pPr>
            <w:r w:rsidRPr="00D412FE">
              <w:rPr>
                <w:rFonts w:eastAsiaTheme="minorEastAsia" w:cs="Calibri"/>
                <w:b/>
                <w:bCs/>
                <w:szCs w:val="17"/>
                <w:lang w:eastAsia="en-AU"/>
              </w:rPr>
              <w:t xml:space="preserve">Overseas share prices </w:t>
            </w:r>
          </w:p>
        </w:tc>
        <w:tc>
          <w:tcPr>
            <w:tcW w:w="844" w:type="dxa"/>
            <w:tcBorders>
              <w:top w:val="single" w:sz="6" w:space="0" w:color="auto"/>
            </w:tcBorders>
          </w:tcPr>
          <w:p w14:paraId="122AB8B9"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c>
          <w:tcPr>
            <w:tcW w:w="844" w:type="dxa"/>
            <w:tcBorders>
              <w:top w:val="single" w:sz="6" w:space="0" w:color="auto"/>
            </w:tcBorders>
          </w:tcPr>
          <w:p w14:paraId="0BFD4450"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c>
          <w:tcPr>
            <w:tcW w:w="845" w:type="dxa"/>
            <w:tcBorders>
              <w:top w:val="single" w:sz="6" w:space="0" w:color="auto"/>
            </w:tcBorders>
          </w:tcPr>
          <w:p w14:paraId="0E325FE5"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c>
          <w:tcPr>
            <w:tcW w:w="845" w:type="dxa"/>
            <w:tcBorders>
              <w:top w:val="single" w:sz="6" w:space="0" w:color="auto"/>
            </w:tcBorders>
          </w:tcPr>
          <w:p w14:paraId="3D959BD3"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r>
      <w:tr w:rsidR="008D6F13" w:rsidRPr="00781757" w14:paraId="240AC7C0" w14:textId="77777777" w:rsidTr="00A51211">
        <w:tc>
          <w:tcPr>
            <w:cnfStyle w:val="001000000000" w:firstRow="0" w:lastRow="0" w:firstColumn="1" w:lastColumn="0" w:oddVBand="0" w:evenVBand="0" w:oddHBand="0" w:evenHBand="0" w:firstRowFirstColumn="0" w:firstRowLastColumn="0" w:lastRowFirstColumn="0" w:lastRowLastColumn="0"/>
            <w:tcW w:w="4333" w:type="dxa"/>
          </w:tcPr>
          <w:p w14:paraId="04F795BA" w14:textId="77777777" w:rsidR="008D6F13" w:rsidRPr="00D412FE" w:rsidRDefault="008D6F13" w:rsidP="0031078F">
            <w:pPr>
              <w:keepLines w:val="0"/>
              <w:autoSpaceDE w:val="0"/>
              <w:autoSpaceDN w:val="0"/>
              <w:adjustRightInd w:val="0"/>
              <w:rPr>
                <w:rFonts w:eastAsiaTheme="minorEastAsia" w:cs="Calibri"/>
                <w:szCs w:val="17"/>
                <w:lang w:eastAsia="en-AU"/>
              </w:rPr>
            </w:pPr>
            <w:r w:rsidRPr="00D412FE">
              <w:rPr>
                <w:rFonts w:eastAsiaTheme="minorEastAsia" w:cs="Calibri"/>
                <w:szCs w:val="17"/>
                <w:lang w:eastAsia="en-AU"/>
              </w:rPr>
              <w:t>Income from transactions</w:t>
            </w:r>
          </w:p>
        </w:tc>
        <w:tc>
          <w:tcPr>
            <w:tcW w:w="844" w:type="dxa"/>
            <w:tcBorders>
              <w:top w:val="nil"/>
              <w:left w:val="nil"/>
              <w:bottom w:val="nil"/>
              <w:right w:val="nil"/>
            </w:tcBorders>
            <w:shd w:val="clear" w:color="000000" w:fill="FFFFFF"/>
          </w:tcPr>
          <w:p w14:paraId="2937C07C"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C064F4">
              <w:t>..</w:t>
            </w:r>
          </w:p>
        </w:tc>
        <w:tc>
          <w:tcPr>
            <w:tcW w:w="844" w:type="dxa"/>
            <w:tcBorders>
              <w:top w:val="nil"/>
              <w:left w:val="nil"/>
              <w:bottom w:val="nil"/>
              <w:right w:val="nil"/>
            </w:tcBorders>
            <w:shd w:val="clear" w:color="000000" w:fill="FFFFFF"/>
          </w:tcPr>
          <w:p w14:paraId="5AE02C90"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C064F4">
              <w:t>..</w:t>
            </w:r>
          </w:p>
        </w:tc>
        <w:tc>
          <w:tcPr>
            <w:tcW w:w="845" w:type="dxa"/>
            <w:tcBorders>
              <w:top w:val="nil"/>
              <w:left w:val="nil"/>
              <w:bottom w:val="nil"/>
              <w:right w:val="nil"/>
            </w:tcBorders>
            <w:shd w:val="clear" w:color="000000" w:fill="FFFFFF"/>
          </w:tcPr>
          <w:p w14:paraId="651A7025"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C064F4">
              <w:t>..</w:t>
            </w:r>
          </w:p>
        </w:tc>
        <w:tc>
          <w:tcPr>
            <w:tcW w:w="845" w:type="dxa"/>
            <w:tcBorders>
              <w:top w:val="nil"/>
              <w:left w:val="nil"/>
              <w:bottom w:val="nil"/>
              <w:right w:val="nil"/>
            </w:tcBorders>
            <w:shd w:val="clear" w:color="000000" w:fill="FFFFFF"/>
          </w:tcPr>
          <w:p w14:paraId="424D217E"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C064F4">
              <w:t>..</w:t>
            </w:r>
          </w:p>
        </w:tc>
      </w:tr>
      <w:tr w:rsidR="008D6F13" w:rsidRPr="00781757" w14:paraId="0ACF3EC8"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bottom w:val="single" w:sz="6" w:space="0" w:color="000000" w:themeColor="text1"/>
            </w:tcBorders>
          </w:tcPr>
          <w:p w14:paraId="4C9DD695" w14:textId="77777777" w:rsidR="008D6F13" w:rsidRPr="00D412FE" w:rsidRDefault="008D6F13" w:rsidP="0031078F">
            <w:pPr>
              <w:keepLines w:val="0"/>
              <w:autoSpaceDE w:val="0"/>
              <w:autoSpaceDN w:val="0"/>
              <w:adjustRightInd w:val="0"/>
              <w:rPr>
                <w:rFonts w:eastAsiaTheme="minorEastAsia" w:cs="Calibri"/>
                <w:szCs w:val="17"/>
                <w:lang w:eastAsia="en-AU"/>
              </w:rPr>
            </w:pPr>
            <w:r w:rsidRPr="00D412FE">
              <w:rPr>
                <w:rFonts w:eastAsiaTheme="minorEastAsia" w:cs="Calibri"/>
                <w:szCs w:val="17"/>
                <w:lang w:eastAsia="en-AU"/>
              </w:rPr>
              <w:t>Expenses from transactions</w:t>
            </w:r>
          </w:p>
        </w:tc>
        <w:tc>
          <w:tcPr>
            <w:tcW w:w="844" w:type="dxa"/>
            <w:tcBorders>
              <w:top w:val="nil"/>
              <w:left w:val="nil"/>
              <w:bottom w:val="nil"/>
              <w:right w:val="nil"/>
            </w:tcBorders>
            <w:shd w:val="clear" w:color="000000" w:fill="FFFFFF"/>
          </w:tcPr>
          <w:p w14:paraId="5E3DF70E"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C064F4">
              <w:t>..</w:t>
            </w:r>
          </w:p>
        </w:tc>
        <w:tc>
          <w:tcPr>
            <w:tcW w:w="844" w:type="dxa"/>
            <w:tcBorders>
              <w:top w:val="nil"/>
              <w:left w:val="nil"/>
              <w:bottom w:val="nil"/>
              <w:right w:val="nil"/>
            </w:tcBorders>
            <w:shd w:val="clear" w:color="000000" w:fill="FFFFFF"/>
          </w:tcPr>
          <w:p w14:paraId="0A3BC7A1"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C064F4">
              <w:t>..</w:t>
            </w:r>
          </w:p>
        </w:tc>
        <w:tc>
          <w:tcPr>
            <w:tcW w:w="845" w:type="dxa"/>
            <w:tcBorders>
              <w:top w:val="nil"/>
              <w:left w:val="nil"/>
              <w:bottom w:val="nil"/>
              <w:right w:val="nil"/>
            </w:tcBorders>
            <w:shd w:val="clear" w:color="000000" w:fill="FFFFFF"/>
          </w:tcPr>
          <w:p w14:paraId="32662269"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C064F4">
              <w:t>..</w:t>
            </w:r>
          </w:p>
        </w:tc>
        <w:tc>
          <w:tcPr>
            <w:tcW w:w="845" w:type="dxa"/>
            <w:tcBorders>
              <w:top w:val="nil"/>
              <w:left w:val="nil"/>
              <w:bottom w:val="nil"/>
              <w:right w:val="nil"/>
            </w:tcBorders>
            <w:shd w:val="clear" w:color="000000" w:fill="FFFFFF"/>
          </w:tcPr>
          <w:p w14:paraId="1342F575"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C064F4">
              <w:t>..</w:t>
            </w:r>
          </w:p>
        </w:tc>
      </w:tr>
      <w:tr w:rsidR="008D6F13" w:rsidRPr="00781757" w14:paraId="57F4F077"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top w:val="single" w:sz="6" w:space="0" w:color="000000" w:themeColor="text1"/>
              <w:bottom w:val="nil"/>
            </w:tcBorders>
          </w:tcPr>
          <w:p w14:paraId="4BA837C0" w14:textId="77777777" w:rsidR="008D6F13" w:rsidRPr="00D412FE" w:rsidRDefault="008D6F13" w:rsidP="0031078F">
            <w:pPr>
              <w:keepLines w:val="0"/>
              <w:autoSpaceDE w:val="0"/>
              <w:autoSpaceDN w:val="0"/>
              <w:adjustRightInd w:val="0"/>
              <w:rPr>
                <w:rFonts w:eastAsiaTheme="minorEastAsia" w:cs="Calibri"/>
                <w:b/>
                <w:bCs/>
                <w:szCs w:val="17"/>
                <w:lang w:eastAsia="en-AU"/>
              </w:rPr>
            </w:pPr>
            <w:r w:rsidRPr="00D412FE">
              <w:rPr>
                <w:rFonts w:eastAsiaTheme="minorEastAsia" w:cs="Calibri"/>
                <w:b/>
                <w:bCs/>
                <w:szCs w:val="17"/>
                <w:lang w:eastAsia="en-AU"/>
              </w:rPr>
              <w:t>Net result from transactions</w:t>
            </w:r>
          </w:p>
        </w:tc>
        <w:tc>
          <w:tcPr>
            <w:tcW w:w="844" w:type="dxa"/>
            <w:tcBorders>
              <w:top w:val="single" w:sz="4" w:space="0" w:color="auto"/>
              <w:left w:val="nil"/>
              <w:bottom w:val="nil"/>
              <w:right w:val="nil"/>
            </w:tcBorders>
            <w:shd w:val="clear" w:color="000000" w:fill="FFFFFF"/>
          </w:tcPr>
          <w:p w14:paraId="0F6FAA54"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w:t>
            </w:r>
          </w:p>
        </w:tc>
        <w:tc>
          <w:tcPr>
            <w:tcW w:w="844" w:type="dxa"/>
            <w:tcBorders>
              <w:top w:val="single" w:sz="4" w:space="0" w:color="auto"/>
              <w:left w:val="nil"/>
              <w:bottom w:val="nil"/>
              <w:right w:val="nil"/>
            </w:tcBorders>
            <w:shd w:val="clear" w:color="000000" w:fill="FFFFFF"/>
          </w:tcPr>
          <w:p w14:paraId="49E6095E"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w:t>
            </w:r>
          </w:p>
        </w:tc>
        <w:tc>
          <w:tcPr>
            <w:tcW w:w="845" w:type="dxa"/>
            <w:tcBorders>
              <w:top w:val="single" w:sz="4" w:space="0" w:color="auto"/>
              <w:left w:val="nil"/>
              <w:bottom w:val="nil"/>
              <w:right w:val="nil"/>
            </w:tcBorders>
            <w:shd w:val="clear" w:color="000000" w:fill="FFFFFF"/>
          </w:tcPr>
          <w:p w14:paraId="19024579"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w:t>
            </w:r>
          </w:p>
        </w:tc>
        <w:tc>
          <w:tcPr>
            <w:tcW w:w="845" w:type="dxa"/>
            <w:tcBorders>
              <w:top w:val="single" w:sz="4" w:space="0" w:color="auto"/>
              <w:left w:val="nil"/>
              <w:bottom w:val="nil"/>
              <w:right w:val="nil"/>
            </w:tcBorders>
            <w:shd w:val="clear" w:color="000000" w:fill="FFFFFF"/>
          </w:tcPr>
          <w:p w14:paraId="07300322"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w:t>
            </w:r>
          </w:p>
        </w:tc>
      </w:tr>
      <w:tr w:rsidR="008D6F13" w:rsidRPr="00781757" w14:paraId="607ADED7"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top w:val="nil"/>
              <w:bottom w:val="single" w:sz="12" w:space="0" w:color="auto"/>
            </w:tcBorders>
          </w:tcPr>
          <w:p w14:paraId="6AB9D926" w14:textId="77777777" w:rsidR="008D6F13" w:rsidRPr="00D412FE" w:rsidRDefault="008D6F13" w:rsidP="0031078F">
            <w:pPr>
              <w:keepLines w:val="0"/>
              <w:autoSpaceDE w:val="0"/>
              <w:autoSpaceDN w:val="0"/>
              <w:adjustRightInd w:val="0"/>
              <w:rPr>
                <w:rFonts w:eastAsiaTheme="minorEastAsia" w:cs="Calibri"/>
                <w:b/>
                <w:bCs/>
                <w:szCs w:val="17"/>
                <w:lang w:eastAsia="en-AU"/>
              </w:rPr>
            </w:pPr>
            <w:r w:rsidRPr="00D412FE">
              <w:rPr>
                <w:rFonts w:eastAsiaTheme="minorEastAsia" w:cs="Calibri"/>
                <w:b/>
                <w:bCs/>
                <w:szCs w:val="17"/>
                <w:lang w:eastAsia="en-AU"/>
              </w:rPr>
              <w:t>Net debt</w:t>
            </w:r>
          </w:p>
        </w:tc>
        <w:tc>
          <w:tcPr>
            <w:tcW w:w="844" w:type="dxa"/>
            <w:tcBorders>
              <w:top w:val="nil"/>
              <w:left w:val="nil"/>
              <w:bottom w:val="single" w:sz="12" w:space="0" w:color="auto"/>
              <w:right w:val="nil"/>
            </w:tcBorders>
            <w:shd w:val="clear" w:color="000000" w:fill="FFFFFF"/>
          </w:tcPr>
          <w:p w14:paraId="76CC716D"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w:t>
            </w:r>
          </w:p>
        </w:tc>
        <w:tc>
          <w:tcPr>
            <w:tcW w:w="844" w:type="dxa"/>
            <w:tcBorders>
              <w:top w:val="nil"/>
              <w:left w:val="nil"/>
              <w:bottom w:val="single" w:sz="12" w:space="0" w:color="auto"/>
              <w:right w:val="nil"/>
            </w:tcBorders>
            <w:shd w:val="clear" w:color="000000" w:fill="FFFFFF"/>
          </w:tcPr>
          <w:p w14:paraId="1C284EA6"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w:t>
            </w:r>
          </w:p>
        </w:tc>
        <w:tc>
          <w:tcPr>
            <w:tcW w:w="845" w:type="dxa"/>
            <w:tcBorders>
              <w:top w:val="nil"/>
              <w:left w:val="nil"/>
              <w:bottom w:val="single" w:sz="12" w:space="0" w:color="auto"/>
              <w:right w:val="nil"/>
            </w:tcBorders>
            <w:shd w:val="clear" w:color="000000" w:fill="FFFFFF"/>
          </w:tcPr>
          <w:p w14:paraId="515DE715"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w:t>
            </w:r>
          </w:p>
        </w:tc>
        <w:tc>
          <w:tcPr>
            <w:tcW w:w="845" w:type="dxa"/>
            <w:tcBorders>
              <w:top w:val="nil"/>
              <w:left w:val="nil"/>
              <w:bottom w:val="single" w:sz="12" w:space="0" w:color="auto"/>
              <w:right w:val="nil"/>
            </w:tcBorders>
            <w:shd w:val="clear" w:color="000000" w:fill="FFFFFF"/>
          </w:tcPr>
          <w:p w14:paraId="1A76F3FD"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w:t>
            </w:r>
          </w:p>
        </w:tc>
      </w:tr>
      <w:tr w:rsidR="008D6F13" w:rsidRPr="00781757" w14:paraId="68D33A7B"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top w:val="single" w:sz="12" w:space="0" w:color="auto"/>
            </w:tcBorders>
          </w:tcPr>
          <w:p w14:paraId="64C3C534" w14:textId="77777777" w:rsidR="008D6F13" w:rsidRPr="00D412FE" w:rsidRDefault="008D6F13" w:rsidP="0031078F">
            <w:pPr>
              <w:keepLines w:val="0"/>
              <w:autoSpaceDE w:val="0"/>
              <w:autoSpaceDN w:val="0"/>
              <w:adjustRightInd w:val="0"/>
              <w:rPr>
                <w:rFonts w:eastAsiaTheme="minorEastAsia" w:cs="Calibri"/>
                <w:b/>
                <w:bCs/>
                <w:szCs w:val="17"/>
                <w:lang w:eastAsia="en-AU"/>
              </w:rPr>
            </w:pPr>
            <w:r w:rsidRPr="00D412FE">
              <w:rPr>
                <w:rFonts w:eastAsiaTheme="minorEastAsia" w:cs="Calibri"/>
                <w:b/>
                <w:bCs/>
                <w:szCs w:val="17"/>
                <w:lang w:eastAsia="en-AU"/>
              </w:rPr>
              <w:t>Property prices</w:t>
            </w:r>
          </w:p>
        </w:tc>
        <w:tc>
          <w:tcPr>
            <w:tcW w:w="844" w:type="dxa"/>
            <w:tcBorders>
              <w:top w:val="single" w:sz="12" w:space="0" w:color="auto"/>
              <w:left w:val="nil"/>
              <w:bottom w:val="nil"/>
              <w:right w:val="nil"/>
            </w:tcBorders>
            <w:shd w:val="clear" w:color="auto" w:fill="auto"/>
          </w:tcPr>
          <w:p w14:paraId="457159B2"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c>
          <w:tcPr>
            <w:tcW w:w="844" w:type="dxa"/>
            <w:tcBorders>
              <w:top w:val="single" w:sz="12" w:space="0" w:color="auto"/>
              <w:left w:val="nil"/>
              <w:bottom w:val="nil"/>
              <w:right w:val="nil"/>
            </w:tcBorders>
            <w:shd w:val="clear" w:color="auto" w:fill="auto"/>
          </w:tcPr>
          <w:p w14:paraId="288ADA88"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c>
          <w:tcPr>
            <w:tcW w:w="845" w:type="dxa"/>
            <w:tcBorders>
              <w:top w:val="single" w:sz="12" w:space="0" w:color="auto"/>
              <w:left w:val="nil"/>
              <w:bottom w:val="nil"/>
              <w:right w:val="nil"/>
            </w:tcBorders>
            <w:shd w:val="clear" w:color="auto" w:fill="auto"/>
          </w:tcPr>
          <w:p w14:paraId="71EE5737"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c>
          <w:tcPr>
            <w:tcW w:w="845" w:type="dxa"/>
            <w:tcBorders>
              <w:top w:val="single" w:sz="12" w:space="0" w:color="auto"/>
              <w:left w:val="nil"/>
              <w:bottom w:val="nil"/>
              <w:right w:val="nil"/>
            </w:tcBorders>
            <w:shd w:val="clear" w:color="auto" w:fill="auto"/>
          </w:tcPr>
          <w:p w14:paraId="5F94C194"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r>
      <w:tr w:rsidR="008D6F13" w:rsidRPr="00781757" w14:paraId="6261B87B" w14:textId="77777777" w:rsidTr="00A51211">
        <w:tc>
          <w:tcPr>
            <w:cnfStyle w:val="001000000000" w:firstRow="0" w:lastRow="0" w:firstColumn="1" w:lastColumn="0" w:oddVBand="0" w:evenVBand="0" w:oddHBand="0" w:evenHBand="0" w:firstRowFirstColumn="0" w:firstRowLastColumn="0" w:lastRowFirstColumn="0" w:lastRowLastColumn="0"/>
            <w:tcW w:w="4333" w:type="dxa"/>
          </w:tcPr>
          <w:p w14:paraId="0A777A39" w14:textId="77777777" w:rsidR="008D6F13" w:rsidRPr="00D412FE" w:rsidRDefault="008D6F13" w:rsidP="0031078F">
            <w:pPr>
              <w:keepLines w:val="0"/>
              <w:autoSpaceDE w:val="0"/>
              <w:autoSpaceDN w:val="0"/>
              <w:adjustRightInd w:val="0"/>
              <w:rPr>
                <w:rFonts w:eastAsiaTheme="minorEastAsia" w:cs="Calibri"/>
                <w:szCs w:val="17"/>
                <w:lang w:eastAsia="en-AU"/>
              </w:rPr>
            </w:pPr>
            <w:r w:rsidRPr="00D412FE">
              <w:rPr>
                <w:rFonts w:eastAsiaTheme="minorEastAsia" w:cs="Calibri"/>
                <w:szCs w:val="17"/>
                <w:lang w:eastAsia="en-AU"/>
              </w:rPr>
              <w:t>Income from transactions</w:t>
            </w:r>
          </w:p>
        </w:tc>
        <w:tc>
          <w:tcPr>
            <w:tcW w:w="844" w:type="dxa"/>
            <w:tcBorders>
              <w:top w:val="nil"/>
              <w:left w:val="nil"/>
              <w:bottom w:val="nil"/>
              <w:right w:val="nil"/>
            </w:tcBorders>
            <w:shd w:val="clear" w:color="000000" w:fill="FFFFFF"/>
          </w:tcPr>
          <w:p w14:paraId="249881A6"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BD01CD">
              <w:t>151</w:t>
            </w:r>
          </w:p>
        </w:tc>
        <w:tc>
          <w:tcPr>
            <w:tcW w:w="844" w:type="dxa"/>
            <w:tcBorders>
              <w:top w:val="nil"/>
              <w:left w:val="nil"/>
              <w:bottom w:val="nil"/>
              <w:right w:val="nil"/>
            </w:tcBorders>
            <w:shd w:val="clear" w:color="000000" w:fill="FFFFFF"/>
          </w:tcPr>
          <w:p w14:paraId="09B285D7"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BD01CD">
              <w:t>156</w:t>
            </w:r>
          </w:p>
        </w:tc>
        <w:tc>
          <w:tcPr>
            <w:tcW w:w="845" w:type="dxa"/>
            <w:tcBorders>
              <w:top w:val="nil"/>
              <w:left w:val="nil"/>
              <w:bottom w:val="nil"/>
              <w:right w:val="nil"/>
            </w:tcBorders>
            <w:shd w:val="clear" w:color="000000" w:fill="FFFFFF"/>
          </w:tcPr>
          <w:p w14:paraId="20C535FD"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BD01CD">
              <w:t>161</w:t>
            </w:r>
          </w:p>
        </w:tc>
        <w:tc>
          <w:tcPr>
            <w:tcW w:w="845" w:type="dxa"/>
            <w:tcBorders>
              <w:top w:val="nil"/>
              <w:left w:val="nil"/>
              <w:bottom w:val="nil"/>
              <w:right w:val="nil"/>
            </w:tcBorders>
            <w:shd w:val="clear" w:color="000000" w:fill="FFFFFF"/>
          </w:tcPr>
          <w:p w14:paraId="48B4FD2E"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BD01CD">
              <w:t>170</w:t>
            </w:r>
          </w:p>
        </w:tc>
      </w:tr>
      <w:tr w:rsidR="008D6F13" w:rsidRPr="00781757" w14:paraId="301197EC"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bottom w:val="single" w:sz="6" w:space="0" w:color="000000" w:themeColor="text1"/>
            </w:tcBorders>
          </w:tcPr>
          <w:p w14:paraId="59EF40AA" w14:textId="77777777" w:rsidR="008D6F13" w:rsidRPr="00D412FE" w:rsidRDefault="008D6F13" w:rsidP="0031078F">
            <w:pPr>
              <w:keepLines w:val="0"/>
              <w:autoSpaceDE w:val="0"/>
              <w:autoSpaceDN w:val="0"/>
              <w:adjustRightInd w:val="0"/>
              <w:rPr>
                <w:rFonts w:eastAsiaTheme="minorEastAsia" w:cs="Calibri"/>
                <w:szCs w:val="17"/>
                <w:lang w:eastAsia="en-AU"/>
              </w:rPr>
            </w:pPr>
            <w:r w:rsidRPr="00D412FE">
              <w:rPr>
                <w:rFonts w:eastAsiaTheme="minorEastAsia" w:cs="Calibri"/>
                <w:szCs w:val="17"/>
                <w:lang w:eastAsia="en-AU"/>
              </w:rPr>
              <w:t>Expenses from transactions</w:t>
            </w:r>
          </w:p>
        </w:tc>
        <w:tc>
          <w:tcPr>
            <w:tcW w:w="844" w:type="dxa"/>
            <w:tcBorders>
              <w:top w:val="nil"/>
              <w:left w:val="nil"/>
              <w:bottom w:val="nil"/>
              <w:right w:val="nil"/>
            </w:tcBorders>
            <w:shd w:val="clear" w:color="000000" w:fill="FFFFFF"/>
          </w:tcPr>
          <w:p w14:paraId="4A90AEDF"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BD01CD">
              <w:t>(2)</w:t>
            </w:r>
          </w:p>
        </w:tc>
        <w:tc>
          <w:tcPr>
            <w:tcW w:w="844" w:type="dxa"/>
            <w:tcBorders>
              <w:top w:val="nil"/>
              <w:left w:val="nil"/>
              <w:bottom w:val="nil"/>
              <w:right w:val="nil"/>
            </w:tcBorders>
            <w:shd w:val="clear" w:color="000000" w:fill="FFFFFF"/>
          </w:tcPr>
          <w:p w14:paraId="2B91772E"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BD01CD">
              <w:t>(5)</w:t>
            </w:r>
          </w:p>
        </w:tc>
        <w:tc>
          <w:tcPr>
            <w:tcW w:w="845" w:type="dxa"/>
            <w:tcBorders>
              <w:top w:val="nil"/>
              <w:left w:val="nil"/>
              <w:bottom w:val="nil"/>
              <w:right w:val="nil"/>
            </w:tcBorders>
            <w:shd w:val="clear" w:color="000000" w:fill="FFFFFF"/>
          </w:tcPr>
          <w:p w14:paraId="0695F535"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BD01CD">
              <w:t>(10)</w:t>
            </w:r>
          </w:p>
        </w:tc>
        <w:tc>
          <w:tcPr>
            <w:tcW w:w="845" w:type="dxa"/>
            <w:tcBorders>
              <w:top w:val="nil"/>
              <w:left w:val="nil"/>
              <w:bottom w:val="nil"/>
              <w:right w:val="nil"/>
            </w:tcBorders>
            <w:shd w:val="clear" w:color="000000" w:fill="FFFFFF"/>
          </w:tcPr>
          <w:p w14:paraId="41ECAF65"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BD01CD">
              <w:t>(15)</w:t>
            </w:r>
          </w:p>
        </w:tc>
      </w:tr>
      <w:tr w:rsidR="008D6F13" w:rsidRPr="00781757" w14:paraId="6CE49DD3"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top w:val="single" w:sz="6" w:space="0" w:color="000000" w:themeColor="text1"/>
              <w:bottom w:val="nil"/>
            </w:tcBorders>
          </w:tcPr>
          <w:p w14:paraId="2DFE1798" w14:textId="77777777" w:rsidR="008D6F13" w:rsidRPr="00D412FE" w:rsidRDefault="008D6F13" w:rsidP="0031078F">
            <w:pPr>
              <w:keepLines w:val="0"/>
              <w:autoSpaceDE w:val="0"/>
              <w:autoSpaceDN w:val="0"/>
              <w:adjustRightInd w:val="0"/>
              <w:rPr>
                <w:rFonts w:eastAsiaTheme="minorEastAsia" w:cs="Calibri"/>
                <w:b/>
                <w:bCs/>
                <w:szCs w:val="17"/>
                <w:lang w:eastAsia="en-AU"/>
              </w:rPr>
            </w:pPr>
            <w:r w:rsidRPr="00D412FE">
              <w:rPr>
                <w:rFonts w:eastAsiaTheme="minorEastAsia" w:cs="Calibri"/>
                <w:b/>
                <w:bCs/>
                <w:szCs w:val="17"/>
                <w:lang w:eastAsia="en-AU"/>
              </w:rPr>
              <w:t>Net result from transactions</w:t>
            </w:r>
          </w:p>
        </w:tc>
        <w:tc>
          <w:tcPr>
            <w:tcW w:w="844" w:type="dxa"/>
            <w:tcBorders>
              <w:top w:val="single" w:sz="4" w:space="0" w:color="auto"/>
              <w:left w:val="nil"/>
              <w:bottom w:val="nil"/>
              <w:right w:val="nil"/>
            </w:tcBorders>
            <w:shd w:val="clear" w:color="000000" w:fill="FFFFFF"/>
          </w:tcPr>
          <w:p w14:paraId="07DBFA6A"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152</w:t>
            </w:r>
          </w:p>
        </w:tc>
        <w:tc>
          <w:tcPr>
            <w:tcW w:w="844" w:type="dxa"/>
            <w:tcBorders>
              <w:top w:val="single" w:sz="4" w:space="0" w:color="auto"/>
              <w:left w:val="nil"/>
              <w:bottom w:val="nil"/>
              <w:right w:val="nil"/>
            </w:tcBorders>
            <w:shd w:val="clear" w:color="000000" w:fill="FFFFFF"/>
          </w:tcPr>
          <w:p w14:paraId="1D225FF8"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161</w:t>
            </w:r>
          </w:p>
        </w:tc>
        <w:tc>
          <w:tcPr>
            <w:tcW w:w="845" w:type="dxa"/>
            <w:tcBorders>
              <w:top w:val="single" w:sz="4" w:space="0" w:color="auto"/>
              <w:left w:val="nil"/>
              <w:bottom w:val="nil"/>
              <w:right w:val="nil"/>
            </w:tcBorders>
            <w:shd w:val="clear" w:color="000000" w:fill="FFFFFF"/>
          </w:tcPr>
          <w:p w14:paraId="4AC86E0E"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171</w:t>
            </w:r>
          </w:p>
        </w:tc>
        <w:tc>
          <w:tcPr>
            <w:tcW w:w="845" w:type="dxa"/>
            <w:tcBorders>
              <w:top w:val="single" w:sz="4" w:space="0" w:color="auto"/>
              <w:left w:val="nil"/>
              <w:bottom w:val="nil"/>
              <w:right w:val="nil"/>
            </w:tcBorders>
            <w:shd w:val="clear" w:color="000000" w:fill="FFFFFF"/>
          </w:tcPr>
          <w:p w14:paraId="0632FB70"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185</w:t>
            </w:r>
          </w:p>
        </w:tc>
      </w:tr>
      <w:tr w:rsidR="008D6F13" w:rsidRPr="00781757" w14:paraId="6B561011"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top w:val="nil"/>
              <w:bottom w:val="single" w:sz="12" w:space="0" w:color="auto"/>
            </w:tcBorders>
          </w:tcPr>
          <w:p w14:paraId="198792F4" w14:textId="77777777" w:rsidR="008D6F13" w:rsidRPr="00D412FE" w:rsidRDefault="008D6F13" w:rsidP="0031078F">
            <w:pPr>
              <w:keepLines w:val="0"/>
              <w:autoSpaceDE w:val="0"/>
              <w:autoSpaceDN w:val="0"/>
              <w:adjustRightInd w:val="0"/>
              <w:rPr>
                <w:rFonts w:eastAsiaTheme="minorEastAsia" w:cs="Calibri"/>
                <w:b/>
                <w:bCs/>
                <w:szCs w:val="17"/>
                <w:lang w:eastAsia="en-AU"/>
              </w:rPr>
            </w:pPr>
            <w:r w:rsidRPr="00D412FE">
              <w:rPr>
                <w:rFonts w:eastAsiaTheme="minorEastAsia" w:cs="Calibri"/>
                <w:b/>
                <w:bCs/>
                <w:szCs w:val="17"/>
                <w:lang w:eastAsia="en-AU"/>
              </w:rPr>
              <w:t>Net debt</w:t>
            </w:r>
          </w:p>
        </w:tc>
        <w:tc>
          <w:tcPr>
            <w:tcW w:w="844" w:type="dxa"/>
            <w:tcBorders>
              <w:top w:val="nil"/>
              <w:left w:val="nil"/>
              <w:bottom w:val="single" w:sz="12" w:space="0" w:color="auto"/>
              <w:right w:val="nil"/>
            </w:tcBorders>
            <w:shd w:val="clear" w:color="000000" w:fill="FFFFFF"/>
          </w:tcPr>
          <w:p w14:paraId="011D5251"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(154)</w:t>
            </w:r>
          </w:p>
        </w:tc>
        <w:tc>
          <w:tcPr>
            <w:tcW w:w="844" w:type="dxa"/>
            <w:tcBorders>
              <w:top w:val="nil"/>
              <w:left w:val="nil"/>
              <w:bottom w:val="single" w:sz="12" w:space="0" w:color="auto"/>
              <w:right w:val="nil"/>
            </w:tcBorders>
            <w:shd w:val="clear" w:color="000000" w:fill="FFFFFF"/>
          </w:tcPr>
          <w:p w14:paraId="5CEB9F54"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(320)</w:t>
            </w:r>
          </w:p>
        </w:tc>
        <w:tc>
          <w:tcPr>
            <w:tcW w:w="845" w:type="dxa"/>
            <w:tcBorders>
              <w:top w:val="nil"/>
              <w:left w:val="nil"/>
              <w:bottom w:val="single" w:sz="12" w:space="0" w:color="auto"/>
              <w:right w:val="nil"/>
            </w:tcBorders>
            <w:shd w:val="clear" w:color="000000" w:fill="FFFFFF"/>
          </w:tcPr>
          <w:p w14:paraId="564C324E"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(496)</w:t>
            </w:r>
          </w:p>
        </w:tc>
        <w:tc>
          <w:tcPr>
            <w:tcW w:w="845" w:type="dxa"/>
            <w:tcBorders>
              <w:top w:val="nil"/>
              <w:left w:val="nil"/>
              <w:bottom w:val="single" w:sz="12" w:space="0" w:color="auto"/>
              <w:right w:val="nil"/>
            </w:tcBorders>
            <w:shd w:val="clear" w:color="000000" w:fill="FFFFFF"/>
          </w:tcPr>
          <w:p w14:paraId="4432C901"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(684)</w:t>
            </w:r>
          </w:p>
        </w:tc>
      </w:tr>
      <w:tr w:rsidR="008D6F13" w:rsidRPr="00781757" w14:paraId="49664BDF"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top w:val="single" w:sz="12" w:space="0" w:color="auto"/>
            </w:tcBorders>
          </w:tcPr>
          <w:p w14:paraId="5FB33ACF" w14:textId="77777777" w:rsidR="008D6F13" w:rsidRPr="00D412FE" w:rsidRDefault="008D6F13" w:rsidP="0031078F">
            <w:pPr>
              <w:autoSpaceDE w:val="0"/>
              <w:autoSpaceDN w:val="0"/>
              <w:adjustRightInd w:val="0"/>
              <w:ind w:left="176" w:hanging="176"/>
              <w:rPr>
                <w:rFonts w:eastAsiaTheme="minorEastAsia" w:cs="Calibri"/>
                <w:b/>
                <w:bCs/>
                <w:szCs w:val="17"/>
                <w:lang w:eastAsia="en-AU"/>
              </w:rPr>
            </w:pPr>
            <w:bookmarkStart w:id="240" w:name="_Hlk3981246"/>
            <w:r w:rsidRPr="00D412FE">
              <w:rPr>
                <w:rFonts w:eastAsiaTheme="minorEastAsia" w:cs="Calibri"/>
                <w:b/>
                <w:bCs/>
                <w:szCs w:val="17"/>
                <w:lang w:eastAsia="en-AU"/>
              </w:rPr>
              <w:t>Property transaction volumes</w:t>
            </w:r>
          </w:p>
        </w:tc>
        <w:tc>
          <w:tcPr>
            <w:tcW w:w="844" w:type="dxa"/>
            <w:tcBorders>
              <w:top w:val="single" w:sz="12" w:space="0" w:color="auto"/>
              <w:left w:val="nil"/>
              <w:bottom w:val="nil"/>
              <w:right w:val="nil"/>
            </w:tcBorders>
            <w:shd w:val="clear" w:color="auto" w:fill="auto"/>
          </w:tcPr>
          <w:p w14:paraId="79E400EB"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c>
          <w:tcPr>
            <w:tcW w:w="844" w:type="dxa"/>
            <w:tcBorders>
              <w:top w:val="single" w:sz="12" w:space="0" w:color="auto"/>
              <w:left w:val="nil"/>
              <w:bottom w:val="nil"/>
              <w:right w:val="nil"/>
            </w:tcBorders>
            <w:shd w:val="clear" w:color="auto" w:fill="auto"/>
          </w:tcPr>
          <w:p w14:paraId="3B0442E3"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c>
          <w:tcPr>
            <w:tcW w:w="845" w:type="dxa"/>
            <w:tcBorders>
              <w:top w:val="single" w:sz="12" w:space="0" w:color="auto"/>
              <w:left w:val="nil"/>
              <w:bottom w:val="nil"/>
              <w:right w:val="nil"/>
            </w:tcBorders>
            <w:shd w:val="clear" w:color="auto" w:fill="auto"/>
          </w:tcPr>
          <w:p w14:paraId="2D86E0B3"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c>
          <w:tcPr>
            <w:tcW w:w="845" w:type="dxa"/>
            <w:tcBorders>
              <w:top w:val="single" w:sz="12" w:space="0" w:color="auto"/>
              <w:left w:val="nil"/>
              <w:bottom w:val="nil"/>
              <w:right w:val="nil"/>
            </w:tcBorders>
            <w:shd w:val="clear" w:color="auto" w:fill="auto"/>
          </w:tcPr>
          <w:p w14:paraId="2A66EB86"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r>
      <w:tr w:rsidR="008D6F13" w:rsidRPr="00781757" w14:paraId="15AFE0EF" w14:textId="77777777" w:rsidTr="00A51211">
        <w:tc>
          <w:tcPr>
            <w:cnfStyle w:val="001000000000" w:firstRow="0" w:lastRow="0" w:firstColumn="1" w:lastColumn="0" w:oddVBand="0" w:evenVBand="0" w:oddHBand="0" w:evenHBand="0" w:firstRowFirstColumn="0" w:firstRowLastColumn="0" w:lastRowFirstColumn="0" w:lastRowLastColumn="0"/>
            <w:tcW w:w="4333" w:type="dxa"/>
          </w:tcPr>
          <w:p w14:paraId="74797BD5" w14:textId="77777777" w:rsidR="008D6F13" w:rsidRPr="00D412FE" w:rsidRDefault="008D6F13" w:rsidP="0031078F">
            <w:pPr>
              <w:keepLines w:val="0"/>
              <w:autoSpaceDE w:val="0"/>
              <w:autoSpaceDN w:val="0"/>
              <w:adjustRightInd w:val="0"/>
              <w:rPr>
                <w:rFonts w:eastAsiaTheme="minorEastAsia" w:cs="Calibri"/>
                <w:szCs w:val="17"/>
                <w:lang w:eastAsia="en-AU"/>
              </w:rPr>
            </w:pPr>
            <w:r w:rsidRPr="00D412FE">
              <w:rPr>
                <w:rFonts w:eastAsiaTheme="minorEastAsia" w:cs="Calibri"/>
                <w:szCs w:val="17"/>
                <w:lang w:eastAsia="en-AU"/>
              </w:rPr>
              <w:t>Income from transactions</w:t>
            </w:r>
          </w:p>
        </w:tc>
        <w:tc>
          <w:tcPr>
            <w:tcW w:w="844" w:type="dxa"/>
            <w:tcBorders>
              <w:top w:val="nil"/>
              <w:left w:val="nil"/>
              <w:bottom w:val="nil"/>
              <w:right w:val="nil"/>
            </w:tcBorders>
            <w:shd w:val="clear" w:color="000000" w:fill="FFFFFF"/>
          </w:tcPr>
          <w:p w14:paraId="739081B4"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BD01CD">
              <w:t>74</w:t>
            </w:r>
          </w:p>
        </w:tc>
        <w:tc>
          <w:tcPr>
            <w:tcW w:w="844" w:type="dxa"/>
            <w:tcBorders>
              <w:top w:val="nil"/>
              <w:left w:val="nil"/>
              <w:bottom w:val="nil"/>
              <w:right w:val="nil"/>
            </w:tcBorders>
            <w:shd w:val="clear" w:color="000000" w:fill="FFFFFF"/>
          </w:tcPr>
          <w:p w14:paraId="09CCC2D1"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BD01CD">
              <w:t>74</w:t>
            </w:r>
          </w:p>
        </w:tc>
        <w:tc>
          <w:tcPr>
            <w:tcW w:w="845" w:type="dxa"/>
            <w:tcBorders>
              <w:top w:val="nil"/>
              <w:left w:val="nil"/>
              <w:bottom w:val="nil"/>
              <w:right w:val="nil"/>
            </w:tcBorders>
            <w:shd w:val="clear" w:color="000000" w:fill="FFFFFF"/>
          </w:tcPr>
          <w:p w14:paraId="0F5A791C"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BD01CD">
              <w:t>75</w:t>
            </w:r>
          </w:p>
        </w:tc>
        <w:tc>
          <w:tcPr>
            <w:tcW w:w="845" w:type="dxa"/>
            <w:tcBorders>
              <w:top w:val="nil"/>
              <w:left w:val="nil"/>
              <w:bottom w:val="nil"/>
              <w:right w:val="nil"/>
            </w:tcBorders>
            <w:shd w:val="clear" w:color="000000" w:fill="FFFFFF"/>
          </w:tcPr>
          <w:p w14:paraId="1CE4EEF5"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BD01CD">
              <w:t>78</w:t>
            </w:r>
          </w:p>
        </w:tc>
      </w:tr>
      <w:tr w:rsidR="008D6F13" w:rsidRPr="00781757" w14:paraId="36C7652F"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bottom w:val="single" w:sz="6" w:space="0" w:color="000000" w:themeColor="text1"/>
            </w:tcBorders>
          </w:tcPr>
          <w:p w14:paraId="1754DF95" w14:textId="77777777" w:rsidR="008D6F13" w:rsidRPr="00D412FE" w:rsidRDefault="008D6F13" w:rsidP="0031078F">
            <w:pPr>
              <w:keepLines w:val="0"/>
              <w:autoSpaceDE w:val="0"/>
              <w:autoSpaceDN w:val="0"/>
              <w:adjustRightInd w:val="0"/>
              <w:rPr>
                <w:rFonts w:eastAsiaTheme="minorEastAsia" w:cs="Calibri"/>
                <w:szCs w:val="17"/>
                <w:lang w:eastAsia="en-AU"/>
              </w:rPr>
            </w:pPr>
            <w:r w:rsidRPr="00D412FE">
              <w:rPr>
                <w:rFonts w:eastAsiaTheme="minorEastAsia" w:cs="Calibri"/>
                <w:szCs w:val="17"/>
                <w:lang w:eastAsia="en-AU"/>
              </w:rPr>
              <w:t>Expenses from transactions</w:t>
            </w:r>
          </w:p>
        </w:tc>
        <w:tc>
          <w:tcPr>
            <w:tcW w:w="844" w:type="dxa"/>
            <w:tcBorders>
              <w:top w:val="nil"/>
              <w:left w:val="nil"/>
              <w:bottom w:val="nil"/>
              <w:right w:val="nil"/>
            </w:tcBorders>
            <w:shd w:val="clear" w:color="000000" w:fill="FFFFFF"/>
          </w:tcPr>
          <w:p w14:paraId="2E1217CB"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BD01CD">
              <w:t>(1)</w:t>
            </w:r>
          </w:p>
        </w:tc>
        <w:tc>
          <w:tcPr>
            <w:tcW w:w="844" w:type="dxa"/>
            <w:tcBorders>
              <w:top w:val="nil"/>
              <w:left w:val="nil"/>
              <w:bottom w:val="nil"/>
              <w:right w:val="nil"/>
            </w:tcBorders>
            <w:shd w:val="clear" w:color="000000" w:fill="FFFFFF"/>
          </w:tcPr>
          <w:p w14:paraId="07279739"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BD01CD">
              <w:t>(3)</w:t>
            </w:r>
          </w:p>
        </w:tc>
        <w:tc>
          <w:tcPr>
            <w:tcW w:w="845" w:type="dxa"/>
            <w:tcBorders>
              <w:top w:val="nil"/>
              <w:left w:val="nil"/>
              <w:bottom w:val="nil"/>
              <w:right w:val="nil"/>
            </w:tcBorders>
            <w:shd w:val="clear" w:color="000000" w:fill="FFFFFF"/>
          </w:tcPr>
          <w:p w14:paraId="14E11C55"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BD01CD">
              <w:t>(5)</w:t>
            </w:r>
          </w:p>
        </w:tc>
        <w:tc>
          <w:tcPr>
            <w:tcW w:w="845" w:type="dxa"/>
            <w:tcBorders>
              <w:top w:val="nil"/>
              <w:left w:val="nil"/>
              <w:bottom w:val="nil"/>
              <w:right w:val="nil"/>
            </w:tcBorders>
            <w:shd w:val="clear" w:color="000000" w:fill="FFFFFF"/>
          </w:tcPr>
          <w:p w14:paraId="1B08AC51"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BD01CD">
              <w:t>(7)</w:t>
            </w:r>
          </w:p>
        </w:tc>
      </w:tr>
      <w:tr w:rsidR="008D6F13" w:rsidRPr="00781757" w14:paraId="6E72D65C"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top w:val="single" w:sz="6" w:space="0" w:color="000000" w:themeColor="text1"/>
              <w:bottom w:val="nil"/>
            </w:tcBorders>
          </w:tcPr>
          <w:p w14:paraId="1A819A09" w14:textId="77777777" w:rsidR="008D6F13" w:rsidRPr="00D412FE" w:rsidRDefault="008D6F13" w:rsidP="0031078F">
            <w:pPr>
              <w:keepLines w:val="0"/>
              <w:autoSpaceDE w:val="0"/>
              <w:autoSpaceDN w:val="0"/>
              <w:adjustRightInd w:val="0"/>
              <w:rPr>
                <w:rFonts w:eastAsiaTheme="minorEastAsia" w:cs="Calibri"/>
                <w:b/>
                <w:bCs/>
                <w:szCs w:val="17"/>
                <w:lang w:eastAsia="en-AU"/>
              </w:rPr>
            </w:pPr>
            <w:r w:rsidRPr="00D412FE">
              <w:rPr>
                <w:rFonts w:eastAsiaTheme="minorEastAsia" w:cs="Calibri"/>
                <w:b/>
                <w:bCs/>
                <w:szCs w:val="17"/>
                <w:lang w:eastAsia="en-AU"/>
              </w:rPr>
              <w:t>Net result from transactions</w:t>
            </w:r>
          </w:p>
        </w:tc>
        <w:tc>
          <w:tcPr>
            <w:tcW w:w="844" w:type="dxa"/>
            <w:tcBorders>
              <w:top w:val="single" w:sz="4" w:space="0" w:color="auto"/>
              <w:left w:val="nil"/>
              <w:bottom w:val="nil"/>
              <w:right w:val="nil"/>
            </w:tcBorders>
            <w:shd w:val="clear" w:color="000000" w:fill="FFFFFF"/>
          </w:tcPr>
          <w:p w14:paraId="78FF1C90"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74</w:t>
            </w:r>
          </w:p>
        </w:tc>
        <w:tc>
          <w:tcPr>
            <w:tcW w:w="844" w:type="dxa"/>
            <w:tcBorders>
              <w:top w:val="single" w:sz="4" w:space="0" w:color="auto"/>
              <w:left w:val="nil"/>
              <w:bottom w:val="nil"/>
              <w:right w:val="nil"/>
            </w:tcBorders>
            <w:shd w:val="clear" w:color="000000" w:fill="FFFFFF"/>
          </w:tcPr>
          <w:p w14:paraId="6DF7C396"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77</w:t>
            </w:r>
          </w:p>
        </w:tc>
        <w:tc>
          <w:tcPr>
            <w:tcW w:w="845" w:type="dxa"/>
            <w:tcBorders>
              <w:top w:val="single" w:sz="4" w:space="0" w:color="auto"/>
              <w:left w:val="nil"/>
              <w:bottom w:val="nil"/>
              <w:right w:val="nil"/>
            </w:tcBorders>
            <w:shd w:val="clear" w:color="000000" w:fill="FFFFFF"/>
          </w:tcPr>
          <w:p w14:paraId="55173452"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80</w:t>
            </w:r>
          </w:p>
        </w:tc>
        <w:tc>
          <w:tcPr>
            <w:tcW w:w="845" w:type="dxa"/>
            <w:tcBorders>
              <w:top w:val="single" w:sz="4" w:space="0" w:color="auto"/>
              <w:left w:val="nil"/>
              <w:bottom w:val="nil"/>
              <w:right w:val="nil"/>
            </w:tcBorders>
            <w:shd w:val="clear" w:color="000000" w:fill="FFFFFF"/>
          </w:tcPr>
          <w:p w14:paraId="763F1E1B"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85</w:t>
            </w:r>
          </w:p>
        </w:tc>
      </w:tr>
      <w:tr w:rsidR="008D6F13" w:rsidRPr="00781757" w14:paraId="27C27EBA"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top w:val="nil"/>
              <w:bottom w:val="single" w:sz="12" w:space="0" w:color="auto"/>
            </w:tcBorders>
          </w:tcPr>
          <w:p w14:paraId="46967EA2" w14:textId="77777777" w:rsidR="008D6F13" w:rsidRPr="00D412FE" w:rsidRDefault="008D6F13" w:rsidP="0031078F">
            <w:pPr>
              <w:keepLines w:val="0"/>
              <w:autoSpaceDE w:val="0"/>
              <w:autoSpaceDN w:val="0"/>
              <w:adjustRightInd w:val="0"/>
              <w:rPr>
                <w:rFonts w:eastAsiaTheme="minorEastAsia" w:cs="Calibri"/>
                <w:b/>
                <w:bCs/>
                <w:szCs w:val="17"/>
                <w:lang w:eastAsia="en-AU"/>
              </w:rPr>
            </w:pPr>
            <w:r w:rsidRPr="00D412FE">
              <w:rPr>
                <w:rFonts w:eastAsiaTheme="minorEastAsia" w:cs="Calibri"/>
                <w:b/>
                <w:bCs/>
                <w:szCs w:val="17"/>
                <w:lang w:eastAsia="en-AU"/>
              </w:rPr>
              <w:t>Net debt</w:t>
            </w:r>
          </w:p>
        </w:tc>
        <w:tc>
          <w:tcPr>
            <w:tcW w:w="844" w:type="dxa"/>
            <w:tcBorders>
              <w:top w:val="nil"/>
              <w:left w:val="nil"/>
              <w:bottom w:val="single" w:sz="12" w:space="0" w:color="auto"/>
              <w:right w:val="nil"/>
            </w:tcBorders>
            <w:shd w:val="clear" w:color="000000" w:fill="FFFFFF"/>
          </w:tcPr>
          <w:p w14:paraId="1684E665"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(74)</w:t>
            </w:r>
          </w:p>
        </w:tc>
        <w:tc>
          <w:tcPr>
            <w:tcW w:w="844" w:type="dxa"/>
            <w:tcBorders>
              <w:top w:val="nil"/>
              <w:left w:val="nil"/>
              <w:bottom w:val="single" w:sz="12" w:space="0" w:color="auto"/>
              <w:right w:val="nil"/>
            </w:tcBorders>
            <w:shd w:val="clear" w:color="000000" w:fill="FFFFFF"/>
          </w:tcPr>
          <w:p w14:paraId="0387667E"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(151)</w:t>
            </w:r>
          </w:p>
        </w:tc>
        <w:tc>
          <w:tcPr>
            <w:tcW w:w="845" w:type="dxa"/>
            <w:tcBorders>
              <w:top w:val="nil"/>
              <w:left w:val="nil"/>
              <w:bottom w:val="single" w:sz="12" w:space="0" w:color="auto"/>
              <w:right w:val="nil"/>
            </w:tcBorders>
            <w:shd w:val="clear" w:color="000000" w:fill="FFFFFF"/>
          </w:tcPr>
          <w:p w14:paraId="7C73B348"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(231)</w:t>
            </w:r>
          </w:p>
        </w:tc>
        <w:tc>
          <w:tcPr>
            <w:tcW w:w="845" w:type="dxa"/>
            <w:tcBorders>
              <w:top w:val="nil"/>
              <w:left w:val="nil"/>
              <w:bottom w:val="single" w:sz="12" w:space="0" w:color="auto"/>
              <w:right w:val="nil"/>
            </w:tcBorders>
            <w:shd w:val="clear" w:color="000000" w:fill="FFFFFF"/>
          </w:tcPr>
          <w:p w14:paraId="7DB1C43E"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(316)</w:t>
            </w:r>
          </w:p>
        </w:tc>
      </w:tr>
      <w:tr w:rsidR="008D6F13" w:rsidRPr="00781757" w14:paraId="72696BCB"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top w:val="single" w:sz="12" w:space="0" w:color="auto"/>
            </w:tcBorders>
          </w:tcPr>
          <w:p w14:paraId="6B847751" w14:textId="77777777" w:rsidR="008D6F13" w:rsidRPr="00D412FE" w:rsidRDefault="008D6F13" w:rsidP="0031078F">
            <w:pPr>
              <w:keepLines w:val="0"/>
              <w:autoSpaceDE w:val="0"/>
              <w:autoSpaceDN w:val="0"/>
              <w:adjustRightInd w:val="0"/>
              <w:ind w:left="173" w:hanging="173"/>
              <w:rPr>
                <w:rFonts w:eastAsiaTheme="minorEastAsia" w:cs="Calibri"/>
                <w:b/>
                <w:bCs/>
                <w:szCs w:val="17"/>
                <w:lang w:eastAsia="en-AU"/>
              </w:rPr>
            </w:pPr>
            <w:r w:rsidRPr="00D412FE">
              <w:rPr>
                <w:rFonts w:eastAsiaTheme="minorEastAsia" w:cs="Calibri"/>
                <w:b/>
                <w:bCs/>
                <w:szCs w:val="17"/>
                <w:lang w:eastAsia="en-AU"/>
              </w:rPr>
              <w:t xml:space="preserve">Interest rates </w:t>
            </w:r>
            <w:r w:rsidRPr="00D412FE">
              <w:rPr>
                <w:rFonts w:eastAsiaTheme="minorEastAsia" w:cs="Calibri"/>
                <w:b/>
                <w:bCs/>
                <w:szCs w:val="17"/>
                <w:vertAlign w:val="superscript"/>
                <w:lang w:eastAsia="en-AU"/>
              </w:rPr>
              <w:t>(</w:t>
            </w:r>
            <w:proofErr w:type="spellStart"/>
            <w:r w:rsidRPr="00D412FE">
              <w:rPr>
                <w:rFonts w:eastAsiaTheme="minorEastAsia" w:cs="Calibri"/>
                <w:b/>
                <w:bCs/>
                <w:szCs w:val="17"/>
                <w:vertAlign w:val="superscript"/>
                <w:lang w:eastAsia="en-AU"/>
              </w:rPr>
              <w:t>i</w:t>
            </w:r>
            <w:proofErr w:type="spellEnd"/>
            <w:r w:rsidRPr="00D412FE">
              <w:rPr>
                <w:rFonts w:eastAsiaTheme="minorEastAsia" w:cs="Calibri"/>
                <w:b/>
                <w:bCs/>
                <w:szCs w:val="17"/>
                <w:vertAlign w:val="superscript"/>
                <w:lang w:eastAsia="en-AU"/>
              </w:rPr>
              <w:t>)</w:t>
            </w:r>
          </w:p>
        </w:tc>
        <w:tc>
          <w:tcPr>
            <w:tcW w:w="844" w:type="dxa"/>
            <w:tcBorders>
              <w:top w:val="single" w:sz="12" w:space="0" w:color="auto"/>
              <w:left w:val="nil"/>
              <w:bottom w:val="nil"/>
              <w:right w:val="nil"/>
            </w:tcBorders>
            <w:shd w:val="clear" w:color="auto" w:fill="auto"/>
          </w:tcPr>
          <w:p w14:paraId="53E23EC8"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c>
          <w:tcPr>
            <w:tcW w:w="844" w:type="dxa"/>
            <w:tcBorders>
              <w:top w:val="single" w:sz="12" w:space="0" w:color="auto"/>
              <w:left w:val="nil"/>
              <w:bottom w:val="nil"/>
              <w:right w:val="nil"/>
            </w:tcBorders>
            <w:shd w:val="clear" w:color="auto" w:fill="auto"/>
          </w:tcPr>
          <w:p w14:paraId="298F6F46"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c>
          <w:tcPr>
            <w:tcW w:w="845" w:type="dxa"/>
            <w:tcBorders>
              <w:top w:val="single" w:sz="12" w:space="0" w:color="auto"/>
              <w:left w:val="nil"/>
              <w:bottom w:val="nil"/>
              <w:right w:val="nil"/>
            </w:tcBorders>
            <w:shd w:val="clear" w:color="auto" w:fill="auto"/>
          </w:tcPr>
          <w:p w14:paraId="7EACAA7D"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c>
          <w:tcPr>
            <w:tcW w:w="845" w:type="dxa"/>
            <w:tcBorders>
              <w:top w:val="single" w:sz="12" w:space="0" w:color="auto"/>
              <w:left w:val="nil"/>
              <w:bottom w:val="nil"/>
              <w:right w:val="nil"/>
            </w:tcBorders>
            <w:shd w:val="clear" w:color="auto" w:fill="auto"/>
          </w:tcPr>
          <w:p w14:paraId="41158A5A"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p>
        </w:tc>
      </w:tr>
      <w:tr w:rsidR="008D6F13" w:rsidRPr="00781757" w14:paraId="1974835F" w14:textId="77777777" w:rsidTr="00A51211">
        <w:tc>
          <w:tcPr>
            <w:cnfStyle w:val="001000000000" w:firstRow="0" w:lastRow="0" w:firstColumn="1" w:lastColumn="0" w:oddVBand="0" w:evenVBand="0" w:oddHBand="0" w:evenHBand="0" w:firstRowFirstColumn="0" w:firstRowLastColumn="0" w:lastRowFirstColumn="0" w:lastRowLastColumn="0"/>
            <w:tcW w:w="4333" w:type="dxa"/>
          </w:tcPr>
          <w:p w14:paraId="5159476D" w14:textId="77777777" w:rsidR="008D6F13" w:rsidRPr="00D412FE" w:rsidRDefault="008D6F13" w:rsidP="0031078F">
            <w:pPr>
              <w:keepLines w:val="0"/>
              <w:autoSpaceDE w:val="0"/>
              <w:autoSpaceDN w:val="0"/>
              <w:adjustRightInd w:val="0"/>
              <w:rPr>
                <w:rFonts w:eastAsiaTheme="minorEastAsia" w:cs="Calibri"/>
                <w:szCs w:val="17"/>
                <w:lang w:eastAsia="en-AU"/>
              </w:rPr>
            </w:pPr>
            <w:r w:rsidRPr="00D412FE">
              <w:rPr>
                <w:rFonts w:eastAsiaTheme="minorEastAsia" w:cs="Calibri"/>
                <w:szCs w:val="17"/>
                <w:lang w:eastAsia="en-AU"/>
              </w:rPr>
              <w:t>Income from transactions</w:t>
            </w:r>
          </w:p>
        </w:tc>
        <w:tc>
          <w:tcPr>
            <w:tcW w:w="844" w:type="dxa"/>
            <w:tcBorders>
              <w:top w:val="nil"/>
              <w:left w:val="nil"/>
              <w:bottom w:val="nil"/>
              <w:right w:val="nil"/>
            </w:tcBorders>
            <w:shd w:val="clear" w:color="000000" w:fill="FFFFFF"/>
          </w:tcPr>
          <w:p w14:paraId="69160406"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BD01CD">
              <w:t>145</w:t>
            </w:r>
          </w:p>
        </w:tc>
        <w:tc>
          <w:tcPr>
            <w:tcW w:w="844" w:type="dxa"/>
            <w:tcBorders>
              <w:top w:val="nil"/>
              <w:left w:val="nil"/>
              <w:bottom w:val="nil"/>
              <w:right w:val="nil"/>
            </w:tcBorders>
            <w:shd w:val="clear" w:color="000000" w:fill="FFFFFF"/>
          </w:tcPr>
          <w:p w14:paraId="0CA55BCF"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BD01CD">
              <w:t>140</w:t>
            </w:r>
          </w:p>
        </w:tc>
        <w:tc>
          <w:tcPr>
            <w:tcW w:w="845" w:type="dxa"/>
            <w:tcBorders>
              <w:top w:val="nil"/>
              <w:left w:val="nil"/>
              <w:bottom w:val="nil"/>
              <w:right w:val="nil"/>
            </w:tcBorders>
            <w:shd w:val="clear" w:color="000000" w:fill="FFFFFF"/>
          </w:tcPr>
          <w:p w14:paraId="3EBFD0D1"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BD01CD">
              <w:t>134</w:t>
            </w:r>
          </w:p>
        </w:tc>
        <w:tc>
          <w:tcPr>
            <w:tcW w:w="845" w:type="dxa"/>
            <w:tcBorders>
              <w:top w:val="nil"/>
              <w:left w:val="nil"/>
              <w:bottom w:val="nil"/>
              <w:right w:val="nil"/>
            </w:tcBorders>
            <w:shd w:val="clear" w:color="000000" w:fill="FFFFFF"/>
          </w:tcPr>
          <w:p w14:paraId="5FBAB9BD"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BD01CD">
              <w:t>130</w:t>
            </w:r>
          </w:p>
        </w:tc>
      </w:tr>
      <w:tr w:rsidR="008D6F13" w:rsidRPr="00781757" w14:paraId="2F8EB36F"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bottom w:val="single" w:sz="6" w:space="0" w:color="000000" w:themeColor="text1"/>
            </w:tcBorders>
          </w:tcPr>
          <w:p w14:paraId="25E082B8" w14:textId="77777777" w:rsidR="008D6F13" w:rsidRPr="00D412FE" w:rsidRDefault="008D6F13" w:rsidP="0031078F">
            <w:pPr>
              <w:keepLines w:val="0"/>
              <w:autoSpaceDE w:val="0"/>
              <w:autoSpaceDN w:val="0"/>
              <w:adjustRightInd w:val="0"/>
              <w:rPr>
                <w:rFonts w:eastAsiaTheme="minorEastAsia" w:cs="Calibri"/>
                <w:szCs w:val="17"/>
                <w:lang w:eastAsia="en-AU"/>
              </w:rPr>
            </w:pPr>
            <w:r w:rsidRPr="00D412FE">
              <w:rPr>
                <w:rFonts w:eastAsiaTheme="minorEastAsia" w:cs="Calibri"/>
                <w:szCs w:val="17"/>
                <w:lang w:eastAsia="en-AU"/>
              </w:rPr>
              <w:t>Expenses from transactions</w:t>
            </w:r>
          </w:p>
        </w:tc>
        <w:tc>
          <w:tcPr>
            <w:tcW w:w="844" w:type="dxa"/>
            <w:tcBorders>
              <w:top w:val="nil"/>
              <w:left w:val="nil"/>
              <w:bottom w:val="nil"/>
              <w:right w:val="nil"/>
            </w:tcBorders>
            <w:shd w:val="clear" w:color="000000" w:fill="FFFFFF"/>
          </w:tcPr>
          <w:p w14:paraId="310390F4"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BD01CD">
              <w:t>650</w:t>
            </w:r>
          </w:p>
        </w:tc>
        <w:tc>
          <w:tcPr>
            <w:tcW w:w="844" w:type="dxa"/>
            <w:tcBorders>
              <w:top w:val="nil"/>
              <w:left w:val="nil"/>
              <w:bottom w:val="nil"/>
              <w:right w:val="nil"/>
            </w:tcBorders>
            <w:shd w:val="clear" w:color="000000" w:fill="FFFFFF"/>
          </w:tcPr>
          <w:p w14:paraId="70DCBEBF"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BD01CD">
              <w:t>1302</w:t>
            </w:r>
          </w:p>
        </w:tc>
        <w:tc>
          <w:tcPr>
            <w:tcW w:w="845" w:type="dxa"/>
            <w:tcBorders>
              <w:top w:val="nil"/>
              <w:left w:val="nil"/>
              <w:bottom w:val="nil"/>
              <w:right w:val="nil"/>
            </w:tcBorders>
            <w:shd w:val="clear" w:color="000000" w:fill="FFFFFF"/>
          </w:tcPr>
          <w:p w14:paraId="5F8EAAFB"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BD01CD">
              <w:t>1548</w:t>
            </w:r>
          </w:p>
        </w:tc>
        <w:tc>
          <w:tcPr>
            <w:tcW w:w="845" w:type="dxa"/>
            <w:tcBorders>
              <w:top w:val="nil"/>
              <w:left w:val="nil"/>
              <w:bottom w:val="nil"/>
              <w:right w:val="nil"/>
            </w:tcBorders>
            <w:shd w:val="clear" w:color="000000" w:fill="FFFFFF"/>
          </w:tcPr>
          <w:p w14:paraId="7F425A4A" w14:textId="77777777" w:rsidR="008D6F13" w:rsidRPr="00753B0E" w:rsidRDefault="008D6F13" w:rsidP="0031078F">
            <w:pPr>
              <w:cnfStyle w:val="000000000000" w:firstRow="0" w:lastRow="0" w:firstColumn="0" w:lastColumn="0" w:oddVBand="0" w:evenVBand="0" w:oddHBand="0" w:evenHBand="0" w:firstRowFirstColumn="0" w:firstRowLastColumn="0" w:lastRowFirstColumn="0" w:lastRowLastColumn="0"/>
              <w:rPr>
                <w:highlight w:val="yellow"/>
              </w:rPr>
            </w:pPr>
            <w:r w:rsidRPr="00BD01CD">
              <w:t>1951</w:t>
            </w:r>
          </w:p>
        </w:tc>
      </w:tr>
      <w:tr w:rsidR="008D6F13" w:rsidRPr="00781757" w14:paraId="72F42491" w14:textId="77777777" w:rsidTr="00A51211">
        <w:tc>
          <w:tcPr>
            <w:cnfStyle w:val="001000000000" w:firstRow="0" w:lastRow="0" w:firstColumn="1" w:lastColumn="0" w:oddVBand="0" w:evenVBand="0" w:oddHBand="0" w:evenHBand="0" w:firstRowFirstColumn="0" w:firstRowLastColumn="0" w:lastRowFirstColumn="0" w:lastRowLastColumn="0"/>
            <w:tcW w:w="4333" w:type="dxa"/>
            <w:tcBorders>
              <w:top w:val="single" w:sz="6" w:space="0" w:color="000000" w:themeColor="text1"/>
              <w:bottom w:val="nil"/>
            </w:tcBorders>
          </w:tcPr>
          <w:p w14:paraId="10866831" w14:textId="77777777" w:rsidR="008D6F13" w:rsidRPr="00D412FE" w:rsidRDefault="008D6F13" w:rsidP="0031078F">
            <w:pPr>
              <w:keepLines w:val="0"/>
              <w:autoSpaceDE w:val="0"/>
              <w:autoSpaceDN w:val="0"/>
              <w:adjustRightInd w:val="0"/>
              <w:rPr>
                <w:rFonts w:eastAsiaTheme="minorEastAsia" w:cs="Calibri"/>
                <w:b/>
                <w:bCs/>
                <w:szCs w:val="17"/>
                <w:lang w:eastAsia="en-AU"/>
              </w:rPr>
            </w:pPr>
            <w:r w:rsidRPr="00D412FE">
              <w:rPr>
                <w:rFonts w:eastAsiaTheme="minorEastAsia" w:cs="Calibri"/>
                <w:b/>
                <w:bCs/>
                <w:szCs w:val="17"/>
                <w:lang w:eastAsia="en-AU"/>
              </w:rPr>
              <w:t>Net result from transactions</w:t>
            </w:r>
          </w:p>
        </w:tc>
        <w:tc>
          <w:tcPr>
            <w:tcW w:w="844" w:type="dxa"/>
            <w:tcBorders>
              <w:top w:val="single" w:sz="4" w:space="0" w:color="auto"/>
              <w:left w:val="nil"/>
              <w:bottom w:val="nil"/>
              <w:right w:val="nil"/>
            </w:tcBorders>
            <w:shd w:val="clear" w:color="000000" w:fill="FFFFFF"/>
          </w:tcPr>
          <w:p w14:paraId="0F57E27E"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(506)</w:t>
            </w:r>
          </w:p>
        </w:tc>
        <w:tc>
          <w:tcPr>
            <w:tcW w:w="844" w:type="dxa"/>
            <w:tcBorders>
              <w:top w:val="single" w:sz="4" w:space="0" w:color="auto"/>
              <w:left w:val="nil"/>
              <w:bottom w:val="nil"/>
              <w:right w:val="nil"/>
            </w:tcBorders>
            <w:shd w:val="clear" w:color="000000" w:fill="FFFFFF"/>
          </w:tcPr>
          <w:p w14:paraId="3998A236"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(1162)</w:t>
            </w:r>
          </w:p>
        </w:tc>
        <w:tc>
          <w:tcPr>
            <w:tcW w:w="845" w:type="dxa"/>
            <w:tcBorders>
              <w:top w:val="single" w:sz="4" w:space="0" w:color="auto"/>
              <w:left w:val="nil"/>
              <w:bottom w:val="nil"/>
              <w:right w:val="nil"/>
            </w:tcBorders>
            <w:shd w:val="clear" w:color="000000" w:fill="FFFFFF"/>
          </w:tcPr>
          <w:p w14:paraId="2F93D26D"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(1414)</w:t>
            </w:r>
          </w:p>
        </w:tc>
        <w:tc>
          <w:tcPr>
            <w:tcW w:w="845" w:type="dxa"/>
            <w:tcBorders>
              <w:top w:val="single" w:sz="4" w:space="0" w:color="auto"/>
              <w:left w:val="nil"/>
              <w:bottom w:val="nil"/>
              <w:right w:val="nil"/>
            </w:tcBorders>
            <w:shd w:val="clear" w:color="000000" w:fill="FFFFFF"/>
          </w:tcPr>
          <w:p w14:paraId="54FC6D26" w14:textId="77777777" w:rsidR="008D6F13" w:rsidRPr="00B655F9" w:rsidRDefault="008D6F13" w:rsidP="0031078F">
            <w:pPr>
              <w:cnfStyle w:val="000000000000" w:firstRow="0" w:lastRow="0" w:firstColumn="0" w:lastColumn="0" w:oddVBand="0" w:evenVBand="0" w:oddHBand="0" w:evenHBand="0" w:firstRowFirstColumn="0" w:firstRowLastColumn="0" w:lastRowFirstColumn="0" w:lastRowLastColumn="0"/>
              <w:rPr>
                <w:b/>
                <w:bCs/>
                <w:highlight w:val="yellow"/>
              </w:rPr>
            </w:pPr>
            <w:r w:rsidRPr="00B655F9">
              <w:rPr>
                <w:b/>
                <w:bCs/>
              </w:rPr>
              <w:t>(1821)</w:t>
            </w:r>
          </w:p>
        </w:tc>
      </w:tr>
      <w:tr w:rsidR="008D6F13" w:rsidRPr="00781757" w14:paraId="54B5C3B9" w14:textId="77777777" w:rsidTr="00A5121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3" w:type="dxa"/>
            <w:tcBorders>
              <w:top w:val="nil"/>
              <w:bottom w:val="single" w:sz="12" w:space="0" w:color="auto"/>
            </w:tcBorders>
          </w:tcPr>
          <w:p w14:paraId="1B2BBFBF" w14:textId="77777777" w:rsidR="008D6F13" w:rsidRPr="00D412FE" w:rsidRDefault="008D6F13" w:rsidP="0031078F">
            <w:pPr>
              <w:keepLines w:val="0"/>
              <w:autoSpaceDE w:val="0"/>
              <w:autoSpaceDN w:val="0"/>
              <w:adjustRightInd w:val="0"/>
              <w:rPr>
                <w:rFonts w:eastAsiaTheme="minorEastAsia" w:cs="Calibri"/>
                <w:bCs/>
                <w:szCs w:val="17"/>
                <w:lang w:eastAsia="en-AU"/>
              </w:rPr>
            </w:pPr>
            <w:r w:rsidRPr="00D412FE">
              <w:rPr>
                <w:rFonts w:eastAsiaTheme="minorEastAsia" w:cs="Calibri"/>
                <w:bCs/>
                <w:szCs w:val="17"/>
                <w:lang w:eastAsia="en-AU"/>
              </w:rPr>
              <w:t>Net debt</w:t>
            </w:r>
          </w:p>
        </w:tc>
        <w:tc>
          <w:tcPr>
            <w:tcW w:w="844" w:type="dxa"/>
            <w:tcBorders>
              <w:top w:val="nil"/>
              <w:bottom w:val="single" w:sz="12" w:space="0" w:color="auto"/>
            </w:tcBorders>
            <w:shd w:val="clear" w:color="000000" w:fill="FFFFFF"/>
          </w:tcPr>
          <w:p w14:paraId="7867B99B" w14:textId="77777777" w:rsidR="008D6F13" w:rsidRPr="00B655F9" w:rsidRDefault="008D6F13" w:rsidP="0031078F">
            <w:pPr>
              <w:cnfStyle w:val="010000000000" w:firstRow="0" w:lastRow="1" w:firstColumn="0" w:lastColumn="0" w:oddVBand="0" w:evenVBand="0" w:oddHBand="0" w:evenHBand="0" w:firstRowFirstColumn="0" w:firstRowLastColumn="0" w:lastRowFirstColumn="0" w:lastRowLastColumn="0"/>
              <w:rPr>
                <w:bCs/>
                <w:highlight w:val="yellow"/>
              </w:rPr>
            </w:pPr>
            <w:r w:rsidRPr="00B655F9">
              <w:rPr>
                <w:bCs/>
              </w:rPr>
              <w:t>506</w:t>
            </w:r>
          </w:p>
        </w:tc>
        <w:tc>
          <w:tcPr>
            <w:tcW w:w="844" w:type="dxa"/>
            <w:tcBorders>
              <w:top w:val="nil"/>
              <w:bottom w:val="single" w:sz="12" w:space="0" w:color="auto"/>
            </w:tcBorders>
            <w:shd w:val="clear" w:color="000000" w:fill="FFFFFF"/>
          </w:tcPr>
          <w:p w14:paraId="3E486A7E" w14:textId="77777777" w:rsidR="008D6F13" w:rsidRPr="00B655F9" w:rsidRDefault="008D6F13" w:rsidP="0031078F">
            <w:pPr>
              <w:cnfStyle w:val="010000000000" w:firstRow="0" w:lastRow="1" w:firstColumn="0" w:lastColumn="0" w:oddVBand="0" w:evenVBand="0" w:oddHBand="0" w:evenHBand="0" w:firstRowFirstColumn="0" w:firstRowLastColumn="0" w:lastRowFirstColumn="0" w:lastRowLastColumn="0"/>
              <w:rPr>
                <w:bCs/>
                <w:highlight w:val="yellow"/>
              </w:rPr>
            </w:pPr>
            <w:r w:rsidRPr="00B655F9">
              <w:rPr>
                <w:bCs/>
              </w:rPr>
              <w:t>1507</w:t>
            </w:r>
          </w:p>
        </w:tc>
        <w:tc>
          <w:tcPr>
            <w:tcW w:w="845" w:type="dxa"/>
            <w:tcBorders>
              <w:top w:val="nil"/>
              <w:bottom w:val="single" w:sz="12" w:space="0" w:color="auto"/>
            </w:tcBorders>
            <w:shd w:val="clear" w:color="000000" w:fill="FFFFFF"/>
          </w:tcPr>
          <w:p w14:paraId="7B2A2EEC" w14:textId="77777777" w:rsidR="008D6F13" w:rsidRPr="00B655F9" w:rsidRDefault="008D6F13" w:rsidP="0031078F">
            <w:pPr>
              <w:cnfStyle w:val="010000000000" w:firstRow="0" w:lastRow="1" w:firstColumn="0" w:lastColumn="0" w:oddVBand="0" w:evenVBand="0" w:oddHBand="0" w:evenHBand="0" w:firstRowFirstColumn="0" w:firstRowLastColumn="0" w:lastRowFirstColumn="0" w:lastRowLastColumn="0"/>
              <w:rPr>
                <w:bCs/>
                <w:highlight w:val="yellow"/>
              </w:rPr>
            </w:pPr>
            <w:r w:rsidRPr="00B655F9">
              <w:rPr>
                <w:bCs/>
              </w:rPr>
              <w:t>2769</w:t>
            </w:r>
          </w:p>
        </w:tc>
        <w:tc>
          <w:tcPr>
            <w:tcW w:w="845" w:type="dxa"/>
            <w:tcBorders>
              <w:top w:val="nil"/>
              <w:bottom w:val="single" w:sz="12" w:space="0" w:color="auto"/>
            </w:tcBorders>
            <w:shd w:val="clear" w:color="000000" w:fill="FFFFFF"/>
          </w:tcPr>
          <w:p w14:paraId="1C571B0F" w14:textId="77777777" w:rsidR="008D6F13" w:rsidRPr="00B655F9" w:rsidRDefault="008D6F13" w:rsidP="0031078F">
            <w:pPr>
              <w:cnfStyle w:val="010000000000" w:firstRow="0" w:lastRow="1" w:firstColumn="0" w:lastColumn="0" w:oddVBand="0" w:evenVBand="0" w:oddHBand="0" w:evenHBand="0" w:firstRowFirstColumn="0" w:firstRowLastColumn="0" w:lastRowFirstColumn="0" w:lastRowLastColumn="0"/>
              <w:rPr>
                <w:bCs/>
                <w:highlight w:val="yellow"/>
              </w:rPr>
            </w:pPr>
            <w:r w:rsidRPr="00B655F9">
              <w:rPr>
                <w:bCs/>
              </w:rPr>
              <w:t>4451</w:t>
            </w:r>
          </w:p>
        </w:tc>
      </w:tr>
    </w:tbl>
    <w:bookmarkEnd w:id="240"/>
    <w:p w14:paraId="5C226FAA" w14:textId="77777777" w:rsidR="008D6F13" w:rsidRPr="00CE6BD7" w:rsidRDefault="008D6F13" w:rsidP="008D6F13">
      <w:pPr>
        <w:pStyle w:val="Note"/>
      </w:pPr>
      <w:r w:rsidRPr="00CE6BD7">
        <w:t>Notes:</w:t>
      </w:r>
    </w:p>
    <w:p w14:paraId="3022B655" w14:textId="77777777" w:rsidR="008D6F13" w:rsidRPr="00CE6BD7" w:rsidRDefault="008D6F13" w:rsidP="008D6F13">
      <w:pPr>
        <w:pStyle w:val="Note"/>
      </w:pPr>
      <w:r w:rsidRPr="00C5167F">
        <w:t>(a)</w:t>
      </w:r>
      <w:r w:rsidRPr="00C5167F">
        <w:tab/>
        <w:t>Variations are applied to the economic variables effective from the first day in the budget year (1 July 2021). It is assumed that each variable’s growth rate matches that under a no</w:t>
      </w:r>
      <w:r w:rsidRPr="00C5167F">
        <w:noBreakHyphen/>
        <w:t>variation scenario for the forward estimates period. This implies that the level of all economic variables (other than interest rates) is 1 per cent higher in levels terms in each year of the budget and forward estimates. Interest rates are assumed to be 1 percentage point higher in each year of the budget and forward estimates.</w:t>
      </w:r>
    </w:p>
    <w:p w14:paraId="3EB9B219" w14:textId="77777777" w:rsidR="008D6F13" w:rsidRPr="00CE6BD7" w:rsidRDefault="008D6F13" w:rsidP="008D6F13">
      <w:pPr>
        <w:pStyle w:val="Note"/>
      </w:pPr>
      <w:r w:rsidRPr="00CE6BD7">
        <w:t>(b)</w:t>
      </w:r>
      <w:r w:rsidRPr="00CE6BD7">
        <w:tab/>
        <w:t>A positive number for income from transactions denotes an increase in revenue. A positive number for expenses from transactions denotes an increase in expenses (and hence a reduction in the net result from transactions). A positive number for the net result from transactions denotes a higher surplus or smaller deficit. A positive number for net debt denotes a higher level of net debt in the relevant year compared with a no</w:t>
      </w:r>
      <w:r w:rsidRPr="00CE6BD7">
        <w:noBreakHyphen/>
        <w:t xml:space="preserve">variation scenario. </w:t>
      </w:r>
    </w:p>
    <w:p w14:paraId="74F22D0A" w14:textId="77777777" w:rsidR="008D6F13" w:rsidRPr="00CE6BD7" w:rsidRDefault="008D6F13" w:rsidP="008D6F13">
      <w:pPr>
        <w:pStyle w:val="Note"/>
      </w:pPr>
      <w:r w:rsidRPr="00CE6BD7">
        <w:t>(c)</w:t>
      </w:r>
      <w:r w:rsidRPr="00CE6BD7">
        <w:tab/>
        <w:t>Only reasonably quantifiable impacts have been included in the analysis.</w:t>
      </w:r>
    </w:p>
    <w:p w14:paraId="09B6CF2C" w14:textId="77777777" w:rsidR="008D6F13" w:rsidRPr="00CE6BD7" w:rsidRDefault="008D6F13" w:rsidP="008D6F13">
      <w:pPr>
        <w:pStyle w:val="Note"/>
      </w:pPr>
      <w:r w:rsidRPr="00CE6BD7">
        <w:t>(d)</w:t>
      </w:r>
      <w:r w:rsidRPr="00CE6BD7">
        <w:tab/>
        <w:t>Estimates of net debt are approximately equal to the cumulative impact of the net result from transactions. The difference between the cumulative net result from transactions and net debt is due to non</w:t>
      </w:r>
      <w:r w:rsidRPr="00CE6BD7">
        <w:noBreakHyphen/>
        <w:t>cash expenses and gross sale proceeds (where applicable).</w:t>
      </w:r>
    </w:p>
    <w:p w14:paraId="45368C3F" w14:textId="77777777" w:rsidR="008D6F13" w:rsidRDefault="008D6F13" w:rsidP="008D6F13">
      <w:pPr>
        <w:pStyle w:val="Note"/>
      </w:pPr>
      <w:r w:rsidRPr="00CE6BD7">
        <w:t>(</w:t>
      </w:r>
      <w:r>
        <w:t>e</w:t>
      </w:r>
      <w:r w:rsidRPr="00CE6BD7">
        <w:t>)</w:t>
      </w:r>
      <w:r>
        <w:tab/>
      </w:r>
      <w:r w:rsidRPr="00CE6BD7">
        <w:t>Figures may not add due to rounding.</w:t>
      </w:r>
      <w:r>
        <w:t xml:space="preserve"> </w:t>
      </w:r>
    </w:p>
    <w:p w14:paraId="58AF2EBE" w14:textId="77777777" w:rsidR="008D6F13" w:rsidRPr="00CE6BD7" w:rsidRDefault="008D6F13" w:rsidP="008D6F13">
      <w:pPr>
        <w:pStyle w:val="Note"/>
      </w:pPr>
      <w:r w:rsidRPr="00CE6BD7">
        <w:t>(</w:t>
      </w:r>
      <w:r>
        <w:t>f</w:t>
      </w:r>
      <w:r w:rsidRPr="00CE6BD7">
        <w:t>)</w:t>
      </w:r>
      <w:r w:rsidRPr="00CE6BD7">
        <w:tab/>
        <w:t>A shock to employment is assumed to impact payroll tax revenue to an extent consistent with no change to historical relationships between total employment, part</w:t>
      </w:r>
      <w:r w:rsidRPr="00CE6BD7">
        <w:noBreakHyphen/>
        <w:t>time/full</w:t>
      </w:r>
      <w:r w:rsidRPr="00CE6BD7">
        <w:noBreakHyphen/>
        <w:t>time employment shares and payroll tax revenue. Both public and private sector employment levels are assumed to be 1</w:t>
      </w:r>
      <w:r>
        <w:t> per cent</w:t>
      </w:r>
      <w:r w:rsidRPr="00CE6BD7">
        <w:t xml:space="preserve"> higher across the four </w:t>
      </w:r>
      <w:proofErr w:type="gramStart"/>
      <w:r w:rsidRPr="00CE6BD7">
        <w:t>years;</w:t>
      </w:r>
      <w:proofErr w:type="gramEnd"/>
      <w:r w:rsidRPr="00CE6BD7">
        <w:t xml:space="preserve"> the rise in public sector employment boosts general government sector employee expenses.</w:t>
      </w:r>
    </w:p>
    <w:p w14:paraId="53A11167" w14:textId="77777777" w:rsidR="008D6F13" w:rsidRPr="00CE6BD7" w:rsidRDefault="008D6F13" w:rsidP="008D6F13">
      <w:pPr>
        <w:pStyle w:val="Note"/>
      </w:pPr>
      <w:r w:rsidRPr="00CE6BD7">
        <w:t>(</w:t>
      </w:r>
      <w:r>
        <w:t>g</w:t>
      </w:r>
      <w:r w:rsidRPr="00CE6BD7">
        <w:t>)</w:t>
      </w:r>
      <w:r w:rsidRPr="00CE6BD7">
        <w:tab/>
        <w:t>Incorporates the impact of departmental funding model arrangements. It is assumed an increase in consumer prices within the budget year does not affect employee entitlements.</w:t>
      </w:r>
    </w:p>
    <w:p w14:paraId="65258936" w14:textId="77777777" w:rsidR="008D6F13" w:rsidRPr="00CE6BD7" w:rsidRDefault="008D6F13" w:rsidP="008D6F13">
      <w:pPr>
        <w:pStyle w:val="Note"/>
      </w:pPr>
      <w:r w:rsidRPr="00CE6BD7">
        <w:t>(</w:t>
      </w:r>
      <w:r>
        <w:t>h</w:t>
      </w:r>
      <w:r w:rsidRPr="00CE6BD7">
        <w:t>)</w:t>
      </w:r>
      <w:r w:rsidRPr="00CE6BD7">
        <w:tab/>
        <w:t>A positive shock to average weekly earnings increases the expenses of public financial and non</w:t>
      </w:r>
      <w:r w:rsidRPr="00CE6BD7">
        <w:noBreakHyphen/>
        <w:t xml:space="preserve">financial corporations and reduces the general government sector’s income from dividends and ITEs. </w:t>
      </w:r>
    </w:p>
    <w:p w14:paraId="6C0DD2ED" w14:textId="77777777" w:rsidR="008D6F13" w:rsidRPr="00CE6BD7" w:rsidRDefault="008D6F13" w:rsidP="008D6F13">
      <w:pPr>
        <w:pStyle w:val="Note"/>
      </w:pPr>
      <w:r w:rsidRPr="00CE6BD7">
        <w:t>(</w:t>
      </w:r>
      <w:proofErr w:type="spellStart"/>
      <w:r>
        <w:t>i</w:t>
      </w:r>
      <w:proofErr w:type="spellEnd"/>
      <w:r w:rsidRPr="00CE6BD7">
        <w:t>)</w:t>
      </w:r>
      <w:r w:rsidRPr="00CE6BD7">
        <w:tab/>
        <w:t>Interest rates are assumed to be 1 percentage point higher in each year of the budget and forward estimates.</w:t>
      </w:r>
    </w:p>
    <w:p w14:paraId="58E5F4E3" w14:textId="77777777" w:rsidR="008D6F13" w:rsidRDefault="008D6F13" w:rsidP="003610AD"/>
    <w:p w14:paraId="5EDC80D2" w14:textId="4C46F305" w:rsidR="008D6F13" w:rsidRDefault="008D6F13" w:rsidP="003610AD">
      <w:pPr>
        <w:sectPr w:rsidR="008D6F13" w:rsidSect="008D6F13">
          <w:footerReference w:type="even" r:id="rId65"/>
          <w:footerReference w:type="default" r:id="rId66"/>
          <w:pgSz w:w="9979" w:h="14175" w:code="9"/>
          <w:pgMar w:top="1134" w:right="1134" w:bottom="1134" w:left="1134" w:header="624" w:footer="567" w:gutter="0"/>
          <w:cols w:space="708"/>
          <w:docGrid w:linePitch="360"/>
        </w:sectPr>
      </w:pPr>
    </w:p>
    <w:p w14:paraId="47CF3F4B" w14:textId="77777777" w:rsidR="008D6F13" w:rsidRDefault="008D6F13" w:rsidP="008D6F13">
      <w:pPr>
        <w:pStyle w:val="ChapterHeading"/>
      </w:pPr>
      <w:bookmarkStart w:id="241" w:name="_Toc89423616"/>
      <w:r>
        <w:lastRenderedPageBreak/>
        <w:t xml:space="preserve">Appendix E – Requirements of the </w:t>
      </w:r>
      <w:r>
        <w:rPr>
          <w:i/>
          <w:iCs/>
        </w:rPr>
        <w:t>F</w:t>
      </w:r>
      <w:r w:rsidRPr="00ED0ECB">
        <w:rPr>
          <w:i/>
          <w:iCs/>
        </w:rPr>
        <w:t xml:space="preserve">inancial </w:t>
      </w:r>
      <w:r>
        <w:rPr>
          <w:i/>
          <w:iCs/>
        </w:rPr>
        <w:t>M</w:t>
      </w:r>
      <w:r w:rsidRPr="00ED0ECB">
        <w:rPr>
          <w:i/>
          <w:iCs/>
        </w:rPr>
        <w:t xml:space="preserve">anagement </w:t>
      </w:r>
      <w:r>
        <w:rPr>
          <w:i/>
          <w:iCs/>
        </w:rPr>
        <w:t>A</w:t>
      </w:r>
      <w:r w:rsidRPr="00ED0ECB">
        <w:rPr>
          <w:i/>
          <w:iCs/>
        </w:rPr>
        <w:t>ct 1994</w:t>
      </w:r>
      <w:bookmarkEnd w:id="241"/>
    </w:p>
    <w:p w14:paraId="74BBEC25" w14:textId="77777777" w:rsidR="008D6F13" w:rsidRDefault="008D6F13" w:rsidP="008D6F13">
      <w:r>
        <w:t xml:space="preserve">The </w:t>
      </w:r>
      <w:r w:rsidRPr="00962EB8">
        <w:rPr>
          <w:i/>
          <w:iCs/>
        </w:rPr>
        <w:t>Financial Management Act 1994</w:t>
      </w:r>
      <w:r>
        <w:t xml:space="preserve"> (the Act) requires the Minister to prepare a budget update for tabling in Parliament each financial year. The provisions of the Act have been complied with in the </w:t>
      </w:r>
      <w:r w:rsidRPr="00962EB8">
        <w:rPr>
          <w:i/>
          <w:iCs/>
        </w:rPr>
        <w:t>20</w:t>
      </w:r>
      <w:r>
        <w:rPr>
          <w:i/>
          <w:iCs/>
        </w:rPr>
        <w:t>21</w:t>
      </w:r>
      <w:r w:rsidRPr="00962EB8">
        <w:rPr>
          <w:i/>
          <w:iCs/>
        </w:rPr>
        <w:noBreakHyphen/>
        <w:t>2</w:t>
      </w:r>
      <w:r>
        <w:rPr>
          <w:i/>
          <w:iCs/>
        </w:rPr>
        <w:t>2</w:t>
      </w:r>
      <w:r w:rsidRPr="00962EB8">
        <w:rPr>
          <w:i/>
          <w:iCs/>
        </w:rPr>
        <w:t xml:space="preserve"> Budget Update</w:t>
      </w:r>
      <w:r>
        <w:t>.</w:t>
      </w:r>
    </w:p>
    <w:p w14:paraId="685F47B7" w14:textId="77777777" w:rsidR="008D6F13" w:rsidRDefault="008D6F13" w:rsidP="008D6F13">
      <w:r>
        <w:t>Table E.1 details the statements required to be included in this document under the provisions of the Act together with appropriate chapter references.</w:t>
      </w:r>
    </w:p>
    <w:p w14:paraId="2A4F367C" w14:textId="77777777" w:rsidR="008D6F13" w:rsidRDefault="008D6F13" w:rsidP="008D6F13">
      <w:pPr>
        <w:pStyle w:val="TableHeading"/>
      </w:pPr>
      <w:r>
        <w:t>Table E.1:</w:t>
      </w:r>
      <w:r>
        <w:tab/>
        <w:t xml:space="preserve">Statements required by the </w:t>
      </w:r>
      <w:r w:rsidRPr="00962EB8">
        <w:rPr>
          <w:i/>
          <w:iCs/>
        </w:rPr>
        <w:t>Financial Management Act 1994</w:t>
      </w:r>
      <w:r>
        <w:t xml:space="preserve"> and their location in the </w:t>
      </w:r>
      <w:r w:rsidRPr="00962EB8">
        <w:rPr>
          <w:i/>
          <w:iCs/>
        </w:rPr>
        <w:t>20</w:t>
      </w:r>
      <w:r>
        <w:rPr>
          <w:i/>
          <w:iCs/>
        </w:rPr>
        <w:t>21</w:t>
      </w:r>
      <w:r w:rsidRPr="00962EB8">
        <w:rPr>
          <w:i/>
          <w:iCs/>
        </w:rPr>
        <w:noBreakHyphen/>
        <w:t>2</w:t>
      </w:r>
      <w:r>
        <w:rPr>
          <w:i/>
          <w:iCs/>
        </w:rPr>
        <w:t>2</w:t>
      </w:r>
      <w:r w:rsidRPr="00962EB8">
        <w:rPr>
          <w:i/>
          <w:iCs/>
        </w:rPr>
        <w:t xml:space="preserve"> Budget Update</w:t>
      </w:r>
    </w:p>
    <w:tbl>
      <w:tblPr>
        <w:tblStyle w:val="DTFTableText"/>
        <w:tblW w:w="0" w:type="auto"/>
        <w:tblLook w:val="06A0" w:firstRow="1" w:lastRow="0" w:firstColumn="1" w:lastColumn="0" w:noHBand="1" w:noVBand="1"/>
      </w:tblPr>
      <w:tblGrid>
        <w:gridCol w:w="3973"/>
        <w:gridCol w:w="3738"/>
      </w:tblGrid>
      <w:tr w:rsidR="008D6F13" w:rsidRPr="00231150" w14:paraId="71B206C5" w14:textId="77777777" w:rsidTr="005B3D1D">
        <w:trPr>
          <w:cnfStyle w:val="100000000000" w:firstRow="1" w:lastRow="0" w:firstColumn="0" w:lastColumn="0" w:oddVBand="0" w:evenVBand="0" w:oddHBand="0" w:evenHBand="0" w:firstRowFirstColumn="0" w:firstRowLastColumn="0" w:lastRowFirstColumn="0" w:lastRowLastColumn="0"/>
        </w:trPr>
        <w:tc>
          <w:tcPr>
            <w:tcW w:w="4012" w:type="dxa"/>
          </w:tcPr>
          <w:p w14:paraId="3BEA0851" w14:textId="77777777" w:rsidR="008D6F13" w:rsidRPr="00231150" w:rsidRDefault="008D6F13" w:rsidP="0031078F">
            <w:r w:rsidRPr="00231150">
              <w:t xml:space="preserve">Relevant section of the Act and </w:t>
            </w:r>
            <w:r w:rsidRPr="00231150">
              <w:br/>
              <w:t>corresponding requirement</w:t>
            </w:r>
          </w:p>
        </w:tc>
        <w:tc>
          <w:tcPr>
            <w:tcW w:w="3777" w:type="dxa"/>
            <w:vAlign w:val="bottom"/>
          </w:tcPr>
          <w:p w14:paraId="1C4DDA07" w14:textId="77777777" w:rsidR="008D6F13" w:rsidRPr="00231150" w:rsidRDefault="008D6F13" w:rsidP="005B3D1D">
            <w:r w:rsidRPr="00231150">
              <w:t>Location</w:t>
            </w:r>
          </w:p>
        </w:tc>
      </w:tr>
      <w:tr w:rsidR="008D6F13" w:rsidRPr="00962EB8" w14:paraId="5B6F85BC" w14:textId="77777777" w:rsidTr="0031078F">
        <w:tc>
          <w:tcPr>
            <w:tcW w:w="4012" w:type="dxa"/>
          </w:tcPr>
          <w:p w14:paraId="55BAB7AA" w14:textId="77777777" w:rsidR="008D6F13" w:rsidRPr="00962EB8" w:rsidRDefault="008D6F13" w:rsidP="0031078F">
            <w:pPr>
              <w:rPr>
                <w:b/>
                <w:bCs/>
              </w:rPr>
            </w:pPr>
            <w:r w:rsidRPr="00962EB8">
              <w:rPr>
                <w:b/>
                <w:bCs/>
              </w:rPr>
              <w:t>Sections 23 E</w:t>
            </w:r>
            <w:r w:rsidRPr="00962EB8">
              <w:rPr>
                <w:b/>
                <w:bCs/>
              </w:rPr>
              <w:noBreakHyphen/>
              <w:t>G</w:t>
            </w:r>
          </w:p>
        </w:tc>
        <w:tc>
          <w:tcPr>
            <w:tcW w:w="3777" w:type="dxa"/>
          </w:tcPr>
          <w:p w14:paraId="7724D796" w14:textId="77777777" w:rsidR="008D6F13" w:rsidRPr="00962EB8" w:rsidRDefault="008D6F13" w:rsidP="0031078F">
            <w:pPr>
              <w:rPr>
                <w:b/>
                <w:bCs/>
              </w:rPr>
            </w:pPr>
          </w:p>
        </w:tc>
      </w:tr>
      <w:tr w:rsidR="008D6F13" w:rsidRPr="00231150" w14:paraId="241250AC" w14:textId="77777777" w:rsidTr="0031078F">
        <w:tc>
          <w:tcPr>
            <w:tcW w:w="4012" w:type="dxa"/>
          </w:tcPr>
          <w:p w14:paraId="606A5B08" w14:textId="77777777" w:rsidR="008D6F13" w:rsidRPr="00231150" w:rsidRDefault="008D6F13" w:rsidP="0031078F">
            <w:r w:rsidRPr="00231150">
              <w:t>Statement of financial policy objectives and strategies for the year.</w:t>
            </w:r>
          </w:p>
        </w:tc>
        <w:tc>
          <w:tcPr>
            <w:tcW w:w="3777" w:type="dxa"/>
          </w:tcPr>
          <w:p w14:paraId="6B3324A9" w14:textId="77777777" w:rsidR="008D6F13" w:rsidRPr="00231150" w:rsidRDefault="008D6F13" w:rsidP="0031078F">
            <w:r w:rsidRPr="00231150">
              <w:t xml:space="preserve">Chapter 1 </w:t>
            </w:r>
            <w:r w:rsidRPr="00962EB8">
              <w:rPr>
                <w:i/>
                <w:iCs/>
              </w:rPr>
              <w:t>Economic and fiscal overview</w:t>
            </w:r>
          </w:p>
        </w:tc>
      </w:tr>
      <w:tr w:rsidR="008D6F13" w:rsidRPr="00962EB8" w14:paraId="77A2556E" w14:textId="77777777" w:rsidTr="0031078F">
        <w:tc>
          <w:tcPr>
            <w:tcW w:w="4012" w:type="dxa"/>
          </w:tcPr>
          <w:p w14:paraId="6DAD91E6" w14:textId="77777777" w:rsidR="008D6F13" w:rsidRPr="00962EB8" w:rsidRDefault="008D6F13" w:rsidP="0031078F">
            <w:pPr>
              <w:rPr>
                <w:b/>
                <w:bCs/>
              </w:rPr>
            </w:pPr>
            <w:r w:rsidRPr="00962EB8">
              <w:rPr>
                <w:b/>
                <w:bCs/>
              </w:rPr>
              <w:t>Sections 23 H</w:t>
            </w:r>
            <w:r w:rsidRPr="00962EB8">
              <w:rPr>
                <w:b/>
                <w:bCs/>
              </w:rPr>
              <w:noBreakHyphen/>
              <w:t>N</w:t>
            </w:r>
          </w:p>
        </w:tc>
        <w:tc>
          <w:tcPr>
            <w:tcW w:w="3777" w:type="dxa"/>
          </w:tcPr>
          <w:p w14:paraId="36C32655" w14:textId="77777777" w:rsidR="008D6F13" w:rsidRPr="00962EB8" w:rsidRDefault="008D6F13" w:rsidP="0031078F">
            <w:pPr>
              <w:rPr>
                <w:b/>
                <w:bCs/>
              </w:rPr>
            </w:pPr>
          </w:p>
        </w:tc>
      </w:tr>
      <w:tr w:rsidR="008D6F13" w:rsidRPr="00231150" w14:paraId="5BA5F1FF" w14:textId="77777777" w:rsidTr="0031078F">
        <w:tc>
          <w:tcPr>
            <w:tcW w:w="4012" w:type="dxa"/>
          </w:tcPr>
          <w:p w14:paraId="29B452E6" w14:textId="77777777" w:rsidR="008D6F13" w:rsidRPr="00231150" w:rsidRDefault="008D6F13" w:rsidP="0031078F">
            <w:r w:rsidRPr="00231150">
              <w:t>Estimated financial statements for the year comprising:</w:t>
            </w:r>
          </w:p>
          <w:p w14:paraId="05DD17CD" w14:textId="77777777" w:rsidR="008D6F13" w:rsidRPr="00231150" w:rsidRDefault="008D6F13" w:rsidP="008D6F13">
            <w:pPr>
              <w:pStyle w:val="ListBullet"/>
            </w:pPr>
            <w:r w:rsidRPr="00231150">
              <w:t>an estimated statement of financial performance for the year</w:t>
            </w:r>
          </w:p>
          <w:p w14:paraId="0DE6C993" w14:textId="77777777" w:rsidR="008D6F13" w:rsidRPr="00231150" w:rsidRDefault="008D6F13" w:rsidP="008D6F13">
            <w:pPr>
              <w:pStyle w:val="ListBullet"/>
            </w:pPr>
            <w:r w:rsidRPr="00231150">
              <w:t>an estimated statement of financial position at the end of the year</w:t>
            </w:r>
          </w:p>
          <w:p w14:paraId="69CFC56C" w14:textId="77777777" w:rsidR="008D6F13" w:rsidRPr="00231150" w:rsidRDefault="008D6F13" w:rsidP="008D6F13">
            <w:pPr>
              <w:pStyle w:val="ListBullet"/>
            </w:pPr>
            <w:r w:rsidRPr="00231150">
              <w:t>an estimated statement of cash flows for the year</w:t>
            </w:r>
          </w:p>
          <w:p w14:paraId="62D5A2D7" w14:textId="77777777" w:rsidR="008D6F13" w:rsidRPr="00231150" w:rsidRDefault="008D6F13" w:rsidP="008D6F13">
            <w:pPr>
              <w:pStyle w:val="ListBullet"/>
            </w:pPr>
            <w:r w:rsidRPr="00231150">
              <w:t>a statement of the accounting policies on which these statements are based and explanatory notes</w:t>
            </w:r>
          </w:p>
        </w:tc>
        <w:tc>
          <w:tcPr>
            <w:tcW w:w="3777" w:type="dxa"/>
          </w:tcPr>
          <w:p w14:paraId="38D4ED72" w14:textId="77777777" w:rsidR="008D6F13" w:rsidRPr="00231150" w:rsidRDefault="008D6F13" w:rsidP="0031078F">
            <w:r w:rsidRPr="00231150">
              <w:t xml:space="preserve">Chapter 4 </w:t>
            </w:r>
            <w:r w:rsidRPr="00962EB8">
              <w:rPr>
                <w:i/>
                <w:iCs/>
              </w:rPr>
              <w:t>Estimated financial statements and notes</w:t>
            </w:r>
            <w:r w:rsidRPr="00231150">
              <w:t xml:space="preserve"> (including estimated general government sector comprehensive operating statement, estimated general government sector balance sheet, estimated general government sector cash flow </w:t>
            </w:r>
            <w:proofErr w:type="gramStart"/>
            <w:r w:rsidRPr="00231150">
              <w:t>statement</w:t>
            </w:r>
            <w:proofErr w:type="gramEnd"/>
            <w:r w:rsidRPr="00231150">
              <w:t xml:space="preserve"> and estimated general government sector statement of changes in equity provided as per AASB 1049)</w:t>
            </w:r>
          </w:p>
        </w:tc>
      </w:tr>
      <w:tr w:rsidR="008D6F13" w:rsidRPr="00231150" w14:paraId="5CE820A6" w14:textId="77777777" w:rsidTr="0031078F">
        <w:tc>
          <w:tcPr>
            <w:tcW w:w="4012" w:type="dxa"/>
          </w:tcPr>
          <w:p w14:paraId="0841BDB3" w14:textId="77777777" w:rsidR="008D6F13" w:rsidRPr="00231150" w:rsidRDefault="008D6F13" w:rsidP="008D6F13">
            <w:pPr>
              <w:pStyle w:val="ListBullet"/>
            </w:pPr>
            <w:r w:rsidRPr="00231150">
              <w:t>government decisions and other circumstances that may have a material effect on the estimated financial statements.</w:t>
            </w:r>
          </w:p>
        </w:tc>
        <w:tc>
          <w:tcPr>
            <w:tcW w:w="3777" w:type="dxa"/>
          </w:tcPr>
          <w:p w14:paraId="5D172B61" w14:textId="77777777" w:rsidR="008D6F13" w:rsidRPr="00231150" w:rsidRDefault="008D6F13" w:rsidP="0031078F">
            <w:r w:rsidRPr="00231150">
              <w:t xml:space="preserve">Appendix A </w:t>
            </w:r>
            <w:r w:rsidRPr="00962EB8">
              <w:rPr>
                <w:i/>
                <w:iCs/>
              </w:rPr>
              <w:t>Specific policy initiatives affecting budget position</w:t>
            </w:r>
          </w:p>
        </w:tc>
      </w:tr>
    </w:tbl>
    <w:p w14:paraId="5039562C" w14:textId="77777777" w:rsidR="008D6F13" w:rsidRDefault="008D6F13" w:rsidP="008D6F13">
      <w:pPr>
        <w:keepLines w:val="0"/>
      </w:pPr>
      <w:r>
        <w:br w:type="page"/>
      </w:r>
    </w:p>
    <w:p w14:paraId="42ABB5F8" w14:textId="77777777" w:rsidR="008D6F13" w:rsidRDefault="008D6F13" w:rsidP="008D6F13">
      <w:pPr>
        <w:pStyle w:val="TableHeading"/>
      </w:pPr>
      <w:r w:rsidRPr="00962EB8">
        <w:lastRenderedPageBreak/>
        <w:t>Table E.1:</w:t>
      </w:r>
      <w:r w:rsidRPr="00962EB8">
        <w:tab/>
        <w:t xml:space="preserve">Statements required by the </w:t>
      </w:r>
      <w:r w:rsidRPr="00962EB8">
        <w:rPr>
          <w:i/>
          <w:iCs/>
        </w:rPr>
        <w:t>Financial Management Act 1994</w:t>
      </w:r>
      <w:r w:rsidRPr="00962EB8">
        <w:t xml:space="preserve"> and their location in the </w:t>
      </w:r>
      <w:r w:rsidRPr="00962EB8">
        <w:rPr>
          <w:i/>
          <w:iCs/>
        </w:rPr>
        <w:t>20</w:t>
      </w:r>
      <w:r>
        <w:rPr>
          <w:i/>
          <w:iCs/>
        </w:rPr>
        <w:t>21</w:t>
      </w:r>
      <w:r w:rsidRPr="00962EB8">
        <w:rPr>
          <w:i/>
          <w:iCs/>
        </w:rPr>
        <w:t>-2</w:t>
      </w:r>
      <w:r>
        <w:rPr>
          <w:i/>
          <w:iCs/>
        </w:rPr>
        <w:t>2</w:t>
      </w:r>
      <w:r w:rsidRPr="00962EB8">
        <w:rPr>
          <w:i/>
          <w:iCs/>
        </w:rPr>
        <w:t xml:space="preserve"> Budget Update</w:t>
      </w:r>
      <w:r w:rsidRPr="00962EB8">
        <w:t xml:space="preserve"> </w:t>
      </w:r>
      <w:r w:rsidRPr="00962EB8">
        <w:rPr>
          <w:i/>
          <w:iCs/>
          <w:sz w:val="18"/>
        </w:rPr>
        <w:t>(continued)</w:t>
      </w:r>
    </w:p>
    <w:tbl>
      <w:tblPr>
        <w:tblStyle w:val="DTFTableText"/>
        <w:tblW w:w="0" w:type="auto"/>
        <w:tblLook w:val="06A0" w:firstRow="1" w:lastRow="0" w:firstColumn="1" w:lastColumn="0" w:noHBand="1" w:noVBand="1"/>
      </w:tblPr>
      <w:tblGrid>
        <w:gridCol w:w="3860"/>
        <w:gridCol w:w="3851"/>
      </w:tblGrid>
      <w:tr w:rsidR="008D6F13" w:rsidRPr="00231150" w14:paraId="223F335A" w14:textId="77777777" w:rsidTr="00104E8F">
        <w:trPr>
          <w:cnfStyle w:val="100000000000" w:firstRow="1" w:lastRow="0" w:firstColumn="0" w:lastColumn="0" w:oddVBand="0" w:evenVBand="0" w:oddHBand="0" w:evenHBand="0" w:firstRowFirstColumn="0" w:firstRowLastColumn="0" w:lastRowFirstColumn="0" w:lastRowLastColumn="0"/>
        </w:trPr>
        <w:tc>
          <w:tcPr>
            <w:tcW w:w="3928" w:type="dxa"/>
          </w:tcPr>
          <w:p w14:paraId="5070B8B8" w14:textId="77777777" w:rsidR="008D6F13" w:rsidRPr="00231150" w:rsidRDefault="008D6F13" w:rsidP="0031078F">
            <w:r w:rsidRPr="00231150">
              <w:t xml:space="preserve">Relevant section of the Act and </w:t>
            </w:r>
            <w:r w:rsidRPr="00231150">
              <w:br/>
              <w:t>corresponding requirement</w:t>
            </w:r>
          </w:p>
        </w:tc>
        <w:tc>
          <w:tcPr>
            <w:tcW w:w="3926" w:type="dxa"/>
            <w:vAlign w:val="bottom"/>
          </w:tcPr>
          <w:p w14:paraId="0F6B4B94" w14:textId="77777777" w:rsidR="008D6F13" w:rsidRPr="00231150" w:rsidRDefault="008D6F13" w:rsidP="0031078F">
            <w:r w:rsidRPr="00231150">
              <w:t>Location</w:t>
            </w:r>
          </w:p>
        </w:tc>
      </w:tr>
      <w:tr w:rsidR="008D6F13" w:rsidRPr="00231150" w14:paraId="16B73085" w14:textId="77777777" w:rsidTr="0031078F">
        <w:trPr>
          <w:trHeight w:val="326"/>
        </w:trPr>
        <w:tc>
          <w:tcPr>
            <w:tcW w:w="3928" w:type="dxa"/>
          </w:tcPr>
          <w:p w14:paraId="6DA1BB37" w14:textId="77777777" w:rsidR="008D6F13" w:rsidRPr="00231150" w:rsidRDefault="008D6F13" w:rsidP="0031078F">
            <w:r w:rsidRPr="00231150">
              <w:t>Accompanying statement to estimated financial statements which:</w:t>
            </w:r>
          </w:p>
        </w:tc>
        <w:tc>
          <w:tcPr>
            <w:tcW w:w="3926" w:type="dxa"/>
          </w:tcPr>
          <w:p w14:paraId="70981DAC" w14:textId="77777777" w:rsidR="008D6F13" w:rsidRPr="00231150" w:rsidRDefault="008D6F13" w:rsidP="0031078F"/>
        </w:tc>
      </w:tr>
      <w:tr w:rsidR="008D6F13" w:rsidRPr="00231150" w14:paraId="7E575F93" w14:textId="77777777" w:rsidTr="0031078F">
        <w:tc>
          <w:tcPr>
            <w:tcW w:w="3928" w:type="dxa"/>
          </w:tcPr>
          <w:p w14:paraId="0CCD1A7D" w14:textId="77777777" w:rsidR="008D6F13" w:rsidRPr="00231150" w:rsidRDefault="008D6F13" w:rsidP="008D6F13">
            <w:pPr>
              <w:pStyle w:val="ListBullet"/>
            </w:pPr>
            <w:r w:rsidRPr="00231150">
              <w:t>outlines the material economic assumptions used in preparation of the estimated financial statements</w:t>
            </w:r>
          </w:p>
        </w:tc>
        <w:tc>
          <w:tcPr>
            <w:tcW w:w="3926" w:type="dxa"/>
          </w:tcPr>
          <w:p w14:paraId="337DDB6B" w14:textId="77777777" w:rsidR="008D6F13" w:rsidRPr="00231150" w:rsidRDefault="008D6F13" w:rsidP="0031078F">
            <w:r w:rsidRPr="00231150">
              <w:t xml:space="preserve">Chapter 2 </w:t>
            </w:r>
            <w:r w:rsidRPr="00962EB8">
              <w:rPr>
                <w:i/>
                <w:iCs/>
              </w:rPr>
              <w:t>Economic context</w:t>
            </w:r>
            <w:r w:rsidRPr="00231150">
              <w:t xml:space="preserve"> and Chapter 4 </w:t>
            </w:r>
            <w:r w:rsidRPr="00962EB8">
              <w:rPr>
                <w:i/>
                <w:iCs/>
              </w:rPr>
              <w:t>Estimated financial statements and notes</w:t>
            </w:r>
          </w:p>
        </w:tc>
      </w:tr>
      <w:tr w:rsidR="008D6F13" w:rsidRPr="00231150" w14:paraId="4196D329" w14:textId="77777777" w:rsidTr="0031078F">
        <w:tc>
          <w:tcPr>
            <w:tcW w:w="3928" w:type="dxa"/>
          </w:tcPr>
          <w:p w14:paraId="78FA8415" w14:textId="77777777" w:rsidR="008D6F13" w:rsidRPr="00231150" w:rsidRDefault="008D6F13" w:rsidP="008D6F13">
            <w:pPr>
              <w:pStyle w:val="ListBullet"/>
            </w:pPr>
            <w:r w:rsidRPr="00231150">
              <w:t>discusses the sensitivity of the estimated financial statements to changes in these assumptions</w:t>
            </w:r>
          </w:p>
        </w:tc>
        <w:tc>
          <w:tcPr>
            <w:tcW w:w="3926" w:type="dxa"/>
          </w:tcPr>
          <w:p w14:paraId="3DAA193B" w14:textId="77777777" w:rsidR="008D6F13" w:rsidRPr="00231150" w:rsidRDefault="008D6F13" w:rsidP="0031078F">
            <w:r w:rsidRPr="00231150">
              <w:t xml:space="preserve">Appendix D </w:t>
            </w:r>
            <w:r w:rsidRPr="00962EB8">
              <w:rPr>
                <w:i/>
                <w:iCs/>
              </w:rPr>
              <w:t>Sensitivity analysis</w:t>
            </w:r>
          </w:p>
        </w:tc>
      </w:tr>
      <w:tr w:rsidR="008D6F13" w:rsidRPr="00231150" w14:paraId="53FDADD8" w14:textId="77777777" w:rsidTr="0031078F">
        <w:tc>
          <w:tcPr>
            <w:tcW w:w="3928" w:type="dxa"/>
          </w:tcPr>
          <w:p w14:paraId="522FA6DB" w14:textId="77777777" w:rsidR="008D6F13" w:rsidRPr="00231150" w:rsidRDefault="008D6F13" w:rsidP="008D6F13">
            <w:pPr>
              <w:pStyle w:val="ListBullet"/>
            </w:pPr>
            <w:r w:rsidRPr="00231150">
              <w:t>provides an overview of estimated tax expenditures for the financial years covered by the estimated financial statements</w:t>
            </w:r>
          </w:p>
        </w:tc>
        <w:tc>
          <w:tcPr>
            <w:tcW w:w="3926" w:type="dxa"/>
          </w:tcPr>
          <w:p w14:paraId="09210D08" w14:textId="77777777" w:rsidR="008D6F13" w:rsidRPr="00231150" w:rsidRDefault="008D6F13" w:rsidP="0031078F">
            <w:r w:rsidRPr="00231150">
              <w:t xml:space="preserve">Appendix C </w:t>
            </w:r>
            <w:r w:rsidRPr="00962EB8">
              <w:rPr>
                <w:i/>
                <w:iCs/>
              </w:rPr>
              <w:t>Tax expenditures and concessions</w:t>
            </w:r>
          </w:p>
        </w:tc>
      </w:tr>
      <w:tr w:rsidR="008D6F13" w:rsidRPr="00231150" w14:paraId="10F45FA7" w14:textId="77777777" w:rsidTr="0031078F">
        <w:tc>
          <w:tcPr>
            <w:tcW w:w="3928" w:type="dxa"/>
          </w:tcPr>
          <w:p w14:paraId="46030B50" w14:textId="77777777" w:rsidR="008D6F13" w:rsidRPr="00231150" w:rsidRDefault="008D6F13" w:rsidP="008D6F13">
            <w:pPr>
              <w:pStyle w:val="ListBullet"/>
            </w:pPr>
            <w:r w:rsidRPr="00231150">
              <w:t>provides a statement of the risks that may have a material effect on the estimated financial statements.</w:t>
            </w:r>
          </w:p>
        </w:tc>
        <w:tc>
          <w:tcPr>
            <w:tcW w:w="3926" w:type="dxa"/>
          </w:tcPr>
          <w:p w14:paraId="7DD5DFB7" w14:textId="77777777" w:rsidR="008D6F13" w:rsidRPr="00231150" w:rsidRDefault="008D6F13" w:rsidP="0031078F">
            <w:r w:rsidRPr="00231150">
              <w:t xml:space="preserve">Chapter 2 </w:t>
            </w:r>
            <w:r w:rsidRPr="00962EB8">
              <w:rPr>
                <w:i/>
                <w:iCs/>
              </w:rPr>
              <w:t>Economic context</w:t>
            </w:r>
            <w:r w:rsidRPr="00231150">
              <w:t xml:space="preserve">; Chapter 3 </w:t>
            </w:r>
            <w:r w:rsidRPr="00962EB8">
              <w:rPr>
                <w:i/>
                <w:iCs/>
              </w:rPr>
              <w:t xml:space="preserve">Budget position and outlook; </w:t>
            </w:r>
            <w:r w:rsidRPr="00231150">
              <w:t xml:space="preserve">and Chapter 6 </w:t>
            </w:r>
            <w:r w:rsidRPr="00962EB8">
              <w:rPr>
                <w:i/>
                <w:iCs/>
              </w:rPr>
              <w:t>Contingent assets and contingent liabilities</w:t>
            </w:r>
          </w:p>
        </w:tc>
      </w:tr>
    </w:tbl>
    <w:p w14:paraId="0A063A00" w14:textId="77777777" w:rsidR="008D6F13" w:rsidRDefault="008D6F13" w:rsidP="008D6F13">
      <w:pPr>
        <w:keepLines w:val="0"/>
      </w:pPr>
    </w:p>
    <w:p w14:paraId="1AFB5723" w14:textId="77777777" w:rsidR="008D6F13" w:rsidRDefault="008D6F13" w:rsidP="003610AD">
      <w:pPr>
        <w:sectPr w:rsidR="008D6F13" w:rsidSect="008D6F13">
          <w:footerReference w:type="even" r:id="rId67"/>
          <w:footerReference w:type="default" r:id="rId68"/>
          <w:pgSz w:w="9979" w:h="14175" w:code="9"/>
          <w:pgMar w:top="1134" w:right="1134" w:bottom="1134" w:left="1134" w:header="624" w:footer="567" w:gutter="0"/>
          <w:cols w:space="708"/>
          <w:docGrid w:linePitch="360"/>
        </w:sectPr>
      </w:pPr>
    </w:p>
    <w:p w14:paraId="4EE12978" w14:textId="77777777" w:rsidR="008D6F13" w:rsidRDefault="008D6F13" w:rsidP="008D6F13">
      <w:pPr>
        <w:pStyle w:val="ChapterHeading"/>
      </w:pPr>
      <w:bookmarkStart w:id="242" w:name="_Toc89423617"/>
      <w:r>
        <w:lastRenderedPageBreak/>
        <w:t>Style conventions</w:t>
      </w:r>
      <w:bookmarkEnd w:id="242"/>
    </w:p>
    <w:p w14:paraId="2F00BF74" w14:textId="77777777" w:rsidR="008D6F13" w:rsidRPr="0009665B" w:rsidRDefault="008D6F13" w:rsidP="008D6F13">
      <w:r w:rsidRPr="0009665B">
        <w:t>Figures in the tables and in the text have been rounded. Discrepancies in tables between totals and sums of components reflect rounding. Percentage changes in all tables are based on the underlying unrounded amounts.</w:t>
      </w:r>
    </w:p>
    <w:p w14:paraId="4ABD9D55" w14:textId="77777777" w:rsidR="008D6F13" w:rsidRPr="0009665B" w:rsidRDefault="008D6F13" w:rsidP="008D6F13">
      <w:r w:rsidRPr="0009665B">
        <w:t>The notation used in the tables and charts is as follows:</w:t>
      </w:r>
    </w:p>
    <w:p w14:paraId="674997B3" w14:textId="77777777" w:rsidR="008D6F13" w:rsidRPr="0009665B" w:rsidRDefault="008D6F13" w:rsidP="008D6F13">
      <w:pPr>
        <w:ind w:left="2520" w:hanging="1800"/>
      </w:pPr>
      <w:r w:rsidRPr="0009665B">
        <w:t xml:space="preserve">n.a. or </w:t>
      </w:r>
      <w:proofErr w:type="spellStart"/>
      <w:r w:rsidRPr="0009665B">
        <w:t>na</w:t>
      </w:r>
      <w:proofErr w:type="spellEnd"/>
      <w:r w:rsidRPr="0009665B">
        <w:tab/>
        <w:t>not available or not applicable</w:t>
      </w:r>
    </w:p>
    <w:p w14:paraId="0D4D955B" w14:textId="77777777" w:rsidR="008D6F13" w:rsidRPr="0009665B" w:rsidRDefault="008D6F13" w:rsidP="008D6F13">
      <w:pPr>
        <w:ind w:left="2520" w:hanging="1800"/>
      </w:pPr>
      <w:r w:rsidRPr="0009665B">
        <w:t>1</w:t>
      </w:r>
      <w:r>
        <w:t> billion</w:t>
      </w:r>
      <w:r w:rsidRPr="0009665B">
        <w:tab/>
        <w:t>1 000</w:t>
      </w:r>
      <w:r>
        <w:t> million</w:t>
      </w:r>
    </w:p>
    <w:p w14:paraId="74678A0A" w14:textId="77777777" w:rsidR="008D6F13" w:rsidRPr="0009665B" w:rsidRDefault="008D6F13" w:rsidP="008D6F13">
      <w:pPr>
        <w:ind w:left="2520" w:hanging="1800"/>
      </w:pPr>
      <w:r w:rsidRPr="0009665B">
        <w:t>1 basis point</w:t>
      </w:r>
      <w:r w:rsidRPr="0009665B">
        <w:tab/>
        <w:t>0.01</w:t>
      </w:r>
      <w:r>
        <w:t> per cent</w:t>
      </w:r>
    </w:p>
    <w:p w14:paraId="4327947F" w14:textId="77777777" w:rsidR="008D6F13" w:rsidRPr="0009665B" w:rsidRDefault="008D6F13" w:rsidP="008D6F13">
      <w:pPr>
        <w:ind w:left="2520" w:hanging="1800"/>
      </w:pPr>
      <w:r w:rsidRPr="0009665B">
        <w:t>..</w:t>
      </w:r>
      <w:r w:rsidRPr="0009665B">
        <w:tab/>
        <w:t>zero, or rounded to zero</w:t>
      </w:r>
    </w:p>
    <w:p w14:paraId="6078B782" w14:textId="77777777" w:rsidR="008D6F13" w:rsidRPr="0009665B" w:rsidRDefault="008D6F13" w:rsidP="008D6F13">
      <w:pPr>
        <w:ind w:left="2520" w:hanging="1800"/>
      </w:pPr>
      <w:r w:rsidRPr="0009665B">
        <w:t>tb</w:t>
      </w:r>
      <w:r>
        <w:t>c</w:t>
      </w:r>
      <w:r w:rsidRPr="0009665B">
        <w:tab/>
        <w:t xml:space="preserve">to be </w:t>
      </w:r>
      <w:r>
        <w:t>confirmed</w:t>
      </w:r>
    </w:p>
    <w:p w14:paraId="1224DB3C" w14:textId="77777777" w:rsidR="008D6F13" w:rsidRPr="0009665B" w:rsidRDefault="008D6F13" w:rsidP="008D6F13">
      <w:pPr>
        <w:ind w:left="2520" w:hanging="1800"/>
      </w:pPr>
      <w:r w:rsidRPr="0009665B">
        <w:t>ongoing</w:t>
      </w:r>
      <w:r w:rsidRPr="0009665B">
        <w:tab/>
        <w:t>continuing output, program, project etc.</w:t>
      </w:r>
    </w:p>
    <w:p w14:paraId="2AFB3A94" w14:textId="77777777" w:rsidR="008D6F13" w:rsidRDefault="008D6F13" w:rsidP="008D6F13">
      <w:pPr>
        <w:ind w:left="2520" w:hanging="1800"/>
      </w:pPr>
      <w:r w:rsidRPr="0009665B">
        <w:t>(</w:t>
      </w:r>
      <w:r>
        <w:t xml:space="preserve">x </w:t>
      </w:r>
      <w:proofErr w:type="spellStart"/>
      <w:r w:rsidRPr="0009665B">
        <w:t>xxx.x</w:t>
      </w:r>
      <w:proofErr w:type="spellEnd"/>
      <w:r w:rsidRPr="0009665B">
        <w:t>)</w:t>
      </w:r>
      <w:r w:rsidRPr="0009665B">
        <w:tab/>
        <w:t xml:space="preserve">negative </w:t>
      </w:r>
      <w:r>
        <w:t>amount</w:t>
      </w:r>
    </w:p>
    <w:p w14:paraId="030318EF" w14:textId="77777777" w:rsidR="008D6F13" w:rsidRDefault="008D6F13" w:rsidP="008D6F13">
      <w:pPr>
        <w:ind w:left="2520" w:hanging="1800"/>
      </w:pPr>
      <w:r>
        <w:t>x xxx.0</w:t>
      </w:r>
      <w:r>
        <w:tab/>
        <w:t>rounded amount</w:t>
      </w:r>
    </w:p>
    <w:p w14:paraId="28E04225" w14:textId="77777777" w:rsidR="008D6F13" w:rsidRPr="0009665B" w:rsidRDefault="008D6F13" w:rsidP="008D6F13">
      <w:pPr>
        <w:ind w:left="2520" w:hanging="1800"/>
      </w:pPr>
    </w:p>
    <w:p w14:paraId="3E565D8F" w14:textId="77777777" w:rsidR="008D6F13" w:rsidRDefault="008D6F13" w:rsidP="008D6F13"/>
    <w:p w14:paraId="125018CF" w14:textId="77777777" w:rsidR="008D6F13" w:rsidRPr="00C47FE8" w:rsidRDefault="008D6F13" w:rsidP="008D6F13">
      <w:pPr>
        <w:rPr>
          <w:color w:val="000000" w:themeColor="text1"/>
        </w:rPr>
      </w:pPr>
      <w:r w:rsidRPr="00C47FE8">
        <w:rPr>
          <w:color w:val="000000" w:themeColor="text1"/>
        </w:rPr>
        <w:t xml:space="preserve">Please refer to the </w:t>
      </w:r>
      <w:r w:rsidRPr="00C47FE8">
        <w:rPr>
          <w:b/>
          <w:color w:val="000000" w:themeColor="text1"/>
        </w:rPr>
        <w:t xml:space="preserve">Treasury and Finance glossary for budget and financial reports </w:t>
      </w:r>
      <w:r w:rsidRPr="00C47FE8">
        <w:rPr>
          <w:b/>
          <w:color w:val="000000" w:themeColor="text1"/>
        </w:rPr>
        <w:br/>
      </w:r>
      <w:r w:rsidRPr="00C47FE8">
        <w:rPr>
          <w:color w:val="000000" w:themeColor="text1"/>
        </w:rPr>
        <w:t xml:space="preserve">at </w:t>
      </w:r>
      <w:r w:rsidRPr="008F606B">
        <w:t>dtf.vic.gov.au</w:t>
      </w:r>
      <w:r w:rsidRPr="00C47FE8">
        <w:rPr>
          <w:color w:val="000000" w:themeColor="text1"/>
        </w:rPr>
        <w:t xml:space="preserve"> for additional terms and references.</w:t>
      </w:r>
    </w:p>
    <w:p w14:paraId="25D47938" w14:textId="77777777" w:rsidR="008D6F13" w:rsidRPr="00BC54D5" w:rsidRDefault="008D6F13" w:rsidP="008D6F13"/>
    <w:p w14:paraId="75614DBD" w14:textId="6E3FDFFC" w:rsidR="008D6F13" w:rsidRDefault="008D6F13">
      <w:pPr>
        <w:keepLines w:val="0"/>
      </w:pPr>
    </w:p>
    <w:p w14:paraId="7E853DB8" w14:textId="77777777" w:rsidR="00E00690" w:rsidRDefault="00E00690" w:rsidP="003610AD">
      <w:pPr>
        <w:sectPr w:rsidR="00E00690" w:rsidSect="008D6F13">
          <w:footerReference w:type="even" r:id="rId69"/>
          <w:footerReference w:type="default" r:id="rId70"/>
          <w:pgSz w:w="9979" w:h="14175" w:code="9"/>
          <w:pgMar w:top="1134" w:right="1134" w:bottom="1134" w:left="1134" w:header="624" w:footer="567" w:gutter="0"/>
          <w:cols w:space="708"/>
          <w:docGrid w:linePitch="360"/>
        </w:sectPr>
      </w:pPr>
    </w:p>
    <w:p w14:paraId="373D7C87" w14:textId="1074BEA2" w:rsidR="00F139C4" w:rsidRPr="00387283" w:rsidRDefault="00E00690" w:rsidP="003610AD">
      <w:r w:rsidRPr="00E00690">
        <w:lastRenderedPageBreak/>
        <w:t>If you would like to receive this publication</w:t>
      </w:r>
      <w:r>
        <w:t xml:space="preserve"> </w:t>
      </w:r>
      <w:r>
        <w:br/>
      </w:r>
      <w:r w:rsidRPr="00E00690">
        <w:t xml:space="preserve">in an accessible </w:t>
      </w:r>
      <w:proofErr w:type="gramStart"/>
      <w:r w:rsidRPr="00E00690">
        <w:t>format</w:t>
      </w:r>
      <w:proofErr w:type="gramEnd"/>
      <w:r w:rsidRPr="00E00690">
        <w:t xml:space="preserve"> please email </w:t>
      </w:r>
      <w:r>
        <w:br/>
      </w:r>
      <w:r w:rsidRPr="00E00690">
        <w:t xml:space="preserve">information@dtf.vic.gov.au or telephone </w:t>
      </w:r>
      <w:r>
        <w:br/>
      </w:r>
      <w:r w:rsidRPr="00E00690">
        <w:t>(03) 9651 5111.</w:t>
      </w:r>
      <w:r w:rsidRPr="00E00690">
        <w:br/>
      </w:r>
      <w:r w:rsidRPr="00E00690">
        <w:br/>
        <w:t xml:space="preserve">This document is available in PDF and </w:t>
      </w:r>
      <w:r>
        <w:br/>
      </w:r>
      <w:r w:rsidRPr="00E00690">
        <w:t>Word format at dtf.vic.gov.au</w:t>
      </w:r>
      <w:r>
        <w:t>.</w:t>
      </w:r>
    </w:p>
    <w:sectPr w:rsidR="00F139C4" w:rsidRPr="00387283" w:rsidSect="00E00690">
      <w:footerReference w:type="even" r:id="rId71"/>
      <w:pgSz w:w="9979" w:h="14175" w:code="34"/>
      <w:pgMar w:top="1134" w:right="1134" w:bottom="1134" w:left="1134" w:header="624" w:footer="567" w:gutter="0"/>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1DAC13" w14:textId="77777777" w:rsidR="005A7369" w:rsidRDefault="005A7369" w:rsidP="00F2052E">
      <w:pPr>
        <w:spacing w:before="0"/>
      </w:pPr>
      <w:r>
        <w:separator/>
      </w:r>
    </w:p>
  </w:endnote>
  <w:endnote w:type="continuationSeparator" w:id="0">
    <w:p w14:paraId="1F60A56D" w14:textId="77777777" w:rsidR="005A7369" w:rsidRDefault="005A7369" w:rsidP="00F2052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3FEE6" w14:textId="77777777" w:rsidR="005D5407" w:rsidRDefault="005D540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277B7" w14:textId="12DC3141" w:rsidR="005A7369" w:rsidRDefault="005A7369" w:rsidP="00E36759">
    <w:pPr>
      <w:pStyle w:val="FooterEvenPage"/>
    </w:pPr>
    <w:r>
      <w:fldChar w:fldCharType="begin"/>
    </w:r>
    <w:r>
      <w:instrText xml:space="preserve"> PAGE   \* MERGEFORMAT </w:instrText>
    </w:r>
    <w:r>
      <w:fldChar w:fldCharType="separate"/>
    </w:r>
    <w:r>
      <w:t>1</w:t>
    </w:r>
    <w:r>
      <w:fldChar w:fldCharType="end"/>
    </w:r>
    <w:r>
      <w:tab/>
      <w:t>Chapter 2</w:t>
    </w:r>
    <w:r>
      <w:tab/>
    </w:r>
    <w:r w:rsidRPr="00DD54EA">
      <w:t>2021-22 Budget Update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81EAF" w14:textId="467F2A90" w:rsidR="005A7369" w:rsidRPr="00E36759" w:rsidRDefault="005A7369" w:rsidP="00E36759">
    <w:pPr>
      <w:pStyle w:val="FooterOddPage"/>
    </w:pPr>
    <w:r w:rsidRPr="00DD54EA">
      <w:t>2021-22 Budget Update</w:t>
    </w:r>
    <w:r w:rsidRPr="00E36759">
      <w:tab/>
      <w:t xml:space="preserve">Chapter </w:t>
    </w:r>
    <w:r>
      <w:t>2</w:t>
    </w:r>
    <w:r w:rsidRPr="00E36759">
      <w:tab/>
    </w:r>
    <w:r w:rsidRPr="00E36759">
      <w:fldChar w:fldCharType="begin"/>
    </w:r>
    <w:r w:rsidRPr="00E36759">
      <w:instrText xml:space="preserve"> PAGE   \* MERGEFORMAT </w:instrText>
    </w:r>
    <w:r w:rsidRPr="00E36759">
      <w:fldChar w:fldCharType="separate"/>
    </w:r>
    <w:r w:rsidRPr="00E36759">
      <w:t>1</w:t>
    </w:r>
    <w:r w:rsidRPr="00E36759">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5B168" w14:textId="059C87AD" w:rsidR="005A7369" w:rsidRDefault="00355DF4" w:rsidP="00CD78F6">
    <w:pPr>
      <w:pStyle w:val="FooterOddPage"/>
    </w:pPr>
    <w:fldSimple w:instr=" DOCPROPERTY  Subject  \* MERGEFORMAT ">
      <w:r w:rsidR="005A7369">
        <w:t>Publication Title</w:t>
      </w:r>
    </w:fldSimple>
    <w:r w:rsidR="005A7369" w:rsidRPr="00E36759">
      <w:tab/>
      <w:t>Chapter X</w:t>
    </w:r>
    <w:r w:rsidR="005A7369" w:rsidRPr="00E36759">
      <w:tab/>
      <w:t xml:space="preserve">Page </w:t>
    </w:r>
    <w:r w:rsidR="005A7369" w:rsidRPr="00E36759">
      <w:fldChar w:fldCharType="begin"/>
    </w:r>
    <w:r w:rsidR="005A7369" w:rsidRPr="00E36759">
      <w:instrText xml:space="preserve"> PAGE   \* MERGEFORMAT </w:instrText>
    </w:r>
    <w:r w:rsidR="005A7369" w:rsidRPr="00E36759">
      <w:fldChar w:fldCharType="separate"/>
    </w:r>
    <w:r w:rsidR="005A7369">
      <w:t>3</w:t>
    </w:r>
    <w:r w:rsidR="005A7369" w:rsidRPr="00E36759">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6F27D" w14:textId="36BE4C92" w:rsidR="005A7369" w:rsidRDefault="005A7369" w:rsidP="00E36759">
    <w:pPr>
      <w:pStyle w:val="FooterEvenPage"/>
    </w:pPr>
    <w:r>
      <w:fldChar w:fldCharType="begin"/>
    </w:r>
    <w:r>
      <w:instrText xml:space="preserve"> PAGE   \* MERGEFORMAT </w:instrText>
    </w:r>
    <w:r>
      <w:fldChar w:fldCharType="separate"/>
    </w:r>
    <w:r>
      <w:t>1</w:t>
    </w:r>
    <w:r>
      <w:fldChar w:fldCharType="end"/>
    </w:r>
    <w:r>
      <w:tab/>
      <w:t>Chapter 3</w:t>
    </w:r>
    <w:r>
      <w:tab/>
    </w:r>
    <w:r w:rsidRPr="00DD54EA">
      <w:t>2021-22 Budget Update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93DF5" w14:textId="361FADE9" w:rsidR="005A7369" w:rsidRPr="00E36759" w:rsidRDefault="005A7369" w:rsidP="00E36759">
    <w:pPr>
      <w:pStyle w:val="FooterOddPage"/>
    </w:pPr>
    <w:r w:rsidRPr="00DD54EA">
      <w:t>2021-22 Budget Update</w:t>
    </w:r>
    <w:r w:rsidRPr="00E36759">
      <w:tab/>
      <w:t>Chapter</w:t>
    </w:r>
    <w:r>
      <w:t xml:space="preserve"> 3</w:t>
    </w:r>
    <w:r w:rsidRPr="00E36759">
      <w:tab/>
    </w:r>
    <w:r w:rsidRPr="00E36759">
      <w:fldChar w:fldCharType="begin"/>
    </w:r>
    <w:r w:rsidRPr="00E36759">
      <w:instrText xml:space="preserve"> PAGE   \* MERGEFORMAT </w:instrText>
    </w:r>
    <w:r w:rsidRPr="00E36759">
      <w:fldChar w:fldCharType="separate"/>
    </w:r>
    <w:r w:rsidRPr="00E36759">
      <w:t>1</w:t>
    </w:r>
    <w:r w:rsidRPr="00E36759">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DDDE3" w14:textId="632D8F70" w:rsidR="005A7369" w:rsidRDefault="00355DF4" w:rsidP="00CD78F6">
    <w:pPr>
      <w:pStyle w:val="FooterOddPage"/>
    </w:pPr>
    <w:fldSimple w:instr=" DOCPROPERTY  Subject  \* MERGEFORMAT ">
      <w:r w:rsidR="005A7369">
        <w:t>Publication Title</w:t>
      </w:r>
    </w:fldSimple>
    <w:r w:rsidR="005A7369" w:rsidRPr="00E36759">
      <w:tab/>
      <w:t>Chapter X</w:t>
    </w:r>
    <w:r w:rsidR="005A7369" w:rsidRPr="00E36759">
      <w:tab/>
      <w:t xml:space="preserve">Page </w:t>
    </w:r>
    <w:r w:rsidR="005A7369" w:rsidRPr="00E36759">
      <w:fldChar w:fldCharType="begin"/>
    </w:r>
    <w:r w:rsidR="005A7369" w:rsidRPr="00E36759">
      <w:instrText xml:space="preserve"> PAGE   \* MERGEFORMAT </w:instrText>
    </w:r>
    <w:r w:rsidR="005A7369" w:rsidRPr="00E36759">
      <w:fldChar w:fldCharType="separate"/>
    </w:r>
    <w:r w:rsidR="005A7369">
      <w:t>3</w:t>
    </w:r>
    <w:r w:rsidR="005A7369" w:rsidRPr="00E36759">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29C4F" w14:textId="3576A3BB" w:rsidR="005A7369" w:rsidRDefault="005A7369" w:rsidP="00E36759">
    <w:pPr>
      <w:pStyle w:val="FooterEvenPage"/>
    </w:pPr>
    <w:r>
      <w:fldChar w:fldCharType="begin"/>
    </w:r>
    <w:r>
      <w:instrText xml:space="preserve"> PAGE   \* MERGEFORMAT </w:instrText>
    </w:r>
    <w:r>
      <w:fldChar w:fldCharType="separate"/>
    </w:r>
    <w:r>
      <w:t>1</w:t>
    </w:r>
    <w:r>
      <w:fldChar w:fldCharType="end"/>
    </w:r>
    <w:r>
      <w:tab/>
      <w:t>Chapter 4</w:t>
    </w:r>
    <w:r>
      <w:tab/>
    </w:r>
    <w:r w:rsidRPr="00DD54EA">
      <w:t>2021-22 Budget Update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DE369" w14:textId="70827E57" w:rsidR="005A7369" w:rsidRPr="00E36759" w:rsidRDefault="005A7369" w:rsidP="00E36759">
    <w:pPr>
      <w:pStyle w:val="FooterOddPage"/>
    </w:pPr>
    <w:r>
      <w:t>2021-22 Budget Update</w:t>
    </w:r>
    <w:r w:rsidRPr="00E36759">
      <w:tab/>
      <w:t xml:space="preserve">Chapter </w:t>
    </w:r>
    <w:r>
      <w:t>4</w:t>
    </w:r>
    <w:r w:rsidRPr="00E36759">
      <w:tab/>
    </w:r>
    <w:r w:rsidRPr="00E36759">
      <w:fldChar w:fldCharType="begin"/>
    </w:r>
    <w:r w:rsidRPr="00E36759">
      <w:instrText xml:space="preserve"> PAGE   \* MERGEFORMAT </w:instrText>
    </w:r>
    <w:r w:rsidRPr="00E36759">
      <w:fldChar w:fldCharType="separate"/>
    </w:r>
    <w:r w:rsidRPr="00E36759">
      <w:t>1</w:t>
    </w:r>
    <w:r w:rsidRPr="00E36759">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9232E" w14:textId="575CFE06" w:rsidR="005A7369" w:rsidRPr="00647267" w:rsidRDefault="005A7369" w:rsidP="0031078F">
    <w:pPr>
      <w:pStyle w:val="FooterEvenPage"/>
    </w:pPr>
    <w:r>
      <w:fldChar w:fldCharType="begin"/>
    </w:r>
    <w:r>
      <w:instrText xml:space="preserve"> PAGE   \* MERGEFORMAT </w:instrText>
    </w:r>
    <w:r>
      <w:fldChar w:fldCharType="separate"/>
    </w:r>
    <w:r>
      <w:t>14</w:t>
    </w:r>
    <w:r>
      <w:fldChar w:fldCharType="end"/>
    </w:r>
    <w:r>
      <w:tab/>
      <w:t>Chapter 4</w:t>
    </w:r>
    <w:r>
      <w:tab/>
    </w:r>
    <w:r w:rsidRPr="0031078F">
      <w:t>2021-22 Budget Update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EE0C2" w14:textId="1EE01407" w:rsidR="005A7369" w:rsidRPr="00647267" w:rsidRDefault="005A7369" w:rsidP="0031078F">
    <w:pPr>
      <w:pStyle w:val="FooterEvenPage"/>
    </w:pPr>
    <w:r>
      <w:fldChar w:fldCharType="begin"/>
    </w:r>
    <w:r>
      <w:instrText xml:space="preserve"> PAGE   \* MERGEFORMAT </w:instrText>
    </w:r>
    <w:r>
      <w:fldChar w:fldCharType="separate"/>
    </w:r>
    <w:r>
      <w:t>14</w:t>
    </w:r>
    <w:r>
      <w:fldChar w:fldCharType="end"/>
    </w:r>
    <w:r>
      <w:tab/>
      <w:t>Chapter 4</w:t>
    </w:r>
    <w:r>
      <w:tab/>
      <w:t>2021-22 Budget Update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92984" w14:textId="77777777" w:rsidR="005D5407" w:rsidRDefault="005D540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11B63" w14:textId="5A5D53D4" w:rsidR="005A7369" w:rsidRDefault="005A7369" w:rsidP="00E36759">
    <w:pPr>
      <w:pStyle w:val="FooterEvenPage"/>
    </w:pPr>
    <w:r>
      <w:fldChar w:fldCharType="begin"/>
    </w:r>
    <w:r>
      <w:instrText xml:space="preserve"> PAGE   \* MERGEFORMAT </w:instrText>
    </w:r>
    <w:r>
      <w:fldChar w:fldCharType="separate"/>
    </w:r>
    <w:r>
      <w:t>1</w:t>
    </w:r>
    <w:r>
      <w:fldChar w:fldCharType="end"/>
    </w:r>
    <w:r>
      <w:tab/>
      <w:t>Chapter 4</w:t>
    </w:r>
    <w:r>
      <w:tab/>
      <w:t>2021-22 Budget Update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7D68E" w14:textId="03077224" w:rsidR="005A7369" w:rsidRPr="00E36759" w:rsidRDefault="005A7369" w:rsidP="00E36759">
    <w:pPr>
      <w:pStyle w:val="FooterOddPage"/>
    </w:pPr>
    <w:r>
      <w:t>2021-22 Budget Update</w:t>
    </w:r>
    <w:r w:rsidRPr="00E36759">
      <w:tab/>
      <w:t xml:space="preserve">Chapter </w:t>
    </w:r>
    <w:r>
      <w:t>4</w:t>
    </w:r>
    <w:r w:rsidRPr="00E36759">
      <w:tab/>
    </w:r>
    <w:r w:rsidRPr="00E36759">
      <w:fldChar w:fldCharType="begin"/>
    </w:r>
    <w:r w:rsidRPr="00E36759">
      <w:instrText xml:space="preserve"> PAGE   \* MERGEFORMAT </w:instrText>
    </w:r>
    <w:r w:rsidRPr="00E36759">
      <w:fldChar w:fldCharType="separate"/>
    </w:r>
    <w:r w:rsidRPr="00E36759">
      <w:t>1</w:t>
    </w:r>
    <w:r w:rsidRPr="00E36759">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4D6F8" w14:textId="0E040550" w:rsidR="005A7369" w:rsidRPr="00647267" w:rsidRDefault="005A7369" w:rsidP="0031078F">
    <w:pPr>
      <w:pStyle w:val="FooterEvenPage"/>
    </w:pPr>
    <w:r>
      <w:t xml:space="preserve">Page </w:t>
    </w:r>
    <w:r>
      <w:fldChar w:fldCharType="begin"/>
    </w:r>
    <w:r>
      <w:instrText xml:space="preserve"> PAGE   \* MERGEFORMAT </w:instrText>
    </w:r>
    <w:r>
      <w:fldChar w:fldCharType="separate"/>
    </w:r>
    <w:r>
      <w:t>14</w:t>
    </w:r>
    <w:r>
      <w:fldChar w:fldCharType="end"/>
    </w:r>
    <w:r>
      <w:tab/>
      <w:t>Chapter 4</w:t>
    </w:r>
    <w:r>
      <w:tab/>
    </w:r>
    <w:fldSimple w:instr=" DOCPROPERTY  Subject  \* MERGEFORMAT ">
      <w:r>
        <w:t>Publication Title</w:t>
      </w:r>
    </w:fldSimple>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6A3B1" w14:textId="1DAAB7C5" w:rsidR="005A7369" w:rsidRDefault="005A7369" w:rsidP="00E36759">
    <w:pPr>
      <w:pStyle w:val="FooterEvenPage"/>
    </w:pPr>
    <w:r>
      <w:fldChar w:fldCharType="begin"/>
    </w:r>
    <w:r>
      <w:instrText xml:space="preserve"> PAGE   \* MERGEFORMAT </w:instrText>
    </w:r>
    <w:r>
      <w:fldChar w:fldCharType="separate"/>
    </w:r>
    <w:r>
      <w:t>1</w:t>
    </w:r>
    <w:r>
      <w:fldChar w:fldCharType="end"/>
    </w:r>
    <w:r>
      <w:tab/>
      <w:t>Chapter 5</w:t>
    </w:r>
    <w:r>
      <w:tab/>
      <w:t>2021-22 Budget Update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379B0" w14:textId="5D8E354A" w:rsidR="005A7369" w:rsidRPr="00E36759" w:rsidRDefault="005A7369" w:rsidP="00E36759">
    <w:pPr>
      <w:pStyle w:val="FooterOddPage"/>
    </w:pPr>
    <w:r>
      <w:t>2021-22 Budget Update</w:t>
    </w:r>
    <w:r w:rsidRPr="00E36759">
      <w:tab/>
      <w:t xml:space="preserve">Chapter </w:t>
    </w:r>
    <w:r>
      <w:t>5</w:t>
    </w:r>
    <w:r w:rsidRPr="00E36759">
      <w:tab/>
    </w:r>
    <w:r w:rsidRPr="00E36759">
      <w:fldChar w:fldCharType="begin"/>
    </w:r>
    <w:r w:rsidRPr="00E36759">
      <w:instrText xml:space="preserve"> PAGE   \* MERGEFORMAT </w:instrText>
    </w:r>
    <w:r w:rsidRPr="00E36759">
      <w:fldChar w:fldCharType="separate"/>
    </w:r>
    <w:r w:rsidRPr="00E36759">
      <w:t>1</w:t>
    </w:r>
    <w:r w:rsidRPr="00E36759">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473BF" w14:textId="511AFC6A" w:rsidR="005A7369" w:rsidRPr="00647267" w:rsidRDefault="005A7369" w:rsidP="0031078F">
    <w:pPr>
      <w:pStyle w:val="FooterEvenPage"/>
    </w:pPr>
    <w:r>
      <w:t xml:space="preserve">Page </w:t>
    </w:r>
    <w:r>
      <w:fldChar w:fldCharType="begin"/>
    </w:r>
    <w:r>
      <w:instrText xml:space="preserve"> PAGE   \* MERGEFORMAT </w:instrText>
    </w:r>
    <w:r>
      <w:fldChar w:fldCharType="separate"/>
    </w:r>
    <w:r>
      <w:t>14</w:t>
    </w:r>
    <w:r>
      <w:fldChar w:fldCharType="end"/>
    </w:r>
    <w:r>
      <w:tab/>
      <w:t>Chapter 4</w:t>
    </w:r>
    <w:r>
      <w:tab/>
    </w:r>
    <w:fldSimple w:instr=" DOCPROPERTY  Subject  \* MERGEFORMAT ">
      <w:r>
        <w:t>Publication Title</w:t>
      </w:r>
    </w:fldSimple>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970BD" w14:textId="0BBEB9C1" w:rsidR="005A7369" w:rsidRDefault="005A7369" w:rsidP="00E36759">
    <w:pPr>
      <w:pStyle w:val="FooterEvenPage"/>
    </w:pPr>
    <w:r>
      <w:fldChar w:fldCharType="begin"/>
    </w:r>
    <w:r>
      <w:instrText xml:space="preserve"> PAGE   \* MERGEFORMAT </w:instrText>
    </w:r>
    <w:r>
      <w:fldChar w:fldCharType="separate"/>
    </w:r>
    <w:r>
      <w:t>1</w:t>
    </w:r>
    <w:r>
      <w:fldChar w:fldCharType="end"/>
    </w:r>
    <w:r>
      <w:tab/>
      <w:t>Chapter 6</w:t>
    </w:r>
    <w:r>
      <w:tab/>
      <w:t>2021-22 Budget Update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0FA70" w14:textId="5BC65FAF" w:rsidR="005A7369" w:rsidRPr="00E36759" w:rsidRDefault="005A7369" w:rsidP="00E36759">
    <w:pPr>
      <w:pStyle w:val="FooterOddPage"/>
    </w:pPr>
    <w:r>
      <w:t>2021-22 Budget Update</w:t>
    </w:r>
    <w:r w:rsidRPr="00E36759">
      <w:tab/>
      <w:t xml:space="preserve">Chapter </w:t>
    </w:r>
    <w:r>
      <w:t>6</w:t>
    </w:r>
    <w:r w:rsidRPr="00E36759">
      <w:tab/>
    </w:r>
    <w:r w:rsidRPr="00E36759">
      <w:fldChar w:fldCharType="begin"/>
    </w:r>
    <w:r w:rsidRPr="00E36759">
      <w:instrText xml:space="preserve"> PAGE   \* MERGEFORMAT </w:instrText>
    </w:r>
    <w:r w:rsidRPr="00E36759">
      <w:fldChar w:fldCharType="separate"/>
    </w:r>
    <w:r w:rsidRPr="00E36759">
      <w:t>1</w:t>
    </w:r>
    <w:r w:rsidRPr="00E36759">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CBF4A" w14:textId="301F089B" w:rsidR="005A7369" w:rsidRPr="00647267" w:rsidRDefault="005A7369" w:rsidP="0031078F">
    <w:pPr>
      <w:pStyle w:val="FooterEvenPage"/>
    </w:pPr>
    <w:r>
      <w:t xml:space="preserve">Page </w:t>
    </w:r>
    <w:r>
      <w:fldChar w:fldCharType="begin"/>
    </w:r>
    <w:r>
      <w:instrText xml:space="preserve"> PAGE   \* MERGEFORMAT </w:instrText>
    </w:r>
    <w:r>
      <w:fldChar w:fldCharType="separate"/>
    </w:r>
    <w:r>
      <w:t>14</w:t>
    </w:r>
    <w:r>
      <w:fldChar w:fldCharType="end"/>
    </w:r>
    <w:r>
      <w:tab/>
      <w:t>Chapter 6</w:t>
    </w:r>
    <w:r>
      <w:tab/>
      <w:t>2021-22 Budget Update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183E1" w14:textId="77777777" w:rsidR="005A7369" w:rsidRPr="002C530B" w:rsidRDefault="005A7369" w:rsidP="0031078F">
    <w:pPr>
      <w:pStyle w:val="FooterEvenPage"/>
    </w:pPr>
    <w:r w:rsidRPr="002C530B">
      <w:fldChar w:fldCharType="begin"/>
    </w:r>
    <w:r w:rsidRPr="002C530B">
      <w:instrText xml:space="preserve"> PAGE </w:instrText>
    </w:r>
    <w:r w:rsidRPr="002C530B">
      <w:fldChar w:fldCharType="separate"/>
    </w:r>
    <w:r w:rsidRPr="002C530B">
      <w:t>2</w:t>
    </w:r>
    <w:r w:rsidRPr="002C530B">
      <w:fldChar w:fldCharType="end"/>
    </w:r>
    <w:r w:rsidRPr="002C530B">
      <w:tab/>
    </w:r>
    <w:r>
      <w:t>Appendix A</w:t>
    </w:r>
    <w:r w:rsidRPr="002C530B">
      <w:tab/>
      <w:t>202</w:t>
    </w:r>
    <w:r>
      <w:t>1</w:t>
    </w:r>
    <w:r w:rsidRPr="002C530B">
      <w:noBreakHyphen/>
      <w:t>2</w:t>
    </w:r>
    <w:r>
      <w:t>2</w:t>
    </w:r>
    <w:r w:rsidRPr="002C530B">
      <w:t xml:space="preserve"> </w:t>
    </w:r>
    <w:r>
      <w:t>Budget Update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4ED74" w14:textId="77777777" w:rsidR="005D5407" w:rsidRDefault="005D5407">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706EC" w14:textId="7420B466" w:rsidR="005A7369" w:rsidRPr="00E36759" w:rsidRDefault="005A7369" w:rsidP="00E36759">
    <w:pPr>
      <w:pStyle w:val="FooterOddPage"/>
    </w:pPr>
    <w:r>
      <w:t>2021-22 Budget Update</w:t>
    </w:r>
    <w:r w:rsidRPr="00E36759">
      <w:tab/>
    </w:r>
    <w:r>
      <w:t>Appendix A</w:t>
    </w:r>
    <w:r w:rsidRPr="00E36759">
      <w:tab/>
    </w:r>
    <w:r w:rsidRPr="00E36759">
      <w:fldChar w:fldCharType="begin"/>
    </w:r>
    <w:r w:rsidRPr="00E36759">
      <w:instrText xml:space="preserve"> PAGE   \* MERGEFORMAT </w:instrText>
    </w:r>
    <w:r w:rsidRPr="00E36759">
      <w:fldChar w:fldCharType="separate"/>
    </w:r>
    <w:r w:rsidRPr="00E36759">
      <w:t>1</w:t>
    </w:r>
    <w:r w:rsidRPr="00E36759">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BF039" w14:textId="5A8283E7" w:rsidR="005A7369" w:rsidRPr="00647267" w:rsidRDefault="005A7369" w:rsidP="0031078F">
    <w:pPr>
      <w:pStyle w:val="FooterEvenPage"/>
    </w:pPr>
    <w:r>
      <w:t xml:space="preserve">Page </w:t>
    </w:r>
    <w:r>
      <w:fldChar w:fldCharType="begin"/>
    </w:r>
    <w:r>
      <w:instrText xml:space="preserve"> PAGE   \* MERGEFORMAT </w:instrText>
    </w:r>
    <w:r>
      <w:fldChar w:fldCharType="separate"/>
    </w:r>
    <w:r>
      <w:t>14</w:t>
    </w:r>
    <w:r>
      <w:fldChar w:fldCharType="end"/>
    </w:r>
    <w:r>
      <w:tab/>
      <w:t>Chapter 4</w:t>
    </w:r>
    <w:r>
      <w:tab/>
    </w:r>
    <w:fldSimple w:instr=" DOCPROPERTY  Subject  \* MERGEFORMAT ">
      <w:r>
        <w:t>Publication Title</w:t>
      </w:r>
    </w:fldSimple>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E62A3" w14:textId="6BBC04A5" w:rsidR="005A7369" w:rsidRPr="002C530B" w:rsidRDefault="005A7369" w:rsidP="0031078F">
    <w:pPr>
      <w:pStyle w:val="FooterEvenPage"/>
    </w:pPr>
    <w:r w:rsidRPr="002C530B">
      <w:fldChar w:fldCharType="begin"/>
    </w:r>
    <w:r w:rsidRPr="002C530B">
      <w:instrText xml:space="preserve"> PAGE </w:instrText>
    </w:r>
    <w:r w:rsidRPr="002C530B">
      <w:fldChar w:fldCharType="separate"/>
    </w:r>
    <w:r w:rsidRPr="002C530B">
      <w:t>2</w:t>
    </w:r>
    <w:r w:rsidRPr="002C530B">
      <w:fldChar w:fldCharType="end"/>
    </w:r>
    <w:r w:rsidRPr="002C530B">
      <w:tab/>
    </w:r>
    <w:r>
      <w:t>Appendix B</w:t>
    </w:r>
    <w:r w:rsidRPr="002C530B">
      <w:tab/>
      <w:t>202</w:t>
    </w:r>
    <w:r>
      <w:t>1</w:t>
    </w:r>
    <w:r w:rsidRPr="002C530B">
      <w:noBreakHyphen/>
      <w:t>2</w:t>
    </w:r>
    <w:r>
      <w:t>2</w:t>
    </w:r>
    <w:r w:rsidRPr="002C530B">
      <w:t xml:space="preserve"> </w:t>
    </w:r>
    <w:r>
      <w:t>Budget Update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991DC" w14:textId="7FE96584" w:rsidR="005A7369" w:rsidRPr="002C530B" w:rsidRDefault="005A7369" w:rsidP="0031078F">
    <w:pPr>
      <w:pStyle w:val="FooterOddPage"/>
    </w:pPr>
    <w:r>
      <w:t>2021-22 Budget Update</w:t>
    </w:r>
    <w:r w:rsidRPr="002C530B">
      <w:tab/>
    </w:r>
    <w:r>
      <w:t>Appendix B</w:t>
    </w:r>
    <w:r w:rsidRPr="002C530B">
      <w:tab/>
    </w:r>
    <w:r w:rsidRPr="002C530B">
      <w:fldChar w:fldCharType="begin"/>
    </w:r>
    <w:r w:rsidRPr="002C530B">
      <w:instrText xml:space="preserve"> PAGE </w:instrText>
    </w:r>
    <w:r w:rsidRPr="002C530B">
      <w:fldChar w:fldCharType="separate"/>
    </w:r>
    <w:r w:rsidRPr="002C530B">
      <w:t>1</w:t>
    </w:r>
    <w:r w:rsidRPr="002C530B">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78DFB" w14:textId="5A83A871" w:rsidR="005A7369" w:rsidRPr="002C530B" w:rsidRDefault="005A7369" w:rsidP="0031078F">
    <w:pPr>
      <w:pStyle w:val="FooterEvenPage"/>
    </w:pPr>
    <w:r w:rsidRPr="002C530B">
      <w:fldChar w:fldCharType="begin"/>
    </w:r>
    <w:r w:rsidRPr="002C530B">
      <w:instrText xml:space="preserve"> PAGE </w:instrText>
    </w:r>
    <w:r w:rsidRPr="002C530B">
      <w:fldChar w:fldCharType="separate"/>
    </w:r>
    <w:r w:rsidRPr="002C530B">
      <w:t>2</w:t>
    </w:r>
    <w:r w:rsidRPr="002C530B">
      <w:fldChar w:fldCharType="end"/>
    </w:r>
    <w:r w:rsidRPr="002C530B">
      <w:tab/>
    </w:r>
    <w:r>
      <w:t>Appendix C</w:t>
    </w:r>
    <w:r w:rsidRPr="002C530B">
      <w:tab/>
      <w:t>202</w:t>
    </w:r>
    <w:r>
      <w:t>1</w:t>
    </w:r>
    <w:r w:rsidRPr="002C530B">
      <w:noBreakHyphen/>
      <w:t>2</w:t>
    </w:r>
    <w:r>
      <w:t>2</w:t>
    </w:r>
    <w:r w:rsidRPr="002C530B">
      <w:t xml:space="preserve"> </w:t>
    </w:r>
    <w:r>
      <w:t>Budget Update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87554" w14:textId="68B51C52" w:rsidR="005A7369" w:rsidRPr="002C530B" w:rsidRDefault="005A7369" w:rsidP="0031078F">
    <w:pPr>
      <w:pStyle w:val="FooterOddPage"/>
    </w:pPr>
    <w:r w:rsidRPr="00A51211">
      <w:t>2021</w:t>
    </w:r>
    <w:r>
      <w:t>-</w:t>
    </w:r>
    <w:r w:rsidRPr="00A51211">
      <w:t>22 Budget Update</w:t>
    </w:r>
    <w:r w:rsidRPr="002C530B">
      <w:tab/>
    </w:r>
    <w:r>
      <w:t>Appendix C</w:t>
    </w:r>
    <w:r w:rsidRPr="002C530B">
      <w:tab/>
    </w:r>
    <w:r w:rsidRPr="002C530B">
      <w:fldChar w:fldCharType="begin"/>
    </w:r>
    <w:r w:rsidRPr="002C530B">
      <w:instrText xml:space="preserve"> PAGE </w:instrText>
    </w:r>
    <w:r w:rsidRPr="002C530B">
      <w:fldChar w:fldCharType="separate"/>
    </w:r>
    <w:r w:rsidRPr="002C530B">
      <w:t>1</w:t>
    </w:r>
    <w:r w:rsidRPr="002C530B">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2E147" w14:textId="096DE8A4" w:rsidR="005A7369" w:rsidRPr="002C530B" w:rsidRDefault="005A7369" w:rsidP="0031078F">
    <w:pPr>
      <w:pStyle w:val="FooterEvenPage"/>
    </w:pPr>
    <w:r w:rsidRPr="002C530B">
      <w:fldChar w:fldCharType="begin"/>
    </w:r>
    <w:r w:rsidRPr="002C530B">
      <w:instrText xml:space="preserve"> PAGE </w:instrText>
    </w:r>
    <w:r w:rsidRPr="002C530B">
      <w:fldChar w:fldCharType="separate"/>
    </w:r>
    <w:r w:rsidRPr="002C530B">
      <w:t>2</w:t>
    </w:r>
    <w:r w:rsidRPr="002C530B">
      <w:fldChar w:fldCharType="end"/>
    </w:r>
    <w:r w:rsidRPr="002C530B">
      <w:tab/>
    </w:r>
    <w:r>
      <w:t>Appendix D</w:t>
    </w:r>
    <w:r w:rsidRPr="002C530B">
      <w:tab/>
      <w:t>202</w:t>
    </w:r>
    <w:r>
      <w:t>1</w:t>
    </w:r>
    <w:r w:rsidRPr="002C530B">
      <w:noBreakHyphen/>
      <w:t>2</w:t>
    </w:r>
    <w:r>
      <w:t>2</w:t>
    </w:r>
    <w:r w:rsidRPr="002C530B">
      <w:t xml:space="preserve"> </w:t>
    </w:r>
    <w:r>
      <w:t>Budget Update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D2B7E" w14:textId="55014AD5" w:rsidR="005A7369" w:rsidRPr="002C530B" w:rsidRDefault="005A7369" w:rsidP="0031078F">
    <w:pPr>
      <w:pStyle w:val="FooterOddPage"/>
    </w:pPr>
    <w:r>
      <w:t>2021-22 Budget Update</w:t>
    </w:r>
    <w:r w:rsidRPr="002C530B">
      <w:tab/>
    </w:r>
    <w:r>
      <w:t>Appendix D</w:t>
    </w:r>
    <w:r w:rsidRPr="002C530B">
      <w:tab/>
    </w:r>
    <w:r w:rsidRPr="002C530B">
      <w:fldChar w:fldCharType="begin"/>
    </w:r>
    <w:r w:rsidRPr="002C530B">
      <w:instrText xml:space="preserve"> PAGE </w:instrText>
    </w:r>
    <w:r w:rsidRPr="002C530B">
      <w:fldChar w:fldCharType="separate"/>
    </w:r>
    <w:r w:rsidRPr="002C530B">
      <w:t>1</w:t>
    </w:r>
    <w:r w:rsidRPr="002C530B">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A13A0" w14:textId="1FA62755" w:rsidR="005A7369" w:rsidRPr="002C530B" w:rsidRDefault="005A7369" w:rsidP="0031078F">
    <w:pPr>
      <w:pStyle w:val="FooterEvenPage"/>
    </w:pPr>
    <w:r w:rsidRPr="002C530B">
      <w:fldChar w:fldCharType="begin"/>
    </w:r>
    <w:r w:rsidRPr="002C530B">
      <w:instrText xml:space="preserve"> PAGE </w:instrText>
    </w:r>
    <w:r w:rsidRPr="002C530B">
      <w:fldChar w:fldCharType="separate"/>
    </w:r>
    <w:r w:rsidRPr="002C530B">
      <w:t>2</w:t>
    </w:r>
    <w:r w:rsidRPr="002C530B">
      <w:fldChar w:fldCharType="end"/>
    </w:r>
    <w:r w:rsidRPr="002C530B">
      <w:tab/>
    </w:r>
    <w:r>
      <w:t>Appendix E</w:t>
    </w:r>
    <w:r w:rsidRPr="002C530B">
      <w:tab/>
      <w:t>202</w:t>
    </w:r>
    <w:r>
      <w:t>1</w:t>
    </w:r>
    <w:r w:rsidRPr="002C530B">
      <w:noBreakHyphen/>
      <w:t>2</w:t>
    </w:r>
    <w:r>
      <w:t>2</w:t>
    </w:r>
    <w:r w:rsidRPr="002C530B">
      <w:t xml:space="preserve"> </w:t>
    </w:r>
    <w:r>
      <w:t>Budget Update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ED122" w14:textId="066FCA34" w:rsidR="005A7369" w:rsidRPr="002C530B" w:rsidRDefault="005A7369" w:rsidP="0031078F">
    <w:pPr>
      <w:pStyle w:val="FooterOddPage"/>
    </w:pPr>
    <w:r>
      <w:t>2021-22 Budget Update</w:t>
    </w:r>
    <w:r w:rsidRPr="002C530B">
      <w:tab/>
    </w:r>
    <w:r>
      <w:t>Appendix E</w:t>
    </w:r>
    <w:r w:rsidRPr="002C530B">
      <w:tab/>
    </w:r>
    <w:r w:rsidRPr="002C530B">
      <w:fldChar w:fldCharType="begin"/>
    </w:r>
    <w:r w:rsidRPr="002C530B">
      <w:instrText xml:space="preserve"> PAGE </w:instrText>
    </w:r>
    <w:r w:rsidRPr="002C530B">
      <w:fldChar w:fldCharType="separate"/>
    </w:r>
    <w:r w:rsidRPr="002C530B">
      <w:t>1</w:t>
    </w:r>
    <w:r w:rsidRPr="002C530B">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EC83C" w14:textId="783B7EDE" w:rsidR="005A7369" w:rsidRDefault="005A7369" w:rsidP="00E36759">
    <w:pPr>
      <w:pStyle w:val="FooterEvenPage"/>
    </w:pPr>
    <w:r>
      <w:t xml:space="preserve">Page </w:t>
    </w:r>
    <w:r>
      <w:fldChar w:fldCharType="begin"/>
    </w:r>
    <w:r>
      <w:instrText xml:space="preserve"> PAGE   \* MERGEFORMAT </w:instrText>
    </w:r>
    <w:r>
      <w:fldChar w:fldCharType="separate"/>
    </w:r>
    <w:r>
      <w:t>1</w:t>
    </w:r>
    <w:r>
      <w:fldChar w:fldCharType="end"/>
    </w:r>
    <w:r>
      <w:tab/>
      <w:t>Chapter X</w:t>
    </w:r>
    <w:r>
      <w:tab/>
    </w:r>
    <w:fldSimple w:instr=" DOCPROPERTY  Subject  \* MERGEFORMAT ">
      <w:r>
        <w:t>Publication Title</w:t>
      </w:r>
    </w:fldSimple>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C9E88" w14:textId="05DA7952" w:rsidR="005A7369" w:rsidRPr="00B8555F" w:rsidRDefault="005A7369" w:rsidP="003A6C27">
    <w:pPr>
      <w:pStyle w:val="FooterOddPage"/>
    </w:pPr>
    <w:r>
      <w:t>2021-22 Budget Update</w:t>
    </w:r>
    <w:r w:rsidRPr="002C530B">
      <w:tab/>
    </w:r>
    <w:r>
      <w:t>Style conventions</w:t>
    </w:r>
    <w:r w:rsidRPr="002C530B">
      <w:tab/>
    </w:r>
    <w:r w:rsidRPr="002C530B">
      <w:fldChar w:fldCharType="begin"/>
    </w:r>
    <w:r w:rsidRPr="002C530B">
      <w:instrText xml:space="preserve"> PAGE </w:instrText>
    </w:r>
    <w:r w:rsidRPr="002C530B">
      <w:fldChar w:fldCharType="separate"/>
    </w:r>
    <w:r>
      <w:t>185</w:t>
    </w:r>
    <w:r w:rsidRPr="002C530B">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CDA20" w14:textId="6DDD8A22" w:rsidR="005A7369" w:rsidRPr="002C530B" w:rsidRDefault="005A7369" w:rsidP="0031078F">
    <w:pPr>
      <w:pStyle w:val="FooterOddPage"/>
    </w:pPr>
    <w:r>
      <w:t>2021-22 Budget Update</w:t>
    </w:r>
    <w:r w:rsidRPr="002C530B">
      <w:tab/>
    </w:r>
    <w:r>
      <w:t>Style Conventions</w:t>
    </w:r>
    <w:r w:rsidRPr="002C530B">
      <w:tab/>
    </w:r>
    <w:r w:rsidRPr="002C530B">
      <w:fldChar w:fldCharType="begin"/>
    </w:r>
    <w:r w:rsidRPr="002C530B">
      <w:instrText xml:space="preserve"> PAGE </w:instrText>
    </w:r>
    <w:r w:rsidRPr="002C530B">
      <w:fldChar w:fldCharType="separate"/>
    </w:r>
    <w:r w:rsidRPr="002C530B">
      <w:t>1</w:t>
    </w:r>
    <w:r w:rsidRPr="002C530B">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59F0A" w14:textId="2DF3301B" w:rsidR="00E00690" w:rsidRPr="00B8555F" w:rsidRDefault="00E00690" w:rsidP="00E0069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462DD" w14:textId="2C602F7F" w:rsidR="005A7369" w:rsidRPr="00E36759" w:rsidRDefault="00355DF4" w:rsidP="00E36759">
    <w:pPr>
      <w:pStyle w:val="FooterOddPage"/>
    </w:pPr>
    <w:fldSimple w:instr=" DOCPROPERTY  Subject  \* MERGEFORMAT ">
      <w:r w:rsidR="005A7369">
        <w:t>Publication Title</w:t>
      </w:r>
    </w:fldSimple>
    <w:r w:rsidR="005A7369" w:rsidRPr="00E36759">
      <w:tab/>
      <w:t>Chapter X</w:t>
    </w:r>
    <w:r w:rsidR="005A7369" w:rsidRPr="00E36759">
      <w:tab/>
      <w:t xml:space="preserve">Page </w:t>
    </w:r>
    <w:r w:rsidR="005A7369" w:rsidRPr="00E36759">
      <w:fldChar w:fldCharType="begin"/>
    </w:r>
    <w:r w:rsidR="005A7369" w:rsidRPr="00E36759">
      <w:instrText xml:space="preserve"> PAGE   \* MERGEFORMAT </w:instrText>
    </w:r>
    <w:r w:rsidR="005A7369" w:rsidRPr="00E36759">
      <w:fldChar w:fldCharType="separate"/>
    </w:r>
    <w:r w:rsidR="005A7369" w:rsidRPr="00E36759">
      <w:t>1</w:t>
    </w:r>
    <w:r w:rsidR="005A7369" w:rsidRPr="00E36759">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F2DC4" w14:textId="6B0AAD2B" w:rsidR="005A7369" w:rsidRPr="00CC7A55" w:rsidRDefault="005A7369" w:rsidP="00CC7A5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624E3" w14:textId="74FC54E6" w:rsidR="005A7369" w:rsidRDefault="005A7369" w:rsidP="00E36759">
    <w:pPr>
      <w:pStyle w:val="FooterEvenPage"/>
    </w:pPr>
    <w:r>
      <w:fldChar w:fldCharType="begin"/>
    </w:r>
    <w:r>
      <w:instrText xml:space="preserve"> PAGE   \* MERGEFORMAT </w:instrText>
    </w:r>
    <w:r>
      <w:fldChar w:fldCharType="separate"/>
    </w:r>
    <w:r>
      <w:t>1</w:t>
    </w:r>
    <w:r>
      <w:fldChar w:fldCharType="end"/>
    </w:r>
    <w:r>
      <w:tab/>
      <w:t>Chapter 1</w:t>
    </w:r>
    <w:r>
      <w:tab/>
    </w:r>
    <w:r w:rsidRPr="00DD54EA">
      <w:t>2021-22 Budget Update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8E608" w14:textId="6FDC19C9" w:rsidR="005A7369" w:rsidRPr="00E36759" w:rsidRDefault="005A7369" w:rsidP="00E36759">
    <w:pPr>
      <w:pStyle w:val="FooterOddPage"/>
    </w:pPr>
    <w:r w:rsidRPr="00DD54EA">
      <w:t>2021-22 Budget Update</w:t>
    </w:r>
    <w:r w:rsidRPr="00E36759">
      <w:tab/>
      <w:t xml:space="preserve">Chapter </w:t>
    </w:r>
    <w:r>
      <w:t>1</w:t>
    </w:r>
    <w:r w:rsidRPr="00E36759">
      <w:tab/>
    </w:r>
    <w:r w:rsidRPr="00E36759">
      <w:fldChar w:fldCharType="begin"/>
    </w:r>
    <w:r w:rsidRPr="00E36759">
      <w:instrText xml:space="preserve"> PAGE   \* MERGEFORMAT </w:instrText>
    </w:r>
    <w:r w:rsidRPr="00E36759">
      <w:fldChar w:fldCharType="separate"/>
    </w:r>
    <w:r w:rsidRPr="00E36759">
      <w:t>1</w:t>
    </w:r>
    <w:r w:rsidRPr="00E36759">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1A23D" w14:textId="1BEF11CC" w:rsidR="005A7369" w:rsidRDefault="00355DF4" w:rsidP="00CD78F6">
    <w:pPr>
      <w:pStyle w:val="FooterOddPage"/>
    </w:pPr>
    <w:fldSimple w:instr=" DOCPROPERTY  Subject  \* MERGEFORMAT ">
      <w:r w:rsidR="005A7369">
        <w:t>Publication Title</w:t>
      </w:r>
    </w:fldSimple>
    <w:r w:rsidR="005A7369" w:rsidRPr="00E36759">
      <w:tab/>
      <w:t>Chapter X</w:t>
    </w:r>
    <w:r w:rsidR="005A7369" w:rsidRPr="00E36759">
      <w:tab/>
      <w:t xml:space="preserve">Page </w:t>
    </w:r>
    <w:r w:rsidR="005A7369" w:rsidRPr="00E36759">
      <w:fldChar w:fldCharType="begin"/>
    </w:r>
    <w:r w:rsidR="005A7369" w:rsidRPr="00E36759">
      <w:instrText xml:space="preserve"> PAGE   \* MERGEFORMAT </w:instrText>
    </w:r>
    <w:r w:rsidR="005A7369" w:rsidRPr="00E36759">
      <w:fldChar w:fldCharType="separate"/>
    </w:r>
    <w:r w:rsidR="005A7369">
      <w:t>3</w:t>
    </w:r>
    <w:r w:rsidR="005A7369" w:rsidRPr="00E3675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841B2D" w14:textId="77777777" w:rsidR="005A7369" w:rsidRDefault="005A7369" w:rsidP="00F2052E">
      <w:pPr>
        <w:spacing w:before="0"/>
      </w:pPr>
      <w:r>
        <w:separator/>
      </w:r>
    </w:p>
  </w:footnote>
  <w:footnote w:type="continuationSeparator" w:id="0">
    <w:p w14:paraId="06567A87" w14:textId="77777777" w:rsidR="005A7369" w:rsidRDefault="005A7369" w:rsidP="00F2052E">
      <w:pPr>
        <w:spacing w:before="0"/>
      </w:pPr>
      <w:r>
        <w:continuationSeparator/>
      </w:r>
    </w:p>
  </w:footnote>
  <w:footnote w:id="1">
    <w:p w14:paraId="31A527B2" w14:textId="02A85DF8" w:rsidR="005A7369" w:rsidRPr="007B7A26" w:rsidRDefault="005A7369" w:rsidP="008D6F13">
      <w:pPr>
        <w:pStyle w:val="FootnoteText"/>
      </w:pPr>
      <w:r w:rsidRPr="007008E0">
        <w:footnoteRef/>
      </w:r>
      <w:r>
        <w:t>.</w:t>
      </w:r>
      <w:r w:rsidRPr="007008E0">
        <w:t xml:space="preserve"> The Department of Treasury and Finance maintains a set of elasticities covering the relationship between major economic parameters and revenue and expenditure lines, including superannuation, and dividends and income tax equivalents</w:t>
      </w:r>
      <w:r>
        <w:t xml:space="preserve"> </w:t>
      </w:r>
      <w:r w:rsidRPr="007008E0">
        <w:t>from the public financial</w:t>
      </w:r>
      <w:r>
        <w:t xml:space="preserve"> </w:t>
      </w:r>
      <w:r w:rsidRPr="007008E0">
        <w:t>and non-financial corporations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715A6" w14:textId="77777777" w:rsidR="005D5407" w:rsidRDefault="005D54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03B61" w14:textId="77777777" w:rsidR="005D5407" w:rsidRDefault="005D54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EF098" w14:textId="77777777" w:rsidR="005D5407" w:rsidRDefault="005D54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39C4D" w14:textId="77777777" w:rsidR="005A7369" w:rsidRPr="007D4EBC" w:rsidRDefault="005A7369" w:rsidP="007D4EB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02E15" w14:textId="77777777" w:rsidR="005A7369" w:rsidRPr="00637E59" w:rsidRDefault="005A7369" w:rsidP="00637E5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3"/>
    <w:multiLevelType w:val="singleLevel"/>
    <w:tmpl w:val="DD2A4B2A"/>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CD0E18D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03CA09F2"/>
    <w:multiLevelType w:val="singleLevel"/>
    <w:tmpl w:val="3AE00BBA"/>
    <w:lvl w:ilvl="0">
      <w:start w:val="1"/>
      <w:numFmt w:val="bullet"/>
      <w:lvlText w:val=""/>
      <w:lvlJc w:val="left"/>
      <w:pPr>
        <w:tabs>
          <w:tab w:val="num" w:pos="360"/>
        </w:tabs>
        <w:ind w:left="360" w:hanging="360"/>
      </w:pPr>
      <w:rPr>
        <w:rFonts w:ascii="Symbol" w:hAnsi="Symbol" w:hint="default"/>
        <w:sz w:val="16"/>
      </w:rPr>
    </w:lvl>
  </w:abstractNum>
  <w:abstractNum w:abstractNumId="6" w15:restartNumberingAfterBreak="0">
    <w:nsid w:val="06EE77F9"/>
    <w:multiLevelType w:val="multilevel"/>
    <w:tmpl w:val="F104AB12"/>
    <w:lvl w:ilvl="0">
      <w:start w:val="1"/>
      <w:numFmt w:val="decimal"/>
      <w:lvlText w:val="%1."/>
      <w:lvlJc w:val="left"/>
      <w:pPr>
        <w:ind w:left="397" w:hanging="397"/>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83B293C"/>
    <w:multiLevelType w:val="hybridMultilevel"/>
    <w:tmpl w:val="B540C8D6"/>
    <w:lvl w:ilvl="0" w:tplc="BF24713E">
      <w:start w:val="1"/>
      <w:numFmt w:val="bullet"/>
      <w:lvlText w:val=""/>
      <w:lvlJc w:val="left"/>
      <w:pPr>
        <w:tabs>
          <w:tab w:val="num" w:pos="426"/>
        </w:tabs>
        <w:ind w:left="42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B6D27D6"/>
    <w:multiLevelType w:val="multilevel"/>
    <w:tmpl w:val="69FA1FC4"/>
    <w:styleLink w:val="ListNotes"/>
    <w:lvl w:ilvl="0">
      <w:start w:val="1"/>
      <w:numFmt w:val="none"/>
      <w:lvlText w:val=""/>
      <w:lvlJc w:val="left"/>
      <w:pPr>
        <w:ind w:left="360" w:hanging="360"/>
      </w:pPr>
      <w:rPr>
        <w:rFonts w:hint="default"/>
      </w:rPr>
    </w:lvl>
    <w:lvl w:ilvl="1">
      <w:start w:val="1"/>
      <w:numFmt w:val="none"/>
      <w:lvlText w:val="–"/>
      <w:lvlJc w:val="left"/>
      <w:pPr>
        <w:ind w:left="454" w:hanging="17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EFC2ED0"/>
    <w:multiLevelType w:val="multilevel"/>
    <w:tmpl w:val="EC9019A2"/>
    <w:styleLink w:val="HeadingNumbering"/>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1B22F78"/>
    <w:multiLevelType w:val="multilevel"/>
    <w:tmpl w:val="A3E2C706"/>
    <w:styleLink w:val="ListNumbering"/>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7" w:hanging="283"/>
      </w:pPr>
      <w:rPr>
        <w:rFonts w:hint="default"/>
      </w:rPr>
    </w:lvl>
    <w:lvl w:ilvl="2">
      <w:start w:val="1"/>
      <w:numFmt w:val="lowerRoman"/>
      <w:pStyle w:val="ListNumber3"/>
      <w:lvlText w:val="%3."/>
      <w:lvlJc w:val="left"/>
      <w:pPr>
        <w:ind w:left="851" w:hanging="28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2940CD5"/>
    <w:multiLevelType w:val="multilevel"/>
    <w:tmpl w:val="5E22C0F8"/>
    <w:styleLink w:val="Bullet"/>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5" w15:restartNumberingAfterBreak="0">
    <w:nsid w:val="363C4A03"/>
    <w:multiLevelType w:val="multilevel"/>
    <w:tmpl w:val="C4383D94"/>
    <w:lvl w:ilvl="0">
      <w:start w:val="1"/>
      <w:numFmt w:val="bullet"/>
      <w:lvlText w:val=""/>
      <w:lvlJc w:val="left"/>
      <w:pPr>
        <w:ind w:left="284" w:hanging="284"/>
      </w:pPr>
      <w:rPr>
        <w:rFonts w:ascii="Symbol" w:hAnsi="Symbol" w:hint="default"/>
      </w:rPr>
    </w:lvl>
    <w:lvl w:ilvl="1">
      <w:start w:val="1"/>
      <w:numFmt w:val="none"/>
      <w:lvlText w:val="–"/>
      <w:lvlJc w:val="left"/>
      <w:pPr>
        <w:ind w:left="567" w:hanging="283"/>
      </w:pPr>
      <w:rPr>
        <w:rFonts w:hint="default"/>
      </w:rPr>
    </w:lvl>
    <w:lvl w:ilvl="2">
      <w:start w:val="1"/>
      <w:numFmt w:val="bullet"/>
      <w:lvlText w:val=""/>
      <w:lvlJc w:val="left"/>
      <w:pPr>
        <w:ind w:left="851" w:hanging="284"/>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74F7386"/>
    <w:multiLevelType w:val="multilevel"/>
    <w:tmpl w:val="7500EB92"/>
    <w:styleLink w:val="Number"/>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7" w15:restartNumberingAfterBreak="0">
    <w:nsid w:val="49157CA1"/>
    <w:multiLevelType w:val="multilevel"/>
    <w:tmpl w:val="292E3846"/>
    <w:styleLink w:val="ListContinueIndents"/>
    <w:lvl w:ilvl="0">
      <w:start w:val="1"/>
      <w:numFmt w:val="none"/>
      <w:pStyle w:val="ListContinue"/>
      <w:lvlText w:val="%1"/>
      <w:lvlJc w:val="left"/>
      <w:pPr>
        <w:ind w:left="284" w:hanging="284"/>
      </w:pPr>
      <w:rPr>
        <w:rFonts w:hint="default"/>
      </w:rPr>
    </w:lvl>
    <w:lvl w:ilvl="1">
      <w:start w:val="1"/>
      <w:numFmt w:val="none"/>
      <w:pStyle w:val="ListContinue2"/>
      <w:lvlText w:val=""/>
      <w:lvlJc w:val="left"/>
      <w:pPr>
        <w:ind w:left="567" w:hanging="283"/>
      </w:pPr>
      <w:rPr>
        <w:rFonts w:hint="default"/>
      </w:rPr>
    </w:lvl>
    <w:lvl w:ilvl="2">
      <w:start w:val="1"/>
      <w:numFmt w:val="none"/>
      <w:pStyle w:val="ListContinue3"/>
      <w:lvlText w:val=""/>
      <w:lvlJc w:val="left"/>
      <w:pPr>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6367C4"/>
    <w:multiLevelType w:val="multilevel"/>
    <w:tmpl w:val="F104AB12"/>
    <w:styleLink w:val="NumberedHeadings"/>
    <w:lvl w:ilvl="0">
      <w:start w:val="1"/>
      <w:numFmt w:val="decimal"/>
      <w:lvlText w:val="%1."/>
      <w:lvlJc w:val="left"/>
      <w:pPr>
        <w:ind w:left="397" w:hanging="397"/>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4B695180"/>
    <w:multiLevelType w:val="multilevel"/>
    <w:tmpl w:val="5E22C0F8"/>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1" w15:restartNumberingAfterBreak="0">
    <w:nsid w:val="578D7962"/>
    <w:multiLevelType w:val="hybridMultilevel"/>
    <w:tmpl w:val="08D08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8B11F2"/>
    <w:multiLevelType w:val="multilevel"/>
    <w:tmpl w:val="5E22C0F8"/>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sz w:val="20"/>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3" w15:restartNumberingAfterBreak="0">
    <w:nsid w:val="633D7291"/>
    <w:multiLevelType w:val="multilevel"/>
    <w:tmpl w:val="2CA64D24"/>
    <w:numStyleLink w:val="ListBullets"/>
  </w:abstractNum>
  <w:abstractNum w:abstractNumId="24"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6CFF3731"/>
    <w:multiLevelType w:val="multilevel"/>
    <w:tmpl w:val="7500EB92"/>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6" w15:restartNumberingAfterBreak="0">
    <w:nsid w:val="6EE34E10"/>
    <w:multiLevelType w:val="multilevel"/>
    <w:tmpl w:val="D9F407CA"/>
    <w:lvl w:ilvl="0">
      <w:start w:val="1"/>
      <w:numFmt w:val="upperLetter"/>
      <w:lvlText w:val="(%1)"/>
      <w:lvlJc w:val="left"/>
      <w:pPr>
        <w:tabs>
          <w:tab w:val="num" w:pos="720"/>
        </w:tabs>
        <w:ind w:left="720" w:hanging="720"/>
      </w:pPr>
      <w:rPr>
        <w:rFonts w:ascii="Calibri" w:hAnsi="Calibri" w:hint="default"/>
        <w:sz w:val="24"/>
        <w:szCs w:val="24"/>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72E2230F"/>
    <w:multiLevelType w:val="hybridMultilevel"/>
    <w:tmpl w:val="7DB29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32530F3"/>
    <w:multiLevelType w:val="multilevel"/>
    <w:tmpl w:val="2CA64D24"/>
    <w:styleLink w:val="ListBullets"/>
    <w:lvl w:ilvl="0">
      <w:start w:val="1"/>
      <w:numFmt w:val="bullet"/>
      <w:pStyle w:val="ListBullet"/>
      <w:lvlText w:val=""/>
      <w:lvlJc w:val="left"/>
      <w:pPr>
        <w:ind w:left="284" w:hanging="284"/>
      </w:pPr>
      <w:rPr>
        <w:rFonts w:ascii="Symbol" w:hAnsi="Symbol" w:hint="default"/>
      </w:rPr>
    </w:lvl>
    <w:lvl w:ilvl="1">
      <w:start w:val="1"/>
      <w:numFmt w:val="none"/>
      <w:pStyle w:val="ListBullet2"/>
      <w:lvlText w:val="–"/>
      <w:lvlJc w:val="left"/>
      <w:pPr>
        <w:ind w:left="567" w:hanging="283"/>
      </w:pPr>
      <w:rPr>
        <w:rFonts w:hint="default"/>
      </w:rPr>
    </w:lvl>
    <w:lvl w:ilvl="2">
      <w:start w:val="1"/>
      <w:numFmt w:val="bullet"/>
      <w:pStyle w:val="ListBullet3"/>
      <w:lvlText w:val=""/>
      <w:lvlJc w:val="left"/>
      <w:pPr>
        <w:ind w:left="851" w:hanging="284"/>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7E71996"/>
    <w:multiLevelType w:val="multilevel"/>
    <w:tmpl w:val="5CF81E6C"/>
    <w:styleLink w:val="Headingstyles"/>
    <w:lvl w:ilvl="0">
      <w:start w:val="1"/>
      <w:numFmt w:val="decimal"/>
      <w:lvlText w:val="%1."/>
      <w:lvlJc w:val="left"/>
      <w:pPr>
        <w:ind w:left="432" w:hanging="432"/>
      </w:pPr>
      <w:rPr>
        <w:rFonts w:hint="default"/>
        <w:b/>
        <w:i w:val="0"/>
        <w:color w:val="4472C4" w:themeColor="accent1"/>
        <w:sz w:val="32"/>
      </w:rPr>
    </w:lvl>
    <w:lvl w:ilvl="1">
      <w:start w:val="1"/>
      <w:numFmt w:val="decimal"/>
      <w:lvlText w:val="%1.%2"/>
      <w:lvlJc w:val="left"/>
      <w:pPr>
        <w:ind w:left="576" w:hanging="576"/>
      </w:pPr>
      <w:rPr>
        <w:rFonts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720" w:hanging="720"/>
      </w:pPr>
      <w:rPr>
        <w:rFonts w:hint="default"/>
        <w:b/>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28"/>
  </w:num>
  <w:num w:numId="6">
    <w:abstractNumId w:val="13"/>
  </w:num>
  <w:num w:numId="7">
    <w:abstractNumId w:val="23"/>
  </w:num>
  <w:num w:numId="8">
    <w:abstractNumId w:val="17"/>
  </w:num>
  <w:num w:numId="9">
    <w:abstractNumId w:val="14"/>
  </w:num>
  <w:num w:numId="10">
    <w:abstractNumId w:val="20"/>
  </w:num>
  <w:num w:numId="11">
    <w:abstractNumId w:val="4"/>
  </w:num>
  <w:num w:numId="12">
    <w:abstractNumId w:val="18"/>
  </w:num>
  <w:num w:numId="13">
    <w:abstractNumId w:val="10"/>
  </w:num>
  <w:num w:numId="14">
    <w:abstractNumId w:val="16"/>
  </w:num>
  <w:num w:numId="15">
    <w:abstractNumId w:val="19"/>
  </w:num>
  <w:num w:numId="16">
    <w:abstractNumId w:val="25"/>
  </w:num>
  <w:num w:numId="17">
    <w:abstractNumId w:val="1"/>
  </w:num>
  <w:num w:numId="18">
    <w:abstractNumId w:val="0"/>
  </w:num>
  <w:num w:numId="19">
    <w:abstractNumId w:val="9"/>
  </w:num>
  <w:num w:numId="20">
    <w:abstractNumId w:val="7"/>
  </w:num>
  <w:num w:numId="21">
    <w:abstractNumId w:val="24"/>
  </w:num>
  <w:num w:numId="22">
    <w:abstractNumId w:val="6"/>
  </w:num>
  <w:num w:numId="23">
    <w:abstractNumId w:val="29"/>
  </w:num>
  <w:num w:numId="24">
    <w:abstractNumId w:val="5"/>
  </w:num>
  <w:num w:numId="25">
    <w:abstractNumId w:val="26"/>
  </w:num>
  <w:num w:numId="26">
    <w:abstractNumId w:val="8"/>
  </w:num>
  <w:num w:numId="27">
    <w:abstractNumId w:val="11"/>
  </w:num>
  <w:num w:numId="28">
    <w:abstractNumId w:val="27"/>
  </w:num>
  <w:num w:numId="29">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3"/>
  </w:num>
  <w:num w:numId="34">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F13"/>
    <w:rsid w:val="00001DAD"/>
    <w:rsid w:val="00007ADD"/>
    <w:rsid w:val="000118CB"/>
    <w:rsid w:val="000160E9"/>
    <w:rsid w:val="00030E1D"/>
    <w:rsid w:val="00041FCE"/>
    <w:rsid w:val="0004769D"/>
    <w:rsid w:val="000B2B6C"/>
    <w:rsid w:val="000D2D2C"/>
    <w:rsid w:val="000E28BB"/>
    <w:rsid w:val="00104E8F"/>
    <w:rsid w:val="001270A1"/>
    <w:rsid w:val="00146F5B"/>
    <w:rsid w:val="00164155"/>
    <w:rsid w:val="00187656"/>
    <w:rsid w:val="001E646B"/>
    <w:rsid w:val="00216BE3"/>
    <w:rsid w:val="00221429"/>
    <w:rsid w:val="0023028C"/>
    <w:rsid w:val="00231812"/>
    <w:rsid w:val="00234937"/>
    <w:rsid w:val="00270D40"/>
    <w:rsid w:val="00280888"/>
    <w:rsid w:val="00291C52"/>
    <w:rsid w:val="002976FD"/>
    <w:rsid w:val="002A2E8A"/>
    <w:rsid w:val="002E1C52"/>
    <w:rsid w:val="0031078F"/>
    <w:rsid w:val="00355DF4"/>
    <w:rsid w:val="003610AD"/>
    <w:rsid w:val="00387283"/>
    <w:rsid w:val="003A6C27"/>
    <w:rsid w:val="003C2C8C"/>
    <w:rsid w:val="003E4089"/>
    <w:rsid w:val="003E4BD6"/>
    <w:rsid w:val="003F6107"/>
    <w:rsid w:val="00406935"/>
    <w:rsid w:val="004171D4"/>
    <w:rsid w:val="004210F7"/>
    <w:rsid w:val="00445FCA"/>
    <w:rsid w:val="00494B34"/>
    <w:rsid w:val="004C6CDF"/>
    <w:rsid w:val="004D107B"/>
    <w:rsid w:val="004E2A3D"/>
    <w:rsid w:val="004E7021"/>
    <w:rsid w:val="004E73BC"/>
    <w:rsid w:val="00502A1B"/>
    <w:rsid w:val="005255DB"/>
    <w:rsid w:val="00526573"/>
    <w:rsid w:val="00532BF8"/>
    <w:rsid w:val="0058107A"/>
    <w:rsid w:val="005827FD"/>
    <w:rsid w:val="005A2A15"/>
    <w:rsid w:val="005A7369"/>
    <w:rsid w:val="005B3D1D"/>
    <w:rsid w:val="005C0244"/>
    <w:rsid w:val="005D5407"/>
    <w:rsid w:val="005F79AF"/>
    <w:rsid w:val="00604E2C"/>
    <w:rsid w:val="00627D3A"/>
    <w:rsid w:val="00631710"/>
    <w:rsid w:val="00637E59"/>
    <w:rsid w:val="00644543"/>
    <w:rsid w:val="00670D78"/>
    <w:rsid w:val="00694FFD"/>
    <w:rsid w:val="006B41DB"/>
    <w:rsid w:val="006F1F75"/>
    <w:rsid w:val="00701198"/>
    <w:rsid w:val="007139BD"/>
    <w:rsid w:val="0072368B"/>
    <w:rsid w:val="007A2CEC"/>
    <w:rsid w:val="007D4EBC"/>
    <w:rsid w:val="007E422F"/>
    <w:rsid w:val="007F1FE4"/>
    <w:rsid w:val="007F3DE0"/>
    <w:rsid w:val="008104AC"/>
    <w:rsid w:val="00810818"/>
    <w:rsid w:val="00830207"/>
    <w:rsid w:val="00837231"/>
    <w:rsid w:val="0085347F"/>
    <w:rsid w:val="00864E1E"/>
    <w:rsid w:val="00870D18"/>
    <w:rsid w:val="008B5936"/>
    <w:rsid w:val="008B6134"/>
    <w:rsid w:val="008D6F13"/>
    <w:rsid w:val="008D778A"/>
    <w:rsid w:val="008E26CD"/>
    <w:rsid w:val="008E5F03"/>
    <w:rsid w:val="00910998"/>
    <w:rsid w:val="00926BFD"/>
    <w:rsid w:val="00992C63"/>
    <w:rsid w:val="00992E52"/>
    <w:rsid w:val="00996D3A"/>
    <w:rsid w:val="009B2BDF"/>
    <w:rsid w:val="009D1D22"/>
    <w:rsid w:val="009F51B4"/>
    <w:rsid w:val="00A40E54"/>
    <w:rsid w:val="00A44575"/>
    <w:rsid w:val="00A51211"/>
    <w:rsid w:val="00AB73C9"/>
    <w:rsid w:val="00B14515"/>
    <w:rsid w:val="00B318F6"/>
    <w:rsid w:val="00B41134"/>
    <w:rsid w:val="00B574E9"/>
    <w:rsid w:val="00B71AC4"/>
    <w:rsid w:val="00B77FBC"/>
    <w:rsid w:val="00B8555F"/>
    <w:rsid w:val="00BB17CB"/>
    <w:rsid w:val="00BB2337"/>
    <w:rsid w:val="00BC7189"/>
    <w:rsid w:val="00BD1E8D"/>
    <w:rsid w:val="00BD4C35"/>
    <w:rsid w:val="00BE6A2D"/>
    <w:rsid w:val="00C050A9"/>
    <w:rsid w:val="00C101E5"/>
    <w:rsid w:val="00C1204A"/>
    <w:rsid w:val="00C237B0"/>
    <w:rsid w:val="00C458E1"/>
    <w:rsid w:val="00C75156"/>
    <w:rsid w:val="00CA65C6"/>
    <w:rsid w:val="00CB5E47"/>
    <w:rsid w:val="00CC2B5C"/>
    <w:rsid w:val="00CC7A55"/>
    <w:rsid w:val="00CD0448"/>
    <w:rsid w:val="00CD5A1C"/>
    <w:rsid w:val="00CD78F6"/>
    <w:rsid w:val="00D056BB"/>
    <w:rsid w:val="00D67483"/>
    <w:rsid w:val="00D70534"/>
    <w:rsid w:val="00DB4F3C"/>
    <w:rsid w:val="00DD1804"/>
    <w:rsid w:val="00DD54EA"/>
    <w:rsid w:val="00E00690"/>
    <w:rsid w:val="00E13E11"/>
    <w:rsid w:val="00E164C3"/>
    <w:rsid w:val="00E32AB3"/>
    <w:rsid w:val="00E36759"/>
    <w:rsid w:val="00E36A8C"/>
    <w:rsid w:val="00E66BCA"/>
    <w:rsid w:val="00E6788E"/>
    <w:rsid w:val="00E73924"/>
    <w:rsid w:val="00E808AD"/>
    <w:rsid w:val="00E84CF3"/>
    <w:rsid w:val="00E97223"/>
    <w:rsid w:val="00EC014A"/>
    <w:rsid w:val="00EC0292"/>
    <w:rsid w:val="00EC2B3F"/>
    <w:rsid w:val="00F139C4"/>
    <w:rsid w:val="00F2052E"/>
    <w:rsid w:val="00F22F00"/>
    <w:rsid w:val="00F31D60"/>
    <w:rsid w:val="00F51471"/>
    <w:rsid w:val="00F616A9"/>
    <w:rsid w:val="00F81017"/>
    <w:rsid w:val="00F843A2"/>
    <w:rsid w:val="00FA5BB8"/>
    <w:rsid w:val="00FB6F66"/>
    <w:rsid w:val="00FB71BE"/>
    <w:rsid w:val="00FC3EAA"/>
    <w:rsid w:val="00FE4A4D"/>
    <w:rsid w:val="00FE74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74CA1E7"/>
  <w15:chartTrackingRefBased/>
  <w15:docId w15:val="{CC87F182-91E7-4D41-BDB8-133EC7762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1" w:unhideWhenUsed="1"/>
    <w:lsdException w:name="toc 4" w:semiHidden="1" w:uiPriority="96" w:unhideWhenUsed="1"/>
    <w:lsdException w:name="toc 5" w:semiHidden="1" w:uiPriority="96" w:unhideWhenUsed="1"/>
    <w:lsdException w:name="toc 6" w:semiHidden="1" w:uiPriority="96" w:unhideWhenUsed="1"/>
    <w:lsdException w:name="toc 7" w:semiHidden="1" w:uiPriority="96" w:unhideWhenUsed="1"/>
    <w:lsdException w:name="toc 8" w:semiHidden="1" w:uiPriority="96" w:unhideWhenUsed="1"/>
    <w:lsdException w:name="toc 9" w:semiHidden="1" w:uiPriority="9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9" w:qFormat="1"/>
    <w:lsdException w:name="List Number" w:semiHidden="1" w:unhideWhenUsed="1" w:qFormat="1"/>
    <w:lsdException w:name="List 2" w:semiHidden="1" w:uiPriority="29" w:unhideWhenUsed="1"/>
    <w:lsdException w:name="List 3" w:semiHidden="1" w:uiPriority="29" w:unhideWhenUsed="1"/>
    <w:lsdException w:name="List 4" w:semiHidden="1" w:uiPriority="29" w:unhideWhenUsed="1"/>
    <w:lsdException w:name="List 5" w:semiHidden="1" w:uiPriority="29" w:unhideWhenUsed="1"/>
    <w:lsdException w:name="List Bullet 2" w:uiPriority="19"/>
    <w:lsdException w:name="List Bullet 3" w:uiPriority="19"/>
    <w:lsdException w:name="List Bullet 4" w:semiHidden="1" w:uiPriority="19" w:unhideWhenUsed="1"/>
    <w:lsdException w:name="List Bullet 5" w:semiHidden="1" w:uiPriority="19" w:unhideWhenUsed="1"/>
    <w:lsdException w:name="List Number 2" w:semiHidden="1" w:unhideWhenUsed="1"/>
    <w:lsdException w:name="List Number 3" w:semiHidden="1" w:unhideWhenUsed="1"/>
    <w:lsdException w:name="List Number 4" w:semiHidden="1" w:uiPriority="19" w:unhideWhenUsed="1"/>
    <w:lsdException w:name="List Number 5" w:semiHidden="1" w:uiPriority="19"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iPriority="24" w:unhideWhenUsed="1"/>
    <w:lsdException w:name="List Continue 5" w:semiHidden="1" w:uiPriority="24"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98" w:qFormat="1"/>
    <w:lsdException w:name="Emphasis" w:semiHidden="1" w:uiPriority="9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8" w:qFormat="1"/>
    <w:lsdException w:name="Intense Emphasis" w:semiHidden="1" w:uiPriority="98"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9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CF3"/>
    <w:pPr>
      <w:keepLines/>
    </w:pPr>
  </w:style>
  <w:style w:type="paragraph" w:styleId="Heading10">
    <w:name w:val="heading 1"/>
    <w:basedOn w:val="Normal"/>
    <w:next w:val="Normal"/>
    <w:link w:val="Heading1Char"/>
    <w:uiPriority w:val="9"/>
    <w:qFormat/>
    <w:rsid w:val="0023028C"/>
    <w:pPr>
      <w:keepNext/>
      <w:spacing w:before="360"/>
      <w:outlineLvl w:val="0"/>
    </w:pPr>
    <w:rPr>
      <w:rFonts w:asciiTheme="majorHAnsi" w:eastAsiaTheme="majorEastAsia" w:hAnsiTheme="majorHAnsi" w:cstheme="majorBidi"/>
      <w:b/>
      <w:caps/>
      <w:sz w:val="26"/>
      <w:szCs w:val="32"/>
    </w:rPr>
  </w:style>
  <w:style w:type="paragraph" w:styleId="Heading20">
    <w:name w:val="heading 2"/>
    <w:basedOn w:val="Heading10"/>
    <w:next w:val="Normal"/>
    <w:link w:val="Heading2Char"/>
    <w:uiPriority w:val="9"/>
    <w:unhideWhenUsed/>
    <w:qFormat/>
    <w:rsid w:val="0023028C"/>
    <w:pPr>
      <w:spacing w:before="240"/>
      <w:outlineLvl w:val="1"/>
    </w:pPr>
    <w:rPr>
      <w:caps w:val="0"/>
      <w:szCs w:val="26"/>
    </w:rPr>
  </w:style>
  <w:style w:type="paragraph" w:styleId="Heading30">
    <w:name w:val="heading 3"/>
    <w:basedOn w:val="Heading20"/>
    <w:next w:val="Normal"/>
    <w:link w:val="Heading3Char"/>
    <w:uiPriority w:val="9"/>
    <w:unhideWhenUsed/>
    <w:qFormat/>
    <w:rsid w:val="0023028C"/>
    <w:pPr>
      <w:tabs>
        <w:tab w:val="right" w:pos="7711"/>
      </w:tabs>
      <w:outlineLvl w:val="2"/>
    </w:pPr>
    <w:rPr>
      <w:sz w:val="23"/>
      <w:szCs w:val="24"/>
    </w:rPr>
  </w:style>
  <w:style w:type="paragraph" w:styleId="Heading4">
    <w:name w:val="heading 4"/>
    <w:basedOn w:val="Heading30"/>
    <w:next w:val="Normal"/>
    <w:link w:val="Heading4Char"/>
    <w:uiPriority w:val="9"/>
    <w:unhideWhenUsed/>
    <w:qFormat/>
    <w:rsid w:val="0023028C"/>
    <w:pPr>
      <w:spacing w:before="180"/>
      <w:outlineLvl w:val="3"/>
    </w:pPr>
    <w:rPr>
      <w:b w:val="0"/>
      <w:i/>
      <w:iCs/>
    </w:rPr>
  </w:style>
  <w:style w:type="paragraph" w:styleId="Heading5">
    <w:name w:val="heading 5"/>
    <w:basedOn w:val="Heading4"/>
    <w:next w:val="Normal"/>
    <w:link w:val="Heading5Char"/>
    <w:uiPriority w:val="9"/>
    <w:unhideWhenUsed/>
    <w:qFormat/>
    <w:rsid w:val="0023028C"/>
    <w:pPr>
      <w:outlineLvl w:val="4"/>
    </w:pPr>
    <w:rPr>
      <w:b/>
      <w:i w:val="0"/>
      <w:sz w:val="21"/>
    </w:rPr>
  </w:style>
  <w:style w:type="paragraph" w:styleId="Heading6">
    <w:name w:val="heading 6"/>
    <w:basedOn w:val="Normal"/>
    <w:next w:val="Normal"/>
    <w:link w:val="Heading6Char"/>
    <w:uiPriority w:val="9"/>
    <w:unhideWhenUsed/>
    <w:qFormat/>
    <w:rsid w:val="0023028C"/>
    <w:pPr>
      <w:keepNext/>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rsid w:val="008D6F13"/>
    <w:pPr>
      <w:keepNext/>
      <w:spacing w:before="20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8D6F13"/>
    <w:pPr>
      <w:keepNext/>
      <w:spacing w:before="200"/>
      <w:ind w:left="1440" w:hanging="144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8D6F13"/>
    <w:pPr>
      <w:keepNext/>
      <w:spacing w:before="200"/>
      <w:ind w:left="1584" w:hanging="1584"/>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Heading">
    <w:name w:val="Chapter Heading"/>
    <w:basedOn w:val="Normal"/>
    <w:next w:val="Normal"/>
    <w:uiPriority w:val="89"/>
    <w:qFormat/>
    <w:rsid w:val="0023028C"/>
    <w:pPr>
      <w:keepNext/>
      <w:pBdr>
        <w:bottom w:val="single" w:sz="12" w:space="1" w:color="auto"/>
      </w:pBdr>
      <w:spacing w:before="1440" w:after="360"/>
    </w:pPr>
    <w:rPr>
      <w:rFonts w:asciiTheme="majorHAnsi" w:hAnsiTheme="majorHAnsi"/>
      <w:b/>
      <w:caps/>
      <w:sz w:val="36"/>
    </w:rPr>
  </w:style>
  <w:style w:type="character" w:customStyle="1" w:styleId="Heading1Char">
    <w:name w:val="Heading 1 Char"/>
    <w:basedOn w:val="DefaultParagraphFont"/>
    <w:link w:val="Heading10"/>
    <w:uiPriority w:val="9"/>
    <w:rsid w:val="0023028C"/>
    <w:rPr>
      <w:rFonts w:asciiTheme="majorHAnsi" w:eastAsiaTheme="majorEastAsia" w:hAnsiTheme="majorHAnsi" w:cstheme="majorBidi"/>
      <w:b/>
      <w:caps/>
      <w:sz w:val="26"/>
      <w:szCs w:val="32"/>
    </w:rPr>
  </w:style>
  <w:style w:type="character" w:customStyle="1" w:styleId="Heading2Char">
    <w:name w:val="Heading 2 Char"/>
    <w:basedOn w:val="DefaultParagraphFont"/>
    <w:link w:val="Heading20"/>
    <w:uiPriority w:val="9"/>
    <w:rsid w:val="0023028C"/>
    <w:rPr>
      <w:rFonts w:asciiTheme="majorHAnsi" w:eastAsiaTheme="majorEastAsia" w:hAnsiTheme="majorHAnsi" w:cstheme="majorBidi"/>
      <w:b/>
      <w:sz w:val="26"/>
      <w:szCs w:val="26"/>
    </w:rPr>
  </w:style>
  <w:style w:type="character" w:customStyle="1" w:styleId="Heading3Char">
    <w:name w:val="Heading 3 Char"/>
    <w:basedOn w:val="DefaultParagraphFont"/>
    <w:link w:val="Heading30"/>
    <w:uiPriority w:val="9"/>
    <w:rsid w:val="0023028C"/>
    <w:rPr>
      <w:rFonts w:asciiTheme="majorHAnsi" w:eastAsiaTheme="majorEastAsia" w:hAnsiTheme="majorHAnsi" w:cstheme="majorBidi"/>
      <w:b/>
      <w:sz w:val="23"/>
      <w:szCs w:val="24"/>
    </w:rPr>
  </w:style>
  <w:style w:type="character" w:customStyle="1" w:styleId="Heading4Char">
    <w:name w:val="Heading 4 Char"/>
    <w:basedOn w:val="DefaultParagraphFont"/>
    <w:link w:val="Heading4"/>
    <w:uiPriority w:val="9"/>
    <w:rsid w:val="0023028C"/>
    <w:rPr>
      <w:rFonts w:asciiTheme="majorHAnsi" w:eastAsiaTheme="majorEastAsia" w:hAnsiTheme="majorHAnsi" w:cstheme="majorBidi"/>
      <w:i/>
      <w:iCs/>
      <w:sz w:val="23"/>
      <w:szCs w:val="24"/>
    </w:rPr>
  </w:style>
  <w:style w:type="character" w:customStyle="1" w:styleId="Heading5Char">
    <w:name w:val="Heading 5 Char"/>
    <w:basedOn w:val="DefaultParagraphFont"/>
    <w:link w:val="Heading5"/>
    <w:uiPriority w:val="9"/>
    <w:rsid w:val="0023028C"/>
    <w:rPr>
      <w:rFonts w:asciiTheme="majorHAnsi" w:eastAsiaTheme="majorEastAsia" w:hAnsiTheme="majorHAnsi" w:cstheme="majorBidi"/>
      <w:b/>
      <w:iCs/>
      <w:sz w:val="21"/>
      <w:szCs w:val="24"/>
    </w:rPr>
  </w:style>
  <w:style w:type="paragraph" w:customStyle="1" w:styleId="Heading1">
    <w:name w:val="Heading 1 (#)"/>
    <w:basedOn w:val="Heading10"/>
    <w:next w:val="Normal"/>
    <w:link w:val="Heading1Char0"/>
    <w:uiPriority w:val="14"/>
    <w:qFormat/>
    <w:rsid w:val="0023028C"/>
    <w:pPr>
      <w:numPr>
        <w:numId w:val="4"/>
      </w:numPr>
    </w:pPr>
  </w:style>
  <w:style w:type="paragraph" w:customStyle="1" w:styleId="Heading2">
    <w:name w:val="Heading 2 (#)"/>
    <w:basedOn w:val="Heading20"/>
    <w:next w:val="Normal"/>
    <w:link w:val="Heading2Char0"/>
    <w:uiPriority w:val="14"/>
    <w:qFormat/>
    <w:rsid w:val="0023028C"/>
    <w:pPr>
      <w:numPr>
        <w:ilvl w:val="1"/>
        <w:numId w:val="4"/>
      </w:numPr>
    </w:pPr>
  </w:style>
  <w:style w:type="paragraph" w:customStyle="1" w:styleId="Heading3">
    <w:name w:val="Heading 3 (#)"/>
    <w:basedOn w:val="Heading30"/>
    <w:next w:val="Normal"/>
    <w:link w:val="Heading3Char0"/>
    <w:uiPriority w:val="14"/>
    <w:qFormat/>
    <w:rsid w:val="0023028C"/>
    <w:pPr>
      <w:numPr>
        <w:ilvl w:val="2"/>
        <w:numId w:val="4"/>
      </w:numPr>
    </w:pPr>
  </w:style>
  <w:style w:type="paragraph" w:styleId="Header">
    <w:name w:val="header"/>
    <w:basedOn w:val="Normal"/>
    <w:link w:val="HeaderChar"/>
    <w:uiPriority w:val="85"/>
    <w:unhideWhenUsed/>
    <w:rsid w:val="0023028C"/>
    <w:pPr>
      <w:tabs>
        <w:tab w:val="center" w:pos="4513"/>
        <w:tab w:val="right" w:pos="9026"/>
      </w:tabs>
      <w:spacing w:after="180"/>
    </w:pPr>
    <w:rPr>
      <w:rFonts w:asciiTheme="majorHAnsi" w:hAnsiTheme="majorHAnsi"/>
      <w:b/>
      <w:caps/>
      <w:color w:val="53565A"/>
    </w:rPr>
  </w:style>
  <w:style w:type="character" w:customStyle="1" w:styleId="HeaderChar">
    <w:name w:val="Header Char"/>
    <w:basedOn w:val="DefaultParagraphFont"/>
    <w:link w:val="Header"/>
    <w:uiPriority w:val="85"/>
    <w:rsid w:val="0023028C"/>
    <w:rPr>
      <w:rFonts w:asciiTheme="majorHAnsi" w:hAnsiTheme="majorHAnsi"/>
      <w:b/>
      <w:caps/>
      <w:color w:val="53565A"/>
    </w:rPr>
  </w:style>
  <w:style w:type="paragraph" w:styleId="Footer">
    <w:name w:val="footer"/>
    <w:basedOn w:val="Normal"/>
    <w:link w:val="FooterChar"/>
    <w:uiPriority w:val="84"/>
    <w:rsid w:val="0023028C"/>
    <w:pPr>
      <w:pBdr>
        <w:top w:val="single" w:sz="6" w:space="1" w:color="auto"/>
      </w:pBdr>
      <w:tabs>
        <w:tab w:val="right" w:pos="7711"/>
      </w:tabs>
      <w:spacing w:before="0"/>
    </w:pPr>
    <w:rPr>
      <w:rFonts w:asciiTheme="majorHAnsi" w:hAnsiTheme="majorHAnsi"/>
      <w:sz w:val="18"/>
    </w:rPr>
  </w:style>
  <w:style w:type="character" w:customStyle="1" w:styleId="FooterChar">
    <w:name w:val="Footer Char"/>
    <w:basedOn w:val="DefaultParagraphFont"/>
    <w:link w:val="Footer"/>
    <w:uiPriority w:val="84"/>
    <w:rsid w:val="0023028C"/>
    <w:rPr>
      <w:rFonts w:asciiTheme="majorHAnsi" w:hAnsiTheme="majorHAnsi"/>
      <w:sz w:val="18"/>
    </w:rPr>
  </w:style>
  <w:style w:type="numbering" w:customStyle="1" w:styleId="HeadingNumbering">
    <w:name w:val="Heading Numbering"/>
    <w:uiPriority w:val="99"/>
    <w:rsid w:val="0023028C"/>
    <w:pPr>
      <w:numPr>
        <w:numId w:val="4"/>
      </w:numPr>
    </w:pPr>
  </w:style>
  <w:style w:type="paragraph" w:styleId="ListBullet">
    <w:name w:val="List Bullet"/>
    <w:basedOn w:val="ListBaseParagraph"/>
    <w:link w:val="ListBulletChar"/>
    <w:uiPriority w:val="19"/>
    <w:qFormat/>
    <w:rsid w:val="0023028C"/>
    <w:pPr>
      <w:numPr>
        <w:numId w:val="7"/>
      </w:numPr>
    </w:pPr>
  </w:style>
  <w:style w:type="paragraph" w:styleId="ListBullet2">
    <w:name w:val="List Bullet 2"/>
    <w:basedOn w:val="ListBullet"/>
    <w:uiPriority w:val="19"/>
    <w:rsid w:val="0023028C"/>
    <w:pPr>
      <w:numPr>
        <w:ilvl w:val="1"/>
      </w:numPr>
    </w:pPr>
  </w:style>
  <w:style w:type="paragraph" w:styleId="ListBullet3">
    <w:name w:val="List Bullet 3"/>
    <w:basedOn w:val="ListBullet2"/>
    <w:uiPriority w:val="19"/>
    <w:rsid w:val="0023028C"/>
    <w:pPr>
      <w:numPr>
        <w:ilvl w:val="2"/>
      </w:numPr>
    </w:pPr>
  </w:style>
  <w:style w:type="numbering" w:customStyle="1" w:styleId="ListBullets">
    <w:name w:val="List Bullets"/>
    <w:uiPriority w:val="99"/>
    <w:rsid w:val="0023028C"/>
    <w:pPr>
      <w:numPr>
        <w:numId w:val="5"/>
      </w:numPr>
    </w:pPr>
  </w:style>
  <w:style w:type="paragraph" w:styleId="ListNumber">
    <w:name w:val="List Number"/>
    <w:basedOn w:val="ListBaseParagraph"/>
    <w:uiPriority w:val="19"/>
    <w:qFormat/>
    <w:rsid w:val="0023028C"/>
    <w:pPr>
      <w:numPr>
        <w:numId w:val="6"/>
      </w:numPr>
    </w:pPr>
  </w:style>
  <w:style w:type="paragraph" w:styleId="ListNumber2">
    <w:name w:val="List Number 2"/>
    <w:basedOn w:val="ListNumber"/>
    <w:uiPriority w:val="19"/>
    <w:rsid w:val="0023028C"/>
    <w:pPr>
      <w:numPr>
        <w:ilvl w:val="1"/>
      </w:numPr>
    </w:pPr>
  </w:style>
  <w:style w:type="paragraph" w:styleId="ListNumber3">
    <w:name w:val="List Number 3"/>
    <w:basedOn w:val="ListNumber2"/>
    <w:uiPriority w:val="19"/>
    <w:rsid w:val="0023028C"/>
    <w:pPr>
      <w:numPr>
        <w:ilvl w:val="2"/>
      </w:numPr>
    </w:pPr>
  </w:style>
  <w:style w:type="numbering" w:customStyle="1" w:styleId="ListNumbering">
    <w:name w:val="List Numbering"/>
    <w:uiPriority w:val="99"/>
    <w:rsid w:val="0023028C"/>
    <w:pPr>
      <w:numPr>
        <w:numId w:val="6"/>
      </w:numPr>
    </w:pPr>
  </w:style>
  <w:style w:type="paragraph" w:styleId="ListContinue">
    <w:name w:val="List Continue"/>
    <w:basedOn w:val="ListBaseParagraph"/>
    <w:uiPriority w:val="24"/>
    <w:qFormat/>
    <w:rsid w:val="0023028C"/>
    <w:pPr>
      <w:numPr>
        <w:numId w:val="8"/>
      </w:numPr>
    </w:pPr>
  </w:style>
  <w:style w:type="paragraph" w:styleId="ListContinue2">
    <w:name w:val="List Continue 2"/>
    <w:basedOn w:val="ListContinue"/>
    <w:uiPriority w:val="24"/>
    <w:rsid w:val="0023028C"/>
    <w:pPr>
      <w:numPr>
        <w:ilvl w:val="1"/>
      </w:numPr>
    </w:pPr>
  </w:style>
  <w:style w:type="paragraph" w:customStyle="1" w:styleId="TableHeading">
    <w:name w:val="Table Heading"/>
    <w:basedOn w:val="Normal"/>
    <w:next w:val="Normal"/>
    <w:link w:val="TableHeadingChar"/>
    <w:uiPriority w:val="49"/>
    <w:qFormat/>
    <w:rsid w:val="0023028C"/>
    <w:pPr>
      <w:keepNext/>
      <w:tabs>
        <w:tab w:val="left" w:pos="1021"/>
        <w:tab w:val="right" w:pos="7711"/>
      </w:tabs>
      <w:spacing w:before="180" w:after="60"/>
      <w:ind w:left="1021" w:hanging="1021"/>
    </w:pPr>
    <w:rPr>
      <w:rFonts w:asciiTheme="majorHAnsi" w:hAnsiTheme="majorHAnsi"/>
      <w:b/>
      <w:sz w:val="20"/>
    </w:rPr>
  </w:style>
  <w:style w:type="paragraph" w:customStyle="1" w:styleId="TableUnits">
    <w:name w:val="Table Units"/>
    <w:basedOn w:val="Normal"/>
    <w:next w:val="Normal"/>
    <w:link w:val="TableUnitsChar"/>
    <w:uiPriority w:val="49"/>
    <w:qFormat/>
    <w:rsid w:val="0023028C"/>
    <w:pPr>
      <w:spacing w:before="0" w:after="60"/>
      <w:jc w:val="right"/>
    </w:pPr>
    <w:rPr>
      <w:rFonts w:asciiTheme="majorHAnsi" w:hAnsiTheme="majorHAnsi"/>
      <w:b/>
      <w:sz w:val="20"/>
    </w:rPr>
  </w:style>
  <w:style w:type="paragraph" w:customStyle="1" w:styleId="Note">
    <w:name w:val="Note"/>
    <w:basedOn w:val="Normal"/>
    <w:link w:val="NoteChar"/>
    <w:uiPriority w:val="52"/>
    <w:qFormat/>
    <w:rsid w:val="0023028C"/>
    <w:pPr>
      <w:tabs>
        <w:tab w:val="left" w:pos="284"/>
      </w:tabs>
      <w:spacing w:before="0"/>
      <w:ind w:left="284" w:hanging="284"/>
    </w:pPr>
    <w:rPr>
      <w:rFonts w:asciiTheme="majorHAnsi" w:hAnsiTheme="majorHAnsi"/>
      <w:i/>
      <w:sz w:val="14"/>
    </w:rPr>
  </w:style>
  <w:style w:type="paragraph" w:customStyle="1" w:styleId="Source">
    <w:name w:val="Source"/>
    <w:basedOn w:val="Normal"/>
    <w:next w:val="Normal"/>
    <w:link w:val="SourceChar"/>
    <w:uiPriority w:val="51"/>
    <w:qFormat/>
    <w:rsid w:val="0023028C"/>
    <w:pPr>
      <w:tabs>
        <w:tab w:val="left" w:pos="567"/>
      </w:tabs>
      <w:spacing w:before="20" w:after="60"/>
      <w:ind w:left="567" w:hanging="567"/>
    </w:pPr>
    <w:rPr>
      <w:rFonts w:asciiTheme="majorHAnsi" w:hAnsiTheme="majorHAnsi"/>
      <w:i/>
      <w:sz w:val="14"/>
    </w:rPr>
  </w:style>
  <w:style w:type="paragraph" w:customStyle="1" w:styleId="Note2">
    <w:name w:val="Note 2"/>
    <w:basedOn w:val="Note"/>
    <w:next w:val="Note"/>
    <w:uiPriority w:val="52"/>
    <w:rsid w:val="0023028C"/>
    <w:pPr>
      <w:numPr>
        <w:ilvl w:val="1"/>
      </w:numPr>
      <w:tabs>
        <w:tab w:val="left" w:pos="454"/>
      </w:tabs>
      <w:spacing w:before="20"/>
      <w:ind w:left="454" w:hanging="454"/>
      <w:contextualSpacing/>
    </w:pPr>
  </w:style>
  <w:style w:type="paragraph" w:customStyle="1" w:styleId="HighlightBoxHeading">
    <w:name w:val="Highlight Box Heading"/>
    <w:basedOn w:val="Normal"/>
    <w:next w:val="HighlightBoxText"/>
    <w:uiPriority w:val="59"/>
    <w:qFormat/>
    <w:rsid w:val="00216BE3"/>
    <w:pPr>
      <w:keepNext/>
      <w:pBdr>
        <w:top w:val="single" w:sz="6" w:space="1" w:color="auto"/>
        <w:left w:val="single" w:sz="6" w:space="4" w:color="auto"/>
        <w:bottom w:val="single" w:sz="6" w:space="1" w:color="auto"/>
        <w:right w:val="single" w:sz="6" w:space="4" w:color="auto"/>
      </w:pBdr>
      <w:shd w:val="clear" w:color="auto" w:fill="F2F2F2" w:themeFill="background1" w:themeFillShade="F2"/>
      <w:tabs>
        <w:tab w:val="left" w:pos="851"/>
        <w:tab w:val="left" w:pos="1134"/>
      </w:tabs>
    </w:pPr>
    <w:rPr>
      <w:rFonts w:asciiTheme="majorHAnsi" w:hAnsiTheme="majorHAnsi"/>
      <w:b/>
      <w:sz w:val="21"/>
    </w:rPr>
  </w:style>
  <w:style w:type="paragraph" w:customStyle="1" w:styleId="HighlightBoxText">
    <w:name w:val="Highlight Box Text"/>
    <w:basedOn w:val="HighlightBoxHeading"/>
    <w:link w:val="HighlightBoxTextChar"/>
    <w:uiPriority w:val="59"/>
    <w:qFormat/>
    <w:rsid w:val="0023028C"/>
    <w:rPr>
      <w:rFonts w:asciiTheme="minorHAnsi" w:hAnsiTheme="minorHAnsi"/>
      <w:b w:val="0"/>
      <w:sz w:val="22"/>
    </w:rPr>
  </w:style>
  <w:style w:type="paragraph" w:customStyle="1" w:styleId="HighlightBoxBullet">
    <w:name w:val="Highlight Box Bullet"/>
    <w:basedOn w:val="ListBullet"/>
    <w:link w:val="HighlightBoxBulletChar"/>
    <w:uiPriority w:val="60"/>
    <w:qFormat/>
    <w:rsid w:val="0023028C"/>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paragraph" w:customStyle="1" w:styleId="FooterOddPage">
    <w:name w:val="Footer [Odd Page]"/>
    <w:basedOn w:val="Footer"/>
    <w:next w:val="Footer"/>
    <w:uiPriority w:val="84"/>
    <w:rsid w:val="0023028C"/>
    <w:pPr>
      <w:tabs>
        <w:tab w:val="center" w:pos="4366"/>
      </w:tabs>
    </w:pPr>
  </w:style>
  <w:style w:type="paragraph" w:customStyle="1" w:styleId="FooterEvenPage">
    <w:name w:val="Footer [Even Page]"/>
    <w:basedOn w:val="Footer"/>
    <w:next w:val="Footer"/>
    <w:uiPriority w:val="84"/>
    <w:rsid w:val="0023028C"/>
    <w:pPr>
      <w:tabs>
        <w:tab w:val="center" w:pos="3289"/>
      </w:tabs>
    </w:pPr>
  </w:style>
  <w:style w:type="paragraph" w:styleId="ListContinue3">
    <w:name w:val="List Continue 3"/>
    <w:basedOn w:val="ListContinue2"/>
    <w:uiPriority w:val="24"/>
    <w:unhideWhenUsed/>
    <w:rsid w:val="0023028C"/>
    <w:pPr>
      <w:numPr>
        <w:ilvl w:val="2"/>
      </w:numPr>
    </w:pPr>
  </w:style>
  <w:style w:type="paragraph" w:customStyle="1" w:styleId="ListBaseParagraph">
    <w:name w:val="List Base Paragraph"/>
    <w:basedOn w:val="Normal"/>
    <w:next w:val="Normal"/>
    <w:uiPriority w:val="19"/>
    <w:semiHidden/>
    <w:qFormat/>
    <w:rsid w:val="0023028C"/>
    <w:pPr>
      <w:spacing w:before="60"/>
    </w:pPr>
  </w:style>
  <w:style w:type="paragraph" w:styleId="TOC1">
    <w:name w:val="toc 1"/>
    <w:basedOn w:val="Normal"/>
    <w:next w:val="Normal"/>
    <w:uiPriority w:val="39"/>
    <w:unhideWhenUsed/>
    <w:rsid w:val="00FE4A4D"/>
    <w:pPr>
      <w:keepNext/>
      <w:tabs>
        <w:tab w:val="right" w:leader="dot" w:pos="7711"/>
      </w:tabs>
      <w:spacing w:before="60"/>
      <w:ind w:right="851"/>
    </w:pPr>
    <w:rPr>
      <w:rFonts w:asciiTheme="majorHAnsi" w:hAnsiTheme="majorHAnsi"/>
      <w:b/>
      <w:sz w:val="21"/>
    </w:rPr>
  </w:style>
  <w:style w:type="paragraph" w:styleId="TOC2">
    <w:name w:val="toc 2"/>
    <w:basedOn w:val="Normal"/>
    <w:next w:val="Normal"/>
    <w:uiPriority w:val="39"/>
    <w:unhideWhenUsed/>
    <w:rsid w:val="00FE4A4D"/>
    <w:pPr>
      <w:tabs>
        <w:tab w:val="right" w:leader="dot" w:pos="7711"/>
      </w:tabs>
      <w:spacing w:before="60"/>
      <w:ind w:left="284" w:right="567"/>
    </w:pPr>
    <w:rPr>
      <w:rFonts w:asciiTheme="majorHAnsi" w:hAnsiTheme="majorHAnsi"/>
      <w:sz w:val="21"/>
    </w:rPr>
  </w:style>
  <w:style w:type="numbering" w:customStyle="1" w:styleId="ListContinueIndents">
    <w:name w:val="List Continue Indents"/>
    <w:uiPriority w:val="99"/>
    <w:rsid w:val="0023028C"/>
    <w:pPr>
      <w:numPr>
        <w:numId w:val="8"/>
      </w:numPr>
    </w:pPr>
  </w:style>
  <w:style w:type="table" w:styleId="TableGrid">
    <w:name w:val="Table Grid"/>
    <w:basedOn w:val="TableNormal"/>
    <w:uiPriority w:val="39"/>
    <w:rsid w:val="0023028C"/>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TFTableText">
    <w:name w:val="DTF Table [Text]"/>
    <w:basedOn w:val="TableNormal"/>
    <w:uiPriority w:val="99"/>
    <w:rsid w:val="004C6CDF"/>
    <w:pPr>
      <w:spacing w:before="60" w:after="60"/>
    </w:pPr>
    <w:rPr>
      <w:rFonts w:asciiTheme="majorHAnsi" w:hAnsiTheme="majorHAnsi"/>
      <w:sz w:val="18"/>
    </w:rPr>
    <w:tblPr>
      <w:tblStyleRowBandSize w:val="1"/>
      <w:tblBorders>
        <w:bottom w:val="single" w:sz="6" w:space="0" w:color="auto"/>
      </w:tblBorders>
      <w:tblCellMar>
        <w:left w:w="57" w:type="dxa"/>
        <w:right w:w="57" w:type="dxa"/>
      </w:tblCellMar>
    </w:tblPr>
    <w:tblStylePr w:type="firstRow">
      <w:pPr>
        <w:keepNext/>
        <w:wordWrap/>
        <w:spacing w:beforeLines="0" w:before="20" w:beforeAutospacing="0" w:afterLines="0" w:after="20" w:afterAutospacing="0"/>
      </w:pPr>
      <w:rPr>
        <w:i/>
      </w:rPr>
      <w:tblPr/>
      <w:tcPr>
        <w:tcBorders>
          <w:top w:val="nil"/>
          <w:left w:val="nil"/>
          <w:bottom w:val="nil"/>
          <w:right w:val="nil"/>
          <w:insideH w:val="nil"/>
          <w:insideV w:val="nil"/>
          <w:tl2br w:val="nil"/>
          <w:tr2bl w:val="nil"/>
        </w:tcBorders>
        <w:shd w:val="clear" w:color="auto" w:fill="000000" w:themeFill="text1"/>
      </w:tcPr>
    </w:tblStylePr>
    <w:tblStylePr w:type="lastRow">
      <w:rPr>
        <w:b/>
        <w:i w:val="0"/>
      </w:rPr>
      <w:tblPr/>
      <w:tcPr>
        <w:tcBorders>
          <w:top w:val="single" w:sz="6" w:space="0" w:color="auto"/>
          <w:left w:val="nil"/>
          <w:bottom w:val="single" w:sz="6" w:space="0" w:color="auto"/>
          <w:right w:val="nil"/>
          <w:insideH w:val="nil"/>
          <w:insideV w:val="nil"/>
          <w:tl2br w:val="nil"/>
          <w:tr2bl w:val="nil"/>
        </w:tcBorders>
      </w:tcPr>
    </w:tblStylePr>
    <w:tblStylePr w:type="lastCol">
      <w:rPr>
        <w:b/>
      </w:rPr>
    </w:tblStylePr>
    <w:tblStylePr w:type="band1Horz">
      <w:tblPr/>
      <w:tcPr>
        <w:tcBorders>
          <w:top w:val="nil"/>
          <w:left w:val="nil"/>
          <w:bottom w:val="single" w:sz="6" w:space="0" w:color="auto"/>
          <w:right w:val="nil"/>
          <w:insideH w:val="nil"/>
          <w:insideV w:val="nil"/>
          <w:tl2br w:val="nil"/>
          <w:tr2bl w:val="nil"/>
        </w:tcBorders>
      </w:tcPr>
    </w:tblStylePr>
    <w:tblStylePr w:type="band2Horz">
      <w:tblPr/>
      <w:tcPr>
        <w:tcBorders>
          <w:top w:val="nil"/>
          <w:left w:val="nil"/>
          <w:bottom w:val="single" w:sz="6" w:space="0" w:color="auto"/>
          <w:right w:val="nil"/>
          <w:insideH w:val="nil"/>
          <w:insideV w:val="nil"/>
          <w:tl2br w:val="nil"/>
          <w:tr2bl w:val="nil"/>
        </w:tcBorders>
      </w:tcPr>
    </w:tblStylePr>
  </w:style>
  <w:style w:type="table" w:customStyle="1" w:styleId="DTFTableShadedText">
    <w:name w:val="DTF Table [Shaded Text]"/>
    <w:basedOn w:val="DTFTableText"/>
    <w:uiPriority w:val="99"/>
    <w:rsid w:val="004C6CDF"/>
    <w:tblPr>
      <w:tblStyleColBandSize w:val="1"/>
      <w:tblBorders>
        <w:top w:val="single" w:sz="6" w:space="0" w:color="auto"/>
        <w:bottom w:val="none" w:sz="0" w:space="0" w:color="auto"/>
        <w:insideH w:val="single" w:sz="6" w:space="0" w:color="auto"/>
      </w:tblBorders>
    </w:tblPr>
    <w:tblStylePr w:type="firstRow">
      <w:pPr>
        <w:keepNext/>
        <w:wordWrap/>
        <w:spacing w:beforeLines="0" w:before="20" w:beforeAutospacing="0" w:afterLines="0" w:after="20" w:afterAutospacing="0"/>
      </w:pPr>
      <w:rPr>
        <w:i/>
      </w:rPr>
      <w:tblPr/>
      <w:tcPr>
        <w:tcBorders>
          <w:top w:val="nil"/>
          <w:left w:val="nil"/>
          <w:bottom w:val="nil"/>
          <w:right w:val="nil"/>
          <w:insideH w:val="nil"/>
          <w:insideV w:val="nil"/>
          <w:tl2br w:val="nil"/>
          <w:tr2bl w:val="nil"/>
        </w:tcBorders>
        <w:shd w:val="clear" w:color="auto" w:fill="000000" w:themeFill="text1"/>
      </w:tcPr>
    </w:tblStylePr>
    <w:tblStylePr w:type="lastRow">
      <w:rPr>
        <w:b/>
        <w:i w:val="0"/>
      </w:rPr>
      <w:tblPr/>
      <w:tcPr>
        <w:tcBorders>
          <w:top w:val="single" w:sz="6" w:space="0" w:color="auto"/>
          <w:left w:val="nil"/>
          <w:bottom w:val="single" w:sz="6" w:space="0" w:color="auto"/>
          <w:right w:val="nil"/>
          <w:insideH w:val="nil"/>
          <w:insideV w:val="nil"/>
          <w:tl2br w:val="nil"/>
          <w:tr2bl w:val="nil"/>
        </w:tcBorders>
      </w:tcPr>
    </w:tblStylePr>
    <w:tblStylePr w:type="lastCol">
      <w:rPr>
        <w:b/>
      </w:rPr>
    </w:tblStylePr>
    <w:tblStylePr w:type="band1Vert">
      <w:tblPr/>
      <w:tcPr>
        <w:tcBorders>
          <w:top w:val="nil"/>
          <w:left w:val="nil"/>
          <w:bottom w:val="single" w:sz="4" w:space="0" w:color="auto"/>
          <w:right w:val="nil"/>
          <w:insideH w:val="nil"/>
          <w:insideV w:val="nil"/>
          <w:tl2br w:val="nil"/>
          <w:tr2bl w:val="nil"/>
        </w:tcBorders>
      </w:tcPr>
    </w:tblStylePr>
    <w:tblStylePr w:type="band2Vert">
      <w:tblPr/>
      <w:tcPr>
        <w:tcBorders>
          <w:top w:val="nil"/>
          <w:left w:val="nil"/>
          <w:bottom w:val="single" w:sz="4" w:space="0" w:color="auto"/>
          <w:right w:val="nil"/>
          <w:insideH w:val="nil"/>
          <w:insideV w:val="nil"/>
          <w:tl2br w:val="nil"/>
          <w:tr2bl w:val="nil"/>
        </w:tcBorders>
      </w:tcPr>
    </w:tblStylePr>
    <w:tblStylePr w:type="band1Horz">
      <w:tblPr/>
      <w:tcPr>
        <w:tcBorders>
          <w:top w:val="single" w:sz="6" w:space="0" w:color="auto"/>
          <w:left w:val="nil"/>
          <w:bottom w:val="single" w:sz="6" w:space="0" w:color="auto"/>
          <w:right w:val="nil"/>
          <w:insideH w:val="nil"/>
          <w:insideV w:val="nil"/>
          <w:tl2br w:val="nil"/>
          <w:tr2bl w:val="nil"/>
        </w:tcBorders>
      </w:tcPr>
    </w:tblStylePr>
    <w:tblStylePr w:type="band2Horz">
      <w:tblPr/>
      <w:tcPr>
        <w:tcBorders>
          <w:top w:val="single" w:sz="6" w:space="0" w:color="auto"/>
          <w:left w:val="nil"/>
          <w:bottom w:val="single" w:sz="6" w:space="0" w:color="auto"/>
          <w:right w:val="nil"/>
          <w:insideH w:val="nil"/>
          <w:insideV w:val="nil"/>
          <w:tl2br w:val="nil"/>
          <w:tr2bl w:val="nil"/>
        </w:tcBorders>
        <w:shd w:val="clear" w:color="auto" w:fill="F2F2F2" w:themeFill="background1" w:themeFillShade="F2"/>
      </w:tcPr>
    </w:tblStylePr>
  </w:style>
  <w:style w:type="table" w:customStyle="1" w:styleId="DTFTableNumeric">
    <w:name w:val="DTF Table [Numeric]"/>
    <w:basedOn w:val="DTFTableText"/>
    <w:uiPriority w:val="99"/>
    <w:rsid w:val="004C6CDF"/>
    <w:pPr>
      <w:spacing w:before="20" w:after="20"/>
      <w:jc w:val="right"/>
    </w:pPr>
    <w:rPr>
      <w:sz w:val="17"/>
    </w:rPr>
    <w:tblPr>
      <w:tblBorders>
        <w:bottom w:val="single" w:sz="12" w:space="0" w:color="auto"/>
      </w:tblBorders>
    </w:tblPr>
    <w:tblStylePr w:type="firstRow">
      <w:pPr>
        <w:keepNext/>
        <w:wordWrap/>
        <w:spacing w:beforeLines="0" w:before="20" w:beforeAutospacing="0" w:afterLines="0" w:after="20" w:afterAutospacing="0"/>
      </w:pPr>
      <w:rPr>
        <w:i/>
      </w:rPr>
      <w:tblPr/>
      <w:tcPr>
        <w:tcBorders>
          <w:top w:val="nil"/>
          <w:left w:val="nil"/>
          <w:bottom w:val="nil"/>
          <w:right w:val="nil"/>
          <w:insideH w:val="nil"/>
          <w:insideV w:val="nil"/>
          <w:tl2br w:val="nil"/>
          <w:tr2bl w:val="nil"/>
        </w:tcBorders>
        <w:shd w:val="clear" w:color="auto" w:fill="000000" w:themeFill="text1"/>
        <w:vAlign w:val="bottom"/>
      </w:tcPr>
    </w:tblStylePr>
    <w:tblStylePr w:type="lastRow">
      <w:rPr>
        <w:b/>
        <w:i w:val="0"/>
      </w:rPr>
      <w:tblPr/>
      <w:tcPr>
        <w:tcBorders>
          <w:top w:val="single" w:sz="6" w:space="0" w:color="auto"/>
          <w:left w:val="nil"/>
          <w:bottom w:val="single" w:sz="12" w:space="0" w:color="auto"/>
          <w:right w:val="nil"/>
          <w:insideH w:val="nil"/>
          <w:insideV w:val="nil"/>
          <w:tl2br w:val="nil"/>
          <w:tr2bl w:val="nil"/>
        </w:tcBorders>
      </w:tcPr>
    </w:tblStylePr>
    <w:tblStylePr w:type="firstCol">
      <w:pPr>
        <w:wordWrap/>
        <w:ind w:leftChars="0" w:left="170" w:rightChars="0" w:right="0" w:firstLineChars="0" w:hanging="170"/>
        <w:mirrorIndents w:val="0"/>
        <w:jc w:val="left"/>
      </w:pPr>
    </w:tblStylePr>
    <w:tblStylePr w:type="lastCol">
      <w:rPr>
        <w:b/>
      </w:rPr>
    </w:tblStylePr>
    <w:tblStylePr w:type="band1Horz">
      <w:tblPr/>
      <w:tcPr>
        <w:tcBorders>
          <w:top w:val="nil"/>
          <w:left w:val="nil"/>
          <w:bottom w:val="single" w:sz="6" w:space="0" w:color="auto"/>
          <w:right w:val="nil"/>
          <w:insideH w:val="nil"/>
          <w:insideV w:val="nil"/>
          <w:tl2br w:val="nil"/>
          <w:tr2bl w:val="nil"/>
        </w:tcBorders>
      </w:tcPr>
    </w:tblStylePr>
    <w:tblStylePr w:type="band2Horz">
      <w:tblPr>
        <w:tblCellMar>
          <w:top w:w="0" w:type="dxa"/>
          <w:left w:w="57" w:type="dxa"/>
          <w:bottom w:w="0" w:type="dxa"/>
          <w:right w:w="57" w:type="dxa"/>
        </w:tblCellMar>
      </w:tblPr>
      <w:tcPr>
        <w:tcBorders>
          <w:top w:val="single" w:sz="6" w:space="0" w:color="auto"/>
          <w:left w:val="nil"/>
          <w:bottom w:val="single" w:sz="6" w:space="0" w:color="auto"/>
          <w:right w:val="nil"/>
          <w:insideH w:val="nil"/>
          <w:insideV w:val="nil"/>
          <w:tl2br w:val="nil"/>
          <w:tr2bl w:val="nil"/>
        </w:tcBorders>
      </w:tcPr>
    </w:tblStylePr>
  </w:style>
  <w:style w:type="character" w:customStyle="1" w:styleId="Heading6Char">
    <w:name w:val="Heading 6 Char"/>
    <w:basedOn w:val="DefaultParagraphFont"/>
    <w:link w:val="Heading6"/>
    <w:uiPriority w:val="9"/>
    <w:rsid w:val="0023028C"/>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unhideWhenUsed/>
    <w:rsid w:val="0023028C"/>
    <w:pPr>
      <w:spacing w:before="0"/>
    </w:pPr>
    <w:rPr>
      <w:sz w:val="20"/>
      <w:szCs w:val="20"/>
    </w:rPr>
  </w:style>
  <w:style w:type="character" w:customStyle="1" w:styleId="FootnoteTextChar">
    <w:name w:val="Footnote Text Char"/>
    <w:basedOn w:val="DefaultParagraphFont"/>
    <w:link w:val="FootnoteText"/>
    <w:uiPriority w:val="99"/>
    <w:rsid w:val="0023028C"/>
    <w:rPr>
      <w:sz w:val="20"/>
      <w:szCs w:val="20"/>
    </w:rPr>
  </w:style>
  <w:style w:type="character" w:styleId="FootnoteReference">
    <w:name w:val="footnote reference"/>
    <w:basedOn w:val="DefaultParagraphFont"/>
    <w:uiPriority w:val="99"/>
    <w:unhideWhenUsed/>
    <w:rsid w:val="0023028C"/>
    <w:rPr>
      <w:vertAlign w:val="superscript"/>
    </w:rPr>
  </w:style>
  <w:style w:type="paragraph" w:styleId="List">
    <w:name w:val="List"/>
    <w:basedOn w:val="Normal"/>
    <w:uiPriority w:val="99"/>
    <w:unhideWhenUsed/>
    <w:rsid w:val="0023028C"/>
    <w:pPr>
      <w:ind w:left="283" w:hanging="283"/>
      <w:contextualSpacing/>
    </w:pPr>
  </w:style>
  <w:style w:type="paragraph" w:styleId="TOC9">
    <w:name w:val="toc 9"/>
    <w:basedOn w:val="Normal"/>
    <w:next w:val="Normal"/>
    <w:autoRedefine/>
    <w:uiPriority w:val="91"/>
    <w:unhideWhenUsed/>
    <w:rsid w:val="0023028C"/>
    <w:pPr>
      <w:tabs>
        <w:tab w:val="left" w:pos="567"/>
        <w:tab w:val="center" w:leader="dot" w:pos="3629"/>
      </w:tabs>
      <w:spacing w:after="100"/>
      <w:ind w:left="567" w:hanging="567"/>
    </w:pPr>
    <w:rPr>
      <w:spacing w:val="-2"/>
      <w:sz w:val="20"/>
    </w:rPr>
  </w:style>
  <w:style w:type="paragraph" w:styleId="CommentText">
    <w:name w:val="annotation text"/>
    <w:basedOn w:val="Normal"/>
    <w:link w:val="CommentTextChar"/>
    <w:uiPriority w:val="99"/>
    <w:unhideWhenUsed/>
    <w:rsid w:val="0023028C"/>
    <w:rPr>
      <w:sz w:val="20"/>
      <w:szCs w:val="20"/>
    </w:rPr>
  </w:style>
  <w:style w:type="character" w:customStyle="1" w:styleId="CommentTextChar">
    <w:name w:val="Comment Text Char"/>
    <w:basedOn w:val="DefaultParagraphFont"/>
    <w:link w:val="CommentText"/>
    <w:uiPriority w:val="99"/>
    <w:rsid w:val="0023028C"/>
    <w:rPr>
      <w:sz w:val="20"/>
      <w:szCs w:val="20"/>
    </w:rPr>
  </w:style>
  <w:style w:type="character" w:styleId="CommentReference">
    <w:name w:val="annotation reference"/>
    <w:basedOn w:val="DefaultParagraphFont"/>
    <w:uiPriority w:val="99"/>
    <w:semiHidden/>
    <w:unhideWhenUsed/>
    <w:rsid w:val="0023028C"/>
    <w:rPr>
      <w:sz w:val="16"/>
      <w:szCs w:val="16"/>
    </w:rPr>
  </w:style>
  <w:style w:type="character" w:styleId="Hyperlink">
    <w:name w:val="Hyperlink"/>
    <w:basedOn w:val="DefaultParagraphFont"/>
    <w:uiPriority w:val="99"/>
    <w:rsid w:val="0023028C"/>
    <w:rPr>
      <w:color w:val="0000FF"/>
      <w:u w:val="single"/>
    </w:rPr>
  </w:style>
  <w:style w:type="paragraph" w:styleId="ListParagraph">
    <w:name w:val="List Paragraph"/>
    <w:basedOn w:val="Normal"/>
    <w:uiPriority w:val="34"/>
    <w:qFormat/>
    <w:rsid w:val="0023028C"/>
    <w:pPr>
      <w:ind w:left="720"/>
      <w:contextualSpacing/>
    </w:pPr>
  </w:style>
  <w:style w:type="character" w:customStyle="1" w:styleId="Heading3Char0">
    <w:name w:val="Heading 3 (#) Char"/>
    <w:basedOn w:val="Heading3Char"/>
    <w:link w:val="Heading3"/>
    <w:uiPriority w:val="14"/>
    <w:rsid w:val="0023028C"/>
    <w:rPr>
      <w:rFonts w:asciiTheme="majorHAnsi" w:eastAsiaTheme="majorEastAsia" w:hAnsiTheme="majorHAnsi" w:cstheme="majorBidi"/>
      <w:b/>
      <w:sz w:val="23"/>
      <w:szCs w:val="24"/>
    </w:rPr>
  </w:style>
  <w:style w:type="character" w:customStyle="1" w:styleId="TableHeadingChar">
    <w:name w:val="Table Heading Char"/>
    <w:basedOn w:val="DefaultParagraphFont"/>
    <w:link w:val="TableHeading"/>
    <w:uiPriority w:val="49"/>
    <w:rsid w:val="0023028C"/>
    <w:rPr>
      <w:rFonts w:asciiTheme="majorHAnsi" w:hAnsiTheme="majorHAnsi"/>
      <w:b/>
      <w:sz w:val="20"/>
    </w:rPr>
  </w:style>
  <w:style w:type="character" w:customStyle="1" w:styleId="TableUnitsChar">
    <w:name w:val="Table Units Char"/>
    <w:basedOn w:val="DefaultParagraphFont"/>
    <w:link w:val="TableUnits"/>
    <w:uiPriority w:val="49"/>
    <w:rsid w:val="0023028C"/>
    <w:rPr>
      <w:rFonts w:asciiTheme="majorHAnsi" w:hAnsiTheme="majorHAnsi"/>
      <w:b/>
      <w:sz w:val="20"/>
    </w:rPr>
  </w:style>
  <w:style w:type="character" w:customStyle="1" w:styleId="NoteChar">
    <w:name w:val="Note Char"/>
    <w:basedOn w:val="DefaultParagraphFont"/>
    <w:link w:val="Note"/>
    <w:uiPriority w:val="52"/>
    <w:rsid w:val="0023028C"/>
    <w:rPr>
      <w:rFonts w:asciiTheme="majorHAnsi" w:hAnsiTheme="majorHAnsi"/>
      <w:i/>
      <w:sz w:val="14"/>
    </w:rPr>
  </w:style>
  <w:style w:type="numbering" w:customStyle="1" w:styleId="Bullet">
    <w:name w:val="Bullet"/>
    <w:uiPriority w:val="99"/>
    <w:rsid w:val="008D6F13"/>
    <w:pPr>
      <w:numPr>
        <w:numId w:val="9"/>
      </w:numPr>
    </w:pPr>
  </w:style>
  <w:style w:type="character" w:customStyle="1" w:styleId="SourceChar">
    <w:name w:val="Source Char"/>
    <w:link w:val="Source"/>
    <w:uiPriority w:val="51"/>
    <w:locked/>
    <w:rsid w:val="008D6F13"/>
    <w:rPr>
      <w:rFonts w:asciiTheme="majorHAnsi" w:hAnsiTheme="majorHAnsi"/>
      <w:i/>
      <w:sz w:val="14"/>
    </w:rPr>
  </w:style>
  <w:style w:type="character" w:customStyle="1" w:styleId="ListBulletChar">
    <w:name w:val="List Bullet Char"/>
    <w:basedOn w:val="DefaultParagraphFont"/>
    <w:link w:val="ListBullet"/>
    <w:uiPriority w:val="19"/>
    <w:rsid w:val="008D6F13"/>
  </w:style>
  <w:style w:type="character" w:customStyle="1" w:styleId="HighlightBoxTextChar">
    <w:name w:val="Highlight Box Text Char"/>
    <w:basedOn w:val="DefaultParagraphFont"/>
    <w:link w:val="HighlightBoxText"/>
    <w:uiPriority w:val="59"/>
    <w:rsid w:val="008D6F13"/>
    <w:rPr>
      <w:shd w:val="clear" w:color="auto" w:fill="F2F2F2" w:themeFill="background1" w:themeFillShade="F2"/>
    </w:rPr>
  </w:style>
  <w:style w:type="table" w:customStyle="1" w:styleId="DTFTable">
    <w:name w:val="DTF Table"/>
    <w:basedOn w:val="TableNormal"/>
    <w:uiPriority w:val="99"/>
    <w:rsid w:val="008D6F13"/>
    <w:pPr>
      <w:spacing w:before="20" w:after="20"/>
      <w:jc w:val="right"/>
    </w:pPr>
    <w:rPr>
      <w:rFonts w:asciiTheme="majorHAnsi" w:hAnsiTheme="majorHAns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7E6E6" w:themeFill="background2"/>
      </w:tcPr>
    </w:tblStylePr>
    <w:tblStylePr w:type="band1Horz">
      <w:tblPr/>
      <w:tcPr>
        <w:shd w:val="clear" w:color="auto" w:fill="E7E6E6" w:themeFill="background2"/>
      </w:tcPr>
    </w:tblStylePr>
    <w:tblStylePr w:type="band2Horz">
      <w:tblPr/>
      <w:tcPr>
        <w:shd w:val="clear" w:color="auto" w:fill="FFFFFF" w:themeFill="background1"/>
      </w:tcPr>
    </w:tblStylePr>
  </w:style>
  <w:style w:type="character" w:customStyle="1" w:styleId="HighlightBoxBulletChar">
    <w:name w:val="Highlight Box Bullet Char"/>
    <w:basedOn w:val="DefaultParagraphFont"/>
    <w:link w:val="HighlightBoxBullet"/>
    <w:uiPriority w:val="60"/>
    <w:rsid w:val="008D6F13"/>
    <w:rPr>
      <w:shd w:val="clear" w:color="auto" w:fill="F2F2F2" w:themeFill="background1" w:themeFillShade="F2"/>
    </w:rPr>
  </w:style>
  <w:style w:type="paragraph" w:customStyle="1" w:styleId="HighlightBoxSource">
    <w:name w:val="Highlight Box Source"/>
    <w:basedOn w:val="HighlightBoxText"/>
    <w:qFormat/>
    <w:rsid w:val="002976FD"/>
    <w:pPr>
      <w:keepNext w:val="0"/>
      <w:spacing w:before="20" w:after="60"/>
    </w:pPr>
    <w:rPr>
      <w:rFonts w:ascii="Calibri" w:hAnsi="Calibri"/>
      <w:i/>
      <w:sz w:val="14"/>
    </w:rPr>
  </w:style>
  <w:style w:type="paragraph" w:customStyle="1" w:styleId="HighlightBoxNote">
    <w:name w:val="Highlight Box Note"/>
    <w:basedOn w:val="HighlightBoxSource"/>
    <w:qFormat/>
    <w:rsid w:val="008D6F13"/>
    <w:pPr>
      <w:spacing w:before="0" w:after="0"/>
      <w:ind w:left="289" w:hanging="289"/>
    </w:pPr>
  </w:style>
  <w:style w:type="character" w:customStyle="1" w:styleId="Heading7Char">
    <w:name w:val="Heading 7 Char"/>
    <w:basedOn w:val="DefaultParagraphFont"/>
    <w:link w:val="Heading7"/>
    <w:uiPriority w:val="9"/>
    <w:semiHidden/>
    <w:rsid w:val="008D6F1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D6F1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8D6F13"/>
    <w:rPr>
      <w:rFonts w:asciiTheme="majorHAnsi" w:eastAsiaTheme="majorEastAsia" w:hAnsiTheme="majorHAnsi" w:cstheme="majorBidi"/>
      <w:i/>
      <w:iCs/>
      <w:color w:val="404040" w:themeColor="text1" w:themeTint="BF"/>
    </w:rPr>
  </w:style>
  <w:style w:type="character" w:customStyle="1" w:styleId="Heading2Char0">
    <w:name w:val="Heading 2 (#) Char"/>
    <w:basedOn w:val="Heading2Char"/>
    <w:link w:val="Heading2"/>
    <w:uiPriority w:val="14"/>
    <w:rsid w:val="008D6F13"/>
    <w:rPr>
      <w:rFonts w:asciiTheme="majorHAnsi" w:eastAsiaTheme="majorEastAsia" w:hAnsiTheme="majorHAnsi" w:cstheme="majorBidi"/>
      <w:b/>
      <w:sz w:val="26"/>
      <w:szCs w:val="26"/>
    </w:rPr>
  </w:style>
  <w:style w:type="numbering" w:customStyle="1" w:styleId="A">
    <w:name w:val="(A)"/>
    <w:uiPriority w:val="99"/>
    <w:rsid w:val="008D6F13"/>
    <w:pPr>
      <w:numPr>
        <w:numId w:val="11"/>
      </w:numPr>
    </w:pPr>
  </w:style>
  <w:style w:type="table" w:styleId="LightShading-Accent1">
    <w:name w:val="Light Shading Accent 1"/>
    <w:basedOn w:val="TableNormal"/>
    <w:uiPriority w:val="60"/>
    <w:rsid w:val="008D6F13"/>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
    <w:name w:val="Light Shading"/>
    <w:basedOn w:val="TableNormal"/>
    <w:uiPriority w:val="60"/>
    <w:rsid w:val="008D6F1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8D6F13"/>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DecimalAligned">
    <w:name w:val="Decimal Aligned"/>
    <w:basedOn w:val="Normal"/>
    <w:uiPriority w:val="40"/>
    <w:semiHidden/>
    <w:rsid w:val="008D6F13"/>
    <w:pPr>
      <w:tabs>
        <w:tab w:val="decimal" w:pos="360"/>
      </w:tabs>
      <w:spacing w:after="200" w:line="276" w:lineRule="auto"/>
    </w:pPr>
    <w:rPr>
      <w:lang w:val="en-US" w:eastAsia="ja-JP"/>
    </w:rPr>
  </w:style>
  <w:style w:type="paragraph" w:customStyle="1" w:styleId="Heading1Non-TOC">
    <w:name w:val="Heading 1 [Non-TOC]"/>
    <w:basedOn w:val="Heading10"/>
    <w:qFormat/>
    <w:rsid w:val="00CB5E47"/>
    <w:rPr>
      <w:bCs/>
      <w:szCs w:val="28"/>
      <w:lang w:eastAsia="en-AU"/>
    </w:rPr>
  </w:style>
  <w:style w:type="table" w:styleId="MediumShading2-Accent5">
    <w:name w:val="Medium Shading 2 Accent 5"/>
    <w:basedOn w:val="TableNormal"/>
    <w:uiPriority w:val="64"/>
    <w:rsid w:val="008D6F13"/>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styleId="111111">
    <w:name w:val="Outline List 2"/>
    <w:basedOn w:val="NoList"/>
    <w:uiPriority w:val="99"/>
    <w:semiHidden/>
    <w:unhideWhenUsed/>
    <w:rsid w:val="008D6F13"/>
    <w:pPr>
      <w:numPr>
        <w:numId w:val="19"/>
      </w:numPr>
    </w:pPr>
  </w:style>
  <w:style w:type="paragraph" w:customStyle="1" w:styleId="NoteDash">
    <w:name w:val="Note Dash"/>
    <w:basedOn w:val="Note"/>
    <w:next w:val="Note"/>
    <w:uiPriority w:val="53"/>
    <w:rsid w:val="008D6F13"/>
    <w:pPr>
      <w:numPr>
        <w:numId w:val="12"/>
      </w:numPr>
      <w:tabs>
        <w:tab w:val="clear" w:pos="284"/>
      </w:tabs>
      <w:spacing w:before="20"/>
      <w:ind w:left="568" w:hanging="284"/>
      <w:contextualSpacing/>
    </w:pPr>
    <w:rPr>
      <w:spacing w:val="-2"/>
    </w:rPr>
  </w:style>
  <w:style w:type="paragraph" w:styleId="TOC3">
    <w:name w:val="toc 3"/>
    <w:basedOn w:val="Normal"/>
    <w:next w:val="Normal"/>
    <w:uiPriority w:val="91"/>
    <w:rsid w:val="008D6F13"/>
    <w:pPr>
      <w:spacing w:after="100"/>
      <w:ind w:left="420"/>
    </w:pPr>
  </w:style>
  <w:style w:type="paragraph" w:styleId="TOC4">
    <w:name w:val="toc 4"/>
    <w:next w:val="Normal"/>
    <w:uiPriority w:val="96"/>
    <w:rsid w:val="008D6F13"/>
    <w:pPr>
      <w:tabs>
        <w:tab w:val="left" w:pos="1021"/>
        <w:tab w:val="right" w:leader="dot" w:pos="9072"/>
      </w:tabs>
      <w:spacing w:after="100"/>
    </w:pPr>
    <w:rPr>
      <w:rFonts w:asciiTheme="majorHAnsi" w:hAnsiTheme="majorHAnsi"/>
      <w:spacing w:val="2"/>
    </w:rPr>
  </w:style>
  <w:style w:type="paragraph" w:styleId="BalloonText">
    <w:name w:val="Balloon Text"/>
    <w:basedOn w:val="Normal"/>
    <w:link w:val="BalloonTextChar"/>
    <w:uiPriority w:val="99"/>
    <w:semiHidden/>
    <w:unhideWhenUsed/>
    <w:rsid w:val="008D6F13"/>
    <w:rPr>
      <w:rFonts w:ascii="Tahoma" w:hAnsi="Tahoma" w:cs="Tahoma"/>
      <w:sz w:val="16"/>
      <w:szCs w:val="16"/>
    </w:rPr>
  </w:style>
  <w:style w:type="character" w:customStyle="1" w:styleId="BalloonTextChar">
    <w:name w:val="Balloon Text Char"/>
    <w:basedOn w:val="DefaultParagraphFont"/>
    <w:link w:val="BalloonText"/>
    <w:uiPriority w:val="99"/>
    <w:semiHidden/>
    <w:rsid w:val="008D6F13"/>
    <w:rPr>
      <w:rFonts w:ascii="Tahoma" w:hAnsi="Tahoma" w:cs="Tahoma"/>
      <w:sz w:val="16"/>
      <w:szCs w:val="16"/>
    </w:rPr>
  </w:style>
  <w:style w:type="table" w:styleId="LightShading-Accent2">
    <w:name w:val="Light Shading Accent 2"/>
    <w:basedOn w:val="TableNormal"/>
    <w:uiPriority w:val="60"/>
    <w:rsid w:val="008D6F13"/>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numbering" w:customStyle="1" w:styleId="Number">
    <w:name w:val="Number"/>
    <w:uiPriority w:val="99"/>
    <w:rsid w:val="008D6F13"/>
    <w:pPr>
      <w:numPr>
        <w:numId w:val="14"/>
      </w:numPr>
    </w:pPr>
  </w:style>
  <w:style w:type="character" w:customStyle="1" w:styleId="Heading1Char0">
    <w:name w:val="Heading 1 (#) Char"/>
    <w:basedOn w:val="Heading1Char"/>
    <w:link w:val="Heading1"/>
    <w:uiPriority w:val="14"/>
    <w:rsid w:val="008D6F13"/>
    <w:rPr>
      <w:rFonts w:asciiTheme="majorHAnsi" w:eastAsiaTheme="majorEastAsia" w:hAnsiTheme="majorHAnsi" w:cstheme="majorBidi"/>
      <w:b/>
      <w:caps/>
      <w:sz w:val="26"/>
      <w:szCs w:val="32"/>
    </w:rPr>
  </w:style>
  <w:style w:type="table" w:styleId="LightList">
    <w:name w:val="Light List"/>
    <w:basedOn w:val="TableNormal"/>
    <w:uiPriority w:val="61"/>
    <w:rsid w:val="008D6F1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Number4">
    <w:name w:val="List Number 4"/>
    <w:basedOn w:val="Normal"/>
    <w:uiPriority w:val="19"/>
    <w:semiHidden/>
    <w:unhideWhenUsed/>
    <w:rsid w:val="008D6F13"/>
    <w:pPr>
      <w:ind w:left="1136" w:hanging="284"/>
      <w:contextualSpacing/>
    </w:pPr>
  </w:style>
  <w:style w:type="paragraph" w:styleId="ListNumber5">
    <w:name w:val="List Number 5"/>
    <w:basedOn w:val="Normal"/>
    <w:uiPriority w:val="19"/>
    <w:semiHidden/>
    <w:unhideWhenUsed/>
    <w:rsid w:val="008D6F13"/>
    <w:pPr>
      <w:ind w:left="1420" w:hanging="284"/>
      <w:contextualSpacing/>
    </w:pPr>
  </w:style>
  <w:style w:type="numbering" w:customStyle="1" w:styleId="NumberedHeadings">
    <w:name w:val="Numbered Headings"/>
    <w:uiPriority w:val="99"/>
    <w:rsid w:val="008D6F13"/>
    <w:pPr>
      <w:numPr>
        <w:numId w:val="15"/>
      </w:numPr>
    </w:pPr>
  </w:style>
  <w:style w:type="paragraph" w:styleId="ListBullet4">
    <w:name w:val="List Bullet 4"/>
    <w:basedOn w:val="Normal"/>
    <w:uiPriority w:val="19"/>
    <w:semiHidden/>
    <w:unhideWhenUsed/>
    <w:rsid w:val="008D6F13"/>
    <w:pPr>
      <w:numPr>
        <w:numId w:val="17"/>
      </w:numPr>
      <w:contextualSpacing/>
    </w:pPr>
  </w:style>
  <w:style w:type="paragraph" w:styleId="ListBullet5">
    <w:name w:val="List Bullet 5"/>
    <w:basedOn w:val="Normal"/>
    <w:uiPriority w:val="19"/>
    <w:semiHidden/>
    <w:unhideWhenUsed/>
    <w:rsid w:val="008D6F13"/>
    <w:pPr>
      <w:numPr>
        <w:numId w:val="18"/>
      </w:numPr>
      <w:contextualSpacing/>
    </w:pPr>
  </w:style>
  <w:style w:type="paragraph" w:styleId="ListContinue4">
    <w:name w:val="List Continue 4"/>
    <w:basedOn w:val="Normal"/>
    <w:uiPriority w:val="24"/>
    <w:semiHidden/>
    <w:unhideWhenUsed/>
    <w:rsid w:val="008D6F13"/>
    <w:pPr>
      <w:spacing w:after="120"/>
      <w:ind w:left="1132"/>
      <w:contextualSpacing/>
    </w:pPr>
  </w:style>
  <w:style w:type="paragraph" w:styleId="ListContinue5">
    <w:name w:val="List Continue 5"/>
    <w:basedOn w:val="Normal"/>
    <w:uiPriority w:val="24"/>
    <w:semiHidden/>
    <w:unhideWhenUsed/>
    <w:rsid w:val="008D6F13"/>
    <w:pPr>
      <w:spacing w:after="120"/>
      <w:ind w:left="1415"/>
      <w:contextualSpacing/>
    </w:pPr>
  </w:style>
  <w:style w:type="paragraph" w:styleId="TOC7">
    <w:name w:val="toc 7"/>
    <w:basedOn w:val="Normal"/>
    <w:next w:val="Normal"/>
    <w:autoRedefine/>
    <w:uiPriority w:val="96"/>
    <w:semiHidden/>
    <w:rsid w:val="008D6F13"/>
    <w:pPr>
      <w:spacing w:after="100"/>
      <w:ind w:left="1320"/>
    </w:pPr>
  </w:style>
  <w:style w:type="numbering" w:styleId="1ai">
    <w:name w:val="Outline List 1"/>
    <w:basedOn w:val="NoList"/>
    <w:uiPriority w:val="99"/>
    <w:semiHidden/>
    <w:unhideWhenUsed/>
    <w:rsid w:val="008D6F13"/>
    <w:pPr>
      <w:numPr>
        <w:numId w:val="20"/>
      </w:numPr>
    </w:pPr>
  </w:style>
  <w:style w:type="numbering" w:styleId="ArticleSection">
    <w:name w:val="Outline List 3"/>
    <w:basedOn w:val="NoList"/>
    <w:uiPriority w:val="99"/>
    <w:semiHidden/>
    <w:unhideWhenUsed/>
    <w:rsid w:val="008D6F13"/>
    <w:pPr>
      <w:numPr>
        <w:numId w:val="21"/>
      </w:numPr>
    </w:pPr>
  </w:style>
  <w:style w:type="paragraph" w:styleId="Bibliography">
    <w:name w:val="Bibliography"/>
    <w:basedOn w:val="Normal"/>
    <w:next w:val="Normal"/>
    <w:uiPriority w:val="37"/>
    <w:semiHidden/>
    <w:unhideWhenUsed/>
    <w:rsid w:val="008D6F13"/>
  </w:style>
  <w:style w:type="paragraph" w:styleId="BlockText">
    <w:name w:val="Block Text"/>
    <w:basedOn w:val="Normal"/>
    <w:uiPriority w:val="99"/>
    <w:semiHidden/>
    <w:unhideWhenUsed/>
    <w:rsid w:val="008D6F13"/>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eastAsiaTheme="minorEastAsia"/>
      <w:i/>
      <w:iCs/>
      <w:color w:val="4472C4" w:themeColor="accent1"/>
    </w:rPr>
  </w:style>
  <w:style w:type="paragraph" w:styleId="BodyText">
    <w:name w:val="Body Text"/>
    <w:basedOn w:val="Normal"/>
    <w:link w:val="BodyTextChar"/>
    <w:uiPriority w:val="4"/>
    <w:semiHidden/>
    <w:unhideWhenUsed/>
    <w:rsid w:val="008D6F13"/>
    <w:pPr>
      <w:spacing w:after="120"/>
    </w:pPr>
  </w:style>
  <w:style w:type="character" w:customStyle="1" w:styleId="BodyTextChar">
    <w:name w:val="Body Text Char"/>
    <w:basedOn w:val="DefaultParagraphFont"/>
    <w:link w:val="BodyText"/>
    <w:uiPriority w:val="4"/>
    <w:semiHidden/>
    <w:rsid w:val="008D6F13"/>
  </w:style>
  <w:style w:type="paragraph" w:styleId="BodyText2">
    <w:name w:val="Body Text 2"/>
    <w:basedOn w:val="Normal"/>
    <w:link w:val="BodyText2Char"/>
    <w:uiPriority w:val="99"/>
    <w:semiHidden/>
    <w:unhideWhenUsed/>
    <w:rsid w:val="008D6F13"/>
    <w:pPr>
      <w:spacing w:after="120" w:line="480" w:lineRule="auto"/>
    </w:pPr>
  </w:style>
  <w:style w:type="character" w:customStyle="1" w:styleId="BodyText2Char">
    <w:name w:val="Body Text 2 Char"/>
    <w:basedOn w:val="DefaultParagraphFont"/>
    <w:link w:val="BodyText2"/>
    <w:uiPriority w:val="99"/>
    <w:semiHidden/>
    <w:rsid w:val="008D6F13"/>
  </w:style>
  <w:style w:type="paragraph" w:styleId="BodyText3">
    <w:name w:val="Body Text 3"/>
    <w:basedOn w:val="Normal"/>
    <w:link w:val="BodyText3Char"/>
    <w:uiPriority w:val="99"/>
    <w:semiHidden/>
    <w:unhideWhenUsed/>
    <w:rsid w:val="008D6F13"/>
    <w:pPr>
      <w:spacing w:after="120"/>
    </w:pPr>
    <w:rPr>
      <w:sz w:val="16"/>
      <w:szCs w:val="16"/>
    </w:rPr>
  </w:style>
  <w:style w:type="character" w:customStyle="1" w:styleId="BodyText3Char">
    <w:name w:val="Body Text 3 Char"/>
    <w:basedOn w:val="DefaultParagraphFont"/>
    <w:link w:val="BodyText3"/>
    <w:uiPriority w:val="99"/>
    <w:semiHidden/>
    <w:rsid w:val="008D6F13"/>
    <w:rPr>
      <w:sz w:val="16"/>
      <w:szCs w:val="16"/>
    </w:rPr>
  </w:style>
  <w:style w:type="paragraph" w:styleId="BodyTextFirstIndent">
    <w:name w:val="Body Text First Indent"/>
    <w:basedOn w:val="BodyText"/>
    <w:link w:val="BodyTextFirstIndentChar"/>
    <w:uiPriority w:val="99"/>
    <w:semiHidden/>
    <w:unhideWhenUsed/>
    <w:rsid w:val="008D6F13"/>
    <w:pPr>
      <w:spacing w:after="0"/>
      <w:ind w:firstLine="360"/>
    </w:pPr>
  </w:style>
  <w:style w:type="character" w:customStyle="1" w:styleId="BodyTextFirstIndentChar">
    <w:name w:val="Body Text First Indent Char"/>
    <w:basedOn w:val="BodyTextChar"/>
    <w:link w:val="BodyTextFirstIndent"/>
    <w:uiPriority w:val="99"/>
    <w:semiHidden/>
    <w:rsid w:val="008D6F13"/>
  </w:style>
  <w:style w:type="paragraph" w:styleId="BodyTextIndent">
    <w:name w:val="Body Text Indent"/>
    <w:basedOn w:val="Normal"/>
    <w:link w:val="BodyTextIndentChar"/>
    <w:uiPriority w:val="99"/>
    <w:semiHidden/>
    <w:unhideWhenUsed/>
    <w:rsid w:val="008D6F13"/>
    <w:pPr>
      <w:spacing w:after="120"/>
      <w:ind w:left="283"/>
    </w:pPr>
  </w:style>
  <w:style w:type="character" w:customStyle="1" w:styleId="BodyTextIndentChar">
    <w:name w:val="Body Text Indent Char"/>
    <w:basedOn w:val="DefaultParagraphFont"/>
    <w:link w:val="BodyTextIndent"/>
    <w:uiPriority w:val="99"/>
    <w:semiHidden/>
    <w:rsid w:val="008D6F13"/>
  </w:style>
  <w:style w:type="paragraph" w:styleId="BodyTextFirstIndent2">
    <w:name w:val="Body Text First Indent 2"/>
    <w:basedOn w:val="BodyTextIndent"/>
    <w:link w:val="BodyTextFirstIndent2Char"/>
    <w:uiPriority w:val="99"/>
    <w:semiHidden/>
    <w:unhideWhenUsed/>
    <w:rsid w:val="008D6F13"/>
    <w:pPr>
      <w:spacing w:after="0"/>
      <w:ind w:left="360" w:firstLine="360"/>
    </w:pPr>
  </w:style>
  <w:style w:type="character" w:customStyle="1" w:styleId="BodyTextFirstIndent2Char">
    <w:name w:val="Body Text First Indent 2 Char"/>
    <w:basedOn w:val="BodyTextIndentChar"/>
    <w:link w:val="BodyTextFirstIndent2"/>
    <w:uiPriority w:val="99"/>
    <w:semiHidden/>
    <w:rsid w:val="008D6F13"/>
  </w:style>
  <w:style w:type="paragraph" w:styleId="BodyTextIndent2">
    <w:name w:val="Body Text Indent 2"/>
    <w:basedOn w:val="Normal"/>
    <w:link w:val="BodyTextIndent2Char"/>
    <w:uiPriority w:val="99"/>
    <w:semiHidden/>
    <w:unhideWhenUsed/>
    <w:rsid w:val="008D6F13"/>
    <w:pPr>
      <w:spacing w:after="120" w:line="480" w:lineRule="auto"/>
      <w:ind w:left="283"/>
    </w:pPr>
  </w:style>
  <w:style w:type="character" w:customStyle="1" w:styleId="BodyTextIndent2Char">
    <w:name w:val="Body Text Indent 2 Char"/>
    <w:basedOn w:val="DefaultParagraphFont"/>
    <w:link w:val="BodyTextIndent2"/>
    <w:uiPriority w:val="99"/>
    <w:semiHidden/>
    <w:rsid w:val="008D6F13"/>
  </w:style>
  <w:style w:type="paragraph" w:styleId="BodyTextIndent3">
    <w:name w:val="Body Text Indent 3"/>
    <w:basedOn w:val="Normal"/>
    <w:link w:val="BodyTextIndent3Char"/>
    <w:uiPriority w:val="99"/>
    <w:semiHidden/>
    <w:unhideWhenUsed/>
    <w:rsid w:val="008D6F1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D6F13"/>
    <w:rPr>
      <w:sz w:val="16"/>
      <w:szCs w:val="16"/>
    </w:rPr>
  </w:style>
  <w:style w:type="paragraph" w:styleId="Caption">
    <w:name w:val="caption"/>
    <w:basedOn w:val="Normal"/>
    <w:next w:val="Normal"/>
    <w:uiPriority w:val="35"/>
    <w:semiHidden/>
    <w:unhideWhenUsed/>
    <w:rsid w:val="008D6F13"/>
    <w:pPr>
      <w:spacing w:before="0" w:after="200"/>
    </w:pPr>
    <w:rPr>
      <w:b/>
      <w:bCs/>
      <w:color w:val="4472C4" w:themeColor="accent1"/>
      <w:sz w:val="18"/>
      <w:szCs w:val="18"/>
    </w:rPr>
  </w:style>
  <w:style w:type="paragraph" w:styleId="Closing">
    <w:name w:val="Closing"/>
    <w:basedOn w:val="Normal"/>
    <w:link w:val="ClosingChar"/>
    <w:uiPriority w:val="99"/>
    <w:semiHidden/>
    <w:unhideWhenUsed/>
    <w:rsid w:val="008D6F13"/>
    <w:pPr>
      <w:spacing w:before="0"/>
      <w:ind w:left="4252"/>
    </w:pPr>
  </w:style>
  <w:style w:type="character" w:customStyle="1" w:styleId="ClosingChar">
    <w:name w:val="Closing Char"/>
    <w:basedOn w:val="DefaultParagraphFont"/>
    <w:link w:val="Closing"/>
    <w:uiPriority w:val="99"/>
    <w:semiHidden/>
    <w:rsid w:val="008D6F13"/>
  </w:style>
  <w:style w:type="table" w:styleId="ColorfulGrid">
    <w:name w:val="Colorful Grid"/>
    <w:basedOn w:val="TableNormal"/>
    <w:uiPriority w:val="73"/>
    <w:rsid w:val="008D6F13"/>
    <w:pPr>
      <w:spacing w:before="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8D6F13"/>
    <w:pPr>
      <w:spacing w:before="0"/>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8D6F13"/>
    <w:pPr>
      <w:spacing w:before="0"/>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8D6F13"/>
    <w:pPr>
      <w:spacing w:before="0"/>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8D6F13"/>
    <w:pPr>
      <w:spacing w:before="0"/>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8D6F13"/>
    <w:pPr>
      <w:spacing w:before="0"/>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8D6F13"/>
    <w:pPr>
      <w:spacing w:before="0"/>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rsid w:val="008D6F13"/>
    <w:pPr>
      <w:spacing w:before="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8D6F13"/>
    <w:pPr>
      <w:spacing w:before="0"/>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8D6F13"/>
    <w:pPr>
      <w:spacing w:before="0"/>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8D6F13"/>
    <w:pPr>
      <w:spacing w:before="0"/>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8D6F13"/>
    <w:pPr>
      <w:spacing w:before="0"/>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8D6F13"/>
    <w:pPr>
      <w:spacing w:before="0"/>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8D6F13"/>
    <w:pPr>
      <w:spacing w:before="0"/>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rsid w:val="008D6F13"/>
    <w:pPr>
      <w:spacing w:before="0"/>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8D6F13"/>
    <w:pPr>
      <w:spacing w:before="0"/>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8D6F13"/>
    <w:pPr>
      <w:spacing w:before="0"/>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8D6F13"/>
    <w:pPr>
      <w:spacing w:before="0"/>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8D6F13"/>
    <w:pPr>
      <w:spacing w:before="0"/>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8D6F13"/>
    <w:pPr>
      <w:spacing w:before="0"/>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8D6F13"/>
    <w:pPr>
      <w:spacing w:before="0"/>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CommentSubject">
    <w:name w:val="annotation subject"/>
    <w:basedOn w:val="CommentText"/>
    <w:next w:val="CommentText"/>
    <w:link w:val="CommentSubjectChar"/>
    <w:uiPriority w:val="99"/>
    <w:semiHidden/>
    <w:unhideWhenUsed/>
    <w:rsid w:val="008D6F13"/>
    <w:rPr>
      <w:b/>
      <w:bCs/>
    </w:rPr>
  </w:style>
  <w:style w:type="character" w:customStyle="1" w:styleId="CommentSubjectChar">
    <w:name w:val="Comment Subject Char"/>
    <w:basedOn w:val="CommentTextChar"/>
    <w:link w:val="CommentSubject"/>
    <w:uiPriority w:val="99"/>
    <w:semiHidden/>
    <w:rsid w:val="008D6F13"/>
    <w:rPr>
      <w:b/>
      <w:bCs/>
      <w:sz w:val="20"/>
      <w:szCs w:val="20"/>
    </w:rPr>
  </w:style>
  <w:style w:type="table" w:styleId="DarkList">
    <w:name w:val="Dark List"/>
    <w:basedOn w:val="TableNormal"/>
    <w:uiPriority w:val="70"/>
    <w:rsid w:val="008D6F13"/>
    <w:pPr>
      <w:spacing w:before="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8D6F13"/>
    <w:pPr>
      <w:spacing w:before="0"/>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8D6F13"/>
    <w:pPr>
      <w:spacing w:before="0"/>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8D6F13"/>
    <w:pPr>
      <w:spacing w:before="0"/>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8D6F13"/>
    <w:pPr>
      <w:spacing w:before="0"/>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8D6F13"/>
    <w:pPr>
      <w:spacing w:before="0"/>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8D6F13"/>
    <w:pPr>
      <w:spacing w:before="0"/>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8D6F13"/>
  </w:style>
  <w:style w:type="character" w:customStyle="1" w:styleId="DateChar">
    <w:name w:val="Date Char"/>
    <w:basedOn w:val="DefaultParagraphFont"/>
    <w:link w:val="Date"/>
    <w:uiPriority w:val="99"/>
    <w:semiHidden/>
    <w:rsid w:val="008D6F13"/>
  </w:style>
  <w:style w:type="paragraph" w:styleId="DocumentMap">
    <w:name w:val="Document Map"/>
    <w:basedOn w:val="Normal"/>
    <w:link w:val="DocumentMapChar"/>
    <w:uiPriority w:val="99"/>
    <w:semiHidden/>
    <w:unhideWhenUsed/>
    <w:rsid w:val="008D6F13"/>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D6F13"/>
    <w:rPr>
      <w:rFonts w:ascii="Tahoma" w:hAnsi="Tahoma" w:cs="Tahoma"/>
      <w:sz w:val="16"/>
      <w:szCs w:val="16"/>
    </w:rPr>
  </w:style>
  <w:style w:type="paragraph" w:styleId="E-mailSignature">
    <w:name w:val="E-mail Signature"/>
    <w:basedOn w:val="Normal"/>
    <w:link w:val="E-mailSignatureChar"/>
    <w:uiPriority w:val="99"/>
    <w:semiHidden/>
    <w:unhideWhenUsed/>
    <w:rsid w:val="008D6F13"/>
    <w:pPr>
      <w:spacing w:before="0"/>
    </w:pPr>
  </w:style>
  <w:style w:type="character" w:customStyle="1" w:styleId="E-mailSignatureChar">
    <w:name w:val="E-mail Signature Char"/>
    <w:basedOn w:val="DefaultParagraphFont"/>
    <w:link w:val="E-mailSignature"/>
    <w:uiPriority w:val="99"/>
    <w:semiHidden/>
    <w:rsid w:val="008D6F13"/>
  </w:style>
  <w:style w:type="character" w:styleId="EndnoteReference">
    <w:name w:val="endnote reference"/>
    <w:basedOn w:val="DefaultParagraphFont"/>
    <w:uiPriority w:val="99"/>
    <w:semiHidden/>
    <w:unhideWhenUsed/>
    <w:rsid w:val="008D6F13"/>
    <w:rPr>
      <w:vertAlign w:val="superscript"/>
    </w:rPr>
  </w:style>
  <w:style w:type="paragraph" w:styleId="EndnoteText">
    <w:name w:val="endnote text"/>
    <w:basedOn w:val="Normal"/>
    <w:link w:val="EndnoteTextChar"/>
    <w:uiPriority w:val="99"/>
    <w:semiHidden/>
    <w:unhideWhenUsed/>
    <w:rsid w:val="008D6F13"/>
    <w:pPr>
      <w:spacing w:before="0"/>
    </w:pPr>
    <w:rPr>
      <w:sz w:val="20"/>
      <w:szCs w:val="20"/>
    </w:rPr>
  </w:style>
  <w:style w:type="character" w:customStyle="1" w:styleId="EndnoteTextChar">
    <w:name w:val="Endnote Text Char"/>
    <w:basedOn w:val="DefaultParagraphFont"/>
    <w:link w:val="EndnoteText"/>
    <w:uiPriority w:val="99"/>
    <w:semiHidden/>
    <w:rsid w:val="008D6F13"/>
    <w:rPr>
      <w:sz w:val="20"/>
      <w:szCs w:val="20"/>
    </w:rPr>
  </w:style>
  <w:style w:type="paragraph" w:styleId="EnvelopeAddress">
    <w:name w:val="envelope address"/>
    <w:basedOn w:val="Normal"/>
    <w:uiPriority w:val="99"/>
    <w:semiHidden/>
    <w:unhideWhenUsed/>
    <w:rsid w:val="008D6F13"/>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D6F1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8D6F13"/>
    <w:rPr>
      <w:color w:val="954F72" w:themeColor="followedHyperlink"/>
      <w:u w:val="single"/>
    </w:rPr>
  </w:style>
  <w:style w:type="character" w:styleId="HTMLAcronym">
    <w:name w:val="HTML Acronym"/>
    <w:basedOn w:val="DefaultParagraphFont"/>
    <w:uiPriority w:val="99"/>
    <w:semiHidden/>
    <w:unhideWhenUsed/>
    <w:rsid w:val="008D6F13"/>
  </w:style>
  <w:style w:type="paragraph" w:styleId="HTMLAddress">
    <w:name w:val="HTML Address"/>
    <w:basedOn w:val="Normal"/>
    <w:link w:val="HTMLAddressChar"/>
    <w:uiPriority w:val="99"/>
    <w:semiHidden/>
    <w:unhideWhenUsed/>
    <w:rsid w:val="008D6F13"/>
    <w:pPr>
      <w:spacing w:before="0"/>
    </w:pPr>
    <w:rPr>
      <w:i/>
      <w:iCs/>
    </w:rPr>
  </w:style>
  <w:style w:type="character" w:customStyle="1" w:styleId="HTMLAddressChar">
    <w:name w:val="HTML Address Char"/>
    <w:basedOn w:val="DefaultParagraphFont"/>
    <w:link w:val="HTMLAddress"/>
    <w:uiPriority w:val="99"/>
    <w:semiHidden/>
    <w:rsid w:val="008D6F13"/>
    <w:rPr>
      <w:i/>
      <w:iCs/>
    </w:rPr>
  </w:style>
  <w:style w:type="character" w:styleId="HTMLCite">
    <w:name w:val="HTML Cite"/>
    <w:basedOn w:val="DefaultParagraphFont"/>
    <w:uiPriority w:val="99"/>
    <w:semiHidden/>
    <w:unhideWhenUsed/>
    <w:rsid w:val="008D6F13"/>
    <w:rPr>
      <w:i/>
      <w:iCs/>
    </w:rPr>
  </w:style>
  <w:style w:type="character" w:styleId="HTMLCode">
    <w:name w:val="HTML Code"/>
    <w:basedOn w:val="DefaultParagraphFont"/>
    <w:uiPriority w:val="99"/>
    <w:semiHidden/>
    <w:unhideWhenUsed/>
    <w:rsid w:val="008D6F13"/>
    <w:rPr>
      <w:rFonts w:ascii="Consolas" w:hAnsi="Consolas" w:cs="Consolas"/>
      <w:sz w:val="20"/>
      <w:szCs w:val="20"/>
    </w:rPr>
  </w:style>
  <w:style w:type="character" w:styleId="HTMLDefinition">
    <w:name w:val="HTML Definition"/>
    <w:basedOn w:val="DefaultParagraphFont"/>
    <w:uiPriority w:val="99"/>
    <w:semiHidden/>
    <w:unhideWhenUsed/>
    <w:rsid w:val="008D6F13"/>
    <w:rPr>
      <w:i/>
      <w:iCs/>
    </w:rPr>
  </w:style>
  <w:style w:type="character" w:styleId="HTMLKeyboard">
    <w:name w:val="HTML Keyboard"/>
    <w:basedOn w:val="DefaultParagraphFont"/>
    <w:uiPriority w:val="99"/>
    <w:semiHidden/>
    <w:unhideWhenUsed/>
    <w:rsid w:val="008D6F13"/>
    <w:rPr>
      <w:rFonts w:ascii="Consolas" w:hAnsi="Consolas" w:cs="Consolas"/>
      <w:sz w:val="20"/>
      <w:szCs w:val="20"/>
    </w:rPr>
  </w:style>
  <w:style w:type="paragraph" w:styleId="HTMLPreformatted">
    <w:name w:val="HTML Preformatted"/>
    <w:basedOn w:val="Normal"/>
    <w:link w:val="HTMLPreformattedChar"/>
    <w:uiPriority w:val="99"/>
    <w:semiHidden/>
    <w:unhideWhenUsed/>
    <w:rsid w:val="008D6F13"/>
    <w:pPr>
      <w:spacing w:befor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D6F13"/>
    <w:rPr>
      <w:rFonts w:ascii="Consolas" w:hAnsi="Consolas" w:cs="Consolas"/>
      <w:sz w:val="20"/>
      <w:szCs w:val="20"/>
    </w:rPr>
  </w:style>
  <w:style w:type="character" w:styleId="HTMLSample">
    <w:name w:val="HTML Sample"/>
    <w:basedOn w:val="DefaultParagraphFont"/>
    <w:uiPriority w:val="99"/>
    <w:semiHidden/>
    <w:unhideWhenUsed/>
    <w:rsid w:val="008D6F13"/>
    <w:rPr>
      <w:rFonts w:ascii="Consolas" w:hAnsi="Consolas" w:cs="Consolas"/>
      <w:sz w:val="24"/>
      <w:szCs w:val="24"/>
    </w:rPr>
  </w:style>
  <w:style w:type="character" w:styleId="HTMLTypewriter">
    <w:name w:val="HTML Typewriter"/>
    <w:basedOn w:val="DefaultParagraphFont"/>
    <w:uiPriority w:val="99"/>
    <w:semiHidden/>
    <w:unhideWhenUsed/>
    <w:rsid w:val="008D6F13"/>
    <w:rPr>
      <w:rFonts w:ascii="Consolas" w:hAnsi="Consolas" w:cs="Consolas"/>
      <w:sz w:val="20"/>
      <w:szCs w:val="20"/>
    </w:rPr>
  </w:style>
  <w:style w:type="character" w:styleId="HTMLVariable">
    <w:name w:val="HTML Variable"/>
    <w:basedOn w:val="DefaultParagraphFont"/>
    <w:uiPriority w:val="99"/>
    <w:semiHidden/>
    <w:unhideWhenUsed/>
    <w:rsid w:val="008D6F13"/>
    <w:rPr>
      <w:i/>
      <w:iCs/>
    </w:rPr>
  </w:style>
  <w:style w:type="paragraph" w:styleId="Index1">
    <w:name w:val="index 1"/>
    <w:basedOn w:val="Normal"/>
    <w:next w:val="Normal"/>
    <w:link w:val="Index1Char"/>
    <w:autoRedefine/>
    <w:uiPriority w:val="99"/>
    <w:semiHidden/>
    <w:unhideWhenUsed/>
    <w:rsid w:val="008D6F13"/>
    <w:pPr>
      <w:spacing w:before="0"/>
      <w:ind w:left="220" w:hanging="220"/>
    </w:pPr>
  </w:style>
  <w:style w:type="paragraph" w:styleId="Index2">
    <w:name w:val="index 2"/>
    <w:basedOn w:val="Normal"/>
    <w:next w:val="Normal"/>
    <w:autoRedefine/>
    <w:uiPriority w:val="99"/>
    <w:semiHidden/>
    <w:unhideWhenUsed/>
    <w:rsid w:val="008D6F13"/>
    <w:pPr>
      <w:spacing w:before="0"/>
      <w:ind w:left="440" w:hanging="220"/>
    </w:pPr>
  </w:style>
  <w:style w:type="paragraph" w:styleId="Index3">
    <w:name w:val="index 3"/>
    <w:basedOn w:val="Normal"/>
    <w:next w:val="Normal"/>
    <w:autoRedefine/>
    <w:uiPriority w:val="99"/>
    <w:semiHidden/>
    <w:unhideWhenUsed/>
    <w:rsid w:val="008D6F13"/>
    <w:pPr>
      <w:spacing w:before="0"/>
      <w:ind w:left="660" w:hanging="220"/>
    </w:pPr>
  </w:style>
  <w:style w:type="paragraph" w:styleId="Index4">
    <w:name w:val="index 4"/>
    <w:basedOn w:val="Normal"/>
    <w:next w:val="Normal"/>
    <w:autoRedefine/>
    <w:uiPriority w:val="99"/>
    <w:semiHidden/>
    <w:unhideWhenUsed/>
    <w:rsid w:val="008D6F13"/>
    <w:pPr>
      <w:spacing w:before="0"/>
      <w:ind w:left="880" w:hanging="220"/>
    </w:pPr>
  </w:style>
  <w:style w:type="paragraph" w:styleId="Index5">
    <w:name w:val="index 5"/>
    <w:basedOn w:val="Normal"/>
    <w:next w:val="Normal"/>
    <w:autoRedefine/>
    <w:uiPriority w:val="99"/>
    <w:semiHidden/>
    <w:unhideWhenUsed/>
    <w:rsid w:val="008D6F13"/>
    <w:pPr>
      <w:spacing w:before="0"/>
      <w:ind w:left="1100" w:hanging="220"/>
    </w:pPr>
  </w:style>
  <w:style w:type="paragraph" w:styleId="Index6">
    <w:name w:val="index 6"/>
    <w:basedOn w:val="Normal"/>
    <w:next w:val="Normal"/>
    <w:autoRedefine/>
    <w:uiPriority w:val="99"/>
    <w:semiHidden/>
    <w:unhideWhenUsed/>
    <w:rsid w:val="008D6F13"/>
    <w:pPr>
      <w:spacing w:before="0"/>
      <w:ind w:left="1320" w:hanging="220"/>
    </w:pPr>
  </w:style>
  <w:style w:type="paragraph" w:styleId="Index7">
    <w:name w:val="index 7"/>
    <w:basedOn w:val="Normal"/>
    <w:next w:val="Normal"/>
    <w:autoRedefine/>
    <w:uiPriority w:val="99"/>
    <w:semiHidden/>
    <w:unhideWhenUsed/>
    <w:rsid w:val="008D6F13"/>
    <w:pPr>
      <w:spacing w:before="0"/>
      <w:ind w:left="1540" w:hanging="220"/>
    </w:pPr>
  </w:style>
  <w:style w:type="paragraph" w:styleId="Index8">
    <w:name w:val="index 8"/>
    <w:basedOn w:val="Normal"/>
    <w:next w:val="Normal"/>
    <w:autoRedefine/>
    <w:uiPriority w:val="99"/>
    <w:semiHidden/>
    <w:unhideWhenUsed/>
    <w:rsid w:val="008D6F13"/>
    <w:pPr>
      <w:spacing w:before="0"/>
      <w:ind w:left="1760" w:hanging="220"/>
    </w:pPr>
  </w:style>
  <w:style w:type="paragraph" w:styleId="Index9">
    <w:name w:val="index 9"/>
    <w:basedOn w:val="Normal"/>
    <w:next w:val="Normal"/>
    <w:autoRedefine/>
    <w:uiPriority w:val="99"/>
    <w:semiHidden/>
    <w:unhideWhenUsed/>
    <w:rsid w:val="008D6F13"/>
    <w:pPr>
      <w:spacing w:before="0"/>
      <w:ind w:left="1980" w:hanging="220"/>
    </w:pPr>
  </w:style>
  <w:style w:type="paragraph" w:styleId="IndexHeading">
    <w:name w:val="index heading"/>
    <w:basedOn w:val="Normal"/>
    <w:next w:val="Index1"/>
    <w:uiPriority w:val="99"/>
    <w:semiHidden/>
    <w:unhideWhenUsed/>
    <w:rsid w:val="008D6F13"/>
    <w:rPr>
      <w:rFonts w:asciiTheme="majorHAnsi" w:eastAsiaTheme="majorEastAsia" w:hAnsiTheme="majorHAnsi" w:cstheme="majorBidi"/>
      <w:b/>
      <w:bCs/>
    </w:rPr>
  </w:style>
  <w:style w:type="character" w:styleId="IntenseEmphasis">
    <w:name w:val="Intense Emphasis"/>
    <w:basedOn w:val="DefaultParagraphFont"/>
    <w:uiPriority w:val="98"/>
    <w:rsid w:val="008D6F13"/>
    <w:rPr>
      <w:b/>
      <w:bCs/>
      <w:i/>
      <w:iCs/>
      <w:color w:val="4472C4" w:themeColor="accent1"/>
    </w:rPr>
  </w:style>
  <w:style w:type="character" w:styleId="IntenseReference">
    <w:name w:val="Intense Reference"/>
    <w:basedOn w:val="DefaultParagraphFont"/>
    <w:uiPriority w:val="32"/>
    <w:rsid w:val="008D6F13"/>
    <w:rPr>
      <w:b/>
      <w:bCs/>
      <w:smallCaps/>
      <w:color w:val="ED7D31" w:themeColor="accent2"/>
      <w:spacing w:val="5"/>
      <w:u w:val="single"/>
    </w:rPr>
  </w:style>
  <w:style w:type="table" w:styleId="LightGrid">
    <w:name w:val="Light Grid"/>
    <w:basedOn w:val="TableNormal"/>
    <w:uiPriority w:val="62"/>
    <w:rsid w:val="008D6F13"/>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8D6F13"/>
    <w:pPr>
      <w:spacing w:before="0"/>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8D6F13"/>
    <w:pPr>
      <w:spacing w:before="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8D6F13"/>
    <w:pPr>
      <w:spacing w:before="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8D6F13"/>
    <w:pPr>
      <w:spacing w:before="0"/>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8D6F13"/>
    <w:pPr>
      <w:spacing w:before="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8D6F13"/>
    <w:pPr>
      <w:spacing w:before="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Accent1">
    <w:name w:val="Light List Accent 1"/>
    <w:basedOn w:val="TableNormal"/>
    <w:uiPriority w:val="61"/>
    <w:rsid w:val="008D6F13"/>
    <w:pPr>
      <w:spacing w:before="0"/>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8D6F13"/>
    <w:pPr>
      <w:spacing w:before="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8D6F13"/>
    <w:pPr>
      <w:spacing w:before="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8D6F13"/>
    <w:pPr>
      <w:spacing w:before="0"/>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8D6F13"/>
    <w:pPr>
      <w:spacing w:before="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8D6F13"/>
    <w:pPr>
      <w:spacing w:before="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Accent3">
    <w:name w:val="Light Shading Accent 3"/>
    <w:basedOn w:val="TableNormal"/>
    <w:uiPriority w:val="60"/>
    <w:rsid w:val="008D6F13"/>
    <w:pPr>
      <w:spacing w:before="0"/>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5">
    <w:name w:val="Light Shading Accent 5"/>
    <w:basedOn w:val="TableNormal"/>
    <w:uiPriority w:val="60"/>
    <w:rsid w:val="008D6F13"/>
    <w:pPr>
      <w:spacing w:before="0"/>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8D6F13"/>
    <w:pPr>
      <w:spacing w:before="0"/>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8D6F13"/>
  </w:style>
  <w:style w:type="paragraph" w:styleId="List2">
    <w:name w:val="List 2"/>
    <w:basedOn w:val="Normal"/>
    <w:uiPriority w:val="29"/>
    <w:semiHidden/>
    <w:rsid w:val="008D6F13"/>
    <w:pPr>
      <w:ind w:left="566" w:hanging="283"/>
      <w:contextualSpacing/>
    </w:pPr>
  </w:style>
  <w:style w:type="paragraph" w:styleId="List3">
    <w:name w:val="List 3"/>
    <w:basedOn w:val="Normal"/>
    <w:uiPriority w:val="29"/>
    <w:semiHidden/>
    <w:unhideWhenUsed/>
    <w:rsid w:val="008D6F13"/>
    <w:pPr>
      <w:ind w:left="849" w:hanging="283"/>
      <w:contextualSpacing/>
    </w:pPr>
  </w:style>
  <w:style w:type="paragraph" w:styleId="List4">
    <w:name w:val="List 4"/>
    <w:basedOn w:val="Normal"/>
    <w:uiPriority w:val="29"/>
    <w:semiHidden/>
    <w:unhideWhenUsed/>
    <w:rsid w:val="008D6F13"/>
    <w:pPr>
      <w:ind w:left="1132" w:hanging="283"/>
      <w:contextualSpacing/>
    </w:pPr>
  </w:style>
  <w:style w:type="paragraph" w:styleId="List5">
    <w:name w:val="List 5"/>
    <w:basedOn w:val="Normal"/>
    <w:uiPriority w:val="29"/>
    <w:semiHidden/>
    <w:unhideWhenUsed/>
    <w:rsid w:val="008D6F13"/>
    <w:pPr>
      <w:ind w:left="1415" w:hanging="283"/>
      <w:contextualSpacing/>
    </w:pPr>
  </w:style>
  <w:style w:type="paragraph" w:styleId="MacroText">
    <w:name w:val="macro"/>
    <w:link w:val="MacroTextChar"/>
    <w:uiPriority w:val="99"/>
    <w:semiHidden/>
    <w:unhideWhenUsed/>
    <w:rsid w:val="008D6F13"/>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8D6F13"/>
    <w:rPr>
      <w:rFonts w:ascii="Consolas" w:hAnsi="Consolas" w:cs="Consolas"/>
      <w:sz w:val="20"/>
      <w:szCs w:val="20"/>
    </w:rPr>
  </w:style>
  <w:style w:type="table" w:styleId="MediumGrid1">
    <w:name w:val="Medium Grid 1"/>
    <w:basedOn w:val="TableNormal"/>
    <w:uiPriority w:val="67"/>
    <w:rsid w:val="008D6F13"/>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8D6F13"/>
    <w:pPr>
      <w:spacing w:before="0"/>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8D6F13"/>
    <w:pPr>
      <w:spacing w:before="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8D6F13"/>
    <w:pPr>
      <w:spacing w:before="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8D6F13"/>
    <w:pPr>
      <w:spacing w:before="0"/>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8D6F13"/>
    <w:pPr>
      <w:spacing w:before="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8D6F13"/>
    <w:pPr>
      <w:spacing w:before="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8D6F13"/>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8D6F13"/>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8D6F13"/>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8D6F13"/>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8D6F13"/>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8D6F13"/>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8D6F13"/>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8D6F13"/>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8D6F13"/>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8D6F13"/>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8D6F13"/>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8D6F13"/>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8D6F13"/>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8D6F13"/>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rsid w:val="008D6F13"/>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8D6F13"/>
    <w:pPr>
      <w:spacing w:before="0"/>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8D6F13"/>
    <w:pPr>
      <w:spacing w:before="0"/>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8D6F13"/>
    <w:pPr>
      <w:spacing w:before="0"/>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8D6F13"/>
    <w:pPr>
      <w:spacing w:before="0"/>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8D6F13"/>
    <w:pPr>
      <w:spacing w:before="0"/>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8D6F13"/>
    <w:pPr>
      <w:spacing w:before="0"/>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8D6F13"/>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8D6F13"/>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8D6F13"/>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8D6F13"/>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D6F13"/>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8D6F13"/>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8D6F13"/>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8D6F13"/>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D6F13"/>
    <w:pPr>
      <w:spacing w:before="0"/>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D6F13"/>
    <w:pPr>
      <w:spacing w:before="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D6F13"/>
    <w:pPr>
      <w:spacing w:before="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D6F13"/>
    <w:pPr>
      <w:spacing w:before="0"/>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D6F13"/>
    <w:pPr>
      <w:spacing w:before="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D6F13"/>
    <w:pPr>
      <w:spacing w:before="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8D6F13"/>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8D6F13"/>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8D6F13"/>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D6F13"/>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D6F13"/>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D6F13"/>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8D6F13"/>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D6F13"/>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8D6F13"/>
    <w:rPr>
      <w:rFonts w:ascii="Times New Roman" w:hAnsi="Times New Roman" w:cs="Times New Roman"/>
      <w:sz w:val="24"/>
      <w:szCs w:val="24"/>
    </w:rPr>
  </w:style>
  <w:style w:type="paragraph" w:styleId="NormalIndent">
    <w:name w:val="Normal Indent"/>
    <w:basedOn w:val="Normal"/>
    <w:uiPriority w:val="99"/>
    <w:semiHidden/>
    <w:unhideWhenUsed/>
    <w:rsid w:val="008D6F13"/>
    <w:pPr>
      <w:ind w:left="720"/>
    </w:pPr>
  </w:style>
  <w:style w:type="paragraph" w:styleId="NoteHeading">
    <w:name w:val="Note Heading"/>
    <w:basedOn w:val="Normal"/>
    <w:next w:val="Normal"/>
    <w:link w:val="NoteHeadingChar"/>
    <w:uiPriority w:val="99"/>
    <w:semiHidden/>
    <w:unhideWhenUsed/>
    <w:rsid w:val="008D6F13"/>
    <w:pPr>
      <w:spacing w:before="0"/>
    </w:pPr>
  </w:style>
  <w:style w:type="character" w:customStyle="1" w:styleId="NoteHeadingChar">
    <w:name w:val="Note Heading Char"/>
    <w:basedOn w:val="DefaultParagraphFont"/>
    <w:link w:val="NoteHeading"/>
    <w:uiPriority w:val="99"/>
    <w:semiHidden/>
    <w:rsid w:val="008D6F13"/>
  </w:style>
  <w:style w:type="character" w:styleId="PlaceholderText">
    <w:name w:val="Placeholder Text"/>
    <w:basedOn w:val="DefaultParagraphFont"/>
    <w:uiPriority w:val="99"/>
    <w:semiHidden/>
    <w:rsid w:val="008D6F13"/>
    <w:rPr>
      <w:color w:val="808080"/>
    </w:rPr>
  </w:style>
  <w:style w:type="paragraph" w:styleId="PlainText">
    <w:name w:val="Plain Text"/>
    <w:basedOn w:val="Normal"/>
    <w:link w:val="PlainTextChar"/>
    <w:uiPriority w:val="99"/>
    <w:semiHidden/>
    <w:unhideWhenUsed/>
    <w:rsid w:val="008D6F13"/>
    <w:pPr>
      <w:spacing w:before="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D6F13"/>
    <w:rPr>
      <w:rFonts w:ascii="Consolas" w:hAnsi="Consolas" w:cs="Consolas"/>
      <w:sz w:val="21"/>
      <w:szCs w:val="21"/>
    </w:rPr>
  </w:style>
  <w:style w:type="paragraph" w:styleId="Quote">
    <w:name w:val="Quote"/>
    <w:basedOn w:val="Normal"/>
    <w:next w:val="Normal"/>
    <w:link w:val="QuoteChar"/>
    <w:uiPriority w:val="29"/>
    <w:rsid w:val="008D6F13"/>
    <w:rPr>
      <w:i/>
      <w:iCs/>
      <w:color w:val="000000" w:themeColor="text1"/>
    </w:rPr>
  </w:style>
  <w:style w:type="character" w:customStyle="1" w:styleId="QuoteChar">
    <w:name w:val="Quote Char"/>
    <w:basedOn w:val="DefaultParagraphFont"/>
    <w:link w:val="Quote"/>
    <w:uiPriority w:val="29"/>
    <w:rsid w:val="008D6F13"/>
    <w:rPr>
      <w:i/>
      <w:iCs/>
      <w:color w:val="000000" w:themeColor="text1"/>
    </w:rPr>
  </w:style>
  <w:style w:type="paragraph" w:styleId="Salutation">
    <w:name w:val="Salutation"/>
    <w:basedOn w:val="Normal"/>
    <w:next w:val="Normal"/>
    <w:link w:val="SalutationChar"/>
    <w:uiPriority w:val="99"/>
    <w:semiHidden/>
    <w:unhideWhenUsed/>
    <w:rsid w:val="008D6F13"/>
  </w:style>
  <w:style w:type="character" w:customStyle="1" w:styleId="SalutationChar">
    <w:name w:val="Salutation Char"/>
    <w:basedOn w:val="DefaultParagraphFont"/>
    <w:link w:val="Salutation"/>
    <w:uiPriority w:val="99"/>
    <w:semiHidden/>
    <w:rsid w:val="008D6F13"/>
  </w:style>
  <w:style w:type="paragraph" w:styleId="Signature">
    <w:name w:val="Signature"/>
    <w:basedOn w:val="Normal"/>
    <w:link w:val="SignatureChar"/>
    <w:uiPriority w:val="99"/>
    <w:semiHidden/>
    <w:unhideWhenUsed/>
    <w:rsid w:val="008D6F13"/>
    <w:pPr>
      <w:spacing w:before="0"/>
      <w:ind w:left="4252"/>
    </w:pPr>
  </w:style>
  <w:style w:type="character" w:customStyle="1" w:styleId="SignatureChar">
    <w:name w:val="Signature Char"/>
    <w:basedOn w:val="DefaultParagraphFont"/>
    <w:link w:val="Signature"/>
    <w:uiPriority w:val="99"/>
    <w:semiHidden/>
    <w:rsid w:val="008D6F13"/>
  </w:style>
  <w:style w:type="character" w:styleId="Strong">
    <w:name w:val="Strong"/>
    <w:basedOn w:val="DefaultParagraphFont"/>
    <w:uiPriority w:val="98"/>
    <w:rsid w:val="008D6F13"/>
    <w:rPr>
      <w:b/>
      <w:bCs/>
    </w:rPr>
  </w:style>
  <w:style w:type="table" w:styleId="Table3Deffects1">
    <w:name w:val="Table 3D effects 1"/>
    <w:basedOn w:val="TableNormal"/>
    <w:uiPriority w:val="99"/>
    <w:semiHidden/>
    <w:unhideWhenUsed/>
    <w:rsid w:val="008D6F13"/>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D6F13"/>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D6F13"/>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8D6F13"/>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D6F13"/>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D6F13"/>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D6F13"/>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D6F13"/>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D6F13"/>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D6F13"/>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D6F13"/>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D6F13"/>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D6F13"/>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D6F13"/>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D6F13"/>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8D6F13"/>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D6F13"/>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8D6F13"/>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D6F13"/>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D6F13"/>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D6F13"/>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D6F13"/>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D6F13"/>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D6F13"/>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D6F13"/>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8D6F13"/>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D6F13"/>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D6F13"/>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D6F13"/>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D6F13"/>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D6F13"/>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D6F13"/>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D6F13"/>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8D6F13"/>
    <w:pPr>
      <w:ind w:left="220" w:hanging="220"/>
    </w:pPr>
  </w:style>
  <w:style w:type="paragraph" w:styleId="TableofFigures">
    <w:name w:val="table of figures"/>
    <w:basedOn w:val="Normal"/>
    <w:next w:val="Normal"/>
    <w:uiPriority w:val="99"/>
    <w:semiHidden/>
    <w:unhideWhenUsed/>
    <w:rsid w:val="008D6F13"/>
  </w:style>
  <w:style w:type="table" w:styleId="TableProfessional">
    <w:name w:val="Table Professional"/>
    <w:basedOn w:val="TableNormal"/>
    <w:uiPriority w:val="99"/>
    <w:semiHidden/>
    <w:unhideWhenUsed/>
    <w:rsid w:val="008D6F13"/>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8D6F13"/>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D6F13"/>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D6F13"/>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D6F13"/>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D6F13"/>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8D6F13"/>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8D6F13"/>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D6F13"/>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D6F13"/>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8D6F13"/>
    <w:rPr>
      <w:rFonts w:asciiTheme="majorHAnsi" w:eastAsiaTheme="majorEastAsia" w:hAnsiTheme="majorHAnsi" w:cstheme="majorBidi"/>
      <w:b/>
      <w:bCs/>
      <w:sz w:val="24"/>
      <w:szCs w:val="24"/>
    </w:rPr>
  </w:style>
  <w:style w:type="paragraph" w:styleId="TOC5">
    <w:name w:val="toc 5"/>
    <w:basedOn w:val="Normal"/>
    <w:next w:val="Normal"/>
    <w:autoRedefine/>
    <w:uiPriority w:val="96"/>
    <w:rsid w:val="008D6F13"/>
    <w:pPr>
      <w:spacing w:after="100"/>
      <w:ind w:left="880"/>
    </w:pPr>
  </w:style>
  <w:style w:type="paragraph" w:styleId="TOC6">
    <w:name w:val="toc 6"/>
    <w:basedOn w:val="Normal"/>
    <w:next w:val="Normal"/>
    <w:autoRedefine/>
    <w:uiPriority w:val="96"/>
    <w:semiHidden/>
    <w:rsid w:val="008D6F13"/>
    <w:pPr>
      <w:spacing w:after="100"/>
      <w:ind w:left="1100"/>
    </w:pPr>
  </w:style>
  <w:style w:type="paragraph" w:styleId="TOC8">
    <w:name w:val="toc 8"/>
    <w:basedOn w:val="Normal"/>
    <w:next w:val="Normal"/>
    <w:autoRedefine/>
    <w:uiPriority w:val="96"/>
    <w:semiHidden/>
    <w:rsid w:val="008D6F13"/>
    <w:pPr>
      <w:spacing w:after="100"/>
      <w:ind w:left="1540"/>
    </w:pPr>
  </w:style>
  <w:style w:type="paragraph" w:styleId="TOCHeading">
    <w:name w:val="TOC Heading"/>
    <w:basedOn w:val="Heading10"/>
    <w:next w:val="Normal"/>
    <w:uiPriority w:val="90"/>
    <w:semiHidden/>
    <w:unhideWhenUsed/>
    <w:rsid w:val="008D6F13"/>
    <w:pPr>
      <w:spacing w:before="480"/>
      <w:outlineLvl w:val="9"/>
    </w:pPr>
    <w:rPr>
      <w:bCs/>
      <w:caps w:val="0"/>
      <w:color w:val="2F5496" w:themeColor="accent1" w:themeShade="BF"/>
      <w:sz w:val="28"/>
      <w:szCs w:val="28"/>
    </w:rPr>
  </w:style>
  <w:style w:type="paragraph" w:customStyle="1" w:styleId="ObjectiveHeading">
    <w:name w:val="Objective Heading"/>
    <w:basedOn w:val="Normal"/>
    <w:next w:val="Normal"/>
    <w:uiPriority w:val="62"/>
    <w:qFormat/>
    <w:rsid w:val="008D6F13"/>
    <w:pPr>
      <w:keepNext/>
      <w:pBdr>
        <w:top w:val="single" w:sz="6" w:space="3" w:color="auto"/>
        <w:left w:val="single" w:sz="6" w:space="5" w:color="auto"/>
        <w:bottom w:val="single" w:sz="6" w:space="3" w:color="auto"/>
        <w:right w:val="single" w:sz="6" w:space="5" w:color="auto"/>
      </w:pBdr>
      <w:shd w:val="clear" w:color="auto" w:fill="F2F2F2" w:themeFill="background1" w:themeFillShade="F2"/>
    </w:pPr>
    <w:rPr>
      <w:rFonts w:asciiTheme="majorHAnsi" w:hAnsiTheme="majorHAnsi"/>
      <w:b/>
      <w:sz w:val="24"/>
    </w:rPr>
  </w:style>
  <w:style w:type="table" w:customStyle="1" w:styleId="DTFFinancialTable">
    <w:name w:val="DTF Financial Table"/>
    <w:basedOn w:val="TableNormal"/>
    <w:uiPriority w:val="99"/>
    <w:rsid w:val="008D6F13"/>
    <w:pPr>
      <w:spacing w:before="20" w:after="20"/>
      <w:jc w:val="right"/>
    </w:pPr>
    <w:rPr>
      <w:rFonts w:asciiTheme="majorHAnsi" w:hAnsiTheme="majorHAnsi"/>
      <w:spacing w:val="4"/>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7E6E6" w:themeFill="background2"/>
      </w:tcPr>
    </w:tblStylePr>
    <w:tblStylePr w:type="band1Horz">
      <w:tblPr/>
      <w:tcPr>
        <w:shd w:val="clear" w:color="auto" w:fill="E7E6E6" w:themeFill="background2"/>
      </w:tcPr>
    </w:tblStylePr>
    <w:tblStylePr w:type="band2Horz">
      <w:tblPr/>
      <w:tcPr>
        <w:shd w:val="clear" w:color="auto" w:fill="FFFFFF" w:themeFill="background1"/>
      </w:tcPr>
    </w:tblStylePr>
  </w:style>
  <w:style w:type="numbering" w:customStyle="1" w:styleId="Headingstyles">
    <w:name w:val="Heading styles"/>
    <w:uiPriority w:val="99"/>
    <w:rsid w:val="008D6F13"/>
    <w:pPr>
      <w:numPr>
        <w:numId w:val="23"/>
      </w:numPr>
    </w:pPr>
  </w:style>
  <w:style w:type="paragraph" w:customStyle="1" w:styleId="ControlledEntitiesDepartment">
    <w:name w:val="Controlled Entities Department"/>
    <w:basedOn w:val="Normal"/>
    <w:next w:val="Normal"/>
    <w:uiPriority w:val="97"/>
    <w:qFormat/>
    <w:rsid w:val="008D6F13"/>
    <w:pPr>
      <w:shd w:val="clear" w:color="auto" w:fill="D9D9D9" w:themeFill="background1" w:themeFillShade="D9"/>
      <w:spacing w:before="40"/>
    </w:pPr>
    <w:rPr>
      <w:rFonts w:asciiTheme="majorHAnsi" w:eastAsia="Times New Roman" w:hAnsiTheme="majorHAnsi" w:cs="Times New Roman"/>
      <w:b/>
      <w:bCs/>
      <w:color w:val="000000" w:themeColor="text1"/>
      <w:sz w:val="18"/>
      <w:szCs w:val="18"/>
      <w:lang w:eastAsia="en-AU"/>
    </w:rPr>
  </w:style>
  <w:style w:type="paragraph" w:customStyle="1" w:styleId="ControlledEntitiesSector">
    <w:name w:val="Controlled Entities Sector"/>
    <w:basedOn w:val="Normal"/>
    <w:next w:val="ControlledEntitiesDepartment"/>
    <w:uiPriority w:val="98"/>
    <w:qFormat/>
    <w:rsid w:val="008D6F13"/>
    <w:pPr>
      <w:shd w:val="clear" w:color="auto" w:fill="000000" w:themeFill="text1"/>
      <w:spacing w:before="20" w:after="60"/>
      <w:jc w:val="center"/>
    </w:pPr>
    <w:rPr>
      <w:rFonts w:asciiTheme="majorHAnsi" w:eastAsia="Times New Roman" w:hAnsiTheme="majorHAnsi" w:cstheme="minorHAnsi"/>
      <w:b/>
      <w:i/>
      <w:color w:val="FFFFFF" w:themeColor="background1"/>
      <w:sz w:val="18"/>
      <w:lang w:eastAsia="en-AU"/>
    </w:rPr>
  </w:style>
  <w:style w:type="paragraph" w:customStyle="1" w:styleId="TableofContentsheading">
    <w:name w:val="Table of Contents heading"/>
    <w:basedOn w:val="ChapterHeading"/>
    <w:next w:val="Normal"/>
    <w:uiPriority w:val="89"/>
    <w:rsid w:val="008D6F13"/>
    <w:pPr>
      <w:keepLines w:val="0"/>
      <w:pBdr>
        <w:bottom w:val="single" w:sz="12" w:space="7" w:color="auto"/>
      </w:pBdr>
    </w:pPr>
    <w:rPr>
      <w:rFonts w:ascii="Calibri" w:eastAsia="Times New Roman" w:hAnsi="Calibri" w:cs="Times New Roman"/>
      <w:szCs w:val="28"/>
    </w:rPr>
  </w:style>
  <w:style w:type="paragraph" w:customStyle="1" w:styleId="DashText">
    <w:name w:val="Dash Text"/>
    <w:basedOn w:val="Normal"/>
    <w:uiPriority w:val="29"/>
    <w:qFormat/>
    <w:rsid w:val="008D6F13"/>
    <w:pPr>
      <w:keepLines w:val="0"/>
      <w:tabs>
        <w:tab w:val="num" w:pos="720"/>
      </w:tabs>
      <w:spacing w:before="0" w:after="120"/>
      <w:ind w:left="720" w:hanging="360"/>
    </w:pPr>
    <w:rPr>
      <w:rFonts w:eastAsia="Times New Roman" w:cs="Times New Roman"/>
      <w:szCs w:val="20"/>
    </w:rPr>
  </w:style>
  <w:style w:type="paragraph" w:customStyle="1" w:styleId="TableofContentscontinued">
    <w:name w:val="Table of Contents continued"/>
    <w:basedOn w:val="Normal"/>
    <w:uiPriority w:val="90"/>
    <w:rsid w:val="008D6F13"/>
    <w:pPr>
      <w:keepNext/>
      <w:keepLines w:val="0"/>
      <w:tabs>
        <w:tab w:val="left" w:pos="1152"/>
      </w:tabs>
      <w:spacing w:before="240" w:after="120"/>
      <w:ind w:left="1152" w:hanging="1152"/>
      <w:outlineLvl w:val="1"/>
    </w:pPr>
    <w:rPr>
      <w:rFonts w:ascii="Calibri" w:eastAsia="Times New Roman" w:hAnsi="Calibri" w:cs="Times New Roman"/>
      <w:b/>
      <w:kern w:val="28"/>
      <w:sz w:val="26"/>
    </w:rPr>
  </w:style>
  <w:style w:type="character" w:styleId="SubtleEmphasis">
    <w:name w:val="Subtle Emphasis"/>
    <w:basedOn w:val="DefaultParagraphFont"/>
    <w:uiPriority w:val="98"/>
    <w:rsid w:val="008D6F13"/>
    <w:rPr>
      <w:i/>
      <w:iCs/>
      <w:color w:val="7F7F7F" w:themeColor="text1" w:themeTint="80"/>
    </w:rPr>
  </w:style>
  <w:style w:type="character" w:styleId="BookTitle">
    <w:name w:val="Book Title"/>
    <w:basedOn w:val="DefaultParagraphFont"/>
    <w:uiPriority w:val="33"/>
    <w:rsid w:val="008D6F13"/>
    <w:rPr>
      <w:b/>
      <w:bCs/>
      <w:smallCaps/>
      <w:spacing w:val="5"/>
    </w:rPr>
  </w:style>
  <w:style w:type="paragraph" w:styleId="IntenseQuote">
    <w:name w:val="Intense Quote"/>
    <w:basedOn w:val="Normal"/>
    <w:next w:val="Normal"/>
    <w:link w:val="IntenseQuoteChar"/>
    <w:uiPriority w:val="30"/>
    <w:rsid w:val="008D6F13"/>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8D6F13"/>
    <w:rPr>
      <w:b/>
      <w:bCs/>
      <w:i/>
      <w:iCs/>
      <w:color w:val="4472C4" w:themeColor="accent1"/>
    </w:rPr>
  </w:style>
  <w:style w:type="paragraph" w:styleId="Subtitle">
    <w:name w:val="Subtitle"/>
    <w:basedOn w:val="Normal"/>
    <w:next w:val="Normal"/>
    <w:link w:val="SubtitleChar"/>
    <w:uiPriority w:val="11"/>
    <w:rsid w:val="008D6F13"/>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8D6F13"/>
    <w:rPr>
      <w:rFonts w:asciiTheme="majorHAnsi" w:eastAsiaTheme="majorEastAsia" w:hAnsiTheme="majorHAnsi" w:cstheme="majorBidi"/>
      <w:i/>
      <w:iCs/>
      <w:color w:val="4472C4" w:themeColor="accent1"/>
      <w:spacing w:val="15"/>
      <w:sz w:val="24"/>
      <w:szCs w:val="24"/>
    </w:rPr>
  </w:style>
  <w:style w:type="character" w:styleId="SubtleReference">
    <w:name w:val="Subtle Reference"/>
    <w:basedOn w:val="DefaultParagraphFont"/>
    <w:uiPriority w:val="31"/>
    <w:rsid w:val="008D6F13"/>
    <w:rPr>
      <w:smallCaps/>
      <w:color w:val="ED7D31" w:themeColor="accent2"/>
      <w:u w:val="single"/>
    </w:rPr>
  </w:style>
  <w:style w:type="paragraph" w:styleId="Title">
    <w:name w:val="Title"/>
    <w:basedOn w:val="Normal"/>
    <w:next w:val="Normal"/>
    <w:link w:val="TitleChar"/>
    <w:uiPriority w:val="10"/>
    <w:rsid w:val="008D6F13"/>
    <w:pPr>
      <w:pBdr>
        <w:bottom w:val="single" w:sz="8" w:space="4" w:color="4472C4" w:themeColor="accent1"/>
      </w:pBdr>
      <w:spacing w:before="0"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D6F13"/>
    <w:rPr>
      <w:rFonts w:asciiTheme="majorHAnsi" w:eastAsiaTheme="majorEastAsia" w:hAnsiTheme="majorHAnsi" w:cstheme="majorBidi"/>
      <w:color w:val="323E4F" w:themeColor="text2" w:themeShade="BF"/>
      <w:spacing w:val="5"/>
      <w:kern w:val="28"/>
      <w:sz w:val="52"/>
      <w:szCs w:val="52"/>
    </w:rPr>
  </w:style>
  <w:style w:type="paragraph" w:styleId="Revision">
    <w:name w:val="Revision"/>
    <w:hidden/>
    <w:uiPriority w:val="99"/>
    <w:semiHidden/>
    <w:rsid w:val="008D6F13"/>
    <w:pPr>
      <w:spacing w:before="0"/>
    </w:pPr>
  </w:style>
  <w:style w:type="paragraph" w:customStyle="1" w:styleId="Default">
    <w:name w:val="Default"/>
    <w:semiHidden/>
    <w:rsid w:val="008D6F13"/>
    <w:pPr>
      <w:autoSpaceDE w:val="0"/>
      <w:autoSpaceDN w:val="0"/>
      <w:adjustRightInd w:val="0"/>
      <w:spacing w:before="0"/>
    </w:pPr>
    <w:rPr>
      <w:rFonts w:ascii="Garamond" w:eastAsia="Times New Roman" w:hAnsi="Garamond" w:cs="Garamond"/>
      <w:color w:val="000000"/>
      <w:sz w:val="24"/>
      <w:szCs w:val="24"/>
      <w:lang w:eastAsia="en-AU"/>
    </w:rPr>
  </w:style>
  <w:style w:type="character" w:customStyle="1" w:styleId="Index1Char">
    <w:name w:val="Index 1 Char"/>
    <w:basedOn w:val="DefaultParagraphFont"/>
    <w:link w:val="Index1"/>
    <w:uiPriority w:val="99"/>
    <w:semiHidden/>
    <w:rsid w:val="008D6F13"/>
  </w:style>
  <w:style w:type="paragraph" w:customStyle="1" w:styleId="NormalKeepWithNext">
    <w:name w:val="Normal [Keep With Next]"/>
    <w:basedOn w:val="Normal"/>
    <w:next w:val="Normal"/>
    <w:uiPriority w:val="98"/>
    <w:semiHidden/>
    <w:qFormat/>
    <w:rsid w:val="008D6F13"/>
    <w:pPr>
      <w:keepNext/>
    </w:pPr>
  </w:style>
  <w:style w:type="paragraph" w:customStyle="1" w:styleId="NormalPageBreakBefore">
    <w:name w:val="Normal [Page Break Before]"/>
    <w:basedOn w:val="Normal"/>
    <w:next w:val="Normal"/>
    <w:uiPriority w:val="98"/>
    <w:semiHidden/>
    <w:qFormat/>
    <w:rsid w:val="008D6F13"/>
    <w:pPr>
      <w:pageBreakBefore/>
    </w:pPr>
  </w:style>
  <w:style w:type="numbering" w:customStyle="1" w:styleId="ListNotes">
    <w:name w:val="List Notes"/>
    <w:uiPriority w:val="99"/>
    <w:rsid w:val="008D6F13"/>
    <w:pPr>
      <w:numPr>
        <w:numId w:val="27"/>
      </w:numPr>
    </w:pPr>
  </w:style>
  <w:style w:type="character" w:styleId="Emphasis">
    <w:name w:val="Emphasis"/>
    <w:basedOn w:val="DefaultParagraphFont"/>
    <w:uiPriority w:val="98"/>
    <w:rsid w:val="008D6F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9.xml"/><Relationship Id="rId39" Type="http://schemas.openxmlformats.org/officeDocument/2006/relationships/footer" Target="footer13.xml"/><Relationship Id="rId21" Type="http://schemas.openxmlformats.org/officeDocument/2006/relationships/header" Target="header5.xml"/><Relationship Id="rId34" Type="http://schemas.openxmlformats.org/officeDocument/2006/relationships/footer" Target="footer10.xml"/><Relationship Id="rId42" Type="http://schemas.openxmlformats.org/officeDocument/2006/relationships/footer" Target="footer16.xml"/><Relationship Id="rId47" Type="http://schemas.openxmlformats.org/officeDocument/2006/relationships/footer" Target="footer21.xml"/><Relationship Id="rId50" Type="http://schemas.openxmlformats.org/officeDocument/2006/relationships/footer" Target="footer24.xml"/><Relationship Id="rId55" Type="http://schemas.openxmlformats.org/officeDocument/2006/relationships/footer" Target="footer29.xml"/><Relationship Id="rId63" Type="http://schemas.openxmlformats.org/officeDocument/2006/relationships/chart" Target="charts/chart9.xml"/><Relationship Id="rId68" Type="http://schemas.openxmlformats.org/officeDocument/2006/relationships/footer" Target="footer39.xml"/><Relationship Id="rId7" Type="http://schemas.openxmlformats.org/officeDocument/2006/relationships/footnotes" Target="footnotes.xml"/><Relationship Id="rId71" Type="http://schemas.openxmlformats.org/officeDocument/2006/relationships/footer" Target="footer42.xml"/><Relationship Id="rId2" Type="http://schemas.openxmlformats.org/officeDocument/2006/relationships/customXml" Target="../customXml/item2.xml"/><Relationship Id="rId16" Type="http://schemas.openxmlformats.org/officeDocument/2006/relationships/hyperlink" Target="http://creativecommons.org/licenses/by/3.0/au/" TargetMode="External"/><Relationship Id="rId29" Type="http://schemas.openxmlformats.org/officeDocument/2006/relationships/chart" Target="charts/chart3.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chart" Target="charts/chart6.xml"/><Relationship Id="rId37" Type="http://schemas.openxmlformats.org/officeDocument/2006/relationships/image" Target="media/image4.emf"/><Relationship Id="rId40" Type="http://schemas.openxmlformats.org/officeDocument/2006/relationships/footer" Target="footer14.xml"/><Relationship Id="rId45" Type="http://schemas.openxmlformats.org/officeDocument/2006/relationships/footer" Target="footer19.xml"/><Relationship Id="rId53" Type="http://schemas.openxmlformats.org/officeDocument/2006/relationships/footer" Target="footer27.xml"/><Relationship Id="rId58" Type="http://schemas.openxmlformats.org/officeDocument/2006/relationships/footer" Target="footer32.xml"/><Relationship Id="rId66" Type="http://schemas.openxmlformats.org/officeDocument/2006/relationships/footer" Target="footer3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emf"/><Relationship Id="rId28" Type="http://schemas.openxmlformats.org/officeDocument/2006/relationships/chart" Target="charts/chart2.xml"/><Relationship Id="rId36" Type="http://schemas.openxmlformats.org/officeDocument/2006/relationships/footer" Target="footer12.xml"/><Relationship Id="rId49" Type="http://schemas.openxmlformats.org/officeDocument/2006/relationships/footer" Target="footer23.xml"/><Relationship Id="rId57" Type="http://schemas.openxmlformats.org/officeDocument/2006/relationships/footer" Target="footer31.xml"/><Relationship Id="rId61" Type="http://schemas.openxmlformats.org/officeDocument/2006/relationships/footer" Target="footer35.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chart" Target="charts/chart5.xml"/><Relationship Id="rId44" Type="http://schemas.openxmlformats.org/officeDocument/2006/relationships/footer" Target="footer18.xml"/><Relationship Id="rId52" Type="http://schemas.openxmlformats.org/officeDocument/2006/relationships/footer" Target="footer26.xml"/><Relationship Id="rId60" Type="http://schemas.openxmlformats.org/officeDocument/2006/relationships/footer" Target="footer34.xml"/><Relationship Id="rId65" Type="http://schemas.openxmlformats.org/officeDocument/2006/relationships/footer" Target="footer36.xm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footer" Target="footer11.xml"/><Relationship Id="rId43" Type="http://schemas.openxmlformats.org/officeDocument/2006/relationships/footer" Target="footer17.xml"/><Relationship Id="rId48" Type="http://schemas.openxmlformats.org/officeDocument/2006/relationships/footer" Target="footer22.xml"/><Relationship Id="rId56" Type="http://schemas.openxmlformats.org/officeDocument/2006/relationships/footer" Target="footer30.xml"/><Relationship Id="rId64" Type="http://schemas.openxmlformats.org/officeDocument/2006/relationships/chart" Target="charts/chart10.xml"/><Relationship Id="rId69" Type="http://schemas.openxmlformats.org/officeDocument/2006/relationships/footer" Target="footer40.xml"/><Relationship Id="rId8" Type="http://schemas.openxmlformats.org/officeDocument/2006/relationships/endnotes" Target="endnotes.xml"/><Relationship Id="rId51" Type="http://schemas.openxmlformats.org/officeDocument/2006/relationships/footer" Target="footer25.xm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footer" Target="footer8.xml"/><Relationship Id="rId33" Type="http://schemas.openxmlformats.org/officeDocument/2006/relationships/chart" Target="charts/chart7.xml"/><Relationship Id="rId38" Type="http://schemas.openxmlformats.org/officeDocument/2006/relationships/image" Target="media/image5.emf"/><Relationship Id="rId46" Type="http://schemas.openxmlformats.org/officeDocument/2006/relationships/footer" Target="footer20.xml"/><Relationship Id="rId59" Type="http://schemas.openxmlformats.org/officeDocument/2006/relationships/footer" Target="footer33.xml"/><Relationship Id="rId67" Type="http://schemas.openxmlformats.org/officeDocument/2006/relationships/footer" Target="footer38.xml"/><Relationship Id="rId20" Type="http://schemas.openxmlformats.org/officeDocument/2006/relationships/footer" Target="footer5.xml"/><Relationship Id="rId41" Type="http://schemas.openxmlformats.org/officeDocument/2006/relationships/footer" Target="footer15.xml"/><Relationship Id="rId54" Type="http://schemas.openxmlformats.org/officeDocument/2006/relationships/footer" Target="footer28.xml"/><Relationship Id="rId62" Type="http://schemas.openxmlformats.org/officeDocument/2006/relationships/chart" Target="charts/chart8.xml"/><Relationship Id="rId70" Type="http://schemas.openxmlformats.org/officeDocument/2006/relationships/footer" Target="footer41.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PVFDTF001\DTF_APPS01$\DTF\ZEN\Template\Publication.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1.xml"/><Relationship Id="rId4"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2.xml"/><Relationship Id="rId4"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3.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899786355526869"/>
          <c:y val="5.0724650836847809E-2"/>
          <c:w val="0.74726405056688483"/>
          <c:h val="0.70090897524703488"/>
        </c:manualLayout>
      </c:layout>
      <c:barChart>
        <c:barDir val="col"/>
        <c:grouping val="clustered"/>
        <c:varyColors val="0"/>
        <c:ser>
          <c:idx val="2"/>
          <c:order val="2"/>
          <c:tx>
            <c:v>Lockdowns</c:v>
          </c:tx>
          <c:spPr>
            <a:solidFill>
              <a:srgbClr val="BFBFBF">
                <a:alpha val="50196"/>
              </a:srgbClr>
            </a:solidFill>
            <a:ln>
              <a:noFill/>
            </a:ln>
            <a:effectLst/>
          </c:spPr>
          <c:invertIfNegative val="0"/>
          <c:val>
            <c:numRef>
              <c:f>[1]Labour!$K$511:$K$533</c:f>
              <c:numCache>
                <c:formatCode>General</c:formatCode>
                <c:ptCount val="23"/>
                <c:pt idx="2">
                  <c:v>105</c:v>
                </c:pt>
                <c:pt idx="3">
                  <c:v>105</c:v>
                </c:pt>
                <c:pt idx="4">
                  <c:v>105</c:v>
                </c:pt>
                <c:pt idx="6">
                  <c:v>105</c:v>
                </c:pt>
                <c:pt idx="7">
                  <c:v>105</c:v>
                </c:pt>
                <c:pt idx="8">
                  <c:v>105</c:v>
                </c:pt>
                <c:pt idx="9">
                  <c:v>105</c:v>
                </c:pt>
                <c:pt idx="19">
                  <c:v>105</c:v>
                </c:pt>
                <c:pt idx="20">
                  <c:v>105</c:v>
                </c:pt>
                <c:pt idx="21">
                  <c:v>105</c:v>
                </c:pt>
              </c:numCache>
            </c:numRef>
          </c:val>
          <c:extLst>
            <c:ext xmlns:c16="http://schemas.microsoft.com/office/drawing/2014/chart" uri="{C3380CC4-5D6E-409C-BE32-E72D297353CC}">
              <c16:uniqueId val="{00000000-972C-4D13-B2CA-36DA0BBDFA2A}"/>
            </c:ext>
          </c:extLst>
        </c:ser>
        <c:dLbls>
          <c:showLegendKey val="0"/>
          <c:showVal val="0"/>
          <c:showCatName val="0"/>
          <c:showSerName val="0"/>
          <c:showPercent val="0"/>
          <c:showBubbleSize val="0"/>
        </c:dLbls>
        <c:gapWidth val="0"/>
        <c:axId val="355523824"/>
        <c:axId val="355526120"/>
      </c:barChart>
      <c:lineChart>
        <c:grouping val="standard"/>
        <c:varyColors val="0"/>
        <c:ser>
          <c:idx val="1"/>
          <c:order val="0"/>
          <c:tx>
            <c:v>Hours worked</c:v>
          </c:tx>
          <c:spPr>
            <a:ln w="25400" cap="rnd">
              <a:solidFill>
                <a:schemeClr val="tx1">
                  <a:lumMod val="50000"/>
                  <a:lumOff val="50000"/>
                </a:schemeClr>
              </a:solidFill>
              <a:round/>
            </a:ln>
            <a:effectLst/>
          </c:spPr>
          <c:marker>
            <c:symbol val="none"/>
          </c:marker>
          <c:cat>
            <c:numRef>
              <c:f>[1]Labour!$A$511:$A$532</c:f>
              <c:numCache>
                <c:formatCode>mmm\-yyyy</c:formatCode>
                <c:ptCount val="2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numCache>
            </c:numRef>
          </c:cat>
          <c:val>
            <c:numRef>
              <c:f>[1]Labour!$G$511:$G$532</c:f>
              <c:numCache>
                <c:formatCode>0.0</c:formatCode>
                <c:ptCount val="22"/>
                <c:pt idx="0">
                  <c:v>100.72244582606334</c:v>
                </c:pt>
                <c:pt idx="1">
                  <c:v>100.58896154754784</c:v>
                </c:pt>
                <c:pt idx="2">
                  <c:v>100</c:v>
                </c:pt>
                <c:pt idx="3">
                  <c:v>91.095238376366311</c:v>
                </c:pt>
                <c:pt idx="4">
                  <c:v>91.385719042829905</c:v>
                </c:pt>
                <c:pt idx="5">
                  <c:v>94.47240397769751</c:v>
                </c:pt>
                <c:pt idx="6">
                  <c:v>96.263828261953265</c:v>
                </c:pt>
                <c:pt idx="7">
                  <c:v>91.204292912717506</c:v>
                </c:pt>
                <c:pt idx="8">
                  <c:v>88.788058180222691</c:v>
                </c:pt>
                <c:pt idx="9">
                  <c:v>93.343529076796656</c:v>
                </c:pt>
                <c:pt idx="10">
                  <c:v>98.951487006904486</c:v>
                </c:pt>
                <c:pt idx="11">
                  <c:v>98.296737873095225</c:v>
                </c:pt>
                <c:pt idx="12">
                  <c:v>94.584735648421997</c:v>
                </c:pt>
                <c:pt idx="13">
                  <c:v>98.801785272674536</c:v>
                </c:pt>
                <c:pt idx="14">
                  <c:v>102.25075737265445</c:v>
                </c:pt>
                <c:pt idx="15">
                  <c:v>102.13714445059942</c:v>
                </c:pt>
                <c:pt idx="16">
                  <c:v>103.35667599677329</c:v>
                </c:pt>
                <c:pt idx="17">
                  <c:v>94.719739171052225</c:v>
                </c:pt>
                <c:pt idx="18">
                  <c:v>103.99232451853845</c:v>
                </c:pt>
                <c:pt idx="19">
                  <c:v>100.46115017521893</c:v>
                </c:pt>
                <c:pt idx="20">
                  <c:v>96.772029622367768</c:v>
                </c:pt>
                <c:pt idx="21">
                  <c:v>92.85470299428728</c:v>
                </c:pt>
              </c:numCache>
            </c:numRef>
          </c:val>
          <c:smooth val="0"/>
          <c:extLst>
            <c:ext xmlns:c16="http://schemas.microsoft.com/office/drawing/2014/chart" uri="{C3380CC4-5D6E-409C-BE32-E72D297353CC}">
              <c16:uniqueId val="{00000001-972C-4D13-B2CA-36DA0BBDFA2A}"/>
            </c:ext>
          </c:extLst>
        </c:ser>
        <c:ser>
          <c:idx val="0"/>
          <c:order val="1"/>
          <c:tx>
            <c:v>Employment</c:v>
          </c:tx>
          <c:spPr>
            <a:ln w="25400" cap="rnd">
              <a:solidFill>
                <a:schemeClr val="tx1">
                  <a:lumMod val="85000"/>
                  <a:lumOff val="15000"/>
                </a:schemeClr>
              </a:solidFill>
              <a:round/>
            </a:ln>
            <a:effectLst/>
          </c:spPr>
          <c:marker>
            <c:symbol val="none"/>
          </c:marker>
          <c:cat>
            <c:numRef>
              <c:f>[1]Labour!$A$511:$A$532</c:f>
              <c:numCache>
                <c:formatCode>mmm\-yyyy</c:formatCode>
                <c:ptCount val="2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numCache>
            </c:numRef>
          </c:cat>
          <c:val>
            <c:numRef>
              <c:f>[1]Labour!$F$511:$F$532</c:f>
              <c:numCache>
                <c:formatCode>0.0</c:formatCode>
                <c:ptCount val="22"/>
                <c:pt idx="0">
                  <c:v>100.09008121716599</c:v>
                </c:pt>
                <c:pt idx="1">
                  <c:v>99.650750994611101</c:v>
                </c:pt>
                <c:pt idx="2">
                  <c:v>100</c:v>
                </c:pt>
                <c:pt idx="3">
                  <c:v>96.310420033806068</c:v>
                </c:pt>
                <c:pt idx="4">
                  <c:v>94.321780997609949</c:v>
                </c:pt>
                <c:pt idx="5">
                  <c:v>95.139874460170489</c:v>
                </c:pt>
                <c:pt idx="6">
                  <c:v>95.513550565841641</c:v>
                </c:pt>
                <c:pt idx="7">
                  <c:v>94.43448517814565</c:v>
                </c:pt>
                <c:pt idx="8">
                  <c:v>93.063485474522238</c:v>
                </c:pt>
                <c:pt idx="9">
                  <c:v>95.385513689640618</c:v>
                </c:pt>
                <c:pt idx="10">
                  <c:v>97.218952839677911</c:v>
                </c:pt>
                <c:pt idx="11">
                  <c:v>97.563788118819275</c:v>
                </c:pt>
                <c:pt idx="12">
                  <c:v>98.525098465900214</c:v>
                </c:pt>
                <c:pt idx="13">
                  <c:v>99.10682403871462</c:v>
                </c:pt>
                <c:pt idx="14">
                  <c:v>99.301341281306406</c:v>
                </c:pt>
                <c:pt idx="15">
                  <c:v>99.422122847161504</c:v>
                </c:pt>
                <c:pt idx="16">
                  <c:v>100.31590655484122</c:v>
                </c:pt>
                <c:pt idx="17">
                  <c:v>100.04676198304105</c:v>
                </c:pt>
                <c:pt idx="18">
                  <c:v>100.58998627713764</c:v>
                </c:pt>
                <c:pt idx="19">
                  <c:v>101.43634835860342</c:v>
                </c:pt>
                <c:pt idx="20">
                  <c:v>97.774245233687594</c:v>
                </c:pt>
                <c:pt idx="21">
                  <c:v>96.331985377922521</c:v>
                </c:pt>
              </c:numCache>
            </c:numRef>
          </c:val>
          <c:smooth val="0"/>
          <c:extLst>
            <c:ext xmlns:c16="http://schemas.microsoft.com/office/drawing/2014/chart" uri="{C3380CC4-5D6E-409C-BE32-E72D297353CC}">
              <c16:uniqueId val="{00000002-972C-4D13-B2CA-36DA0BBDFA2A}"/>
            </c:ext>
          </c:extLst>
        </c:ser>
        <c:dLbls>
          <c:showLegendKey val="0"/>
          <c:showVal val="0"/>
          <c:showCatName val="0"/>
          <c:showSerName val="0"/>
          <c:showPercent val="0"/>
          <c:showBubbleSize val="0"/>
        </c:dLbls>
        <c:marker val="1"/>
        <c:smooth val="0"/>
        <c:axId val="355523824"/>
        <c:axId val="355526120"/>
      </c:lineChart>
      <c:dateAx>
        <c:axId val="355523824"/>
        <c:scaling>
          <c:orientation val="minMax"/>
        </c:scaling>
        <c:delete val="0"/>
        <c:axPos val="b"/>
        <c:numFmt formatCode="mmm\-yy" sourceLinked="0"/>
        <c:majorTickMark val="out"/>
        <c:minorTickMark val="out"/>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526120"/>
        <c:crosses val="autoZero"/>
        <c:auto val="1"/>
        <c:lblOffset val="100"/>
        <c:baseTimeUnit val="months"/>
        <c:majorUnit val="6"/>
        <c:majorTimeUnit val="months"/>
        <c:minorUnit val="3"/>
        <c:minorTimeUnit val="months"/>
      </c:dateAx>
      <c:valAx>
        <c:axId val="355526120"/>
        <c:scaling>
          <c:orientation val="minMax"/>
          <c:max val="105"/>
          <c:min val="85"/>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i="1"/>
                  <a:t>index (Mar 2020=100)</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523824"/>
        <c:crosses val="autoZero"/>
        <c:crossBetween val="between"/>
        <c:majorUnit val="5"/>
      </c:valAx>
      <c:spPr>
        <a:noFill/>
        <a:ln>
          <a:noFill/>
        </a:ln>
        <a:effectLst/>
      </c:spPr>
    </c:plotArea>
    <c:legend>
      <c:legendPos val="b"/>
      <c:legendEntry>
        <c:idx val="0"/>
        <c:delete val="1"/>
      </c:legendEntry>
      <c:layout>
        <c:manualLayout>
          <c:xMode val="edge"/>
          <c:yMode val="edge"/>
          <c:x val="9.8992708927170714E-2"/>
          <c:y val="0.84162545211471551"/>
          <c:w val="0.704028307022319"/>
          <c:h val="0.1378564663259103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3945263884268"/>
          <c:y val="3.524609423822022E-2"/>
          <c:w val="0.85173487116927282"/>
          <c:h val="0.79030037815159127"/>
        </c:manualLayout>
      </c:layout>
      <c:lineChart>
        <c:grouping val="standard"/>
        <c:varyColors val="0"/>
        <c:ser>
          <c:idx val="3"/>
          <c:order val="0"/>
          <c:tx>
            <c:v>Real GSP</c:v>
          </c:tx>
          <c:spPr>
            <a:ln>
              <a:solidFill>
                <a:srgbClr val="808080"/>
              </a:solidFill>
            </a:ln>
          </c:spPr>
          <c:marker>
            <c:symbol val="none"/>
          </c:marker>
          <c:cat>
            <c:numRef>
              <c:f>[2]Scenario!$I$2:$Y$2</c:f>
              <c:numCache>
                <c:formatCode>General</c:formatCode>
                <c:ptCount val="17"/>
                <c:pt idx="0">
                  <c:v>2021</c:v>
                </c:pt>
                <c:pt idx="1">
                  <c:v>2021</c:v>
                </c:pt>
                <c:pt idx="2">
                  <c:v>2021</c:v>
                </c:pt>
                <c:pt idx="3">
                  <c:v>2022</c:v>
                </c:pt>
                <c:pt idx="4">
                  <c:v>2022</c:v>
                </c:pt>
                <c:pt idx="5">
                  <c:v>2022</c:v>
                </c:pt>
                <c:pt idx="6">
                  <c:v>2022</c:v>
                </c:pt>
                <c:pt idx="7">
                  <c:v>2023</c:v>
                </c:pt>
                <c:pt idx="8">
                  <c:v>2023</c:v>
                </c:pt>
                <c:pt idx="9">
                  <c:v>2023</c:v>
                </c:pt>
                <c:pt idx="10">
                  <c:v>2023</c:v>
                </c:pt>
                <c:pt idx="11">
                  <c:v>2024</c:v>
                </c:pt>
                <c:pt idx="12">
                  <c:v>2024</c:v>
                </c:pt>
                <c:pt idx="13">
                  <c:v>2024</c:v>
                </c:pt>
                <c:pt idx="14">
                  <c:v>2024</c:v>
                </c:pt>
                <c:pt idx="15">
                  <c:v>2025</c:v>
                </c:pt>
                <c:pt idx="16">
                  <c:v>2025</c:v>
                </c:pt>
              </c:numCache>
            </c:numRef>
          </c:cat>
          <c:val>
            <c:numRef>
              <c:f>'DATA - Scenario select series'!$C$3:$S$3</c:f>
              <c:numCache>
                <c:formatCode>0</c:formatCode>
                <c:ptCount val="17"/>
                <c:pt idx="0">
                  <c:v>0</c:v>
                </c:pt>
                <c:pt idx="1">
                  <c:v>0</c:v>
                </c:pt>
                <c:pt idx="2">
                  <c:v>0</c:v>
                </c:pt>
                <c:pt idx="3">
                  <c:v>-0.343551</c:v>
                </c:pt>
                <c:pt idx="4">
                  <c:v>-0.52722899999999995</c:v>
                </c:pt>
                <c:pt idx="5">
                  <c:v>-0.57720499999999997</c:v>
                </c:pt>
                <c:pt idx="6">
                  <c:v>-0.67052</c:v>
                </c:pt>
                <c:pt idx="7">
                  <c:v>-0.64260099999999998</c:v>
                </c:pt>
                <c:pt idx="8">
                  <c:v>-0.69374100000000005</c:v>
                </c:pt>
                <c:pt idx="9">
                  <c:v>-0.73105900000000001</c:v>
                </c:pt>
                <c:pt idx="10">
                  <c:v>-0.70243699999999998</c:v>
                </c:pt>
                <c:pt idx="11">
                  <c:v>-0.73596600000000001</c:v>
                </c:pt>
                <c:pt idx="12">
                  <c:v>-0.74610100000000001</c:v>
                </c:pt>
                <c:pt idx="13">
                  <c:v>-0.73961399999999999</c:v>
                </c:pt>
                <c:pt idx="14">
                  <c:v>-0.73395200000000005</c:v>
                </c:pt>
                <c:pt idx="15">
                  <c:v>-0.74670199999999998</c:v>
                </c:pt>
                <c:pt idx="16">
                  <c:v>-0.75148499999999996</c:v>
                </c:pt>
              </c:numCache>
            </c:numRef>
          </c:val>
          <c:smooth val="0"/>
          <c:extLst>
            <c:ext xmlns:c16="http://schemas.microsoft.com/office/drawing/2014/chart" uri="{C3380CC4-5D6E-409C-BE32-E72D297353CC}">
              <c16:uniqueId val="{00000000-4C53-4C6D-A6B9-23D03EFDACF3}"/>
            </c:ext>
          </c:extLst>
        </c:ser>
        <c:ser>
          <c:idx val="4"/>
          <c:order val="1"/>
          <c:tx>
            <c:v>Household consumption</c:v>
          </c:tx>
          <c:spPr>
            <a:ln>
              <a:solidFill>
                <a:srgbClr val="4D4D4D"/>
              </a:solidFill>
            </a:ln>
          </c:spPr>
          <c:marker>
            <c:symbol val="none"/>
          </c:marker>
          <c:cat>
            <c:numRef>
              <c:f>[2]Scenario!$I$2:$Y$2</c:f>
              <c:numCache>
                <c:formatCode>General</c:formatCode>
                <c:ptCount val="17"/>
                <c:pt idx="0">
                  <c:v>2021</c:v>
                </c:pt>
                <c:pt idx="1">
                  <c:v>2021</c:v>
                </c:pt>
                <c:pt idx="2">
                  <c:v>2021</c:v>
                </c:pt>
                <c:pt idx="3">
                  <c:v>2022</c:v>
                </c:pt>
                <c:pt idx="4">
                  <c:v>2022</c:v>
                </c:pt>
                <c:pt idx="5">
                  <c:v>2022</c:v>
                </c:pt>
                <c:pt idx="6">
                  <c:v>2022</c:v>
                </c:pt>
                <c:pt idx="7">
                  <c:v>2023</c:v>
                </c:pt>
                <c:pt idx="8">
                  <c:v>2023</c:v>
                </c:pt>
                <c:pt idx="9">
                  <c:v>2023</c:v>
                </c:pt>
                <c:pt idx="10">
                  <c:v>2023</c:v>
                </c:pt>
                <c:pt idx="11">
                  <c:v>2024</c:v>
                </c:pt>
                <c:pt idx="12">
                  <c:v>2024</c:v>
                </c:pt>
                <c:pt idx="13">
                  <c:v>2024</c:v>
                </c:pt>
                <c:pt idx="14">
                  <c:v>2024</c:v>
                </c:pt>
                <c:pt idx="15">
                  <c:v>2025</c:v>
                </c:pt>
                <c:pt idx="16">
                  <c:v>2025</c:v>
                </c:pt>
              </c:numCache>
            </c:numRef>
          </c:cat>
          <c:val>
            <c:numRef>
              <c:f>'DATA - Scenario select series'!$C$4:$S$4</c:f>
              <c:numCache>
                <c:formatCode>0</c:formatCode>
                <c:ptCount val="17"/>
                <c:pt idx="0">
                  <c:v>0</c:v>
                </c:pt>
                <c:pt idx="1">
                  <c:v>0</c:v>
                </c:pt>
                <c:pt idx="2">
                  <c:v>0</c:v>
                </c:pt>
                <c:pt idx="3">
                  <c:v>-0.48192400000000002</c:v>
                </c:pt>
                <c:pt idx="4">
                  <c:v>-0.79758399999999996</c:v>
                </c:pt>
                <c:pt idx="5">
                  <c:v>-0.861622</c:v>
                </c:pt>
                <c:pt idx="6">
                  <c:v>-1.00387</c:v>
                </c:pt>
                <c:pt idx="7">
                  <c:v>-0.99669600000000003</c:v>
                </c:pt>
                <c:pt idx="8">
                  <c:v>-1.06928</c:v>
                </c:pt>
                <c:pt idx="9">
                  <c:v>-1.1036300000000001</c:v>
                </c:pt>
                <c:pt idx="10">
                  <c:v>-1.0690900000000001</c:v>
                </c:pt>
                <c:pt idx="11">
                  <c:v>-1.10151</c:v>
                </c:pt>
                <c:pt idx="12">
                  <c:v>-1.0843400000000001</c:v>
                </c:pt>
                <c:pt idx="13">
                  <c:v>-1.03634</c:v>
                </c:pt>
                <c:pt idx="14">
                  <c:v>-0.99502999999999997</c:v>
                </c:pt>
                <c:pt idx="15">
                  <c:v>-0.99654799999999999</c:v>
                </c:pt>
                <c:pt idx="16">
                  <c:v>-0.98177099999999995</c:v>
                </c:pt>
              </c:numCache>
            </c:numRef>
          </c:val>
          <c:smooth val="0"/>
          <c:extLst>
            <c:ext xmlns:c16="http://schemas.microsoft.com/office/drawing/2014/chart" uri="{C3380CC4-5D6E-409C-BE32-E72D297353CC}">
              <c16:uniqueId val="{00000001-4C53-4C6D-A6B9-23D03EFDACF3}"/>
            </c:ext>
          </c:extLst>
        </c:ser>
        <c:dLbls>
          <c:showLegendKey val="0"/>
          <c:showVal val="0"/>
          <c:showCatName val="0"/>
          <c:showSerName val="0"/>
          <c:showPercent val="0"/>
          <c:showBubbleSize val="0"/>
        </c:dLbls>
        <c:smooth val="0"/>
        <c:axId val="1032676440"/>
        <c:axId val="1032677424"/>
        <c:extLst/>
      </c:lineChart>
      <c:catAx>
        <c:axId val="1032676440"/>
        <c:scaling>
          <c:orientation val="minMax"/>
        </c:scaling>
        <c:delete val="0"/>
        <c:axPos val="b"/>
        <c:numFmt formatCode="General" sourceLinked="1"/>
        <c:majorTickMark val="none"/>
        <c:minorTickMark val="none"/>
        <c:tickLblPos val="low"/>
        <c:spPr>
          <a:noFill/>
          <a:ln w="9525" cap="flat" cmpd="sng" algn="ctr">
            <a:solidFill>
              <a:schemeClr val="tx1">
                <a:lumMod val="65000"/>
                <a:lumOff val="35000"/>
              </a:schemeClr>
            </a:solidFill>
            <a:round/>
          </a:ln>
          <a:effectLst/>
        </c:spPr>
        <c:txPr>
          <a:bodyPr rot="-60000000" vert="horz"/>
          <a:lstStyle/>
          <a:p>
            <a:pPr>
              <a:defRPr sz="900"/>
            </a:pPr>
            <a:endParaRPr lang="en-US"/>
          </a:p>
        </c:txPr>
        <c:crossAx val="1032677424"/>
        <c:crosses val="autoZero"/>
        <c:auto val="0"/>
        <c:lblAlgn val="ctr"/>
        <c:lblOffset val="100"/>
        <c:tickLblSkip val="4"/>
        <c:tickMarkSkip val="4"/>
        <c:noMultiLvlLbl val="0"/>
      </c:catAx>
      <c:valAx>
        <c:axId val="1032677424"/>
        <c:scaling>
          <c:orientation val="minMax"/>
        </c:scaling>
        <c:delete val="0"/>
        <c:axPos val="l"/>
        <c:majorGridlines>
          <c:spPr>
            <a:ln w="9525">
              <a:solidFill>
                <a:schemeClr val="bg1">
                  <a:lumMod val="65000"/>
                </a:schemeClr>
              </a:solidFill>
              <a:prstDash val="dash"/>
            </a:ln>
          </c:spPr>
        </c:majorGridlines>
        <c:title>
          <c:tx>
            <c:rich>
              <a:bodyPr/>
              <a:lstStyle/>
              <a:p>
                <a:pPr>
                  <a:defRPr sz="900"/>
                </a:pPr>
                <a:r>
                  <a:rPr lang="en-AU" sz="900" b="0" i="1"/>
                  <a:t>Percentage deviation from baseline</a:t>
                </a:r>
              </a:p>
            </c:rich>
          </c:tx>
          <c:overlay val="0"/>
        </c:title>
        <c:numFmt formatCode="#,##0.0" sourceLinked="0"/>
        <c:majorTickMark val="out"/>
        <c:minorTickMark val="none"/>
        <c:tickLblPos val="nextTo"/>
        <c:spPr>
          <a:noFill/>
          <a:ln>
            <a:solidFill>
              <a:schemeClr val="tx1">
                <a:lumMod val="65000"/>
                <a:lumOff val="35000"/>
              </a:schemeClr>
            </a:solidFill>
          </a:ln>
          <a:effectLst/>
        </c:spPr>
        <c:txPr>
          <a:bodyPr rot="-60000000" vert="horz"/>
          <a:lstStyle/>
          <a:p>
            <a:pPr>
              <a:defRPr sz="900"/>
            </a:pPr>
            <a:endParaRPr lang="en-US"/>
          </a:p>
        </c:txPr>
        <c:crossAx val="1032676440"/>
        <c:crossesAt val="1"/>
        <c:crossBetween val="between"/>
      </c:valAx>
      <c:spPr>
        <a:noFill/>
        <a:ln>
          <a:noFill/>
        </a:ln>
        <a:effectLst/>
      </c:spPr>
    </c:plotArea>
    <c:legend>
      <c:legendPos val="r"/>
      <c:layout>
        <c:manualLayout>
          <c:xMode val="edge"/>
          <c:yMode val="edge"/>
          <c:x val="0.23344814791125373"/>
          <c:y val="0.87522717816220486"/>
          <c:w val="0.56695291318941154"/>
          <c:h val="0.12476261649760306"/>
        </c:manualLayout>
      </c:layout>
      <c:overlay val="0"/>
      <c:txPr>
        <a:bodyPr/>
        <a:lstStyle/>
        <a:p>
          <a:pPr>
            <a:defRPr sz="900"/>
          </a:pPr>
          <a:endParaRPr lang="en-US"/>
        </a:p>
      </c:txPr>
    </c:legend>
    <c:plotVisOnly val="1"/>
    <c:dispBlanksAs val="gap"/>
    <c:showDLblsOverMax val="0"/>
    <c:extLst/>
  </c:chart>
  <c:spPr>
    <a:solidFill>
      <a:sysClr val="window" lastClr="FFFFFF"/>
    </a:solidFill>
    <a:ln w="9525" cap="flat" cmpd="sng" algn="ctr">
      <a:noFill/>
      <a:round/>
    </a:ln>
    <a:effectLst/>
  </c:spPr>
  <c:txPr>
    <a:bodyPr/>
    <a:lstStyle/>
    <a:p>
      <a:pPr>
        <a:defRPr sz="11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57201419585503"/>
          <c:y val="4.2112509602726445E-2"/>
          <c:w val="0.78360817517523884"/>
          <c:h val="0.71406937161807993"/>
        </c:manualLayout>
      </c:layout>
      <c:barChart>
        <c:barDir val="col"/>
        <c:grouping val="stacked"/>
        <c:varyColors val="0"/>
        <c:ser>
          <c:idx val="2"/>
          <c:order val="2"/>
          <c:tx>
            <c:v>Lockdown</c:v>
          </c:tx>
          <c:spPr>
            <a:solidFill>
              <a:srgbClr val="BFBFBF">
                <a:alpha val="50196"/>
              </a:srgbClr>
            </a:solidFill>
            <a:ln>
              <a:noFill/>
            </a:ln>
            <a:effectLst/>
          </c:spPr>
          <c:invertIfNegative val="0"/>
          <c:val>
            <c:numRef>
              <c:f>NAB!$G$278:$G$299</c:f>
              <c:numCache>
                <c:formatCode>General</c:formatCode>
                <c:ptCount val="22"/>
                <c:pt idx="2">
                  <c:v>40</c:v>
                </c:pt>
                <c:pt idx="3">
                  <c:v>40</c:v>
                </c:pt>
                <c:pt idx="4">
                  <c:v>40</c:v>
                </c:pt>
                <c:pt idx="6">
                  <c:v>40</c:v>
                </c:pt>
                <c:pt idx="7">
                  <c:v>40</c:v>
                </c:pt>
                <c:pt idx="8">
                  <c:v>40</c:v>
                </c:pt>
                <c:pt idx="9">
                  <c:v>40</c:v>
                </c:pt>
                <c:pt idx="19">
                  <c:v>40</c:v>
                </c:pt>
                <c:pt idx="20">
                  <c:v>40</c:v>
                </c:pt>
                <c:pt idx="21">
                  <c:v>40</c:v>
                </c:pt>
              </c:numCache>
            </c:numRef>
          </c:val>
          <c:extLst>
            <c:ext xmlns:c16="http://schemas.microsoft.com/office/drawing/2014/chart" uri="{C3380CC4-5D6E-409C-BE32-E72D297353CC}">
              <c16:uniqueId val="{00000000-D75A-45A9-8801-840D8259AF99}"/>
            </c:ext>
          </c:extLst>
        </c:ser>
        <c:ser>
          <c:idx val="3"/>
          <c:order val="3"/>
          <c:tx>
            <c:v>Lockdowns</c:v>
          </c:tx>
          <c:spPr>
            <a:solidFill>
              <a:srgbClr val="BFBFBF">
                <a:alpha val="50196"/>
              </a:srgbClr>
            </a:solidFill>
            <a:ln>
              <a:noFill/>
            </a:ln>
            <a:effectLst/>
          </c:spPr>
          <c:invertIfNegative val="0"/>
          <c:val>
            <c:numRef>
              <c:f>NAB!$H$278:$H$299</c:f>
              <c:numCache>
                <c:formatCode>General</c:formatCode>
                <c:ptCount val="22"/>
                <c:pt idx="2" formatCode="0.0">
                  <c:v>-80</c:v>
                </c:pt>
                <c:pt idx="3" formatCode="0.0">
                  <c:v>-80</c:v>
                </c:pt>
                <c:pt idx="4" formatCode="0.0">
                  <c:v>-80</c:v>
                </c:pt>
                <c:pt idx="6" formatCode="0.0">
                  <c:v>-80</c:v>
                </c:pt>
                <c:pt idx="7" formatCode="0.0">
                  <c:v>-80</c:v>
                </c:pt>
                <c:pt idx="8" formatCode="0.0">
                  <c:v>-80</c:v>
                </c:pt>
                <c:pt idx="9" formatCode="0.0">
                  <c:v>-80</c:v>
                </c:pt>
                <c:pt idx="19" formatCode="0.0">
                  <c:v>-80</c:v>
                </c:pt>
                <c:pt idx="20" formatCode="0.0">
                  <c:v>-80</c:v>
                </c:pt>
                <c:pt idx="21" formatCode="0.0">
                  <c:v>-80</c:v>
                </c:pt>
              </c:numCache>
            </c:numRef>
          </c:val>
          <c:extLst>
            <c:ext xmlns:c16="http://schemas.microsoft.com/office/drawing/2014/chart" uri="{C3380CC4-5D6E-409C-BE32-E72D297353CC}">
              <c16:uniqueId val="{00000001-D75A-45A9-8801-840D8259AF99}"/>
            </c:ext>
          </c:extLst>
        </c:ser>
        <c:dLbls>
          <c:showLegendKey val="0"/>
          <c:showVal val="0"/>
          <c:showCatName val="0"/>
          <c:showSerName val="0"/>
          <c:showPercent val="0"/>
          <c:showBubbleSize val="0"/>
        </c:dLbls>
        <c:gapWidth val="0"/>
        <c:overlap val="100"/>
        <c:axId val="838338640"/>
        <c:axId val="838343232"/>
      </c:barChart>
      <c:lineChart>
        <c:grouping val="standard"/>
        <c:varyColors val="0"/>
        <c:ser>
          <c:idx val="0"/>
          <c:order val="0"/>
          <c:tx>
            <c:v>Business confidence</c:v>
          </c:tx>
          <c:spPr>
            <a:ln w="25400" cap="rnd">
              <a:solidFill>
                <a:schemeClr val="tx1">
                  <a:lumMod val="50000"/>
                  <a:lumOff val="50000"/>
                </a:schemeClr>
              </a:solidFill>
              <a:round/>
            </a:ln>
            <a:effectLst/>
          </c:spPr>
          <c:marker>
            <c:symbol val="none"/>
          </c:marker>
          <c:cat>
            <c:numRef>
              <c:f>NAB!$A$278:$A$299</c:f>
              <c:numCache>
                <c:formatCode>mmm\-yy</c:formatCode>
                <c:ptCount val="2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numCache>
            </c:numRef>
          </c:cat>
          <c:val>
            <c:numRef>
              <c:f>NAB!$E$278:$E$299</c:f>
              <c:numCache>
                <c:formatCode>0.0</c:formatCode>
                <c:ptCount val="22"/>
                <c:pt idx="0">
                  <c:v>-0.55090260096773802</c:v>
                </c:pt>
                <c:pt idx="1">
                  <c:v>-5.5286346215134303</c:v>
                </c:pt>
                <c:pt idx="2">
                  <c:v>-67.564879425914796</c:v>
                </c:pt>
                <c:pt idx="3">
                  <c:v>-56.459278455722199</c:v>
                </c:pt>
                <c:pt idx="4">
                  <c:v>-23.836665605216599</c:v>
                </c:pt>
                <c:pt idx="5">
                  <c:v>-7.7010458438864697</c:v>
                </c:pt>
                <c:pt idx="6">
                  <c:v>-23.4439647009286</c:v>
                </c:pt>
                <c:pt idx="7">
                  <c:v>-15.4809952331156</c:v>
                </c:pt>
                <c:pt idx="8">
                  <c:v>-9.5962324633012006</c:v>
                </c:pt>
                <c:pt idx="9">
                  <c:v>9.44595333686026</c:v>
                </c:pt>
                <c:pt idx="10">
                  <c:v>24.687901732860801</c:v>
                </c:pt>
                <c:pt idx="11">
                  <c:v>10.275647474353301</c:v>
                </c:pt>
                <c:pt idx="12">
                  <c:v>12.1677889476733</c:v>
                </c:pt>
                <c:pt idx="13">
                  <c:v>14.791123911457699</c:v>
                </c:pt>
                <c:pt idx="14">
                  <c:v>18.608910992681899</c:v>
                </c:pt>
                <c:pt idx="15">
                  <c:v>19.859372123737501</c:v>
                </c:pt>
                <c:pt idx="16">
                  <c:v>15.229729754444699</c:v>
                </c:pt>
                <c:pt idx="17">
                  <c:v>14.156207805883501</c:v>
                </c:pt>
                <c:pt idx="18">
                  <c:v>1.02075881916175</c:v>
                </c:pt>
                <c:pt idx="19">
                  <c:v>-14.1111358998923</c:v>
                </c:pt>
                <c:pt idx="20">
                  <c:v>4.7857106463122401</c:v>
                </c:pt>
                <c:pt idx="21">
                  <c:v>22.6509019726827</c:v>
                </c:pt>
              </c:numCache>
            </c:numRef>
          </c:val>
          <c:smooth val="0"/>
          <c:extLst>
            <c:ext xmlns:c16="http://schemas.microsoft.com/office/drawing/2014/chart" uri="{C3380CC4-5D6E-409C-BE32-E72D297353CC}">
              <c16:uniqueId val="{00000002-D75A-45A9-8801-840D8259AF99}"/>
            </c:ext>
          </c:extLst>
        </c:ser>
        <c:ser>
          <c:idx val="1"/>
          <c:order val="1"/>
          <c:tx>
            <c:v>Business conditions</c:v>
          </c:tx>
          <c:spPr>
            <a:ln w="25400" cap="rnd">
              <a:solidFill>
                <a:schemeClr val="tx1">
                  <a:lumMod val="75000"/>
                  <a:lumOff val="25000"/>
                </a:schemeClr>
              </a:solidFill>
              <a:round/>
            </a:ln>
            <a:effectLst/>
          </c:spPr>
          <c:marker>
            <c:symbol val="none"/>
          </c:marker>
          <c:cat>
            <c:numRef>
              <c:f>NAB!$A$278:$A$299</c:f>
              <c:numCache>
                <c:formatCode>mmm\-yy</c:formatCode>
                <c:ptCount val="2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numCache>
            </c:numRef>
          </c:cat>
          <c:val>
            <c:numRef>
              <c:f>NAB!$B$278:$B$299</c:f>
              <c:numCache>
                <c:formatCode>0.0</c:formatCode>
                <c:ptCount val="22"/>
                <c:pt idx="0">
                  <c:v>-2.80832392124527</c:v>
                </c:pt>
                <c:pt idx="1">
                  <c:v>1.0360581563401401</c:v>
                </c:pt>
                <c:pt idx="2">
                  <c:v>-28.4591306965205</c:v>
                </c:pt>
                <c:pt idx="3">
                  <c:v>-41.392528070306597</c:v>
                </c:pt>
                <c:pt idx="4">
                  <c:v>-26.3186233627662</c:v>
                </c:pt>
                <c:pt idx="5">
                  <c:v>-11.1837056205131</c:v>
                </c:pt>
                <c:pt idx="6">
                  <c:v>-3.5255729354334799</c:v>
                </c:pt>
                <c:pt idx="7">
                  <c:v>-10.6590597479334</c:v>
                </c:pt>
                <c:pt idx="8">
                  <c:v>-9.8121807543891109</c:v>
                </c:pt>
                <c:pt idx="9">
                  <c:v>1.82463506219622</c:v>
                </c:pt>
                <c:pt idx="10">
                  <c:v>0.80109358677639897</c:v>
                </c:pt>
                <c:pt idx="11">
                  <c:v>12.869162255200401</c:v>
                </c:pt>
                <c:pt idx="12">
                  <c:v>12.6674679638753</c:v>
                </c:pt>
                <c:pt idx="13">
                  <c:v>14.3847273935251</c:v>
                </c:pt>
                <c:pt idx="14">
                  <c:v>21.8737022520572</c:v>
                </c:pt>
                <c:pt idx="15">
                  <c:v>25.334869508488399</c:v>
                </c:pt>
                <c:pt idx="16">
                  <c:v>34.522864994529698</c:v>
                </c:pt>
                <c:pt idx="17">
                  <c:v>18.373742525053601</c:v>
                </c:pt>
                <c:pt idx="18">
                  <c:v>12.8007531668739</c:v>
                </c:pt>
                <c:pt idx="19">
                  <c:v>13.0747042492071</c:v>
                </c:pt>
                <c:pt idx="20">
                  <c:v>1.68860318019458</c:v>
                </c:pt>
                <c:pt idx="21">
                  <c:v>1.11370930472723</c:v>
                </c:pt>
              </c:numCache>
            </c:numRef>
          </c:val>
          <c:smooth val="0"/>
          <c:extLst>
            <c:ext xmlns:c16="http://schemas.microsoft.com/office/drawing/2014/chart" uri="{C3380CC4-5D6E-409C-BE32-E72D297353CC}">
              <c16:uniqueId val="{00000003-D75A-45A9-8801-840D8259AF99}"/>
            </c:ext>
          </c:extLst>
        </c:ser>
        <c:dLbls>
          <c:showLegendKey val="0"/>
          <c:showVal val="0"/>
          <c:showCatName val="0"/>
          <c:showSerName val="0"/>
          <c:showPercent val="0"/>
          <c:showBubbleSize val="0"/>
        </c:dLbls>
        <c:marker val="1"/>
        <c:smooth val="0"/>
        <c:axId val="838338640"/>
        <c:axId val="838343232"/>
      </c:lineChart>
      <c:dateAx>
        <c:axId val="838338640"/>
        <c:scaling>
          <c:orientation val="minMax"/>
        </c:scaling>
        <c:delete val="0"/>
        <c:axPos val="b"/>
        <c:numFmt formatCode="mmm\-yy" sourceLinked="1"/>
        <c:majorTickMark val="out"/>
        <c:minorTickMark val="out"/>
        <c:tickLblPos val="low"/>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8343232"/>
        <c:crosses val="autoZero"/>
        <c:auto val="1"/>
        <c:lblOffset val="100"/>
        <c:baseTimeUnit val="months"/>
        <c:majorUnit val="6"/>
        <c:majorTimeUnit val="months"/>
        <c:minorUnit val="3"/>
        <c:minorTimeUnit val="months"/>
      </c:dateAx>
      <c:valAx>
        <c:axId val="838343232"/>
        <c:scaling>
          <c:orientation val="minMax"/>
          <c:max val="40"/>
          <c:min val="-80"/>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i="1"/>
                  <a:t>index (0=neutral)</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8338640"/>
        <c:crosses val="autoZero"/>
        <c:crossBetween val="between"/>
      </c:valAx>
      <c:spPr>
        <a:noFill/>
        <a:ln>
          <a:noFill/>
        </a:ln>
        <a:effectLst/>
      </c:spPr>
    </c:plotArea>
    <c:legend>
      <c:legendPos val="b"/>
      <c:legendEntry>
        <c:idx val="0"/>
        <c:delete val="1"/>
      </c:legendEntry>
      <c:legendEntry>
        <c:idx val="1"/>
        <c:delete val="1"/>
      </c:legendEntry>
      <c:layout>
        <c:manualLayout>
          <c:xMode val="edge"/>
          <c:yMode val="edge"/>
          <c:x val="0.10620458356623812"/>
          <c:y val="0.83395277149376368"/>
          <c:w val="0.79265106534684837"/>
          <c:h val="0.1401400679890585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1057017343534"/>
          <c:y val="4.2581510558657158E-2"/>
          <c:w val="0.75829457875123274"/>
          <c:h val="0.78666661005470828"/>
        </c:manualLayout>
      </c:layout>
      <c:barChart>
        <c:barDir val="col"/>
        <c:grouping val="clustered"/>
        <c:varyColors val="0"/>
        <c:ser>
          <c:idx val="1"/>
          <c:order val="1"/>
          <c:tx>
            <c:v>Lockdowns</c:v>
          </c:tx>
          <c:spPr>
            <a:solidFill>
              <a:srgbClr val="BFBFBF">
                <a:alpha val="50196"/>
              </a:srgbClr>
            </a:solidFill>
            <a:ln>
              <a:noFill/>
            </a:ln>
            <a:effectLst/>
          </c:spPr>
          <c:invertIfNegative val="0"/>
          <c:val>
            <c:numRef>
              <c:f>'Retail WMI'!$H$464:$H$486</c:f>
              <c:numCache>
                <c:formatCode>General</c:formatCode>
                <c:ptCount val="23"/>
                <c:pt idx="2">
                  <c:v>8500</c:v>
                </c:pt>
                <c:pt idx="3">
                  <c:v>8500</c:v>
                </c:pt>
                <c:pt idx="4">
                  <c:v>8500</c:v>
                </c:pt>
                <c:pt idx="6">
                  <c:v>8500</c:v>
                </c:pt>
                <c:pt idx="7">
                  <c:v>8500</c:v>
                </c:pt>
                <c:pt idx="8">
                  <c:v>8500</c:v>
                </c:pt>
                <c:pt idx="9">
                  <c:v>8500</c:v>
                </c:pt>
                <c:pt idx="19">
                  <c:v>8500</c:v>
                </c:pt>
                <c:pt idx="20">
                  <c:v>8500</c:v>
                </c:pt>
                <c:pt idx="21">
                  <c:v>8500</c:v>
                </c:pt>
              </c:numCache>
            </c:numRef>
          </c:val>
          <c:extLst>
            <c:ext xmlns:c16="http://schemas.microsoft.com/office/drawing/2014/chart" uri="{C3380CC4-5D6E-409C-BE32-E72D297353CC}">
              <c16:uniqueId val="{00000000-3C11-4EA8-A281-02DA911BED86}"/>
            </c:ext>
          </c:extLst>
        </c:ser>
        <c:dLbls>
          <c:showLegendKey val="0"/>
          <c:showVal val="0"/>
          <c:showCatName val="0"/>
          <c:showSerName val="0"/>
          <c:showPercent val="0"/>
          <c:showBubbleSize val="0"/>
        </c:dLbls>
        <c:gapWidth val="0"/>
        <c:axId val="833305456"/>
        <c:axId val="833306768"/>
      </c:barChart>
      <c:lineChart>
        <c:grouping val="standard"/>
        <c:varyColors val="0"/>
        <c:ser>
          <c:idx val="0"/>
          <c:order val="0"/>
          <c:tx>
            <c:v>Retail sales</c:v>
          </c:tx>
          <c:spPr>
            <a:ln w="25400" cap="rnd">
              <a:solidFill>
                <a:schemeClr val="bg2">
                  <a:lumMod val="50000"/>
                </a:schemeClr>
              </a:solidFill>
              <a:round/>
            </a:ln>
            <a:effectLst/>
          </c:spPr>
          <c:marker>
            <c:symbol val="none"/>
          </c:marker>
          <c:cat>
            <c:numRef>
              <c:f>'Retail WMI'!$A$464:$A$486</c:f>
              <c:numCache>
                <c:formatCode>mmm\-yyyy</c:formatCode>
                <c:ptCount val="23"/>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numCache>
            </c:numRef>
          </c:cat>
          <c:val>
            <c:numRef>
              <c:f>'Retail WMI'!$C$464:$C$486</c:f>
              <c:numCache>
                <c:formatCode>0.0;\-0.0;0.0;@</c:formatCode>
                <c:ptCount val="23"/>
                <c:pt idx="0">
                  <c:v>7241.6</c:v>
                </c:pt>
                <c:pt idx="1">
                  <c:v>7297.4</c:v>
                </c:pt>
                <c:pt idx="2">
                  <c:v>7814.9</c:v>
                </c:pt>
                <c:pt idx="3">
                  <c:v>6199.4</c:v>
                </c:pt>
                <c:pt idx="4">
                  <c:v>7240.6</c:v>
                </c:pt>
                <c:pt idx="5">
                  <c:v>7541.9</c:v>
                </c:pt>
                <c:pt idx="6">
                  <c:v>7400</c:v>
                </c:pt>
                <c:pt idx="7">
                  <c:v>6477.5</c:v>
                </c:pt>
                <c:pt idx="8">
                  <c:v>6443</c:v>
                </c:pt>
                <c:pt idx="9">
                  <c:v>6796.5</c:v>
                </c:pt>
                <c:pt idx="10">
                  <c:v>8292</c:v>
                </c:pt>
                <c:pt idx="11">
                  <c:v>7723</c:v>
                </c:pt>
                <c:pt idx="12">
                  <c:v>7791.7</c:v>
                </c:pt>
                <c:pt idx="13">
                  <c:v>7557</c:v>
                </c:pt>
                <c:pt idx="14">
                  <c:v>7819</c:v>
                </c:pt>
                <c:pt idx="15">
                  <c:v>7944.1</c:v>
                </c:pt>
                <c:pt idx="16">
                  <c:v>7870.3</c:v>
                </c:pt>
                <c:pt idx="17">
                  <c:v>7557.2</c:v>
                </c:pt>
                <c:pt idx="18">
                  <c:v>7656.3</c:v>
                </c:pt>
                <c:pt idx="19">
                  <c:v>7424.7</c:v>
                </c:pt>
                <c:pt idx="20">
                  <c:v>7271</c:v>
                </c:pt>
              </c:numCache>
            </c:numRef>
          </c:val>
          <c:smooth val="0"/>
          <c:extLst>
            <c:ext xmlns:c16="http://schemas.microsoft.com/office/drawing/2014/chart" uri="{C3380CC4-5D6E-409C-BE32-E72D297353CC}">
              <c16:uniqueId val="{00000001-3C11-4EA8-A281-02DA911BED86}"/>
            </c:ext>
          </c:extLst>
        </c:ser>
        <c:dLbls>
          <c:showLegendKey val="0"/>
          <c:showVal val="0"/>
          <c:showCatName val="0"/>
          <c:showSerName val="0"/>
          <c:showPercent val="0"/>
          <c:showBubbleSize val="0"/>
        </c:dLbls>
        <c:marker val="1"/>
        <c:smooth val="0"/>
        <c:axId val="833305456"/>
        <c:axId val="833306768"/>
      </c:lineChart>
      <c:dateAx>
        <c:axId val="833305456"/>
        <c:scaling>
          <c:orientation val="minMax"/>
        </c:scaling>
        <c:delete val="0"/>
        <c:axPos val="b"/>
        <c:numFmt formatCode="mmm\-yy" sourceLinked="0"/>
        <c:majorTickMark val="out"/>
        <c:minorTickMark val="out"/>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306768"/>
        <c:crosses val="autoZero"/>
        <c:auto val="1"/>
        <c:lblOffset val="100"/>
        <c:baseTimeUnit val="months"/>
        <c:majorUnit val="6"/>
        <c:majorTimeUnit val="months"/>
        <c:minorUnit val="3"/>
        <c:minorTimeUnit val="months"/>
      </c:dateAx>
      <c:valAx>
        <c:axId val="833306768"/>
        <c:scaling>
          <c:orientation val="minMax"/>
          <c:max val="8500"/>
          <c:min val="5500"/>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i="1"/>
                  <a:t>$ billion</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305456"/>
        <c:crosses val="autoZero"/>
        <c:crossBetween val="between"/>
        <c:dispUnits>
          <c:builtInUnit val="thousands"/>
        </c:dispUnits>
      </c:valAx>
      <c:spPr>
        <a:noFill/>
        <a:ln>
          <a:noFill/>
        </a:ln>
        <a:effectLst/>
      </c:spPr>
    </c:plotArea>
    <c:legend>
      <c:legendPos val="b"/>
      <c:legendEntry>
        <c:idx val="0"/>
        <c:delete val="1"/>
      </c:legendEntry>
      <c:layout>
        <c:manualLayout>
          <c:xMode val="edge"/>
          <c:yMode val="edge"/>
          <c:x val="0.29268859402179848"/>
          <c:y val="0.90900448579004467"/>
          <c:w val="0.41462239178480492"/>
          <c:h val="9.099551420995535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98012748406449"/>
          <c:y val="4.6741907575694179E-2"/>
          <c:w val="0.75755005624296967"/>
          <c:h val="0.78124689480736509"/>
        </c:manualLayout>
      </c:layout>
      <c:barChart>
        <c:barDir val="col"/>
        <c:grouping val="clustered"/>
        <c:varyColors val="0"/>
        <c:ser>
          <c:idx val="2"/>
          <c:order val="2"/>
          <c:tx>
            <c:v>Lockdowns</c:v>
          </c:tx>
          <c:spPr>
            <a:solidFill>
              <a:srgbClr val="BFBFBF">
                <a:alpha val="50196"/>
              </a:srgbClr>
            </a:solidFill>
            <a:ln>
              <a:noFill/>
            </a:ln>
            <a:effectLst/>
          </c:spPr>
          <c:invertIfNegative val="0"/>
          <c:val>
            <c:numRef>
              <c:f>'Retail WMI'!$M$464:$M$486</c:f>
              <c:numCache>
                <c:formatCode>General</c:formatCode>
                <c:ptCount val="23"/>
                <c:pt idx="2">
                  <c:v>130</c:v>
                </c:pt>
                <c:pt idx="3">
                  <c:v>130</c:v>
                </c:pt>
                <c:pt idx="4">
                  <c:v>130</c:v>
                </c:pt>
                <c:pt idx="6">
                  <c:v>130</c:v>
                </c:pt>
                <c:pt idx="7">
                  <c:v>130</c:v>
                </c:pt>
                <c:pt idx="8">
                  <c:v>130</c:v>
                </c:pt>
                <c:pt idx="9">
                  <c:v>130</c:v>
                </c:pt>
                <c:pt idx="19">
                  <c:v>130</c:v>
                </c:pt>
                <c:pt idx="20">
                  <c:v>130</c:v>
                </c:pt>
                <c:pt idx="21">
                  <c:v>130</c:v>
                </c:pt>
              </c:numCache>
            </c:numRef>
          </c:val>
          <c:extLst>
            <c:ext xmlns:c16="http://schemas.microsoft.com/office/drawing/2014/chart" uri="{C3380CC4-5D6E-409C-BE32-E72D297353CC}">
              <c16:uniqueId val="{00000000-3376-4005-AE32-DFC830DD9D46}"/>
            </c:ext>
          </c:extLst>
        </c:ser>
        <c:dLbls>
          <c:showLegendKey val="0"/>
          <c:showVal val="0"/>
          <c:showCatName val="0"/>
          <c:showSerName val="0"/>
          <c:showPercent val="0"/>
          <c:showBubbleSize val="0"/>
        </c:dLbls>
        <c:gapWidth val="0"/>
        <c:axId val="833305456"/>
        <c:axId val="833306768"/>
      </c:barChart>
      <c:lineChart>
        <c:grouping val="standard"/>
        <c:varyColors val="0"/>
        <c:ser>
          <c:idx val="1"/>
          <c:order val="0"/>
          <c:tx>
            <c:v>Consumer sentiment</c:v>
          </c:tx>
          <c:spPr>
            <a:ln w="25400" cap="rnd">
              <a:solidFill>
                <a:sysClr val="windowText" lastClr="000000">
                  <a:lumMod val="75000"/>
                  <a:lumOff val="25000"/>
                </a:sysClr>
              </a:solidFill>
              <a:round/>
            </a:ln>
            <a:effectLst/>
          </c:spPr>
          <c:marker>
            <c:symbol val="none"/>
          </c:marker>
          <c:cat>
            <c:numRef>
              <c:f>'Retail WMI'!$A$464:$A$486</c:f>
              <c:numCache>
                <c:formatCode>mmm\-yyyy</c:formatCode>
                <c:ptCount val="23"/>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numCache>
            </c:numRef>
          </c:cat>
          <c:val>
            <c:numRef>
              <c:f>'Retail WMI'!$K$464:$K$486</c:f>
              <c:numCache>
                <c:formatCode>0.00</c:formatCode>
                <c:ptCount val="23"/>
                <c:pt idx="0">
                  <c:v>93.034266357599066</c:v>
                </c:pt>
                <c:pt idx="1">
                  <c:v>96.992921851299059</c:v>
                </c:pt>
                <c:pt idx="2">
                  <c:v>87.907722420726031</c:v>
                </c:pt>
                <c:pt idx="3">
                  <c:v>78.417797435031616</c:v>
                </c:pt>
                <c:pt idx="4">
                  <c:v>85.027136063433119</c:v>
                </c:pt>
                <c:pt idx="5">
                  <c:v>94.943635857097618</c:v>
                </c:pt>
                <c:pt idx="6">
                  <c:v>85.048219188641298</c:v>
                </c:pt>
                <c:pt idx="7">
                  <c:v>77.950075845066308</c:v>
                </c:pt>
                <c:pt idx="8">
                  <c:v>89.589298697371134</c:v>
                </c:pt>
                <c:pt idx="9">
                  <c:v>101.85360109832777</c:v>
                </c:pt>
                <c:pt idx="10">
                  <c:v>110.97000599183377</c:v>
                </c:pt>
                <c:pt idx="11">
                  <c:v>110.77161643475199</c:v>
                </c:pt>
                <c:pt idx="12">
                  <c:v>107.83490428601711</c:v>
                </c:pt>
                <c:pt idx="13">
                  <c:v>112.1441362749531</c:v>
                </c:pt>
                <c:pt idx="14">
                  <c:v>108.30943882522315</c:v>
                </c:pt>
                <c:pt idx="15">
                  <c:v>121.10317668947273</c:v>
                </c:pt>
                <c:pt idx="16">
                  <c:v>109.77769200214394</c:v>
                </c:pt>
                <c:pt idx="17">
                  <c:v>101.5967690229044</c:v>
                </c:pt>
                <c:pt idx="18">
                  <c:v>116.83978276696249</c:v>
                </c:pt>
                <c:pt idx="19">
                  <c:v>104.2420316916955</c:v>
                </c:pt>
                <c:pt idx="20">
                  <c:v>104.13937331633251</c:v>
                </c:pt>
                <c:pt idx="21">
                  <c:v>105.38743547350543</c:v>
                </c:pt>
                <c:pt idx="22">
                  <c:v>106.16160321751991</c:v>
                </c:pt>
              </c:numCache>
            </c:numRef>
          </c:val>
          <c:smooth val="0"/>
          <c:extLst>
            <c:ext xmlns:c16="http://schemas.microsoft.com/office/drawing/2014/chart" uri="{C3380CC4-5D6E-409C-BE32-E72D297353CC}">
              <c16:uniqueId val="{00000001-3376-4005-AE32-DFC830DD9D46}"/>
            </c:ext>
          </c:extLst>
        </c:ser>
        <c:ser>
          <c:idx val="0"/>
          <c:order val="1"/>
          <c:tx>
            <c:v>One hundred</c:v>
          </c:tx>
          <c:spPr>
            <a:ln w="12700" cap="rnd">
              <a:solidFill>
                <a:schemeClr val="tx1">
                  <a:lumMod val="50000"/>
                  <a:lumOff val="50000"/>
                </a:schemeClr>
              </a:solidFill>
              <a:prstDash val="sysDash"/>
              <a:round/>
            </a:ln>
            <a:effectLst/>
          </c:spPr>
          <c:marker>
            <c:symbol val="none"/>
          </c:marker>
          <c:cat>
            <c:numRef>
              <c:f>'Retail WMI'!$A$464:$A$486</c:f>
              <c:numCache>
                <c:formatCode>mmm\-yyyy</c:formatCode>
                <c:ptCount val="23"/>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numCache>
            </c:numRef>
          </c:cat>
          <c:val>
            <c:numRef>
              <c:f>'Retail WMI'!$J$464:$J$486</c:f>
              <c:numCache>
                <c:formatCode>General</c:formatCode>
                <c:ptCount val="23"/>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numCache>
            </c:numRef>
          </c:val>
          <c:smooth val="0"/>
          <c:extLst>
            <c:ext xmlns:c16="http://schemas.microsoft.com/office/drawing/2014/chart" uri="{C3380CC4-5D6E-409C-BE32-E72D297353CC}">
              <c16:uniqueId val="{00000002-3376-4005-AE32-DFC830DD9D46}"/>
            </c:ext>
          </c:extLst>
        </c:ser>
        <c:dLbls>
          <c:showLegendKey val="0"/>
          <c:showVal val="0"/>
          <c:showCatName val="0"/>
          <c:showSerName val="0"/>
          <c:showPercent val="0"/>
          <c:showBubbleSize val="0"/>
        </c:dLbls>
        <c:marker val="1"/>
        <c:smooth val="0"/>
        <c:axId val="833305456"/>
        <c:axId val="833306768"/>
      </c:lineChart>
      <c:dateAx>
        <c:axId val="833305456"/>
        <c:scaling>
          <c:orientation val="minMax"/>
        </c:scaling>
        <c:delete val="0"/>
        <c:axPos val="b"/>
        <c:numFmt formatCode="mmm\-yy" sourceLinked="0"/>
        <c:majorTickMark val="out"/>
        <c:minorTickMark val="out"/>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306768"/>
        <c:crosses val="autoZero"/>
        <c:auto val="1"/>
        <c:lblOffset val="100"/>
        <c:baseTimeUnit val="months"/>
        <c:majorUnit val="6"/>
        <c:majorTimeUnit val="months"/>
        <c:minorUnit val="3"/>
        <c:minorTimeUnit val="months"/>
      </c:dateAx>
      <c:valAx>
        <c:axId val="833306768"/>
        <c:scaling>
          <c:orientation val="minMax"/>
          <c:max val="130"/>
          <c:min val="60"/>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i="1"/>
                  <a:t>index (100=neutral)</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305456"/>
        <c:crosses val="autoZero"/>
        <c:crossBetween val="between"/>
      </c:valAx>
      <c:spPr>
        <a:noFill/>
        <a:ln>
          <a:noFill/>
        </a:ln>
        <a:effectLst/>
      </c:spPr>
    </c:plotArea>
    <c:legend>
      <c:legendPos val="b"/>
      <c:legendEntry>
        <c:idx val="0"/>
        <c:delete val="1"/>
      </c:legendEntry>
      <c:legendEntry>
        <c:idx val="2"/>
        <c:delete val="1"/>
      </c:legendEntry>
      <c:layout>
        <c:manualLayout>
          <c:xMode val="edge"/>
          <c:yMode val="edge"/>
          <c:x val="0.20134551374527518"/>
          <c:y val="0.90234843971463419"/>
          <c:w val="0.61777980157802692"/>
          <c:h val="9.218857203079060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38796788794346"/>
          <c:y val="3.9337219893103743E-2"/>
          <c:w val="0.82907029120218811"/>
          <c:h val="0.7011991764502491"/>
        </c:manualLayout>
      </c:layout>
      <c:lineChart>
        <c:grouping val="standard"/>
        <c:varyColors val="0"/>
        <c:ser>
          <c:idx val="0"/>
          <c:order val="0"/>
          <c:tx>
            <c:strRef>
              <c:f>'Updated forecast'!$C$18</c:f>
              <c:strCache>
                <c:ptCount val="1"/>
                <c:pt idx="0">
                  <c:v>2021-22 Budget (quarterly)</c:v>
                </c:pt>
              </c:strCache>
            </c:strRef>
          </c:tx>
          <c:spPr>
            <a:ln w="22225" cap="rnd">
              <a:solidFill>
                <a:schemeClr val="bg1">
                  <a:lumMod val="65000"/>
                </a:schemeClr>
              </a:solidFill>
              <a:round/>
            </a:ln>
            <a:effectLst/>
          </c:spPr>
          <c:marker>
            <c:symbol val="none"/>
          </c:marker>
          <c:cat>
            <c:numRef>
              <c:f>'Updated forecast'!$A$24:$A$44</c:f>
              <c:numCache>
                <c:formatCode>mmm\ yyyy</c:formatCode>
                <c:ptCount val="21"/>
                <c:pt idx="0">
                  <c:v>43617</c:v>
                </c:pt>
                <c:pt idx="1">
                  <c:v>43709</c:v>
                </c:pt>
                <c:pt idx="2">
                  <c:v>43800</c:v>
                </c:pt>
                <c:pt idx="3">
                  <c:v>43891</c:v>
                </c:pt>
                <c:pt idx="4">
                  <c:v>43983</c:v>
                </c:pt>
                <c:pt idx="5">
                  <c:v>44075</c:v>
                </c:pt>
                <c:pt idx="6">
                  <c:v>44166</c:v>
                </c:pt>
                <c:pt idx="7">
                  <c:v>44256</c:v>
                </c:pt>
                <c:pt idx="8">
                  <c:v>44348</c:v>
                </c:pt>
                <c:pt idx="9">
                  <c:v>44440</c:v>
                </c:pt>
                <c:pt idx="10">
                  <c:v>44531</c:v>
                </c:pt>
                <c:pt idx="11">
                  <c:v>44621</c:v>
                </c:pt>
                <c:pt idx="12">
                  <c:v>44713</c:v>
                </c:pt>
                <c:pt idx="13">
                  <c:v>44805</c:v>
                </c:pt>
                <c:pt idx="14">
                  <c:v>44896</c:v>
                </c:pt>
                <c:pt idx="15">
                  <c:v>44986</c:v>
                </c:pt>
                <c:pt idx="16">
                  <c:v>45078</c:v>
                </c:pt>
                <c:pt idx="17">
                  <c:v>45170</c:v>
                </c:pt>
                <c:pt idx="18">
                  <c:v>45261</c:v>
                </c:pt>
                <c:pt idx="19">
                  <c:v>45352</c:v>
                </c:pt>
                <c:pt idx="20">
                  <c:v>45444</c:v>
                </c:pt>
              </c:numCache>
            </c:numRef>
          </c:cat>
          <c:val>
            <c:numRef>
              <c:f>'Updated forecast'!$C$24:$C$44</c:f>
              <c:numCache>
                <c:formatCode>#,##0</c:formatCode>
                <c:ptCount val="21"/>
                <c:pt idx="0">
                  <c:v>114012.33211005788</c:v>
                </c:pt>
                <c:pt idx="1">
                  <c:v>114452.72496562886</c:v>
                </c:pt>
                <c:pt idx="2">
                  <c:v>115089.75872501383</c:v>
                </c:pt>
                <c:pt idx="3">
                  <c:v>115089.75872501383</c:v>
                </c:pt>
                <c:pt idx="4">
                  <c:v>105192.03947466264</c:v>
                </c:pt>
                <c:pt idx="5">
                  <c:v>103719.35092201736</c:v>
                </c:pt>
                <c:pt idx="6">
                  <c:v>109631.35392457234</c:v>
                </c:pt>
                <c:pt idx="7">
                  <c:v>113643.86147821168</c:v>
                </c:pt>
                <c:pt idx="8">
                  <c:v>114280.26710248967</c:v>
                </c:pt>
                <c:pt idx="9">
                  <c:v>116051.61124257826</c:v>
                </c:pt>
                <c:pt idx="10">
                  <c:v>117223.73251612831</c:v>
                </c:pt>
                <c:pt idx="11">
                  <c:v>118138.07762975412</c:v>
                </c:pt>
                <c:pt idx="12">
                  <c:v>119083.18225079215</c:v>
                </c:pt>
                <c:pt idx="13">
                  <c:v>120000.12275412325</c:v>
                </c:pt>
                <c:pt idx="14">
                  <c:v>120900.12367477918</c:v>
                </c:pt>
                <c:pt idx="15">
                  <c:v>121806.87460234003</c:v>
                </c:pt>
                <c:pt idx="16">
                  <c:v>122683.88409947688</c:v>
                </c:pt>
                <c:pt idx="17">
                  <c:v>123542.67128817321</c:v>
                </c:pt>
                <c:pt idx="18">
                  <c:v>124296.28158303107</c:v>
                </c:pt>
                <c:pt idx="19">
                  <c:v>125104.20741332076</c:v>
                </c:pt>
                <c:pt idx="20">
                  <c:v>125917.38476150735</c:v>
                </c:pt>
              </c:numCache>
            </c:numRef>
          </c:val>
          <c:smooth val="0"/>
          <c:extLst>
            <c:ext xmlns:c16="http://schemas.microsoft.com/office/drawing/2014/chart" uri="{C3380CC4-5D6E-409C-BE32-E72D297353CC}">
              <c16:uniqueId val="{00000000-9B8E-4F01-94B9-B33A134C0FF1}"/>
            </c:ext>
          </c:extLst>
        </c:ser>
        <c:ser>
          <c:idx val="1"/>
          <c:order val="1"/>
          <c:tx>
            <c:strRef>
              <c:f>'Updated forecast'!$B$18</c:f>
              <c:strCache>
                <c:ptCount val="1"/>
                <c:pt idx="0">
                  <c:v>2021-22 Budget Update (quarterly)</c:v>
                </c:pt>
              </c:strCache>
            </c:strRef>
          </c:tx>
          <c:spPr>
            <a:ln w="22225" cap="rnd">
              <a:solidFill>
                <a:sysClr val="windowText" lastClr="000000"/>
              </a:solidFill>
              <a:round/>
            </a:ln>
            <a:effectLst/>
          </c:spPr>
          <c:marker>
            <c:symbol val="none"/>
          </c:marker>
          <c:cat>
            <c:numRef>
              <c:f>'Updated forecast'!$A$24:$A$44</c:f>
              <c:numCache>
                <c:formatCode>mmm\ yyyy</c:formatCode>
                <c:ptCount val="21"/>
                <c:pt idx="0">
                  <c:v>43617</c:v>
                </c:pt>
                <c:pt idx="1">
                  <c:v>43709</c:v>
                </c:pt>
                <c:pt idx="2">
                  <c:v>43800</c:v>
                </c:pt>
                <c:pt idx="3">
                  <c:v>43891</c:v>
                </c:pt>
                <c:pt idx="4">
                  <c:v>43983</c:v>
                </c:pt>
                <c:pt idx="5">
                  <c:v>44075</c:v>
                </c:pt>
                <c:pt idx="6">
                  <c:v>44166</c:v>
                </c:pt>
                <c:pt idx="7">
                  <c:v>44256</c:v>
                </c:pt>
                <c:pt idx="8">
                  <c:v>44348</c:v>
                </c:pt>
                <c:pt idx="9">
                  <c:v>44440</c:v>
                </c:pt>
                <c:pt idx="10">
                  <c:v>44531</c:v>
                </c:pt>
                <c:pt idx="11">
                  <c:v>44621</c:v>
                </c:pt>
                <c:pt idx="12">
                  <c:v>44713</c:v>
                </c:pt>
                <c:pt idx="13">
                  <c:v>44805</c:v>
                </c:pt>
                <c:pt idx="14">
                  <c:v>44896</c:v>
                </c:pt>
                <c:pt idx="15">
                  <c:v>44986</c:v>
                </c:pt>
                <c:pt idx="16">
                  <c:v>45078</c:v>
                </c:pt>
                <c:pt idx="17">
                  <c:v>45170</c:v>
                </c:pt>
                <c:pt idx="18">
                  <c:v>45261</c:v>
                </c:pt>
                <c:pt idx="19">
                  <c:v>45352</c:v>
                </c:pt>
                <c:pt idx="20">
                  <c:v>45444</c:v>
                </c:pt>
              </c:numCache>
            </c:numRef>
          </c:cat>
          <c:val>
            <c:numRef>
              <c:f>'Updated forecast'!$B$24:$B$44</c:f>
              <c:numCache>
                <c:formatCode>#,##0</c:formatCode>
                <c:ptCount val="21"/>
                <c:pt idx="0">
                  <c:v>114012.33211005788</c:v>
                </c:pt>
                <c:pt idx="1">
                  <c:v>114452.72496562886</c:v>
                </c:pt>
                <c:pt idx="2">
                  <c:v>114763.75213754637</c:v>
                </c:pt>
                <c:pt idx="3">
                  <c:v>114795.86233021819</c:v>
                </c:pt>
                <c:pt idx="4">
                  <c:v>107680</c:v>
                </c:pt>
                <c:pt idx="5">
                  <c:v>106053.79004611175</c:v>
                </c:pt>
                <c:pt idx="6">
                  <c:v>112209.105853845</c:v>
                </c:pt>
                <c:pt idx="7">
                  <c:v>115070.496388385</c:v>
                </c:pt>
                <c:pt idx="8">
                  <c:v>116645.864456054</c:v>
                </c:pt>
                <c:pt idx="9">
                  <c:v>108795.597778162</c:v>
                </c:pt>
                <c:pt idx="10">
                  <c:v>115747.636476186</c:v>
                </c:pt>
                <c:pt idx="11">
                  <c:v>117252.3557503764</c:v>
                </c:pt>
                <c:pt idx="12">
                  <c:v>118249.0007742546</c:v>
                </c:pt>
                <c:pt idx="13">
                  <c:v>119076.74377967438</c:v>
                </c:pt>
                <c:pt idx="14">
                  <c:v>119731.66587046259</c:v>
                </c:pt>
                <c:pt idx="15">
                  <c:v>120569.78753155582</c:v>
                </c:pt>
                <c:pt idx="16">
                  <c:v>121293.20625674515</c:v>
                </c:pt>
                <c:pt idx="17">
                  <c:v>122193.5616940856</c:v>
                </c:pt>
                <c:pt idx="18">
                  <c:v>122940.44409153596</c:v>
                </c:pt>
                <c:pt idx="19">
                  <c:v>123839.70641523082</c:v>
                </c:pt>
                <c:pt idx="20">
                  <c:v>124646.26464828345</c:v>
                </c:pt>
              </c:numCache>
            </c:numRef>
          </c:val>
          <c:smooth val="0"/>
          <c:extLst>
            <c:ext xmlns:c16="http://schemas.microsoft.com/office/drawing/2014/chart" uri="{C3380CC4-5D6E-409C-BE32-E72D297353CC}">
              <c16:uniqueId val="{00000001-9B8E-4F01-94B9-B33A134C0FF1}"/>
            </c:ext>
          </c:extLst>
        </c:ser>
        <c:ser>
          <c:idx val="3"/>
          <c:order val="2"/>
          <c:tx>
            <c:strRef>
              <c:f>'Updated forecast'!$E$18</c:f>
              <c:strCache>
                <c:ptCount val="1"/>
                <c:pt idx="0">
                  <c:v>2021-22 Budget (year average)</c:v>
                </c:pt>
              </c:strCache>
            </c:strRef>
          </c:tx>
          <c:spPr>
            <a:ln w="22225" cap="rnd">
              <a:solidFill>
                <a:schemeClr val="bg1">
                  <a:lumMod val="65000"/>
                </a:schemeClr>
              </a:solidFill>
              <a:prstDash val="dash"/>
              <a:round/>
            </a:ln>
            <a:effectLst/>
          </c:spPr>
          <c:marker>
            <c:symbol val="none"/>
          </c:marker>
          <c:dPt>
            <c:idx val="0"/>
            <c:marker>
              <c:symbol val="none"/>
            </c:marker>
            <c:bubble3D val="0"/>
            <c:spPr>
              <a:ln w="22225" cap="rnd">
                <a:noFill/>
                <a:prstDash val="dash"/>
                <a:round/>
              </a:ln>
              <a:effectLst/>
            </c:spPr>
            <c:extLst>
              <c:ext xmlns:c16="http://schemas.microsoft.com/office/drawing/2014/chart" uri="{C3380CC4-5D6E-409C-BE32-E72D297353CC}">
                <c16:uniqueId val="{00000003-9B8E-4F01-94B9-B33A134C0FF1}"/>
              </c:ext>
            </c:extLst>
          </c:dPt>
          <c:dPt>
            <c:idx val="9"/>
            <c:marker>
              <c:symbol val="none"/>
            </c:marker>
            <c:bubble3D val="0"/>
            <c:spPr>
              <a:ln w="22225" cap="rnd">
                <a:noFill/>
                <a:prstDash val="dash"/>
                <a:round/>
              </a:ln>
              <a:effectLst/>
            </c:spPr>
            <c:extLst>
              <c:ext xmlns:c16="http://schemas.microsoft.com/office/drawing/2014/chart" uri="{C3380CC4-5D6E-409C-BE32-E72D297353CC}">
                <c16:uniqueId val="{00000005-9B8E-4F01-94B9-B33A134C0FF1}"/>
              </c:ext>
            </c:extLst>
          </c:dPt>
          <c:dPt>
            <c:idx val="13"/>
            <c:marker>
              <c:symbol val="none"/>
            </c:marker>
            <c:bubble3D val="0"/>
            <c:spPr>
              <a:ln w="22225" cap="rnd">
                <a:noFill/>
                <a:prstDash val="dash"/>
                <a:round/>
              </a:ln>
              <a:effectLst/>
            </c:spPr>
            <c:extLst>
              <c:ext xmlns:c16="http://schemas.microsoft.com/office/drawing/2014/chart" uri="{C3380CC4-5D6E-409C-BE32-E72D297353CC}">
                <c16:uniqueId val="{00000007-9B8E-4F01-94B9-B33A134C0FF1}"/>
              </c:ext>
            </c:extLst>
          </c:dPt>
          <c:dPt>
            <c:idx val="17"/>
            <c:marker>
              <c:symbol val="none"/>
            </c:marker>
            <c:bubble3D val="0"/>
            <c:spPr>
              <a:ln w="22225" cap="rnd">
                <a:noFill/>
                <a:prstDash val="dash"/>
                <a:round/>
              </a:ln>
              <a:effectLst/>
            </c:spPr>
            <c:extLst>
              <c:ext xmlns:c16="http://schemas.microsoft.com/office/drawing/2014/chart" uri="{C3380CC4-5D6E-409C-BE32-E72D297353CC}">
                <c16:uniqueId val="{00000009-9B8E-4F01-94B9-B33A134C0FF1}"/>
              </c:ext>
            </c:extLst>
          </c:dPt>
          <c:cat>
            <c:numRef>
              <c:f>'Updated forecast'!$A$24:$A$44</c:f>
              <c:numCache>
                <c:formatCode>mmm\ yyyy</c:formatCode>
                <c:ptCount val="21"/>
                <c:pt idx="0">
                  <c:v>43617</c:v>
                </c:pt>
                <c:pt idx="1">
                  <c:v>43709</c:v>
                </c:pt>
                <c:pt idx="2">
                  <c:v>43800</c:v>
                </c:pt>
                <c:pt idx="3">
                  <c:v>43891</c:v>
                </c:pt>
                <c:pt idx="4">
                  <c:v>43983</c:v>
                </c:pt>
                <c:pt idx="5">
                  <c:v>44075</c:v>
                </c:pt>
                <c:pt idx="6">
                  <c:v>44166</c:v>
                </c:pt>
                <c:pt idx="7">
                  <c:v>44256</c:v>
                </c:pt>
                <c:pt idx="8">
                  <c:v>44348</c:v>
                </c:pt>
                <c:pt idx="9">
                  <c:v>44440</c:v>
                </c:pt>
                <c:pt idx="10">
                  <c:v>44531</c:v>
                </c:pt>
                <c:pt idx="11">
                  <c:v>44621</c:v>
                </c:pt>
                <c:pt idx="12">
                  <c:v>44713</c:v>
                </c:pt>
                <c:pt idx="13">
                  <c:v>44805</c:v>
                </c:pt>
                <c:pt idx="14">
                  <c:v>44896</c:v>
                </c:pt>
                <c:pt idx="15">
                  <c:v>44986</c:v>
                </c:pt>
                <c:pt idx="16">
                  <c:v>45078</c:v>
                </c:pt>
                <c:pt idx="17">
                  <c:v>45170</c:v>
                </c:pt>
                <c:pt idx="18">
                  <c:v>45261</c:v>
                </c:pt>
                <c:pt idx="19">
                  <c:v>45352</c:v>
                </c:pt>
                <c:pt idx="20">
                  <c:v>45444</c:v>
                </c:pt>
              </c:numCache>
            </c:numRef>
          </c:cat>
          <c:val>
            <c:numRef>
              <c:f>'Updated forecast'!$E$24:$E$44</c:f>
              <c:numCache>
                <c:formatCode>General</c:formatCode>
                <c:ptCount val="21"/>
                <c:pt idx="5" formatCode="#,##0">
                  <c:v>110318.70835682277</c:v>
                </c:pt>
                <c:pt idx="6" formatCode="#,##0">
                  <c:v>110318.70835682277</c:v>
                </c:pt>
                <c:pt idx="7" formatCode="#,##0">
                  <c:v>110318.70835682277</c:v>
                </c:pt>
                <c:pt idx="8" formatCode="#,##0">
                  <c:v>110318.70835682277</c:v>
                </c:pt>
                <c:pt idx="9" formatCode="#,##0">
                  <c:v>117624.15090981321</c:v>
                </c:pt>
                <c:pt idx="10" formatCode="#,##0">
                  <c:v>117624.15090981321</c:v>
                </c:pt>
                <c:pt idx="11" formatCode="#,##0">
                  <c:v>117624.15090981321</c:v>
                </c:pt>
                <c:pt idx="12" formatCode="#,##0">
                  <c:v>117624.15090981321</c:v>
                </c:pt>
                <c:pt idx="13" formatCode="#,##0">
                  <c:v>121347.75128267985</c:v>
                </c:pt>
                <c:pt idx="14" formatCode="#,##0">
                  <c:v>121347.75128267985</c:v>
                </c:pt>
                <c:pt idx="15" formatCode="#,##0">
                  <c:v>121347.75128267985</c:v>
                </c:pt>
                <c:pt idx="16" formatCode="#,##0">
                  <c:v>121347.75128267985</c:v>
                </c:pt>
                <c:pt idx="17" formatCode="#,##0">
                  <c:v>124715.1362615081</c:v>
                </c:pt>
                <c:pt idx="18" formatCode="#,##0">
                  <c:v>124715.1362615081</c:v>
                </c:pt>
                <c:pt idx="19" formatCode="#,##0">
                  <c:v>124715.1362615081</c:v>
                </c:pt>
                <c:pt idx="20" formatCode="#,##0">
                  <c:v>124715.1362615081</c:v>
                </c:pt>
              </c:numCache>
            </c:numRef>
          </c:val>
          <c:smooth val="0"/>
          <c:extLst>
            <c:ext xmlns:c16="http://schemas.microsoft.com/office/drawing/2014/chart" uri="{C3380CC4-5D6E-409C-BE32-E72D297353CC}">
              <c16:uniqueId val="{0000000A-9B8E-4F01-94B9-B33A134C0FF1}"/>
            </c:ext>
          </c:extLst>
        </c:ser>
        <c:ser>
          <c:idx val="2"/>
          <c:order val="3"/>
          <c:tx>
            <c:strRef>
              <c:f>'Updated forecast'!$D$18</c:f>
              <c:strCache>
                <c:ptCount val="1"/>
                <c:pt idx="0">
                  <c:v>2021-22 Budget Update (year average)</c:v>
                </c:pt>
              </c:strCache>
            </c:strRef>
          </c:tx>
          <c:spPr>
            <a:ln w="22225" cap="rnd">
              <a:solidFill>
                <a:sysClr val="windowText" lastClr="000000"/>
              </a:solidFill>
              <a:prstDash val="dash"/>
              <a:round/>
            </a:ln>
            <a:effectLst/>
          </c:spPr>
          <c:marker>
            <c:symbol val="none"/>
          </c:marker>
          <c:dPt>
            <c:idx val="5"/>
            <c:marker>
              <c:symbol val="none"/>
            </c:marker>
            <c:bubble3D val="0"/>
            <c:spPr>
              <a:ln w="22225" cap="rnd">
                <a:noFill/>
                <a:prstDash val="dash"/>
                <a:round/>
              </a:ln>
              <a:effectLst/>
            </c:spPr>
            <c:extLst>
              <c:ext xmlns:c16="http://schemas.microsoft.com/office/drawing/2014/chart" uri="{C3380CC4-5D6E-409C-BE32-E72D297353CC}">
                <c16:uniqueId val="{0000000C-9B8E-4F01-94B9-B33A134C0FF1}"/>
              </c:ext>
            </c:extLst>
          </c:dPt>
          <c:dPt>
            <c:idx val="9"/>
            <c:marker>
              <c:symbol val="none"/>
            </c:marker>
            <c:bubble3D val="0"/>
            <c:spPr>
              <a:ln w="22225" cap="rnd">
                <a:noFill/>
                <a:prstDash val="dash"/>
                <a:round/>
              </a:ln>
              <a:effectLst/>
            </c:spPr>
            <c:extLst>
              <c:ext xmlns:c16="http://schemas.microsoft.com/office/drawing/2014/chart" uri="{C3380CC4-5D6E-409C-BE32-E72D297353CC}">
                <c16:uniqueId val="{0000000E-9B8E-4F01-94B9-B33A134C0FF1}"/>
              </c:ext>
            </c:extLst>
          </c:dPt>
          <c:dPt>
            <c:idx val="13"/>
            <c:marker>
              <c:symbol val="none"/>
            </c:marker>
            <c:bubble3D val="0"/>
            <c:spPr>
              <a:ln w="22225" cap="rnd">
                <a:noFill/>
                <a:prstDash val="dash"/>
                <a:round/>
              </a:ln>
              <a:effectLst/>
            </c:spPr>
            <c:extLst>
              <c:ext xmlns:c16="http://schemas.microsoft.com/office/drawing/2014/chart" uri="{C3380CC4-5D6E-409C-BE32-E72D297353CC}">
                <c16:uniqueId val="{00000010-9B8E-4F01-94B9-B33A134C0FF1}"/>
              </c:ext>
            </c:extLst>
          </c:dPt>
          <c:dPt>
            <c:idx val="17"/>
            <c:marker>
              <c:symbol val="none"/>
            </c:marker>
            <c:bubble3D val="0"/>
            <c:spPr>
              <a:ln w="22225" cap="rnd">
                <a:noFill/>
                <a:prstDash val="dash"/>
                <a:round/>
              </a:ln>
              <a:effectLst/>
            </c:spPr>
            <c:extLst>
              <c:ext xmlns:c16="http://schemas.microsoft.com/office/drawing/2014/chart" uri="{C3380CC4-5D6E-409C-BE32-E72D297353CC}">
                <c16:uniqueId val="{00000012-9B8E-4F01-94B9-B33A134C0FF1}"/>
              </c:ext>
            </c:extLst>
          </c:dPt>
          <c:cat>
            <c:numRef>
              <c:f>'Updated forecast'!$A$24:$A$44</c:f>
              <c:numCache>
                <c:formatCode>mmm\ yyyy</c:formatCode>
                <c:ptCount val="21"/>
                <c:pt idx="0">
                  <c:v>43617</c:v>
                </c:pt>
                <c:pt idx="1">
                  <c:v>43709</c:v>
                </c:pt>
                <c:pt idx="2">
                  <c:v>43800</c:v>
                </c:pt>
                <c:pt idx="3">
                  <c:v>43891</c:v>
                </c:pt>
                <c:pt idx="4">
                  <c:v>43983</c:v>
                </c:pt>
                <c:pt idx="5">
                  <c:v>44075</c:v>
                </c:pt>
                <c:pt idx="6">
                  <c:v>44166</c:v>
                </c:pt>
                <c:pt idx="7">
                  <c:v>44256</c:v>
                </c:pt>
                <c:pt idx="8">
                  <c:v>44348</c:v>
                </c:pt>
                <c:pt idx="9">
                  <c:v>44440</c:v>
                </c:pt>
                <c:pt idx="10">
                  <c:v>44531</c:v>
                </c:pt>
                <c:pt idx="11">
                  <c:v>44621</c:v>
                </c:pt>
                <c:pt idx="12">
                  <c:v>44713</c:v>
                </c:pt>
                <c:pt idx="13">
                  <c:v>44805</c:v>
                </c:pt>
                <c:pt idx="14">
                  <c:v>44896</c:v>
                </c:pt>
                <c:pt idx="15">
                  <c:v>44986</c:v>
                </c:pt>
                <c:pt idx="16">
                  <c:v>45078</c:v>
                </c:pt>
                <c:pt idx="17">
                  <c:v>45170</c:v>
                </c:pt>
                <c:pt idx="18">
                  <c:v>45261</c:v>
                </c:pt>
                <c:pt idx="19">
                  <c:v>45352</c:v>
                </c:pt>
                <c:pt idx="20">
                  <c:v>45444</c:v>
                </c:pt>
              </c:numCache>
            </c:numRef>
          </c:cat>
          <c:val>
            <c:numRef>
              <c:f>'Updated forecast'!$D$24:$D$44</c:f>
              <c:numCache>
                <c:formatCode>#,##0</c:formatCode>
                <c:ptCount val="21"/>
                <c:pt idx="1">
                  <c:v>112923.08485834836</c:v>
                </c:pt>
                <c:pt idx="2">
                  <c:v>112923.08485834836</c:v>
                </c:pt>
                <c:pt idx="3">
                  <c:v>112923.08485834836</c:v>
                </c:pt>
                <c:pt idx="4">
                  <c:v>112923.08485834836</c:v>
                </c:pt>
                <c:pt idx="5">
                  <c:v>112494.81418609894</c:v>
                </c:pt>
                <c:pt idx="6">
                  <c:v>112494.81418609894</c:v>
                </c:pt>
                <c:pt idx="7">
                  <c:v>112494.81418609894</c:v>
                </c:pt>
                <c:pt idx="8">
                  <c:v>112494.81418609894</c:v>
                </c:pt>
                <c:pt idx="9">
                  <c:v>115011.14769474475</c:v>
                </c:pt>
                <c:pt idx="10">
                  <c:v>115011.14769474475</c:v>
                </c:pt>
                <c:pt idx="11">
                  <c:v>115011.14769474475</c:v>
                </c:pt>
                <c:pt idx="12">
                  <c:v>115011.14769474475</c:v>
                </c:pt>
                <c:pt idx="13">
                  <c:v>120167.85085960948</c:v>
                </c:pt>
                <c:pt idx="14">
                  <c:v>120167.85085960948</c:v>
                </c:pt>
                <c:pt idx="15">
                  <c:v>120167.85085960948</c:v>
                </c:pt>
                <c:pt idx="16">
                  <c:v>120167.85085960948</c:v>
                </c:pt>
                <c:pt idx="17">
                  <c:v>123404.99421228396</c:v>
                </c:pt>
                <c:pt idx="18">
                  <c:v>123404.99421228396</c:v>
                </c:pt>
                <c:pt idx="19">
                  <c:v>123404.99421228396</c:v>
                </c:pt>
                <c:pt idx="20">
                  <c:v>123404.99421228396</c:v>
                </c:pt>
              </c:numCache>
            </c:numRef>
          </c:val>
          <c:smooth val="0"/>
          <c:extLst>
            <c:ext xmlns:c16="http://schemas.microsoft.com/office/drawing/2014/chart" uri="{C3380CC4-5D6E-409C-BE32-E72D297353CC}">
              <c16:uniqueId val="{00000013-9B8E-4F01-94B9-B33A134C0FF1}"/>
            </c:ext>
          </c:extLst>
        </c:ser>
        <c:dLbls>
          <c:showLegendKey val="0"/>
          <c:showVal val="0"/>
          <c:showCatName val="0"/>
          <c:showSerName val="0"/>
          <c:showPercent val="0"/>
          <c:showBubbleSize val="0"/>
        </c:dLbls>
        <c:smooth val="0"/>
        <c:axId val="972370832"/>
        <c:axId val="972369520"/>
      </c:lineChart>
      <c:dateAx>
        <c:axId val="972370832"/>
        <c:scaling>
          <c:orientation val="minMax"/>
          <c:min val="43617"/>
        </c:scaling>
        <c:delete val="0"/>
        <c:axPos val="b"/>
        <c:numFmt formatCode="mmm\ yyyy" sourceLinked="1"/>
        <c:majorTickMark val="out"/>
        <c:minorTickMark val="in"/>
        <c:tickLblPos val="nextTo"/>
        <c:spPr>
          <a:noFill/>
          <a:ln w="952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972369520"/>
        <c:crosses val="autoZero"/>
        <c:auto val="1"/>
        <c:lblOffset val="100"/>
        <c:baseTimeUnit val="months"/>
        <c:majorUnit val="12"/>
        <c:majorTimeUnit val="months"/>
        <c:minorUnit val="6"/>
        <c:minorTimeUnit val="months"/>
      </c:dateAx>
      <c:valAx>
        <c:axId val="972369520"/>
        <c:scaling>
          <c:orientation val="minMax"/>
          <c:min val="100000"/>
        </c:scaling>
        <c:delete val="0"/>
        <c:axPos val="l"/>
        <c:majorGridlines>
          <c:spPr>
            <a:ln w="9525"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r>
                  <a:rPr lang="en-US" sz="800" i="1"/>
                  <a:t>$ billion</a:t>
                </a:r>
              </a:p>
            </c:rich>
          </c:tx>
          <c:layout>
            <c:manualLayout>
              <c:xMode val="edge"/>
              <c:yMode val="edge"/>
              <c:x val="1.5750727546492913E-3"/>
              <c:y val="0.3006654404454505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title>
        <c:numFmt formatCode="#\ ##0" sourceLinked="0"/>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972370832"/>
        <c:crosses val="autoZero"/>
        <c:crossBetween val="between"/>
        <c:majorUnit val="5000"/>
        <c:dispUnits>
          <c:builtInUnit val="thousands"/>
        </c:dispUnits>
      </c:valAx>
      <c:spPr>
        <a:noFill/>
        <a:ln w="25400">
          <a:noFill/>
        </a:ln>
        <a:effectLst/>
      </c:spPr>
    </c:plotArea>
    <c:legend>
      <c:legendPos val="b"/>
      <c:layout>
        <c:manualLayout>
          <c:xMode val="edge"/>
          <c:yMode val="edge"/>
          <c:x val="3.5643112609983964E-2"/>
          <c:y val="0.8733040409025381"/>
          <c:w val="0.91454834382813843"/>
          <c:h val="0.1007072542933374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extLst/>
  </c:chart>
  <c:spPr>
    <a:noFill/>
    <a:ln w="9525" cap="flat" cmpd="sng" algn="ctr">
      <a:noFill/>
      <a:round/>
    </a:ln>
    <a:effectLst/>
  </c:spPr>
  <c:txPr>
    <a:bodyPr/>
    <a:lstStyle/>
    <a:p>
      <a:pPr>
        <a:defRPr sz="1000">
          <a:solidFill>
            <a:schemeClr val="tx1"/>
          </a:solidFill>
          <a:latin typeface="+mn-lt"/>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249056196742531"/>
          <c:y val="3.2209394806894373E-2"/>
          <c:w val="0.70153424657534247"/>
          <c:h val="0.68925153273843931"/>
        </c:manualLayout>
      </c:layout>
      <c:barChart>
        <c:barDir val="col"/>
        <c:grouping val="stacked"/>
        <c:varyColors val="0"/>
        <c:ser>
          <c:idx val="1"/>
          <c:order val="0"/>
          <c:tx>
            <c:strRef>
              <c:f>Sheet1!$O$153</c:f>
              <c:strCache>
                <c:ptCount val="1"/>
                <c:pt idx="0">
                  <c:v>Natural increase</c:v>
                </c:pt>
              </c:strCache>
            </c:strRef>
          </c:tx>
          <c:spPr>
            <a:solidFill>
              <a:srgbClr val="808080"/>
            </a:solidFill>
            <a:effectLst/>
          </c:spPr>
          <c:invertIfNegative val="0"/>
          <c:cat>
            <c:strRef>
              <c:f>Sheet1!$N$160:$N$170</c:f>
              <c:strCache>
                <c:ptCount val="11"/>
                <c:pt idx="0">
                  <c:v>2010-11</c:v>
                </c:pt>
                <c:pt idx="5">
                  <c:v>2015-16</c:v>
                </c:pt>
                <c:pt idx="10">
                  <c:v>2020-21(a)</c:v>
                </c:pt>
              </c:strCache>
            </c:strRef>
          </c:cat>
          <c:val>
            <c:numRef>
              <c:f>Sheet1!$O$160:$O$170</c:f>
              <c:numCache>
                <c:formatCode>0</c:formatCode>
                <c:ptCount val="11"/>
                <c:pt idx="0">
                  <c:v>35.171999999999997</c:v>
                </c:pt>
                <c:pt idx="1">
                  <c:v>38.85</c:v>
                </c:pt>
                <c:pt idx="2">
                  <c:v>39.954000000000001</c:v>
                </c:pt>
                <c:pt idx="3">
                  <c:v>39.219000000000001</c:v>
                </c:pt>
                <c:pt idx="4">
                  <c:v>38.143000000000001</c:v>
                </c:pt>
                <c:pt idx="5">
                  <c:v>40.125</c:v>
                </c:pt>
                <c:pt idx="6">
                  <c:v>38.997999999999998</c:v>
                </c:pt>
                <c:pt idx="7">
                  <c:v>39.128999999999998</c:v>
                </c:pt>
                <c:pt idx="8">
                  <c:v>37.186999999999998</c:v>
                </c:pt>
                <c:pt idx="9">
                  <c:v>34.137999999999998</c:v>
                </c:pt>
                <c:pt idx="10">
                  <c:v>28.821000000000002</c:v>
                </c:pt>
              </c:numCache>
            </c:numRef>
          </c:val>
          <c:extLst>
            <c:ext xmlns:c16="http://schemas.microsoft.com/office/drawing/2014/chart" uri="{C3380CC4-5D6E-409C-BE32-E72D297353CC}">
              <c16:uniqueId val="{00000000-F238-49C0-B7F1-6E00D6508C02}"/>
            </c:ext>
          </c:extLst>
        </c:ser>
        <c:ser>
          <c:idx val="0"/>
          <c:order val="1"/>
          <c:tx>
            <c:strRef>
              <c:f>Sheet1!$P$153</c:f>
              <c:strCache>
                <c:ptCount val="1"/>
                <c:pt idx="0">
                  <c:v>Net overseas migration</c:v>
                </c:pt>
              </c:strCache>
            </c:strRef>
          </c:tx>
          <c:spPr>
            <a:solidFill>
              <a:srgbClr val="404040"/>
            </a:solidFill>
            <a:ln w="22225" cap="rnd">
              <a:noFill/>
              <a:round/>
            </a:ln>
            <a:effectLst/>
          </c:spPr>
          <c:invertIfNegative val="0"/>
          <c:cat>
            <c:strRef>
              <c:f>Sheet1!$N$160:$N$170</c:f>
              <c:strCache>
                <c:ptCount val="11"/>
                <c:pt idx="0">
                  <c:v>2010-11</c:v>
                </c:pt>
                <c:pt idx="5">
                  <c:v>2015-16</c:v>
                </c:pt>
                <c:pt idx="10">
                  <c:v>2020-21(a)</c:v>
                </c:pt>
              </c:strCache>
            </c:strRef>
          </c:cat>
          <c:val>
            <c:numRef>
              <c:f>Sheet1!$P$160:$P$170</c:f>
              <c:numCache>
                <c:formatCode>0</c:formatCode>
                <c:ptCount val="11"/>
                <c:pt idx="0">
                  <c:v>44.631</c:v>
                </c:pt>
                <c:pt idx="1">
                  <c:v>56.173999999999999</c:v>
                </c:pt>
                <c:pt idx="2">
                  <c:v>59.033999999999999</c:v>
                </c:pt>
                <c:pt idx="3">
                  <c:v>56.905999999999999</c:v>
                </c:pt>
                <c:pt idx="4">
                  <c:v>60.694000000000003</c:v>
                </c:pt>
                <c:pt idx="5">
                  <c:v>72.215000000000003</c:v>
                </c:pt>
                <c:pt idx="6">
                  <c:v>91.242999999999995</c:v>
                </c:pt>
                <c:pt idx="7">
                  <c:v>86.968000000000004</c:v>
                </c:pt>
                <c:pt idx="8">
                  <c:v>85.475999999999999</c:v>
                </c:pt>
                <c:pt idx="9">
                  <c:v>60.598999999999997</c:v>
                </c:pt>
                <c:pt idx="10">
                  <c:v>-53.484000000000002</c:v>
                </c:pt>
              </c:numCache>
            </c:numRef>
          </c:val>
          <c:extLst>
            <c:ext xmlns:c16="http://schemas.microsoft.com/office/drawing/2014/chart" uri="{C3380CC4-5D6E-409C-BE32-E72D297353CC}">
              <c16:uniqueId val="{00000001-F238-49C0-B7F1-6E00D6508C02}"/>
            </c:ext>
          </c:extLst>
        </c:ser>
        <c:ser>
          <c:idx val="2"/>
          <c:order val="2"/>
          <c:tx>
            <c:strRef>
              <c:f>Sheet1!$Q$153</c:f>
              <c:strCache>
                <c:ptCount val="1"/>
                <c:pt idx="0">
                  <c:v>Net interstate migration</c:v>
                </c:pt>
              </c:strCache>
            </c:strRef>
          </c:tx>
          <c:spPr>
            <a:solidFill>
              <a:srgbClr val="BFBFBF"/>
            </a:solidFill>
            <a:ln w="25400" cap="rnd">
              <a:noFill/>
              <a:round/>
            </a:ln>
            <a:effectLst/>
          </c:spPr>
          <c:invertIfNegative val="0"/>
          <c:cat>
            <c:strRef>
              <c:f>Sheet1!$N$160:$N$170</c:f>
              <c:strCache>
                <c:ptCount val="11"/>
                <c:pt idx="0">
                  <c:v>2010-11</c:v>
                </c:pt>
                <c:pt idx="5">
                  <c:v>2015-16</c:v>
                </c:pt>
                <c:pt idx="10">
                  <c:v>2020-21(a)</c:v>
                </c:pt>
              </c:strCache>
            </c:strRef>
          </c:cat>
          <c:val>
            <c:numRef>
              <c:f>Sheet1!$Q$160:$Q$170</c:f>
              <c:numCache>
                <c:formatCode>0</c:formatCode>
                <c:ptCount val="11"/>
                <c:pt idx="0">
                  <c:v>3.5339999999999998</c:v>
                </c:pt>
                <c:pt idx="1">
                  <c:v>2.4169999999999998</c:v>
                </c:pt>
                <c:pt idx="2">
                  <c:v>6.42</c:v>
                </c:pt>
                <c:pt idx="3">
                  <c:v>9.7390000000000008</c:v>
                </c:pt>
                <c:pt idx="4">
                  <c:v>11.079000000000001</c:v>
                </c:pt>
                <c:pt idx="5">
                  <c:v>17.638999999999999</c:v>
                </c:pt>
                <c:pt idx="6">
                  <c:v>18.193000000000001</c:v>
                </c:pt>
                <c:pt idx="7">
                  <c:v>14.316000000000001</c:v>
                </c:pt>
                <c:pt idx="8">
                  <c:v>12.198</c:v>
                </c:pt>
                <c:pt idx="9">
                  <c:v>2.2429999999999999</c:v>
                </c:pt>
                <c:pt idx="10">
                  <c:v>-18.190999999999999</c:v>
                </c:pt>
              </c:numCache>
            </c:numRef>
          </c:val>
          <c:extLst>
            <c:ext xmlns:c16="http://schemas.microsoft.com/office/drawing/2014/chart" uri="{C3380CC4-5D6E-409C-BE32-E72D297353CC}">
              <c16:uniqueId val="{00000002-F238-49C0-B7F1-6E00D6508C02}"/>
            </c:ext>
          </c:extLst>
        </c:ser>
        <c:dLbls>
          <c:showLegendKey val="0"/>
          <c:showVal val="0"/>
          <c:showCatName val="0"/>
          <c:showSerName val="0"/>
          <c:showPercent val="0"/>
          <c:showBubbleSize val="0"/>
        </c:dLbls>
        <c:gapWidth val="150"/>
        <c:overlap val="100"/>
        <c:axId val="1100823776"/>
        <c:axId val="1100823448"/>
      </c:barChart>
      <c:catAx>
        <c:axId val="1100823776"/>
        <c:scaling>
          <c:orientation val="minMax"/>
        </c:scaling>
        <c:delete val="0"/>
        <c:axPos val="b"/>
        <c:numFmt formatCode="General" sourceLinked="1"/>
        <c:majorTickMark val="out"/>
        <c:minorTickMark val="none"/>
        <c:tickLblPos val="low"/>
        <c:spPr>
          <a:noFill/>
          <a:ln w="9525" cap="flat" cmpd="sng" algn="ctr">
            <a:solidFill>
              <a:schemeClr val="tx1">
                <a:lumMod val="50000"/>
                <a:lumOff val="50000"/>
              </a:schemeClr>
            </a:solidFill>
            <a:round/>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100823448"/>
        <c:crosses val="autoZero"/>
        <c:auto val="1"/>
        <c:lblAlgn val="ctr"/>
        <c:lblOffset val="100"/>
        <c:noMultiLvlLbl val="0"/>
      </c:catAx>
      <c:valAx>
        <c:axId val="1100823448"/>
        <c:scaling>
          <c:orientation val="minMax"/>
          <c:max val="150"/>
        </c:scaling>
        <c:delete val="0"/>
        <c:axPos val="l"/>
        <c:majorGridlines>
          <c:spPr>
            <a:ln w="9525"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900" b="0" i="1" u="none" strike="noStrike" kern="1200" baseline="0">
                    <a:solidFill>
                      <a:schemeClr val="tx1"/>
                    </a:solidFill>
                    <a:latin typeface="+mn-lt"/>
                    <a:ea typeface="+mn-ea"/>
                    <a:cs typeface="+mn-cs"/>
                  </a:defRPr>
                </a:pPr>
                <a:r>
                  <a:rPr lang="en-US" sz="900" i="1"/>
                  <a:t>persons (thousand)</a:t>
                </a:r>
              </a:p>
            </c:rich>
          </c:tx>
          <c:layout>
            <c:manualLayout>
              <c:xMode val="edge"/>
              <c:yMode val="edge"/>
              <c:x val="2.2215550885619933E-3"/>
              <c:y val="0.18462031836464129"/>
            </c:manualLayout>
          </c:layout>
          <c:overlay val="0"/>
          <c:spPr>
            <a:noFill/>
            <a:ln>
              <a:noFill/>
            </a:ln>
            <a:effectLst/>
          </c:spPr>
        </c:title>
        <c:numFmt formatCode="#,##0" sourceLinked="0"/>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100823776"/>
        <c:crosses val="autoZero"/>
        <c:crossBetween val="between"/>
      </c:valAx>
    </c:plotArea>
    <c:legend>
      <c:legendPos val="b"/>
      <c:layout>
        <c:manualLayout>
          <c:xMode val="edge"/>
          <c:yMode val="edge"/>
          <c:x val="0.16175342465753426"/>
          <c:y val="0.80235491232220324"/>
          <c:w val="0.72032876712328753"/>
          <c:h val="0.17505642718536396"/>
        </c:manualLayout>
      </c:layout>
      <c:overlay val="0"/>
      <c:txPr>
        <a:bodyPr/>
        <a:lstStyle/>
        <a:p>
          <a:pPr>
            <a:defRPr sz="800"/>
          </a:pPr>
          <a:endParaRPr lang="en-US"/>
        </a:p>
      </c:txPr>
    </c:legend>
    <c:plotVisOnly val="1"/>
    <c:dispBlanksAs val="gap"/>
    <c:showDLblsOverMax val="0"/>
    <c:extLst/>
  </c:chart>
  <c:spPr>
    <a:solidFill>
      <a:schemeClr val="bg1"/>
    </a:solidFill>
    <a:ln w="9525" cap="flat" cmpd="sng" algn="ctr">
      <a:noFill/>
      <a:round/>
    </a:ln>
    <a:effectLst/>
  </c:spPr>
  <c:txPr>
    <a:bodyPr/>
    <a:lstStyle/>
    <a:p>
      <a:pPr>
        <a:defRPr>
          <a:solidFill>
            <a:schemeClr val="tx1"/>
          </a:solidFill>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598707532076418"/>
          <c:y val="3.2209394806894373E-2"/>
          <c:w val="0.72858257259675208"/>
          <c:h val="0.6232591578226635"/>
        </c:manualLayout>
      </c:layout>
      <c:lineChart>
        <c:grouping val="standard"/>
        <c:varyColors val="0"/>
        <c:ser>
          <c:idx val="1"/>
          <c:order val="0"/>
          <c:tx>
            <c:strRef>
              <c:f>Sheet1!$X$153</c:f>
              <c:strCache>
                <c:ptCount val="1"/>
                <c:pt idx="0">
                  <c:v>2019-20 Budget Update</c:v>
                </c:pt>
              </c:strCache>
            </c:strRef>
          </c:tx>
          <c:spPr>
            <a:ln>
              <a:solidFill>
                <a:srgbClr val="A4A4A4"/>
              </a:solidFill>
              <a:prstDash val="sysDash"/>
            </a:ln>
            <a:effectLst/>
          </c:spPr>
          <c:marker>
            <c:symbol val="none"/>
          </c:marker>
          <c:dPt>
            <c:idx val="12"/>
            <c:bubble3D val="0"/>
            <c:extLst>
              <c:ext xmlns:c16="http://schemas.microsoft.com/office/drawing/2014/chart" uri="{C3380CC4-5D6E-409C-BE32-E72D297353CC}">
                <c16:uniqueId val="{00000000-434B-4603-A337-E45A84B205E7}"/>
              </c:ext>
            </c:extLst>
          </c:dPt>
          <c:dPt>
            <c:idx val="13"/>
            <c:bubble3D val="0"/>
            <c:extLst>
              <c:ext xmlns:c16="http://schemas.microsoft.com/office/drawing/2014/chart" uri="{C3380CC4-5D6E-409C-BE32-E72D297353CC}">
                <c16:uniqueId val="{00000001-434B-4603-A337-E45A84B205E7}"/>
              </c:ext>
            </c:extLst>
          </c:dPt>
          <c:dPt>
            <c:idx val="14"/>
            <c:bubble3D val="0"/>
            <c:extLst>
              <c:ext xmlns:c16="http://schemas.microsoft.com/office/drawing/2014/chart" uri="{C3380CC4-5D6E-409C-BE32-E72D297353CC}">
                <c16:uniqueId val="{00000002-434B-4603-A337-E45A84B205E7}"/>
              </c:ext>
            </c:extLst>
          </c:dPt>
          <c:dPt>
            <c:idx val="15"/>
            <c:bubble3D val="0"/>
            <c:extLst>
              <c:ext xmlns:c16="http://schemas.microsoft.com/office/drawing/2014/chart" uri="{C3380CC4-5D6E-409C-BE32-E72D297353CC}">
                <c16:uniqueId val="{00000003-434B-4603-A337-E45A84B205E7}"/>
              </c:ext>
            </c:extLst>
          </c:dPt>
          <c:dPt>
            <c:idx val="16"/>
            <c:bubble3D val="0"/>
            <c:extLst>
              <c:ext xmlns:c16="http://schemas.microsoft.com/office/drawing/2014/chart" uri="{C3380CC4-5D6E-409C-BE32-E72D297353CC}">
                <c16:uniqueId val="{00000004-434B-4603-A337-E45A84B205E7}"/>
              </c:ext>
            </c:extLst>
          </c:dPt>
          <c:cat>
            <c:strRef>
              <c:f>Sheet1!$V$160:$V$169</c:f>
              <c:strCache>
                <c:ptCount val="10"/>
                <c:pt idx="0">
                  <c:v>2015-16</c:v>
                </c:pt>
                <c:pt idx="3">
                  <c:v>2018-19</c:v>
                </c:pt>
                <c:pt idx="6">
                  <c:v>2021-22(f)</c:v>
                </c:pt>
                <c:pt idx="9">
                  <c:v>2024-25(f)</c:v>
                </c:pt>
              </c:strCache>
            </c:strRef>
          </c:cat>
          <c:val>
            <c:numRef>
              <c:f>Sheet1!$X$160:$X$169</c:f>
              <c:numCache>
                <c:formatCode>0.0;\-0.0;0.0;@</c:formatCode>
                <c:ptCount val="10"/>
                <c:pt idx="0">
                  <c:v>6.1731720000000001</c:v>
                </c:pt>
                <c:pt idx="1">
                  <c:v>6.3216060000000001</c:v>
                </c:pt>
                <c:pt idx="2">
                  <c:v>6.4604759999999999</c:v>
                </c:pt>
                <c:pt idx="3">
                  <c:v>6.5973144000000001</c:v>
                </c:pt>
                <c:pt idx="4">
                  <c:v>6.7313959000000008</c:v>
                </c:pt>
                <c:pt idx="5">
                  <c:v>6.8587539</c:v>
                </c:pt>
                <c:pt idx="6">
                  <c:v>6.9864639000000004</c:v>
                </c:pt>
                <c:pt idx="7">
                  <c:v>7.1147354000000007</c:v>
                </c:pt>
                <c:pt idx="8">
                  <c:v>#N/A</c:v>
                </c:pt>
                <c:pt idx="9">
                  <c:v>#N/A</c:v>
                </c:pt>
              </c:numCache>
            </c:numRef>
          </c:val>
          <c:smooth val="0"/>
          <c:extLst>
            <c:ext xmlns:c16="http://schemas.microsoft.com/office/drawing/2014/chart" uri="{C3380CC4-5D6E-409C-BE32-E72D297353CC}">
              <c16:uniqueId val="{00000005-434B-4603-A337-E45A84B205E7}"/>
            </c:ext>
          </c:extLst>
        </c:ser>
        <c:ser>
          <c:idx val="0"/>
          <c:order val="1"/>
          <c:tx>
            <c:strRef>
              <c:f>Sheet1!$W$153</c:f>
              <c:strCache>
                <c:ptCount val="1"/>
                <c:pt idx="0">
                  <c:v>2021-22 Budget Update</c:v>
                </c:pt>
              </c:strCache>
            </c:strRef>
          </c:tx>
          <c:spPr>
            <a:ln w="22225" cap="rnd">
              <a:solidFill>
                <a:srgbClr val="505050"/>
              </a:solidFill>
              <a:round/>
            </a:ln>
            <a:effectLst/>
          </c:spPr>
          <c:marker>
            <c:symbol val="none"/>
          </c:marker>
          <c:dPt>
            <c:idx val="5"/>
            <c:bubble3D val="0"/>
            <c:spPr>
              <a:ln w="22225" cap="rnd">
                <a:solidFill>
                  <a:srgbClr val="505050"/>
                </a:solidFill>
                <a:prstDash val="sysDash"/>
                <a:round/>
              </a:ln>
              <a:effectLst/>
            </c:spPr>
            <c:extLst>
              <c:ext xmlns:c16="http://schemas.microsoft.com/office/drawing/2014/chart" uri="{C3380CC4-5D6E-409C-BE32-E72D297353CC}">
                <c16:uniqueId val="{00000007-434B-4603-A337-E45A84B205E7}"/>
              </c:ext>
            </c:extLst>
          </c:dPt>
          <c:dPt>
            <c:idx val="6"/>
            <c:bubble3D val="0"/>
            <c:spPr>
              <a:ln w="22225" cap="rnd">
                <a:solidFill>
                  <a:srgbClr val="505050"/>
                </a:solidFill>
                <a:prstDash val="sysDash"/>
                <a:round/>
              </a:ln>
              <a:effectLst/>
            </c:spPr>
            <c:extLst>
              <c:ext xmlns:c16="http://schemas.microsoft.com/office/drawing/2014/chart" uri="{C3380CC4-5D6E-409C-BE32-E72D297353CC}">
                <c16:uniqueId val="{00000009-434B-4603-A337-E45A84B205E7}"/>
              </c:ext>
            </c:extLst>
          </c:dPt>
          <c:dPt>
            <c:idx val="7"/>
            <c:bubble3D val="0"/>
            <c:spPr>
              <a:ln w="22225" cap="rnd">
                <a:solidFill>
                  <a:srgbClr val="505050"/>
                </a:solidFill>
                <a:prstDash val="sysDash"/>
                <a:round/>
              </a:ln>
              <a:effectLst/>
            </c:spPr>
            <c:extLst>
              <c:ext xmlns:c16="http://schemas.microsoft.com/office/drawing/2014/chart" uri="{C3380CC4-5D6E-409C-BE32-E72D297353CC}">
                <c16:uniqueId val="{0000000B-434B-4603-A337-E45A84B205E7}"/>
              </c:ext>
            </c:extLst>
          </c:dPt>
          <c:dPt>
            <c:idx val="8"/>
            <c:bubble3D val="0"/>
            <c:spPr>
              <a:ln w="22225" cap="rnd">
                <a:solidFill>
                  <a:srgbClr val="505050"/>
                </a:solidFill>
                <a:prstDash val="sysDash"/>
                <a:round/>
              </a:ln>
              <a:effectLst/>
            </c:spPr>
            <c:extLst>
              <c:ext xmlns:c16="http://schemas.microsoft.com/office/drawing/2014/chart" uri="{C3380CC4-5D6E-409C-BE32-E72D297353CC}">
                <c16:uniqueId val="{0000000D-434B-4603-A337-E45A84B205E7}"/>
              </c:ext>
            </c:extLst>
          </c:dPt>
          <c:dPt>
            <c:idx val="9"/>
            <c:bubble3D val="0"/>
            <c:spPr>
              <a:ln w="22225" cap="rnd">
                <a:solidFill>
                  <a:srgbClr val="505050"/>
                </a:solidFill>
                <a:prstDash val="sysDash"/>
                <a:round/>
              </a:ln>
              <a:effectLst/>
            </c:spPr>
            <c:extLst>
              <c:ext xmlns:c16="http://schemas.microsoft.com/office/drawing/2014/chart" uri="{C3380CC4-5D6E-409C-BE32-E72D297353CC}">
                <c16:uniqueId val="{0000000F-434B-4603-A337-E45A84B205E7}"/>
              </c:ext>
            </c:extLst>
          </c:dPt>
          <c:cat>
            <c:strRef>
              <c:f>Sheet1!$V$160:$V$169</c:f>
              <c:strCache>
                <c:ptCount val="10"/>
                <c:pt idx="0">
                  <c:v>2015-16</c:v>
                </c:pt>
                <c:pt idx="3">
                  <c:v>2018-19</c:v>
                </c:pt>
                <c:pt idx="6">
                  <c:v>2021-22(f)</c:v>
                </c:pt>
                <c:pt idx="9">
                  <c:v>2024-25(f)</c:v>
                </c:pt>
              </c:strCache>
            </c:strRef>
          </c:cat>
          <c:val>
            <c:numRef>
              <c:f>Sheet1!$W$160:$W$169</c:f>
              <c:numCache>
                <c:formatCode>0.0;\-0.0;0.0;@</c:formatCode>
                <c:ptCount val="10"/>
                <c:pt idx="0">
                  <c:v>6.1731720000000001</c:v>
                </c:pt>
                <c:pt idx="1">
                  <c:v>6.3216060000000001</c:v>
                </c:pt>
                <c:pt idx="2">
                  <c:v>6.4620189999999997</c:v>
                </c:pt>
                <c:pt idx="3">
                  <c:v>6.5968799999999996</c:v>
                </c:pt>
                <c:pt idx="4">
                  <c:v>6.6938599999999999</c:v>
                </c:pt>
                <c:pt idx="5">
                  <c:v>6.6473792243895229</c:v>
                </c:pt>
                <c:pt idx="6">
                  <c:v>6.6579594679106107</c:v>
                </c:pt>
                <c:pt idx="7">
                  <c:v>6.738272663402376</c:v>
                </c:pt>
                <c:pt idx="8">
                  <c:v>6.8537933083839464</c:v>
                </c:pt>
                <c:pt idx="9">
                  <c:v>6.9708094706827524</c:v>
                </c:pt>
              </c:numCache>
            </c:numRef>
          </c:val>
          <c:smooth val="0"/>
          <c:extLst>
            <c:ext xmlns:c16="http://schemas.microsoft.com/office/drawing/2014/chart" uri="{C3380CC4-5D6E-409C-BE32-E72D297353CC}">
              <c16:uniqueId val="{00000010-434B-4603-A337-E45A84B205E7}"/>
            </c:ext>
          </c:extLst>
        </c:ser>
        <c:dLbls>
          <c:showLegendKey val="0"/>
          <c:showVal val="0"/>
          <c:showCatName val="0"/>
          <c:showSerName val="0"/>
          <c:showPercent val="0"/>
          <c:showBubbleSize val="0"/>
        </c:dLbls>
        <c:smooth val="0"/>
        <c:axId val="1100823776"/>
        <c:axId val="1100823448"/>
      </c:lineChart>
      <c:catAx>
        <c:axId val="1100823776"/>
        <c:scaling>
          <c:orientation val="minMax"/>
        </c:scaling>
        <c:delete val="0"/>
        <c:axPos val="b"/>
        <c:numFmt formatCode="General" sourceLinked="1"/>
        <c:majorTickMark val="out"/>
        <c:minorTickMark val="none"/>
        <c:tickLblPos val="nextTo"/>
        <c:spPr>
          <a:noFill/>
          <a:ln w="9525" cap="flat" cmpd="sng" algn="ctr">
            <a:solidFill>
              <a:schemeClr val="tx1">
                <a:lumMod val="50000"/>
                <a:lumOff val="50000"/>
              </a:schemeClr>
            </a:solidFill>
            <a:round/>
          </a:ln>
          <a:effectLst/>
        </c:spPr>
        <c:txPr>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100823448"/>
        <c:crosses val="autoZero"/>
        <c:auto val="1"/>
        <c:lblAlgn val="ctr"/>
        <c:lblOffset val="100"/>
        <c:noMultiLvlLbl val="0"/>
      </c:catAx>
      <c:valAx>
        <c:axId val="1100823448"/>
        <c:scaling>
          <c:orientation val="minMax"/>
        </c:scaling>
        <c:delete val="0"/>
        <c:axPos val="l"/>
        <c:majorGridlines>
          <c:spPr>
            <a:ln w="9525"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900" b="0" i="1" u="none" strike="noStrike" kern="1200" baseline="0">
                    <a:solidFill>
                      <a:schemeClr val="tx1"/>
                    </a:solidFill>
                    <a:latin typeface="+mn-lt"/>
                    <a:ea typeface="+mn-ea"/>
                    <a:cs typeface="+mn-cs"/>
                  </a:defRPr>
                </a:pPr>
                <a:r>
                  <a:rPr lang="en-US" sz="900" i="1"/>
                  <a:t>persons (million)</a:t>
                </a:r>
              </a:p>
            </c:rich>
          </c:tx>
          <c:layout>
            <c:manualLayout>
              <c:xMode val="edge"/>
              <c:yMode val="edge"/>
              <c:x val="2.2214758252410674E-3"/>
              <c:y val="0.20557865049477511"/>
            </c:manualLayout>
          </c:layout>
          <c:overlay val="0"/>
          <c:spPr>
            <a:noFill/>
            <a:ln>
              <a:noFill/>
            </a:ln>
            <a:effectLst/>
          </c:spPr>
        </c:title>
        <c:numFmt formatCode="#,##0.0" sourceLinked="0"/>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100823776"/>
        <c:crosses val="autoZero"/>
        <c:crossBetween val="between"/>
      </c:valAx>
    </c:plotArea>
    <c:legend>
      <c:legendPos val="b"/>
      <c:layout>
        <c:manualLayout>
          <c:xMode val="edge"/>
          <c:yMode val="edge"/>
          <c:x val="0.20539829254604514"/>
          <c:y val="0.85989794753916615"/>
          <c:w val="0.69179520756449719"/>
          <c:h val="0.11525733196393929"/>
        </c:manualLayout>
      </c:layout>
      <c:overlay val="0"/>
      <c:txPr>
        <a:bodyPr/>
        <a:lstStyle/>
        <a:p>
          <a:pPr>
            <a:defRPr sz="800"/>
          </a:pPr>
          <a:endParaRPr lang="en-US"/>
        </a:p>
      </c:txPr>
    </c:legend>
    <c:plotVisOnly val="1"/>
    <c:dispBlanksAs val="gap"/>
    <c:showDLblsOverMax val="0"/>
    <c:extLst/>
  </c:chart>
  <c:spPr>
    <a:solidFill>
      <a:schemeClr val="bg1"/>
    </a:solidFill>
    <a:ln w="9525" cap="flat" cmpd="sng" algn="ctr">
      <a:noFill/>
      <a:round/>
    </a:ln>
    <a:effectLst/>
  </c:spPr>
  <c:txPr>
    <a:bodyPr/>
    <a:lstStyle/>
    <a:p>
      <a:pPr>
        <a:defRPr>
          <a:solidFill>
            <a:schemeClr val="tx1"/>
          </a:solidFill>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23005126278743E-2"/>
          <c:y val="3.7849457238241339E-2"/>
          <c:w val="0.84429746703531949"/>
          <c:h val="0.84748863297080579"/>
        </c:manualLayout>
      </c:layout>
      <c:lineChart>
        <c:grouping val="standard"/>
        <c:varyColors val="0"/>
        <c:ser>
          <c:idx val="1"/>
          <c:order val="0"/>
          <c:tx>
            <c:strRef>
              <c:f>'DATA - Daily COVID cases'!$A$13</c:f>
              <c:strCache>
                <c:ptCount val="1"/>
                <c:pt idx="0">
                  <c:v>Asia &amp; Pacific</c:v>
                </c:pt>
              </c:strCache>
            </c:strRef>
          </c:tx>
          <c:spPr>
            <a:ln w="22225" cap="rnd">
              <a:solidFill>
                <a:sysClr val="windowText" lastClr="000000"/>
              </a:solidFill>
              <a:prstDash val="sysDash"/>
              <a:round/>
            </a:ln>
            <a:effectLst/>
          </c:spPr>
          <c:marker>
            <c:symbol val="none"/>
          </c:marker>
          <c:cat>
            <c:numRef>
              <c:f>'DATA - Daily COVID cases'!$B$1:$ZS$1</c:f>
              <c:numCache>
                <c:formatCode>mmm\-yy</c:formatCode>
                <c:ptCount val="694"/>
                <c:pt idx="0">
                  <c:v>43852</c:v>
                </c:pt>
                <c:pt idx="1">
                  <c:v>43853</c:v>
                </c:pt>
                <c:pt idx="2">
                  <c:v>43854</c:v>
                </c:pt>
                <c:pt idx="3">
                  <c:v>43855</c:v>
                </c:pt>
                <c:pt idx="4">
                  <c:v>43856</c:v>
                </c:pt>
                <c:pt idx="5">
                  <c:v>43857</c:v>
                </c:pt>
                <c:pt idx="6">
                  <c:v>43858</c:v>
                </c:pt>
                <c:pt idx="7">
                  <c:v>43859</c:v>
                </c:pt>
                <c:pt idx="8">
                  <c:v>43860</c:v>
                </c:pt>
                <c:pt idx="9">
                  <c:v>43861</c:v>
                </c:pt>
                <c:pt idx="10">
                  <c:v>43862</c:v>
                </c:pt>
                <c:pt idx="11">
                  <c:v>43863</c:v>
                </c:pt>
                <c:pt idx="12">
                  <c:v>43864</c:v>
                </c:pt>
                <c:pt idx="13">
                  <c:v>43865</c:v>
                </c:pt>
                <c:pt idx="14">
                  <c:v>43866</c:v>
                </c:pt>
                <c:pt idx="15">
                  <c:v>43867</c:v>
                </c:pt>
                <c:pt idx="16">
                  <c:v>43868</c:v>
                </c:pt>
                <c:pt idx="17">
                  <c:v>43869</c:v>
                </c:pt>
                <c:pt idx="18">
                  <c:v>43870</c:v>
                </c:pt>
                <c:pt idx="19">
                  <c:v>43871</c:v>
                </c:pt>
                <c:pt idx="20">
                  <c:v>43872</c:v>
                </c:pt>
                <c:pt idx="21">
                  <c:v>43873</c:v>
                </c:pt>
                <c:pt idx="22">
                  <c:v>43874</c:v>
                </c:pt>
                <c:pt idx="23">
                  <c:v>43875</c:v>
                </c:pt>
                <c:pt idx="24">
                  <c:v>43876</c:v>
                </c:pt>
                <c:pt idx="25">
                  <c:v>43877</c:v>
                </c:pt>
                <c:pt idx="26">
                  <c:v>43878</c:v>
                </c:pt>
                <c:pt idx="27">
                  <c:v>43879</c:v>
                </c:pt>
                <c:pt idx="28">
                  <c:v>43880</c:v>
                </c:pt>
                <c:pt idx="29">
                  <c:v>43881</c:v>
                </c:pt>
                <c:pt idx="30">
                  <c:v>43882</c:v>
                </c:pt>
                <c:pt idx="31">
                  <c:v>43883</c:v>
                </c:pt>
                <c:pt idx="32">
                  <c:v>43884</c:v>
                </c:pt>
                <c:pt idx="33">
                  <c:v>43885</c:v>
                </c:pt>
                <c:pt idx="34">
                  <c:v>43886</c:v>
                </c:pt>
                <c:pt idx="35">
                  <c:v>43887</c:v>
                </c:pt>
                <c:pt idx="36">
                  <c:v>43888</c:v>
                </c:pt>
                <c:pt idx="37">
                  <c:v>43889</c:v>
                </c:pt>
                <c:pt idx="38">
                  <c:v>43890</c:v>
                </c:pt>
                <c:pt idx="39">
                  <c:v>43891</c:v>
                </c:pt>
                <c:pt idx="40">
                  <c:v>43892</c:v>
                </c:pt>
                <c:pt idx="41">
                  <c:v>43893</c:v>
                </c:pt>
                <c:pt idx="42">
                  <c:v>43894</c:v>
                </c:pt>
                <c:pt idx="43">
                  <c:v>43895</c:v>
                </c:pt>
                <c:pt idx="44">
                  <c:v>43896</c:v>
                </c:pt>
                <c:pt idx="45">
                  <c:v>43897</c:v>
                </c:pt>
                <c:pt idx="46">
                  <c:v>43898</c:v>
                </c:pt>
                <c:pt idx="47">
                  <c:v>43899</c:v>
                </c:pt>
                <c:pt idx="48">
                  <c:v>43900</c:v>
                </c:pt>
                <c:pt idx="49">
                  <c:v>43901</c:v>
                </c:pt>
                <c:pt idx="50">
                  <c:v>43902</c:v>
                </c:pt>
                <c:pt idx="51">
                  <c:v>43903</c:v>
                </c:pt>
                <c:pt idx="52">
                  <c:v>43904</c:v>
                </c:pt>
                <c:pt idx="53">
                  <c:v>43905</c:v>
                </c:pt>
                <c:pt idx="54">
                  <c:v>43906</c:v>
                </c:pt>
                <c:pt idx="55">
                  <c:v>43907</c:v>
                </c:pt>
                <c:pt idx="56">
                  <c:v>43908</c:v>
                </c:pt>
                <c:pt idx="57">
                  <c:v>43909</c:v>
                </c:pt>
                <c:pt idx="58">
                  <c:v>43910</c:v>
                </c:pt>
                <c:pt idx="59">
                  <c:v>43911</c:v>
                </c:pt>
                <c:pt idx="60">
                  <c:v>43912</c:v>
                </c:pt>
                <c:pt idx="61">
                  <c:v>43913</c:v>
                </c:pt>
                <c:pt idx="62">
                  <c:v>43914</c:v>
                </c:pt>
                <c:pt idx="63">
                  <c:v>43915</c:v>
                </c:pt>
                <c:pt idx="64">
                  <c:v>43916</c:v>
                </c:pt>
                <c:pt idx="65">
                  <c:v>43917</c:v>
                </c:pt>
                <c:pt idx="66">
                  <c:v>43918</c:v>
                </c:pt>
                <c:pt idx="67">
                  <c:v>43919</c:v>
                </c:pt>
                <c:pt idx="68">
                  <c:v>43920</c:v>
                </c:pt>
                <c:pt idx="69">
                  <c:v>43921</c:v>
                </c:pt>
                <c:pt idx="70">
                  <c:v>43922</c:v>
                </c:pt>
                <c:pt idx="71">
                  <c:v>43923</c:v>
                </c:pt>
                <c:pt idx="72">
                  <c:v>43924</c:v>
                </c:pt>
                <c:pt idx="73">
                  <c:v>43925</c:v>
                </c:pt>
                <c:pt idx="74">
                  <c:v>43926</c:v>
                </c:pt>
                <c:pt idx="75">
                  <c:v>43927</c:v>
                </c:pt>
                <c:pt idx="76">
                  <c:v>43928</c:v>
                </c:pt>
                <c:pt idx="77">
                  <c:v>43929</c:v>
                </c:pt>
                <c:pt idx="78">
                  <c:v>43930</c:v>
                </c:pt>
                <c:pt idx="79">
                  <c:v>43931</c:v>
                </c:pt>
                <c:pt idx="80">
                  <c:v>43932</c:v>
                </c:pt>
                <c:pt idx="81">
                  <c:v>43933</c:v>
                </c:pt>
                <c:pt idx="82">
                  <c:v>43934</c:v>
                </c:pt>
                <c:pt idx="83">
                  <c:v>43935</c:v>
                </c:pt>
                <c:pt idx="84">
                  <c:v>43936</c:v>
                </c:pt>
                <c:pt idx="85">
                  <c:v>43937</c:v>
                </c:pt>
                <c:pt idx="86">
                  <c:v>43938</c:v>
                </c:pt>
                <c:pt idx="87">
                  <c:v>43939</c:v>
                </c:pt>
                <c:pt idx="88">
                  <c:v>43940</c:v>
                </c:pt>
                <c:pt idx="89">
                  <c:v>43941</c:v>
                </c:pt>
                <c:pt idx="90">
                  <c:v>43942</c:v>
                </c:pt>
                <c:pt idx="91">
                  <c:v>43943</c:v>
                </c:pt>
                <c:pt idx="92">
                  <c:v>43944</c:v>
                </c:pt>
                <c:pt idx="93">
                  <c:v>43945</c:v>
                </c:pt>
                <c:pt idx="94">
                  <c:v>43946</c:v>
                </c:pt>
                <c:pt idx="95">
                  <c:v>43947</c:v>
                </c:pt>
                <c:pt idx="96">
                  <c:v>43948</c:v>
                </c:pt>
                <c:pt idx="97">
                  <c:v>43949</c:v>
                </c:pt>
                <c:pt idx="98">
                  <c:v>43950</c:v>
                </c:pt>
                <c:pt idx="99">
                  <c:v>43951</c:v>
                </c:pt>
                <c:pt idx="100">
                  <c:v>43952</c:v>
                </c:pt>
                <c:pt idx="101">
                  <c:v>43953</c:v>
                </c:pt>
                <c:pt idx="102">
                  <c:v>43954</c:v>
                </c:pt>
                <c:pt idx="103">
                  <c:v>43955</c:v>
                </c:pt>
                <c:pt idx="104">
                  <c:v>43956</c:v>
                </c:pt>
                <c:pt idx="105">
                  <c:v>43957</c:v>
                </c:pt>
                <c:pt idx="106">
                  <c:v>43958</c:v>
                </c:pt>
                <c:pt idx="107">
                  <c:v>43959</c:v>
                </c:pt>
                <c:pt idx="108">
                  <c:v>43960</c:v>
                </c:pt>
                <c:pt idx="109">
                  <c:v>43961</c:v>
                </c:pt>
                <c:pt idx="110">
                  <c:v>43962</c:v>
                </c:pt>
                <c:pt idx="111">
                  <c:v>43963</c:v>
                </c:pt>
                <c:pt idx="112">
                  <c:v>43964</c:v>
                </c:pt>
                <c:pt idx="113">
                  <c:v>43965</c:v>
                </c:pt>
                <c:pt idx="114">
                  <c:v>43966</c:v>
                </c:pt>
                <c:pt idx="115">
                  <c:v>43967</c:v>
                </c:pt>
                <c:pt idx="116">
                  <c:v>43968</c:v>
                </c:pt>
                <c:pt idx="117">
                  <c:v>43969</c:v>
                </c:pt>
                <c:pt idx="118">
                  <c:v>43970</c:v>
                </c:pt>
                <c:pt idx="119">
                  <c:v>43971</c:v>
                </c:pt>
                <c:pt idx="120">
                  <c:v>43972</c:v>
                </c:pt>
                <c:pt idx="121">
                  <c:v>43973</c:v>
                </c:pt>
                <c:pt idx="122">
                  <c:v>43974</c:v>
                </c:pt>
                <c:pt idx="123">
                  <c:v>43975</c:v>
                </c:pt>
                <c:pt idx="124">
                  <c:v>43976</c:v>
                </c:pt>
                <c:pt idx="125">
                  <c:v>43977</c:v>
                </c:pt>
                <c:pt idx="126">
                  <c:v>43978</c:v>
                </c:pt>
                <c:pt idx="127">
                  <c:v>43979</c:v>
                </c:pt>
                <c:pt idx="128">
                  <c:v>43980</c:v>
                </c:pt>
                <c:pt idx="129">
                  <c:v>43981</c:v>
                </c:pt>
                <c:pt idx="130">
                  <c:v>43982</c:v>
                </c:pt>
                <c:pt idx="131">
                  <c:v>43983</c:v>
                </c:pt>
                <c:pt idx="132">
                  <c:v>43984</c:v>
                </c:pt>
                <c:pt idx="133">
                  <c:v>43985</c:v>
                </c:pt>
                <c:pt idx="134">
                  <c:v>43986</c:v>
                </c:pt>
                <c:pt idx="135">
                  <c:v>43987</c:v>
                </c:pt>
                <c:pt idx="136">
                  <c:v>43988</c:v>
                </c:pt>
                <c:pt idx="137">
                  <c:v>43989</c:v>
                </c:pt>
                <c:pt idx="138">
                  <c:v>43990</c:v>
                </c:pt>
                <c:pt idx="139">
                  <c:v>43991</c:v>
                </c:pt>
                <c:pt idx="140">
                  <c:v>43992</c:v>
                </c:pt>
                <c:pt idx="141">
                  <c:v>43993</c:v>
                </c:pt>
                <c:pt idx="142">
                  <c:v>43994</c:v>
                </c:pt>
                <c:pt idx="143">
                  <c:v>43995</c:v>
                </c:pt>
                <c:pt idx="144">
                  <c:v>43996</c:v>
                </c:pt>
                <c:pt idx="145">
                  <c:v>43997</c:v>
                </c:pt>
                <c:pt idx="146">
                  <c:v>43998</c:v>
                </c:pt>
                <c:pt idx="147">
                  <c:v>43999</c:v>
                </c:pt>
                <c:pt idx="148">
                  <c:v>44000</c:v>
                </c:pt>
                <c:pt idx="149">
                  <c:v>44001</c:v>
                </c:pt>
                <c:pt idx="150">
                  <c:v>44002</c:v>
                </c:pt>
                <c:pt idx="151">
                  <c:v>44003</c:v>
                </c:pt>
                <c:pt idx="152">
                  <c:v>44004</c:v>
                </c:pt>
                <c:pt idx="153">
                  <c:v>44005</c:v>
                </c:pt>
                <c:pt idx="154">
                  <c:v>44006</c:v>
                </c:pt>
                <c:pt idx="155">
                  <c:v>44007</c:v>
                </c:pt>
                <c:pt idx="156">
                  <c:v>44008</c:v>
                </c:pt>
                <c:pt idx="157">
                  <c:v>44009</c:v>
                </c:pt>
                <c:pt idx="158">
                  <c:v>44010</c:v>
                </c:pt>
                <c:pt idx="159">
                  <c:v>44011</c:v>
                </c:pt>
                <c:pt idx="160">
                  <c:v>44012</c:v>
                </c:pt>
                <c:pt idx="161">
                  <c:v>44013</c:v>
                </c:pt>
                <c:pt idx="162">
                  <c:v>44014</c:v>
                </c:pt>
                <c:pt idx="163">
                  <c:v>44015</c:v>
                </c:pt>
                <c:pt idx="164">
                  <c:v>44016</c:v>
                </c:pt>
                <c:pt idx="165">
                  <c:v>44017</c:v>
                </c:pt>
                <c:pt idx="166">
                  <c:v>44018</c:v>
                </c:pt>
                <c:pt idx="167">
                  <c:v>44019</c:v>
                </c:pt>
                <c:pt idx="168">
                  <c:v>44020</c:v>
                </c:pt>
                <c:pt idx="169">
                  <c:v>44021</c:v>
                </c:pt>
                <c:pt idx="170">
                  <c:v>44022</c:v>
                </c:pt>
                <c:pt idx="171">
                  <c:v>44023</c:v>
                </c:pt>
                <c:pt idx="172">
                  <c:v>44024</c:v>
                </c:pt>
                <c:pt idx="173">
                  <c:v>44025</c:v>
                </c:pt>
                <c:pt idx="174">
                  <c:v>44026</c:v>
                </c:pt>
                <c:pt idx="175">
                  <c:v>44027</c:v>
                </c:pt>
                <c:pt idx="176">
                  <c:v>44028</c:v>
                </c:pt>
                <c:pt idx="177">
                  <c:v>44029</c:v>
                </c:pt>
                <c:pt idx="178">
                  <c:v>44030</c:v>
                </c:pt>
                <c:pt idx="179">
                  <c:v>44031</c:v>
                </c:pt>
                <c:pt idx="180">
                  <c:v>44032</c:v>
                </c:pt>
                <c:pt idx="181">
                  <c:v>44033</c:v>
                </c:pt>
                <c:pt idx="182">
                  <c:v>44034</c:v>
                </c:pt>
                <c:pt idx="183">
                  <c:v>44035</c:v>
                </c:pt>
                <c:pt idx="184">
                  <c:v>44036</c:v>
                </c:pt>
                <c:pt idx="185">
                  <c:v>44037</c:v>
                </c:pt>
                <c:pt idx="186">
                  <c:v>44038</c:v>
                </c:pt>
                <c:pt idx="187">
                  <c:v>44039</c:v>
                </c:pt>
                <c:pt idx="188">
                  <c:v>44040</c:v>
                </c:pt>
                <c:pt idx="189">
                  <c:v>44041</c:v>
                </c:pt>
                <c:pt idx="190">
                  <c:v>44042</c:v>
                </c:pt>
                <c:pt idx="191">
                  <c:v>44043</c:v>
                </c:pt>
                <c:pt idx="192">
                  <c:v>44044</c:v>
                </c:pt>
                <c:pt idx="193">
                  <c:v>44045</c:v>
                </c:pt>
                <c:pt idx="194">
                  <c:v>44046</c:v>
                </c:pt>
                <c:pt idx="195">
                  <c:v>44047</c:v>
                </c:pt>
                <c:pt idx="196">
                  <c:v>44048</c:v>
                </c:pt>
                <c:pt idx="197">
                  <c:v>44049</c:v>
                </c:pt>
                <c:pt idx="198">
                  <c:v>44050</c:v>
                </c:pt>
                <c:pt idx="199">
                  <c:v>44051</c:v>
                </c:pt>
                <c:pt idx="200">
                  <c:v>44052</c:v>
                </c:pt>
                <c:pt idx="201">
                  <c:v>44053</c:v>
                </c:pt>
                <c:pt idx="202">
                  <c:v>44054</c:v>
                </c:pt>
                <c:pt idx="203">
                  <c:v>44055</c:v>
                </c:pt>
                <c:pt idx="204">
                  <c:v>44056</c:v>
                </c:pt>
                <c:pt idx="205">
                  <c:v>44057</c:v>
                </c:pt>
                <c:pt idx="206">
                  <c:v>44058</c:v>
                </c:pt>
                <c:pt idx="207">
                  <c:v>44059</c:v>
                </c:pt>
                <c:pt idx="208">
                  <c:v>44060</c:v>
                </c:pt>
                <c:pt idx="209">
                  <c:v>44061</c:v>
                </c:pt>
                <c:pt idx="210">
                  <c:v>44062</c:v>
                </c:pt>
                <c:pt idx="211">
                  <c:v>44063</c:v>
                </c:pt>
                <c:pt idx="212">
                  <c:v>44064</c:v>
                </c:pt>
                <c:pt idx="213">
                  <c:v>44065</c:v>
                </c:pt>
                <c:pt idx="214">
                  <c:v>44066</c:v>
                </c:pt>
                <c:pt idx="215">
                  <c:v>44067</c:v>
                </c:pt>
                <c:pt idx="216">
                  <c:v>44068</c:v>
                </c:pt>
                <c:pt idx="217">
                  <c:v>44069</c:v>
                </c:pt>
                <c:pt idx="218">
                  <c:v>44070</c:v>
                </c:pt>
                <c:pt idx="219">
                  <c:v>44071</c:v>
                </c:pt>
                <c:pt idx="220">
                  <c:v>44072</c:v>
                </c:pt>
                <c:pt idx="221">
                  <c:v>44073</c:v>
                </c:pt>
                <c:pt idx="222">
                  <c:v>44074</c:v>
                </c:pt>
                <c:pt idx="223">
                  <c:v>44075</c:v>
                </c:pt>
                <c:pt idx="224">
                  <c:v>44076</c:v>
                </c:pt>
                <c:pt idx="225">
                  <c:v>44077</c:v>
                </c:pt>
                <c:pt idx="226">
                  <c:v>44078</c:v>
                </c:pt>
                <c:pt idx="227">
                  <c:v>44079</c:v>
                </c:pt>
                <c:pt idx="228">
                  <c:v>44080</c:v>
                </c:pt>
                <c:pt idx="229">
                  <c:v>44081</c:v>
                </c:pt>
                <c:pt idx="230">
                  <c:v>44082</c:v>
                </c:pt>
                <c:pt idx="231">
                  <c:v>44083</c:v>
                </c:pt>
                <c:pt idx="232">
                  <c:v>44084</c:v>
                </c:pt>
                <c:pt idx="233">
                  <c:v>44085</c:v>
                </c:pt>
                <c:pt idx="234">
                  <c:v>44086</c:v>
                </c:pt>
                <c:pt idx="235">
                  <c:v>44087</c:v>
                </c:pt>
                <c:pt idx="236">
                  <c:v>44088</c:v>
                </c:pt>
                <c:pt idx="237">
                  <c:v>44089</c:v>
                </c:pt>
                <c:pt idx="238">
                  <c:v>44090</c:v>
                </c:pt>
                <c:pt idx="239">
                  <c:v>44091</c:v>
                </c:pt>
                <c:pt idx="240">
                  <c:v>44092</c:v>
                </c:pt>
                <c:pt idx="241">
                  <c:v>44093</c:v>
                </c:pt>
                <c:pt idx="242">
                  <c:v>44094</c:v>
                </c:pt>
                <c:pt idx="243">
                  <c:v>44095</c:v>
                </c:pt>
                <c:pt idx="244">
                  <c:v>44096</c:v>
                </c:pt>
                <c:pt idx="245">
                  <c:v>44097</c:v>
                </c:pt>
                <c:pt idx="246">
                  <c:v>44098</c:v>
                </c:pt>
                <c:pt idx="247">
                  <c:v>44099</c:v>
                </c:pt>
                <c:pt idx="248">
                  <c:v>44100</c:v>
                </c:pt>
                <c:pt idx="249">
                  <c:v>44101</c:v>
                </c:pt>
                <c:pt idx="250">
                  <c:v>44102</c:v>
                </c:pt>
                <c:pt idx="251">
                  <c:v>44103</c:v>
                </c:pt>
                <c:pt idx="252">
                  <c:v>44104</c:v>
                </c:pt>
                <c:pt idx="253">
                  <c:v>44105</c:v>
                </c:pt>
                <c:pt idx="254">
                  <c:v>44106</c:v>
                </c:pt>
                <c:pt idx="255">
                  <c:v>44107</c:v>
                </c:pt>
                <c:pt idx="256">
                  <c:v>44108</c:v>
                </c:pt>
                <c:pt idx="257">
                  <c:v>44109</c:v>
                </c:pt>
                <c:pt idx="258">
                  <c:v>44110</c:v>
                </c:pt>
                <c:pt idx="259">
                  <c:v>44111</c:v>
                </c:pt>
                <c:pt idx="260">
                  <c:v>44112</c:v>
                </c:pt>
                <c:pt idx="261">
                  <c:v>44113</c:v>
                </c:pt>
                <c:pt idx="262">
                  <c:v>44114</c:v>
                </c:pt>
                <c:pt idx="263">
                  <c:v>44115</c:v>
                </c:pt>
                <c:pt idx="264">
                  <c:v>44116</c:v>
                </c:pt>
                <c:pt idx="265">
                  <c:v>44117</c:v>
                </c:pt>
                <c:pt idx="266">
                  <c:v>44118</c:v>
                </c:pt>
                <c:pt idx="267">
                  <c:v>44119</c:v>
                </c:pt>
                <c:pt idx="268">
                  <c:v>44120</c:v>
                </c:pt>
                <c:pt idx="269">
                  <c:v>44121</c:v>
                </c:pt>
                <c:pt idx="270">
                  <c:v>44122</c:v>
                </c:pt>
                <c:pt idx="271">
                  <c:v>44123</c:v>
                </c:pt>
                <c:pt idx="272">
                  <c:v>44124</c:v>
                </c:pt>
                <c:pt idx="273">
                  <c:v>44125</c:v>
                </c:pt>
                <c:pt idx="274">
                  <c:v>44126</c:v>
                </c:pt>
                <c:pt idx="275">
                  <c:v>44127</c:v>
                </c:pt>
                <c:pt idx="276">
                  <c:v>44128</c:v>
                </c:pt>
                <c:pt idx="277">
                  <c:v>44129</c:v>
                </c:pt>
                <c:pt idx="278">
                  <c:v>44130</c:v>
                </c:pt>
                <c:pt idx="279">
                  <c:v>44131</c:v>
                </c:pt>
                <c:pt idx="280">
                  <c:v>44132</c:v>
                </c:pt>
                <c:pt idx="281">
                  <c:v>44133</c:v>
                </c:pt>
                <c:pt idx="282">
                  <c:v>44134</c:v>
                </c:pt>
                <c:pt idx="283">
                  <c:v>44135</c:v>
                </c:pt>
                <c:pt idx="284">
                  <c:v>44136</c:v>
                </c:pt>
                <c:pt idx="285">
                  <c:v>44137</c:v>
                </c:pt>
                <c:pt idx="286">
                  <c:v>44138</c:v>
                </c:pt>
                <c:pt idx="287">
                  <c:v>44139</c:v>
                </c:pt>
                <c:pt idx="288">
                  <c:v>44140</c:v>
                </c:pt>
                <c:pt idx="289">
                  <c:v>44141</c:v>
                </c:pt>
                <c:pt idx="290">
                  <c:v>44142</c:v>
                </c:pt>
                <c:pt idx="291">
                  <c:v>44143</c:v>
                </c:pt>
                <c:pt idx="292">
                  <c:v>44144</c:v>
                </c:pt>
                <c:pt idx="293">
                  <c:v>44145</c:v>
                </c:pt>
                <c:pt idx="294">
                  <c:v>44146</c:v>
                </c:pt>
                <c:pt idx="295">
                  <c:v>44147</c:v>
                </c:pt>
                <c:pt idx="296">
                  <c:v>44148</c:v>
                </c:pt>
                <c:pt idx="297">
                  <c:v>44149</c:v>
                </c:pt>
                <c:pt idx="298">
                  <c:v>44150</c:v>
                </c:pt>
                <c:pt idx="299">
                  <c:v>44151</c:v>
                </c:pt>
                <c:pt idx="300">
                  <c:v>44152</c:v>
                </c:pt>
                <c:pt idx="301">
                  <c:v>44153</c:v>
                </c:pt>
                <c:pt idx="302">
                  <c:v>44154</c:v>
                </c:pt>
                <c:pt idx="303">
                  <c:v>44155</c:v>
                </c:pt>
                <c:pt idx="304">
                  <c:v>44156</c:v>
                </c:pt>
                <c:pt idx="305">
                  <c:v>44157</c:v>
                </c:pt>
                <c:pt idx="306">
                  <c:v>44158</c:v>
                </c:pt>
                <c:pt idx="307">
                  <c:v>44159</c:v>
                </c:pt>
                <c:pt idx="308">
                  <c:v>44160</c:v>
                </c:pt>
                <c:pt idx="309">
                  <c:v>44161</c:v>
                </c:pt>
                <c:pt idx="310">
                  <c:v>44162</c:v>
                </c:pt>
                <c:pt idx="311">
                  <c:v>44163</c:v>
                </c:pt>
                <c:pt idx="312">
                  <c:v>44164</c:v>
                </c:pt>
                <c:pt idx="313">
                  <c:v>44165</c:v>
                </c:pt>
                <c:pt idx="314">
                  <c:v>44166</c:v>
                </c:pt>
                <c:pt idx="315">
                  <c:v>44167</c:v>
                </c:pt>
                <c:pt idx="316">
                  <c:v>44168</c:v>
                </c:pt>
                <c:pt idx="317">
                  <c:v>44169</c:v>
                </c:pt>
                <c:pt idx="318">
                  <c:v>44170</c:v>
                </c:pt>
                <c:pt idx="319">
                  <c:v>44171</c:v>
                </c:pt>
                <c:pt idx="320">
                  <c:v>44172</c:v>
                </c:pt>
                <c:pt idx="321">
                  <c:v>44173</c:v>
                </c:pt>
                <c:pt idx="322">
                  <c:v>44174</c:v>
                </c:pt>
                <c:pt idx="323">
                  <c:v>44175</c:v>
                </c:pt>
                <c:pt idx="324">
                  <c:v>44176</c:v>
                </c:pt>
                <c:pt idx="325">
                  <c:v>44177</c:v>
                </c:pt>
                <c:pt idx="326">
                  <c:v>44178</c:v>
                </c:pt>
                <c:pt idx="327">
                  <c:v>44179</c:v>
                </c:pt>
                <c:pt idx="328">
                  <c:v>44180</c:v>
                </c:pt>
                <c:pt idx="329">
                  <c:v>44181</c:v>
                </c:pt>
                <c:pt idx="330">
                  <c:v>44182</c:v>
                </c:pt>
                <c:pt idx="331">
                  <c:v>44183</c:v>
                </c:pt>
                <c:pt idx="332">
                  <c:v>44184</c:v>
                </c:pt>
                <c:pt idx="333">
                  <c:v>44185</c:v>
                </c:pt>
                <c:pt idx="334">
                  <c:v>44186</c:v>
                </c:pt>
                <c:pt idx="335">
                  <c:v>44187</c:v>
                </c:pt>
                <c:pt idx="336">
                  <c:v>44188</c:v>
                </c:pt>
                <c:pt idx="337">
                  <c:v>44189</c:v>
                </c:pt>
                <c:pt idx="338">
                  <c:v>44190</c:v>
                </c:pt>
                <c:pt idx="339">
                  <c:v>44191</c:v>
                </c:pt>
                <c:pt idx="340">
                  <c:v>44192</c:v>
                </c:pt>
                <c:pt idx="341">
                  <c:v>44193</c:v>
                </c:pt>
                <c:pt idx="342">
                  <c:v>44194</c:v>
                </c:pt>
                <c:pt idx="343">
                  <c:v>44195</c:v>
                </c:pt>
                <c:pt idx="344">
                  <c:v>44196</c:v>
                </c:pt>
                <c:pt idx="345">
                  <c:v>44197</c:v>
                </c:pt>
                <c:pt idx="346">
                  <c:v>44198</c:v>
                </c:pt>
                <c:pt idx="347">
                  <c:v>44199</c:v>
                </c:pt>
                <c:pt idx="348">
                  <c:v>44200</c:v>
                </c:pt>
                <c:pt idx="349">
                  <c:v>44201</c:v>
                </c:pt>
                <c:pt idx="350">
                  <c:v>44202</c:v>
                </c:pt>
                <c:pt idx="351">
                  <c:v>44203</c:v>
                </c:pt>
                <c:pt idx="352">
                  <c:v>44204</c:v>
                </c:pt>
                <c:pt idx="353">
                  <c:v>44205</c:v>
                </c:pt>
                <c:pt idx="354">
                  <c:v>44206</c:v>
                </c:pt>
                <c:pt idx="355">
                  <c:v>44207</c:v>
                </c:pt>
                <c:pt idx="356">
                  <c:v>44208</c:v>
                </c:pt>
                <c:pt idx="357">
                  <c:v>44209</c:v>
                </c:pt>
                <c:pt idx="358">
                  <c:v>44210</c:v>
                </c:pt>
                <c:pt idx="359">
                  <c:v>44211</c:v>
                </c:pt>
                <c:pt idx="360">
                  <c:v>44212</c:v>
                </c:pt>
                <c:pt idx="361">
                  <c:v>44213</c:v>
                </c:pt>
                <c:pt idx="362">
                  <c:v>44214</c:v>
                </c:pt>
                <c:pt idx="363">
                  <c:v>44215</c:v>
                </c:pt>
                <c:pt idx="364">
                  <c:v>44216</c:v>
                </c:pt>
                <c:pt idx="365">
                  <c:v>44217</c:v>
                </c:pt>
                <c:pt idx="366">
                  <c:v>44218</c:v>
                </c:pt>
                <c:pt idx="367">
                  <c:v>44219</c:v>
                </c:pt>
                <c:pt idx="368">
                  <c:v>44220</c:v>
                </c:pt>
                <c:pt idx="369">
                  <c:v>44221</c:v>
                </c:pt>
                <c:pt idx="370">
                  <c:v>44222</c:v>
                </c:pt>
                <c:pt idx="371">
                  <c:v>44223</c:v>
                </c:pt>
                <c:pt idx="372">
                  <c:v>44224</c:v>
                </c:pt>
                <c:pt idx="373">
                  <c:v>44225</c:v>
                </c:pt>
                <c:pt idx="374">
                  <c:v>44226</c:v>
                </c:pt>
                <c:pt idx="375">
                  <c:v>44227</c:v>
                </c:pt>
                <c:pt idx="376">
                  <c:v>44228</c:v>
                </c:pt>
                <c:pt idx="377">
                  <c:v>44229</c:v>
                </c:pt>
                <c:pt idx="378">
                  <c:v>44230</c:v>
                </c:pt>
                <c:pt idx="379">
                  <c:v>44231</c:v>
                </c:pt>
                <c:pt idx="380">
                  <c:v>44232</c:v>
                </c:pt>
                <c:pt idx="381">
                  <c:v>44233</c:v>
                </c:pt>
                <c:pt idx="382">
                  <c:v>44234</c:v>
                </c:pt>
                <c:pt idx="383">
                  <c:v>44235</c:v>
                </c:pt>
                <c:pt idx="384">
                  <c:v>44236</c:v>
                </c:pt>
                <c:pt idx="385">
                  <c:v>44237</c:v>
                </c:pt>
                <c:pt idx="386">
                  <c:v>44238</c:v>
                </c:pt>
                <c:pt idx="387">
                  <c:v>44239</c:v>
                </c:pt>
                <c:pt idx="388">
                  <c:v>44240</c:v>
                </c:pt>
                <c:pt idx="389">
                  <c:v>44241</c:v>
                </c:pt>
                <c:pt idx="390">
                  <c:v>44242</c:v>
                </c:pt>
                <c:pt idx="391">
                  <c:v>44243</c:v>
                </c:pt>
                <c:pt idx="392">
                  <c:v>44244</c:v>
                </c:pt>
                <c:pt idx="393">
                  <c:v>44245</c:v>
                </c:pt>
                <c:pt idx="394">
                  <c:v>44246</c:v>
                </c:pt>
                <c:pt idx="395">
                  <c:v>44247</c:v>
                </c:pt>
                <c:pt idx="396">
                  <c:v>44248</c:v>
                </c:pt>
                <c:pt idx="397">
                  <c:v>44249</c:v>
                </c:pt>
                <c:pt idx="398">
                  <c:v>44250</c:v>
                </c:pt>
                <c:pt idx="399">
                  <c:v>44251</c:v>
                </c:pt>
                <c:pt idx="400">
                  <c:v>44252</c:v>
                </c:pt>
                <c:pt idx="401">
                  <c:v>44253</c:v>
                </c:pt>
                <c:pt idx="402">
                  <c:v>44254</c:v>
                </c:pt>
                <c:pt idx="403">
                  <c:v>44255</c:v>
                </c:pt>
                <c:pt idx="404">
                  <c:v>44256</c:v>
                </c:pt>
                <c:pt idx="405">
                  <c:v>44257</c:v>
                </c:pt>
                <c:pt idx="406">
                  <c:v>44258</c:v>
                </c:pt>
                <c:pt idx="407">
                  <c:v>44259</c:v>
                </c:pt>
                <c:pt idx="408">
                  <c:v>44260</c:v>
                </c:pt>
                <c:pt idx="409">
                  <c:v>44261</c:v>
                </c:pt>
                <c:pt idx="410">
                  <c:v>44262</c:v>
                </c:pt>
                <c:pt idx="411">
                  <c:v>44263</c:v>
                </c:pt>
                <c:pt idx="412">
                  <c:v>44264</c:v>
                </c:pt>
                <c:pt idx="413">
                  <c:v>44265</c:v>
                </c:pt>
                <c:pt idx="414">
                  <c:v>44266</c:v>
                </c:pt>
                <c:pt idx="415">
                  <c:v>44267</c:v>
                </c:pt>
                <c:pt idx="416">
                  <c:v>44268</c:v>
                </c:pt>
                <c:pt idx="417">
                  <c:v>44269</c:v>
                </c:pt>
                <c:pt idx="418">
                  <c:v>44270</c:v>
                </c:pt>
                <c:pt idx="419">
                  <c:v>44271</c:v>
                </c:pt>
                <c:pt idx="420">
                  <c:v>44272</c:v>
                </c:pt>
                <c:pt idx="421">
                  <c:v>44273</c:v>
                </c:pt>
                <c:pt idx="422">
                  <c:v>44274</c:v>
                </c:pt>
                <c:pt idx="423">
                  <c:v>44275</c:v>
                </c:pt>
                <c:pt idx="424">
                  <c:v>44276</c:v>
                </c:pt>
                <c:pt idx="425">
                  <c:v>44277</c:v>
                </c:pt>
                <c:pt idx="426">
                  <c:v>44278</c:v>
                </c:pt>
                <c:pt idx="427">
                  <c:v>44279</c:v>
                </c:pt>
                <c:pt idx="428">
                  <c:v>44280</c:v>
                </c:pt>
                <c:pt idx="429">
                  <c:v>44281</c:v>
                </c:pt>
                <c:pt idx="430">
                  <c:v>44282</c:v>
                </c:pt>
                <c:pt idx="431">
                  <c:v>44283</c:v>
                </c:pt>
                <c:pt idx="432">
                  <c:v>44284</c:v>
                </c:pt>
                <c:pt idx="433">
                  <c:v>44285</c:v>
                </c:pt>
                <c:pt idx="434">
                  <c:v>44286</c:v>
                </c:pt>
                <c:pt idx="435">
                  <c:v>44287</c:v>
                </c:pt>
                <c:pt idx="436">
                  <c:v>44288</c:v>
                </c:pt>
                <c:pt idx="437">
                  <c:v>44289</c:v>
                </c:pt>
                <c:pt idx="438">
                  <c:v>44290</c:v>
                </c:pt>
                <c:pt idx="439">
                  <c:v>44291</c:v>
                </c:pt>
                <c:pt idx="440">
                  <c:v>44292</c:v>
                </c:pt>
                <c:pt idx="441">
                  <c:v>44293</c:v>
                </c:pt>
                <c:pt idx="442">
                  <c:v>44294</c:v>
                </c:pt>
                <c:pt idx="443">
                  <c:v>44295</c:v>
                </c:pt>
                <c:pt idx="444">
                  <c:v>44296</c:v>
                </c:pt>
                <c:pt idx="445">
                  <c:v>44297</c:v>
                </c:pt>
                <c:pt idx="446">
                  <c:v>44298</c:v>
                </c:pt>
                <c:pt idx="447">
                  <c:v>44299</c:v>
                </c:pt>
                <c:pt idx="448">
                  <c:v>44300</c:v>
                </c:pt>
                <c:pt idx="449">
                  <c:v>44301</c:v>
                </c:pt>
                <c:pt idx="450">
                  <c:v>44302</c:v>
                </c:pt>
                <c:pt idx="451">
                  <c:v>44303</c:v>
                </c:pt>
                <c:pt idx="452">
                  <c:v>44304</c:v>
                </c:pt>
                <c:pt idx="453">
                  <c:v>44305</c:v>
                </c:pt>
                <c:pt idx="454">
                  <c:v>44306</c:v>
                </c:pt>
                <c:pt idx="455">
                  <c:v>44307</c:v>
                </c:pt>
                <c:pt idx="456">
                  <c:v>44308</c:v>
                </c:pt>
                <c:pt idx="457">
                  <c:v>44309</c:v>
                </c:pt>
                <c:pt idx="458">
                  <c:v>44310</c:v>
                </c:pt>
                <c:pt idx="459">
                  <c:v>44311</c:v>
                </c:pt>
                <c:pt idx="460">
                  <c:v>44312</c:v>
                </c:pt>
                <c:pt idx="461">
                  <c:v>44313</c:v>
                </c:pt>
                <c:pt idx="462">
                  <c:v>44314</c:v>
                </c:pt>
                <c:pt idx="463">
                  <c:v>44315</c:v>
                </c:pt>
                <c:pt idx="464">
                  <c:v>44316</c:v>
                </c:pt>
                <c:pt idx="465">
                  <c:v>44317</c:v>
                </c:pt>
                <c:pt idx="466">
                  <c:v>44318</c:v>
                </c:pt>
                <c:pt idx="467">
                  <c:v>44319</c:v>
                </c:pt>
                <c:pt idx="468">
                  <c:v>44320</c:v>
                </c:pt>
                <c:pt idx="469">
                  <c:v>44321</c:v>
                </c:pt>
                <c:pt idx="470">
                  <c:v>44322</c:v>
                </c:pt>
                <c:pt idx="471">
                  <c:v>44323</c:v>
                </c:pt>
                <c:pt idx="472">
                  <c:v>44324</c:v>
                </c:pt>
                <c:pt idx="473">
                  <c:v>44325</c:v>
                </c:pt>
                <c:pt idx="474">
                  <c:v>44326</c:v>
                </c:pt>
                <c:pt idx="475">
                  <c:v>44327</c:v>
                </c:pt>
                <c:pt idx="476">
                  <c:v>44328</c:v>
                </c:pt>
                <c:pt idx="477">
                  <c:v>44329</c:v>
                </c:pt>
                <c:pt idx="478">
                  <c:v>44330</c:v>
                </c:pt>
                <c:pt idx="479">
                  <c:v>44331</c:v>
                </c:pt>
                <c:pt idx="480">
                  <c:v>44332</c:v>
                </c:pt>
                <c:pt idx="481">
                  <c:v>44333</c:v>
                </c:pt>
                <c:pt idx="482">
                  <c:v>44334</c:v>
                </c:pt>
                <c:pt idx="483">
                  <c:v>44335</c:v>
                </c:pt>
                <c:pt idx="484">
                  <c:v>44336</c:v>
                </c:pt>
                <c:pt idx="485">
                  <c:v>44337</c:v>
                </c:pt>
                <c:pt idx="486">
                  <c:v>44338</c:v>
                </c:pt>
                <c:pt idx="487">
                  <c:v>44339</c:v>
                </c:pt>
                <c:pt idx="488">
                  <c:v>44340</c:v>
                </c:pt>
                <c:pt idx="489">
                  <c:v>44341</c:v>
                </c:pt>
                <c:pt idx="490">
                  <c:v>44342</c:v>
                </c:pt>
                <c:pt idx="491">
                  <c:v>44343</c:v>
                </c:pt>
                <c:pt idx="492">
                  <c:v>44344</c:v>
                </c:pt>
                <c:pt idx="493">
                  <c:v>44345</c:v>
                </c:pt>
                <c:pt idx="494">
                  <c:v>44346</c:v>
                </c:pt>
                <c:pt idx="495">
                  <c:v>44347</c:v>
                </c:pt>
                <c:pt idx="496">
                  <c:v>44348</c:v>
                </c:pt>
                <c:pt idx="497">
                  <c:v>44349</c:v>
                </c:pt>
                <c:pt idx="498">
                  <c:v>44350</c:v>
                </c:pt>
                <c:pt idx="499">
                  <c:v>44351</c:v>
                </c:pt>
                <c:pt idx="500">
                  <c:v>44352</c:v>
                </c:pt>
                <c:pt idx="501">
                  <c:v>44353</c:v>
                </c:pt>
                <c:pt idx="502">
                  <c:v>44354</c:v>
                </c:pt>
                <c:pt idx="503">
                  <c:v>44355</c:v>
                </c:pt>
                <c:pt idx="504">
                  <c:v>44356</c:v>
                </c:pt>
                <c:pt idx="505">
                  <c:v>44357</c:v>
                </c:pt>
                <c:pt idx="506">
                  <c:v>44358</c:v>
                </c:pt>
                <c:pt idx="507">
                  <c:v>44359</c:v>
                </c:pt>
                <c:pt idx="508">
                  <c:v>44360</c:v>
                </c:pt>
                <c:pt idx="509">
                  <c:v>44361</c:v>
                </c:pt>
                <c:pt idx="510">
                  <c:v>44362</c:v>
                </c:pt>
                <c:pt idx="511">
                  <c:v>44363</c:v>
                </c:pt>
                <c:pt idx="512">
                  <c:v>44364</c:v>
                </c:pt>
                <c:pt idx="513">
                  <c:v>44365</c:v>
                </c:pt>
                <c:pt idx="514">
                  <c:v>44366</c:v>
                </c:pt>
                <c:pt idx="515">
                  <c:v>44367</c:v>
                </c:pt>
                <c:pt idx="516">
                  <c:v>44368</c:v>
                </c:pt>
                <c:pt idx="517">
                  <c:v>44369</c:v>
                </c:pt>
                <c:pt idx="518">
                  <c:v>44370</c:v>
                </c:pt>
                <c:pt idx="519">
                  <c:v>44371</c:v>
                </c:pt>
                <c:pt idx="520">
                  <c:v>44372</c:v>
                </c:pt>
                <c:pt idx="521">
                  <c:v>44373</c:v>
                </c:pt>
                <c:pt idx="522">
                  <c:v>44374</c:v>
                </c:pt>
                <c:pt idx="523">
                  <c:v>44375</c:v>
                </c:pt>
                <c:pt idx="524">
                  <c:v>44376</c:v>
                </c:pt>
                <c:pt idx="525">
                  <c:v>44377</c:v>
                </c:pt>
                <c:pt idx="526">
                  <c:v>44378</c:v>
                </c:pt>
                <c:pt idx="527">
                  <c:v>44379</c:v>
                </c:pt>
                <c:pt idx="528">
                  <c:v>44380</c:v>
                </c:pt>
                <c:pt idx="529">
                  <c:v>44381</c:v>
                </c:pt>
                <c:pt idx="530">
                  <c:v>44382</c:v>
                </c:pt>
                <c:pt idx="531">
                  <c:v>44383</c:v>
                </c:pt>
                <c:pt idx="532">
                  <c:v>44384</c:v>
                </c:pt>
                <c:pt idx="533">
                  <c:v>44385</c:v>
                </c:pt>
                <c:pt idx="534">
                  <c:v>44386</c:v>
                </c:pt>
                <c:pt idx="535">
                  <c:v>44387</c:v>
                </c:pt>
                <c:pt idx="536">
                  <c:v>44388</c:v>
                </c:pt>
                <c:pt idx="537">
                  <c:v>44389</c:v>
                </c:pt>
                <c:pt idx="538">
                  <c:v>44390</c:v>
                </c:pt>
                <c:pt idx="539">
                  <c:v>44391</c:v>
                </c:pt>
                <c:pt idx="540">
                  <c:v>44392</c:v>
                </c:pt>
                <c:pt idx="541">
                  <c:v>44393</c:v>
                </c:pt>
                <c:pt idx="542">
                  <c:v>44394</c:v>
                </c:pt>
                <c:pt idx="543">
                  <c:v>44395</c:v>
                </c:pt>
                <c:pt idx="544">
                  <c:v>44396</c:v>
                </c:pt>
                <c:pt idx="545">
                  <c:v>44397</c:v>
                </c:pt>
                <c:pt idx="546">
                  <c:v>44398</c:v>
                </c:pt>
                <c:pt idx="547">
                  <c:v>44399</c:v>
                </c:pt>
                <c:pt idx="548">
                  <c:v>44400</c:v>
                </c:pt>
                <c:pt idx="549">
                  <c:v>44401</c:v>
                </c:pt>
                <c:pt idx="550">
                  <c:v>44402</c:v>
                </c:pt>
                <c:pt idx="551">
                  <c:v>44403</c:v>
                </c:pt>
                <c:pt idx="552">
                  <c:v>44404</c:v>
                </c:pt>
                <c:pt idx="553">
                  <c:v>44405</c:v>
                </c:pt>
                <c:pt idx="554">
                  <c:v>44406</c:v>
                </c:pt>
                <c:pt idx="555">
                  <c:v>44407</c:v>
                </c:pt>
                <c:pt idx="556">
                  <c:v>44408</c:v>
                </c:pt>
                <c:pt idx="557">
                  <c:v>44409</c:v>
                </c:pt>
                <c:pt idx="558">
                  <c:v>44410</c:v>
                </c:pt>
                <c:pt idx="559">
                  <c:v>44411</c:v>
                </c:pt>
                <c:pt idx="560">
                  <c:v>44412</c:v>
                </c:pt>
                <c:pt idx="561">
                  <c:v>44413</c:v>
                </c:pt>
                <c:pt idx="562">
                  <c:v>44414</c:v>
                </c:pt>
                <c:pt idx="563">
                  <c:v>44415</c:v>
                </c:pt>
                <c:pt idx="564">
                  <c:v>44416</c:v>
                </c:pt>
                <c:pt idx="565">
                  <c:v>44417</c:v>
                </c:pt>
                <c:pt idx="566">
                  <c:v>44418</c:v>
                </c:pt>
                <c:pt idx="567">
                  <c:v>44419</c:v>
                </c:pt>
                <c:pt idx="568">
                  <c:v>44420</c:v>
                </c:pt>
                <c:pt idx="569">
                  <c:v>44421</c:v>
                </c:pt>
                <c:pt idx="570">
                  <c:v>44422</c:v>
                </c:pt>
                <c:pt idx="571">
                  <c:v>44423</c:v>
                </c:pt>
                <c:pt idx="572">
                  <c:v>44424</c:v>
                </c:pt>
                <c:pt idx="573">
                  <c:v>44425</c:v>
                </c:pt>
                <c:pt idx="574">
                  <c:v>44426</c:v>
                </c:pt>
                <c:pt idx="575">
                  <c:v>44427</c:v>
                </c:pt>
                <c:pt idx="576">
                  <c:v>44428</c:v>
                </c:pt>
                <c:pt idx="577">
                  <c:v>44429</c:v>
                </c:pt>
                <c:pt idx="578">
                  <c:v>44430</c:v>
                </c:pt>
                <c:pt idx="579">
                  <c:v>44431</c:v>
                </c:pt>
                <c:pt idx="580">
                  <c:v>44432</c:v>
                </c:pt>
                <c:pt idx="581">
                  <c:v>44433</c:v>
                </c:pt>
                <c:pt idx="582">
                  <c:v>44434</c:v>
                </c:pt>
                <c:pt idx="583">
                  <c:v>44435</c:v>
                </c:pt>
                <c:pt idx="584">
                  <c:v>44436</c:v>
                </c:pt>
                <c:pt idx="585">
                  <c:v>44437</c:v>
                </c:pt>
                <c:pt idx="586">
                  <c:v>44438</c:v>
                </c:pt>
                <c:pt idx="587">
                  <c:v>44439</c:v>
                </c:pt>
                <c:pt idx="588">
                  <c:v>44440</c:v>
                </c:pt>
                <c:pt idx="589">
                  <c:v>44441</c:v>
                </c:pt>
                <c:pt idx="590">
                  <c:v>44442</c:v>
                </c:pt>
                <c:pt idx="591">
                  <c:v>44443</c:v>
                </c:pt>
                <c:pt idx="592">
                  <c:v>44444</c:v>
                </c:pt>
                <c:pt idx="593">
                  <c:v>44445</c:v>
                </c:pt>
                <c:pt idx="594">
                  <c:v>44446</c:v>
                </c:pt>
                <c:pt idx="595">
                  <c:v>44447</c:v>
                </c:pt>
                <c:pt idx="596">
                  <c:v>44448</c:v>
                </c:pt>
                <c:pt idx="597">
                  <c:v>44449</c:v>
                </c:pt>
                <c:pt idx="598">
                  <c:v>44450</c:v>
                </c:pt>
                <c:pt idx="599">
                  <c:v>44451</c:v>
                </c:pt>
                <c:pt idx="600">
                  <c:v>44452</c:v>
                </c:pt>
                <c:pt idx="601">
                  <c:v>44453</c:v>
                </c:pt>
                <c:pt idx="602">
                  <c:v>44454</c:v>
                </c:pt>
                <c:pt idx="603">
                  <c:v>44455</c:v>
                </c:pt>
                <c:pt idx="604">
                  <c:v>44456</c:v>
                </c:pt>
                <c:pt idx="605">
                  <c:v>44457</c:v>
                </c:pt>
                <c:pt idx="606">
                  <c:v>44458</c:v>
                </c:pt>
                <c:pt idx="607">
                  <c:v>44459</c:v>
                </c:pt>
                <c:pt idx="608">
                  <c:v>44460</c:v>
                </c:pt>
                <c:pt idx="609">
                  <c:v>44461</c:v>
                </c:pt>
                <c:pt idx="610">
                  <c:v>44462</c:v>
                </c:pt>
                <c:pt idx="611">
                  <c:v>44463</c:v>
                </c:pt>
                <c:pt idx="612">
                  <c:v>44464</c:v>
                </c:pt>
                <c:pt idx="613">
                  <c:v>44465</c:v>
                </c:pt>
                <c:pt idx="614">
                  <c:v>44466</c:v>
                </c:pt>
                <c:pt idx="615">
                  <c:v>44467</c:v>
                </c:pt>
                <c:pt idx="616">
                  <c:v>44468</c:v>
                </c:pt>
                <c:pt idx="617">
                  <c:v>44469</c:v>
                </c:pt>
                <c:pt idx="618">
                  <c:v>44470</c:v>
                </c:pt>
                <c:pt idx="619">
                  <c:v>44471</c:v>
                </c:pt>
                <c:pt idx="620">
                  <c:v>44472</c:v>
                </c:pt>
                <c:pt idx="621">
                  <c:v>44473</c:v>
                </c:pt>
                <c:pt idx="622">
                  <c:v>44474</c:v>
                </c:pt>
                <c:pt idx="623">
                  <c:v>44475</c:v>
                </c:pt>
                <c:pt idx="624">
                  <c:v>44476</c:v>
                </c:pt>
                <c:pt idx="625">
                  <c:v>44477</c:v>
                </c:pt>
                <c:pt idx="626">
                  <c:v>44478</c:v>
                </c:pt>
                <c:pt idx="627">
                  <c:v>44479</c:v>
                </c:pt>
                <c:pt idx="628">
                  <c:v>44480</c:v>
                </c:pt>
                <c:pt idx="629">
                  <c:v>44481</c:v>
                </c:pt>
                <c:pt idx="630">
                  <c:v>44482</c:v>
                </c:pt>
                <c:pt idx="631">
                  <c:v>44483</c:v>
                </c:pt>
                <c:pt idx="632">
                  <c:v>44484</c:v>
                </c:pt>
                <c:pt idx="633">
                  <c:v>44485</c:v>
                </c:pt>
                <c:pt idx="634">
                  <c:v>44486</c:v>
                </c:pt>
                <c:pt idx="635">
                  <c:v>44487</c:v>
                </c:pt>
                <c:pt idx="636">
                  <c:v>44488</c:v>
                </c:pt>
                <c:pt idx="637">
                  <c:v>44489</c:v>
                </c:pt>
                <c:pt idx="638">
                  <c:v>44490</c:v>
                </c:pt>
                <c:pt idx="639">
                  <c:v>44491</c:v>
                </c:pt>
                <c:pt idx="640">
                  <c:v>44492</c:v>
                </c:pt>
                <c:pt idx="641">
                  <c:v>44493</c:v>
                </c:pt>
                <c:pt idx="642">
                  <c:v>44494</c:v>
                </c:pt>
                <c:pt idx="643">
                  <c:v>44495</c:v>
                </c:pt>
                <c:pt idx="644">
                  <c:v>44496</c:v>
                </c:pt>
                <c:pt idx="645">
                  <c:v>44497</c:v>
                </c:pt>
                <c:pt idx="646">
                  <c:v>44498</c:v>
                </c:pt>
                <c:pt idx="647">
                  <c:v>44499</c:v>
                </c:pt>
                <c:pt idx="648">
                  <c:v>44500</c:v>
                </c:pt>
                <c:pt idx="649">
                  <c:v>44501</c:v>
                </c:pt>
                <c:pt idx="650">
                  <c:v>44502</c:v>
                </c:pt>
                <c:pt idx="651">
                  <c:v>44503</c:v>
                </c:pt>
                <c:pt idx="652">
                  <c:v>44504</c:v>
                </c:pt>
                <c:pt idx="653">
                  <c:v>44505</c:v>
                </c:pt>
                <c:pt idx="654">
                  <c:v>44506</c:v>
                </c:pt>
                <c:pt idx="655">
                  <c:v>44507</c:v>
                </c:pt>
                <c:pt idx="656">
                  <c:v>44508</c:v>
                </c:pt>
                <c:pt idx="657">
                  <c:v>44509</c:v>
                </c:pt>
                <c:pt idx="658">
                  <c:v>44510</c:v>
                </c:pt>
                <c:pt idx="659">
                  <c:v>44511</c:v>
                </c:pt>
                <c:pt idx="660">
                  <c:v>44512</c:v>
                </c:pt>
                <c:pt idx="661">
                  <c:v>44513</c:v>
                </c:pt>
                <c:pt idx="662">
                  <c:v>44514</c:v>
                </c:pt>
                <c:pt idx="663">
                  <c:v>44515</c:v>
                </c:pt>
                <c:pt idx="664">
                  <c:v>44516</c:v>
                </c:pt>
                <c:pt idx="665">
                  <c:v>44517</c:v>
                </c:pt>
                <c:pt idx="666">
                  <c:v>44518</c:v>
                </c:pt>
                <c:pt idx="667">
                  <c:v>44519</c:v>
                </c:pt>
                <c:pt idx="668">
                  <c:v>44520</c:v>
                </c:pt>
                <c:pt idx="669">
                  <c:v>44521</c:v>
                </c:pt>
                <c:pt idx="670">
                  <c:v>44522</c:v>
                </c:pt>
                <c:pt idx="671">
                  <c:v>44523</c:v>
                </c:pt>
                <c:pt idx="672">
                  <c:v>44524</c:v>
                </c:pt>
                <c:pt idx="673">
                  <c:v>#N/A</c:v>
                </c:pt>
                <c:pt idx="674">
                  <c:v>#N/A</c:v>
                </c:pt>
                <c:pt idx="675">
                  <c:v>#N/A</c:v>
                </c:pt>
                <c:pt idx="676">
                  <c:v>#N/A</c:v>
                </c:pt>
                <c:pt idx="677">
                  <c:v>#N/A</c:v>
                </c:pt>
                <c:pt idx="678">
                  <c:v>#N/A</c:v>
                </c:pt>
                <c:pt idx="679">
                  <c:v>#N/A</c:v>
                </c:pt>
                <c:pt idx="680">
                  <c:v>#N/A</c:v>
                </c:pt>
                <c:pt idx="681">
                  <c:v>#N/A</c:v>
                </c:pt>
                <c:pt idx="682">
                  <c:v>#N/A</c:v>
                </c:pt>
                <c:pt idx="683">
                  <c:v>#N/A</c:v>
                </c:pt>
                <c:pt idx="684">
                  <c:v>#N/A</c:v>
                </c:pt>
                <c:pt idx="685">
                  <c:v>#N/A</c:v>
                </c:pt>
                <c:pt idx="686">
                  <c:v>#N/A</c:v>
                </c:pt>
                <c:pt idx="687">
                  <c:v>#N/A</c:v>
                </c:pt>
                <c:pt idx="688">
                  <c:v>#N/A</c:v>
                </c:pt>
                <c:pt idx="689">
                  <c:v>#N/A</c:v>
                </c:pt>
                <c:pt idx="690">
                  <c:v>#N/A</c:v>
                </c:pt>
                <c:pt idx="691">
                  <c:v>#N/A</c:v>
                </c:pt>
                <c:pt idx="692">
                  <c:v>#N/A</c:v>
                </c:pt>
                <c:pt idx="693">
                  <c:v>#N/A</c:v>
                </c:pt>
              </c:numCache>
            </c:numRef>
          </c:cat>
          <c:val>
            <c:numRef>
              <c:f>'DATA - Daily COVID cases'!$B$13:$ZS$13</c:f>
              <c:numCache>
                <c:formatCode>General</c:formatCode>
                <c:ptCount val="694"/>
                <c:pt idx="4">
                  <c:v>#N/A</c:v>
                </c:pt>
                <c:pt idx="5">
                  <c:v>#N/A</c:v>
                </c:pt>
                <c:pt idx="6">
                  <c:v>#N/A</c:v>
                </c:pt>
                <c:pt idx="7">
                  <c:v>798.42857142857201</c:v>
                </c:pt>
                <c:pt idx="8">
                  <c:v>1079.8571428571399</c:v>
                </c:pt>
                <c:pt idx="9">
                  <c:v>1279.57142857143</c:v>
                </c:pt>
                <c:pt idx="10">
                  <c:v>1510</c:v>
                </c:pt>
                <c:pt idx="11">
                  <c:v>2090.8571428571399</c:v>
                </c:pt>
                <c:pt idx="12">
                  <c:v>2416.7142857142899</c:v>
                </c:pt>
                <c:pt idx="13">
                  <c:v>2611.5714285714298</c:v>
                </c:pt>
                <c:pt idx="14">
                  <c:v>3063.1428571428601</c:v>
                </c:pt>
                <c:pt idx="15">
                  <c:v>3219.2857142857101</c:v>
                </c:pt>
                <c:pt idx="16">
                  <c:v>3483.2857142857101</c:v>
                </c:pt>
                <c:pt idx="17">
                  <c:v>3571.1428571428601</c:v>
                </c:pt>
                <c:pt idx="18">
                  <c:v>3325.2857142857101</c:v>
                </c:pt>
                <c:pt idx="19">
                  <c:v>3246.2857142857101</c:v>
                </c:pt>
                <c:pt idx="20">
                  <c:v>2964.5714285714298</c:v>
                </c:pt>
                <c:pt idx="21">
                  <c:v>2483.7142857142899</c:v>
                </c:pt>
                <c:pt idx="22">
                  <c:v>4196.4285714285697</c:v>
                </c:pt>
                <c:pt idx="23">
                  <c:v>4618.4285714285697</c:v>
                </c:pt>
                <c:pt idx="24">
                  <c:v>4526.2857142857101</c:v>
                </c:pt>
                <c:pt idx="25">
                  <c:v>4395.8571428571404</c:v>
                </c:pt>
                <c:pt idx="26">
                  <c:v>4309.8571428571404</c:v>
                </c:pt>
                <c:pt idx="27">
                  <c:v>4275</c:v>
                </c:pt>
                <c:pt idx="28">
                  <c:v>4280.8571428571404</c:v>
                </c:pt>
                <c:pt idx="29">
                  <c:v>2194</c:v>
                </c:pt>
                <c:pt idx="30">
                  <c:v>1352.57142857143</c:v>
                </c:pt>
                <c:pt idx="31">
                  <c:v>1299.7142857142901</c:v>
                </c:pt>
                <c:pt idx="32">
                  <c:v>1027.7142857142901</c:v>
                </c:pt>
                <c:pt idx="33">
                  <c:v>818.28571428571399</c:v>
                </c:pt>
                <c:pt idx="34">
                  <c:v>658.71428571428601</c:v>
                </c:pt>
                <c:pt idx="35">
                  <c:v>702</c:v>
                </c:pt>
                <c:pt idx="36">
                  <c:v>762.57142857142901</c:v>
                </c:pt>
                <c:pt idx="37">
                  <c:v>810</c:v>
                </c:pt>
                <c:pt idx="38">
                  <c:v>749.142857142857</c:v>
                </c:pt>
                <c:pt idx="39">
                  <c:v>888.857142857143</c:v>
                </c:pt>
                <c:pt idx="40">
                  <c:v>941.142857142857</c:v>
                </c:pt>
                <c:pt idx="41">
                  <c:v>989.42857142857201</c:v>
                </c:pt>
                <c:pt idx="42">
                  <c:v>978.857142857143</c:v>
                </c:pt>
                <c:pt idx="43">
                  <c:v>937.57142857142901</c:v>
                </c:pt>
                <c:pt idx="44">
                  <c:v>915.142857142857</c:v>
                </c:pt>
                <c:pt idx="45">
                  <c:v>819.57142857142901</c:v>
                </c:pt>
                <c:pt idx="46">
                  <c:v>710.28571428571399</c:v>
                </c:pt>
                <c:pt idx="47">
                  <c:v>634</c:v>
                </c:pt>
                <c:pt idx="48">
                  <c:v>518.42857142857099</c:v>
                </c:pt>
                <c:pt idx="49">
                  <c:v>490.42857142857099</c:v>
                </c:pt>
                <c:pt idx="50">
                  <c:v>425.857142857143</c:v>
                </c:pt>
                <c:pt idx="51">
                  <c:v>374.28571428571399</c:v>
                </c:pt>
                <c:pt idx="52">
                  <c:v>351.71428571428601</c:v>
                </c:pt>
                <c:pt idx="53">
                  <c:v>379</c:v>
                </c:pt>
                <c:pt idx="54">
                  <c:v>414.28571428571399</c:v>
                </c:pt>
                <c:pt idx="55">
                  <c:v>481</c:v>
                </c:pt>
                <c:pt idx="56">
                  <c:v>531.142857142857</c:v>
                </c:pt>
                <c:pt idx="57">
                  <c:v>617</c:v>
                </c:pt>
                <c:pt idx="58">
                  <c:v>703.142857142857</c:v>
                </c:pt>
                <c:pt idx="59">
                  <c:v>807.57142857142901</c:v>
                </c:pt>
                <c:pt idx="60">
                  <c:v>950.42857142857099</c:v>
                </c:pt>
                <c:pt idx="61">
                  <c:v>1023</c:v>
                </c:pt>
                <c:pt idx="62">
                  <c:v>1121.42857142857</c:v>
                </c:pt>
                <c:pt idx="63">
                  <c:v>1226.7142857142901</c:v>
                </c:pt>
                <c:pt idx="64">
                  <c:v>1364.7142857142901</c:v>
                </c:pt>
                <c:pt idx="65">
                  <c:v>1464</c:v>
                </c:pt>
                <c:pt idx="66">
                  <c:v>1597.2857142857099</c:v>
                </c:pt>
                <c:pt idx="67">
                  <c:v>1650.8571428571399</c:v>
                </c:pt>
                <c:pt idx="68">
                  <c:v>1767</c:v>
                </c:pt>
                <c:pt idx="69">
                  <c:v>1889.1428571428601</c:v>
                </c:pt>
                <c:pt idx="70">
                  <c:v>2041.42857142857</c:v>
                </c:pt>
                <c:pt idx="71">
                  <c:v>2158.2857142857101</c:v>
                </c:pt>
                <c:pt idx="72">
                  <c:v>2212</c:v>
                </c:pt>
                <c:pt idx="73">
                  <c:v>2250.2857142857101</c:v>
                </c:pt>
                <c:pt idx="74">
                  <c:v>2370.8571428571399</c:v>
                </c:pt>
                <c:pt idx="75">
                  <c:v>2571.7142857142899</c:v>
                </c:pt>
                <c:pt idx="76">
                  <c:v>2587.5714285714298</c:v>
                </c:pt>
                <c:pt idx="77">
                  <c:v>2605.8571428571399</c:v>
                </c:pt>
                <c:pt idx="78">
                  <c:v>2688.7142857142899</c:v>
                </c:pt>
                <c:pt idx="79">
                  <c:v>2834.7142857142899</c:v>
                </c:pt>
                <c:pt idx="80">
                  <c:v>2974.8571428571399</c:v>
                </c:pt>
                <c:pt idx="81">
                  <c:v>3032</c:v>
                </c:pt>
                <c:pt idx="82">
                  <c:v>3112.2857142857101</c:v>
                </c:pt>
                <c:pt idx="83">
                  <c:v>3361.1428571428601</c:v>
                </c:pt>
                <c:pt idx="84">
                  <c:v>3508.7142857142899</c:v>
                </c:pt>
                <c:pt idx="85">
                  <c:v>3615.1428571428601</c:v>
                </c:pt>
                <c:pt idx="86">
                  <c:v>3816.8571428571399</c:v>
                </c:pt>
                <c:pt idx="87">
                  <c:v>4042.1428571428601</c:v>
                </c:pt>
                <c:pt idx="88">
                  <c:v>4185.7142857142899</c:v>
                </c:pt>
                <c:pt idx="89">
                  <c:v>4387.1428571428596</c:v>
                </c:pt>
                <c:pt idx="90">
                  <c:v>4516.5714285714303</c:v>
                </c:pt>
                <c:pt idx="91">
                  <c:v>4693.2857142857201</c:v>
                </c:pt>
                <c:pt idx="92">
                  <c:v>4923</c:v>
                </c:pt>
                <c:pt idx="93">
                  <c:v>5030.4285714285697</c:v>
                </c:pt>
                <c:pt idx="94">
                  <c:v>4990.4285714285697</c:v>
                </c:pt>
                <c:pt idx="95">
                  <c:v>5072.8571428571404</c:v>
                </c:pt>
                <c:pt idx="96">
                  <c:v>4974.8571428571404</c:v>
                </c:pt>
                <c:pt idx="97">
                  <c:v>5028.1428571428596</c:v>
                </c:pt>
                <c:pt idx="98">
                  <c:v>5119.2857142857101</c:v>
                </c:pt>
                <c:pt idx="99">
                  <c:v>5139.4285714285697</c:v>
                </c:pt>
                <c:pt idx="100">
                  <c:v>5343.1428571428596</c:v>
                </c:pt>
                <c:pt idx="101">
                  <c:v>5538.1428571428596</c:v>
                </c:pt>
                <c:pt idx="102">
                  <c:v>5741.7142857142899</c:v>
                </c:pt>
                <c:pt idx="103">
                  <c:v>6174.8571428571404</c:v>
                </c:pt>
                <c:pt idx="104">
                  <c:v>6511.1428571428596</c:v>
                </c:pt>
                <c:pt idx="105">
                  <c:v>6825.5714285714303</c:v>
                </c:pt>
                <c:pt idx="106">
                  <c:v>7174.5714285714303</c:v>
                </c:pt>
                <c:pt idx="107">
                  <c:v>7432.8571428571404</c:v>
                </c:pt>
                <c:pt idx="108">
                  <c:v>7641.1428571428596</c:v>
                </c:pt>
                <c:pt idx="109">
                  <c:v>8169.2857142857101</c:v>
                </c:pt>
                <c:pt idx="110">
                  <c:v>8334.1428571428605</c:v>
                </c:pt>
                <c:pt idx="111">
                  <c:v>8361.4285714285706</c:v>
                </c:pt>
                <c:pt idx="112">
                  <c:v>8336.1428571428605</c:v>
                </c:pt>
                <c:pt idx="113">
                  <c:v>8716.7142857142899</c:v>
                </c:pt>
                <c:pt idx="114">
                  <c:v>8629.4285714285706</c:v>
                </c:pt>
                <c:pt idx="115">
                  <c:v>8896</c:v>
                </c:pt>
                <c:pt idx="116">
                  <c:v>9009.4285714285706</c:v>
                </c:pt>
                <c:pt idx="117">
                  <c:v>9270.8571428571395</c:v>
                </c:pt>
                <c:pt idx="118">
                  <c:v>9844.7142857142899</c:v>
                </c:pt>
                <c:pt idx="119">
                  <c:v>10493.4285714286</c:v>
                </c:pt>
                <c:pt idx="120">
                  <c:v>10896.285714285699</c:v>
                </c:pt>
                <c:pt idx="121">
                  <c:v>11674.4285714286</c:v>
                </c:pt>
                <c:pt idx="122">
                  <c:v>12319.714285714301</c:v>
                </c:pt>
                <c:pt idx="123">
                  <c:v>12749.857142857099</c:v>
                </c:pt>
                <c:pt idx="124">
                  <c:v>13039</c:v>
                </c:pt>
                <c:pt idx="125">
                  <c:v>12957.714285714301</c:v>
                </c:pt>
                <c:pt idx="126">
                  <c:v>13255.142857142901</c:v>
                </c:pt>
                <c:pt idx="127">
                  <c:v>13536.4285714286</c:v>
                </c:pt>
                <c:pt idx="128">
                  <c:v>14118.4285714286</c:v>
                </c:pt>
                <c:pt idx="129">
                  <c:v>14567.5714285714</c:v>
                </c:pt>
                <c:pt idx="130">
                  <c:v>15236.714285714301</c:v>
                </c:pt>
                <c:pt idx="131">
                  <c:v>15938.142857142901</c:v>
                </c:pt>
                <c:pt idx="132">
                  <c:v>17066.428571428602</c:v>
                </c:pt>
                <c:pt idx="133">
                  <c:v>18078.714285714301</c:v>
                </c:pt>
                <c:pt idx="134">
                  <c:v>18701.285714285699</c:v>
                </c:pt>
                <c:pt idx="135">
                  <c:v>19147.285714285699</c:v>
                </c:pt>
                <c:pt idx="136">
                  <c:v>19855.571428571398</c:v>
                </c:pt>
                <c:pt idx="137">
                  <c:v>20361.857142857101</c:v>
                </c:pt>
                <c:pt idx="138">
                  <c:v>20623.714285714301</c:v>
                </c:pt>
                <c:pt idx="139">
                  <c:v>21023.857142857101</c:v>
                </c:pt>
                <c:pt idx="140">
                  <c:v>21408.285714285699</c:v>
                </c:pt>
                <c:pt idx="141">
                  <c:v>22091.285714285699</c:v>
                </c:pt>
                <c:pt idx="142">
                  <c:v>21865</c:v>
                </c:pt>
                <c:pt idx="143">
                  <c:v>22328.428571428602</c:v>
                </c:pt>
                <c:pt idx="144">
                  <c:v>23580.285714285699</c:v>
                </c:pt>
                <c:pt idx="145">
                  <c:v>24087.428571428602</c:v>
                </c:pt>
                <c:pt idx="146">
                  <c:v>24374.571428571398</c:v>
                </c:pt>
                <c:pt idx="147">
                  <c:v>24798.714285714301</c:v>
                </c:pt>
                <c:pt idx="148">
                  <c:v>25035.571428571398</c:v>
                </c:pt>
                <c:pt idx="149">
                  <c:v>26478.428571428602</c:v>
                </c:pt>
                <c:pt idx="150">
                  <c:v>26933.571428571398</c:v>
                </c:pt>
                <c:pt idx="151">
                  <c:v>26445.857142857101</c:v>
                </c:pt>
                <c:pt idx="152">
                  <c:v>26947</c:v>
                </c:pt>
                <c:pt idx="153">
                  <c:v>27565.571428571398</c:v>
                </c:pt>
                <c:pt idx="154">
                  <c:v>27837.857142857101</c:v>
                </c:pt>
                <c:pt idx="155">
                  <c:v>28183.285714285699</c:v>
                </c:pt>
                <c:pt idx="156">
                  <c:v>28400.571428571398</c:v>
                </c:pt>
                <c:pt idx="157">
                  <c:v>28918</c:v>
                </c:pt>
                <c:pt idx="158">
                  <c:v>29638.571428571398</c:v>
                </c:pt>
                <c:pt idx="159">
                  <c:v>30195.428571428602</c:v>
                </c:pt>
                <c:pt idx="160">
                  <c:v>30629.571428571398</c:v>
                </c:pt>
                <c:pt idx="161">
                  <c:v>33857</c:v>
                </c:pt>
                <c:pt idx="162">
                  <c:v>34769</c:v>
                </c:pt>
                <c:pt idx="163">
                  <c:v>35350.142857142899</c:v>
                </c:pt>
                <c:pt idx="164">
                  <c:v>36261.428571428602</c:v>
                </c:pt>
                <c:pt idx="165">
                  <c:v>37546.857142857203</c:v>
                </c:pt>
                <c:pt idx="166">
                  <c:v>38243.142857142899</c:v>
                </c:pt>
                <c:pt idx="167">
                  <c:v>38794.285714285703</c:v>
                </c:pt>
                <c:pt idx="168">
                  <c:v>36947.285714285703</c:v>
                </c:pt>
                <c:pt idx="169">
                  <c:v>38079.714285714297</c:v>
                </c:pt>
                <c:pt idx="170">
                  <c:v>38957.285714285703</c:v>
                </c:pt>
                <c:pt idx="171">
                  <c:v>39393.714285714297</c:v>
                </c:pt>
                <c:pt idx="172">
                  <c:v>39325.285714285703</c:v>
                </c:pt>
                <c:pt idx="173">
                  <c:v>40266</c:v>
                </c:pt>
                <c:pt idx="174">
                  <c:v>41126.857142857203</c:v>
                </c:pt>
                <c:pt idx="175">
                  <c:v>42224.857142857203</c:v>
                </c:pt>
                <c:pt idx="176">
                  <c:v>42710.428571428602</c:v>
                </c:pt>
                <c:pt idx="177">
                  <c:v>44107</c:v>
                </c:pt>
                <c:pt idx="178">
                  <c:v>46913.428571428602</c:v>
                </c:pt>
                <c:pt idx="179">
                  <c:v>49145.571428571398</c:v>
                </c:pt>
                <c:pt idx="180">
                  <c:v>50040.857142857203</c:v>
                </c:pt>
                <c:pt idx="181">
                  <c:v>51512.857142857203</c:v>
                </c:pt>
                <c:pt idx="182">
                  <c:v>53099.142857142899</c:v>
                </c:pt>
                <c:pt idx="183">
                  <c:v>55916.142857142899</c:v>
                </c:pt>
                <c:pt idx="184">
                  <c:v>57446.428571428602</c:v>
                </c:pt>
                <c:pt idx="185">
                  <c:v>57553.571428571398</c:v>
                </c:pt>
                <c:pt idx="186">
                  <c:v>58248.857142857203</c:v>
                </c:pt>
                <c:pt idx="187">
                  <c:v>59490.571428571398</c:v>
                </c:pt>
                <c:pt idx="188">
                  <c:v>61322.714285714297</c:v>
                </c:pt>
                <c:pt idx="189">
                  <c:v>62417.428571428602</c:v>
                </c:pt>
                <c:pt idx="190">
                  <c:v>62756.714285714297</c:v>
                </c:pt>
                <c:pt idx="191">
                  <c:v>64985</c:v>
                </c:pt>
                <c:pt idx="192">
                  <c:v>65914.571428571406</c:v>
                </c:pt>
                <c:pt idx="193">
                  <c:v>67468.571428571406</c:v>
                </c:pt>
                <c:pt idx="194">
                  <c:v>68603.857142857203</c:v>
                </c:pt>
                <c:pt idx="195">
                  <c:v>69204.857142857203</c:v>
                </c:pt>
                <c:pt idx="196">
                  <c:v>70322.714285714304</c:v>
                </c:pt>
                <c:pt idx="197">
                  <c:v>71723.285714285696</c:v>
                </c:pt>
                <c:pt idx="198">
                  <c:v>71878.857142857203</c:v>
                </c:pt>
                <c:pt idx="199">
                  <c:v>73588.428571428594</c:v>
                </c:pt>
                <c:pt idx="200">
                  <c:v>74152.857142857203</c:v>
                </c:pt>
                <c:pt idx="201">
                  <c:v>74828.571428571406</c:v>
                </c:pt>
                <c:pt idx="202">
                  <c:v>75470</c:v>
                </c:pt>
                <c:pt idx="203">
                  <c:v>76854.571428571406</c:v>
                </c:pt>
                <c:pt idx="204">
                  <c:v>76963.285714285696</c:v>
                </c:pt>
                <c:pt idx="205">
                  <c:v>77502.142857142899</c:v>
                </c:pt>
                <c:pt idx="206">
                  <c:v>77333.428571428594</c:v>
                </c:pt>
                <c:pt idx="207">
                  <c:v>76664.285714285696</c:v>
                </c:pt>
                <c:pt idx="208">
                  <c:v>76168.571428571406</c:v>
                </c:pt>
                <c:pt idx="209">
                  <c:v>77007.285714285696</c:v>
                </c:pt>
                <c:pt idx="210">
                  <c:v>77304.142857142899</c:v>
                </c:pt>
                <c:pt idx="211">
                  <c:v>77933.285714285696</c:v>
                </c:pt>
                <c:pt idx="212">
                  <c:v>78308</c:v>
                </c:pt>
                <c:pt idx="213">
                  <c:v>78913.714285714304</c:v>
                </c:pt>
                <c:pt idx="214">
                  <c:v>79120.285714285696</c:v>
                </c:pt>
                <c:pt idx="215">
                  <c:v>80127.428571428594</c:v>
                </c:pt>
                <c:pt idx="216">
                  <c:v>78648.714285714304</c:v>
                </c:pt>
                <c:pt idx="217">
                  <c:v>80791.714285714304</c:v>
                </c:pt>
                <c:pt idx="218">
                  <c:v>81691.428571428594</c:v>
                </c:pt>
                <c:pt idx="219">
                  <c:v>82536</c:v>
                </c:pt>
                <c:pt idx="220">
                  <c:v>83874.571428571406</c:v>
                </c:pt>
                <c:pt idx="221">
                  <c:v>86531.714285714304</c:v>
                </c:pt>
                <c:pt idx="222">
                  <c:v>87717.714285714304</c:v>
                </c:pt>
                <c:pt idx="223">
                  <c:v>90876.285714285696</c:v>
                </c:pt>
                <c:pt idx="224">
                  <c:v>90309.714285714304</c:v>
                </c:pt>
                <c:pt idx="225">
                  <c:v>91108.428571428594</c:v>
                </c:pt>
                <c:pt idx="226">
                  <c:v>92415.714285714304</c:v>
                </c:pt>
                <c:pt idx="227">
                  <c:v>93624.142857142899</c:v>
                </c:pt>
                <c:pt idx="228">
                  <c:v>95262.857142857101</c:v>
                </c:pt>
                <c:pt idx="229">
                  <c:v>95820.285714285696</c:v>
                </c:pt>
                <c:pt idx="230">
                  <c:v>97325.857142857203</c:v>
                </c:pt>
                <c:pt idx="231">
                  <c:v>99116.428571428594</c:v>
                </c:pt>
                <c:pt idx="232">
                  <c:v>101238.428571429</c:v>
                </c:pt>
                <c:pt idx="233">
                  <c:v>103057.142857143</c:v>
                </c:pt>
                <c:pt idx="234">
                  <c:v>104131.571428571</c:v>
                </c:pt>
                <c:pt idx="235">
                  <c:v>104349.714285714</c:v>
                </c:pt>
                <c:pt idx="236">
                  <c:v>106001.571428571</c:v>
                </c:pt>
                <c:pt idx="237">
                  <c:v>106282.571428571</c:v>
                </c:pt>
                <c:pt idx="238">
                  <c:v>106779.857142857</c:v>
                </c:pt>
                <c:pt idx="239">
                  <c:v>106660.285714286</c:v>
                </c:pt>
                <c:pt idx="240">
                  <c:v>105949</c:v>
                </c:pt>
                <c:pt idx="241">
                  <c:v>105701.714285714</c:v>
                </c:pt>
                <c:pt idx="242">
                  <c:v>105103</c:v>
                </c:pt>
                <c:pt idx="243">
                  <c:v>103889.714285714</c:v>
                </c:pt>
                <c:pt idx="244">
                  <c:v>102652.428571429</c:v>
                </c:pt>
                <c:pt idx="245">
                  <c:v>101022.142857143</c:v>
                </c:pt>
                <c:pt idx="246">
                  <c:v>99587.285714285696</c:v>
                </c:pt>
                <c:pt idx="247">
                  <c:v>98385.714285714304</c:v>
                </c:pt>
                <c:pt idx="248">
                  <c:v>97510.428571428594</c:v>
                </c:pt>
                <c:pt idx="249">
                  <c:v>96770.428571428594</c:v>
                </c:pt>
                <c:pt idx="250">
                  <c:v>96000.142857142899</c:v>
                </c:pt>
                <c:pt idx="251">
                  <c:v>95755.285714285696</c:v>
                </c:pt>
                <c:pt idx="252">
                  <c:v>95714.714285714304</c:v>
                </c:pt>
                <c:pt idx="253">
                  <c:v>95120.285714285696</c:v>
                </c:pt>
                <c:pt idx="254">
                  <c:v>94472.571428571406</c:v>
                </c:pt>
                <c:pt idx="255">
                  <c:v>92892.142857142899</c:v>
                </c:pt>
                <c:pt idx="256">
                  <c:v>91910.142857142899</c:v>
                </c:pt>
                <c:pt idx="257">
                  <c:v>90793.857142857203</c:v>
                </c:pt>
                <c:pt idx="258">
                  <c:v>89833.857142857203</c:v>
                </c:pt>
                <c:pt idx="259">
                  <c:v>89174.142857142899</c:v>
                </c:pt>
                <c:pt idx="260">
                  <c:v>88096.714285714304</c:v>
                </c:pt>
                <c:pt idx="261">
                  <c:v>87245.428571428594</c:v>
                </c:pt>
                <c:pt idx="262">
                  <c:v>87644.714285714304</c:v>
                </c:pt>
                <c:pt idx="263">
                  <c:v>86733</c:v>
                </c:pt>
                <c:pt idx="264">
                  <c:v>86233.428571428594</c:v>
                </c:pt>
                <c:pt idx="265">
                  <c:v>85190.714285714304</c:v>
                </c:pt>
                <c:pt idx="266">
                  <c:v>83390.142857142899</c:v>
                </c:pt>
                <c:pt idx="267">
                  <c:v>82285.285714285696</c:v>
                </c:pt>
                <c:pt idx="268">
                  <c:v>81185.857142857203</c:v>
                </c:pt>
                <c:pt idx="269">
                  <c:v>79171</c:v>
                </c:pt>
                <c:pt idx="270">
                  <c:v>77665.857142857203</c:v>
                </c:pt>
                <c:pt idx="271">
                  <c:v>76426.571428571406</c:v>
                </c:pt>
                <c:pt idx="272">
                  <c:v>75026.571428571406</c:v>
                </c:pt>
                <c:pt idx="273">
                  <c:v>73833.142857142899</c:v>
                </c:pt>
                <c:pt idx="274">
                  <c:v>72710.571428571406</c:v>
                </c:pt>
                <c:pt idx="275">
                  <c:v>71585.857142857203</c:v>
                </c:pt>
                <c:pt idx="276">
                  <c:v>69844</c:v>
                </c:pt>
                <c:pt idx="277">
                  <c:v>68401.571428571406</c:v>
                </c:pt>
                <c:pt idx="278">
                  <c:v>66657.428571428594</c:v>
                </c:pt>
                <c:pt idx="279">
                  <c:v>64947.857142857101</c:v>
                </c:pt>
                <c:pt idx="280">
                  <c:v>63772.428571428602</c:v>
                </c:pt>
                <c:pt idx="281">
                  <c:v>62769.142857142899</c:v>
                </c:pt>
                <c:pt idx="282">
                  <c:v>61709</c:v>
                </c:pt>
                <c:pt idx="283">
                  <c:v>61172.714285714297</c:v>
                </c:pt>
                <c:pt idx="284">
                  <c:v>61124.428571428602</c:v>
                </c:pt>
                <c:pt idx="285">
                  <c:v>61660.142857142899</c:v>
                </c:pt>
                <c:pt idx="286">
                  <c:v>62640.857142857203</c:v>
                </c:pt>
                <c:pt idx="287">
                  <c:v>62757.285714285703</c:v>
                </c:pt>
                <c:pt idx="288">
                  <c:v>62854.285714285703</c:v>
                </c:pt>
                <c:pt idx="289">
                  <c:v>63532.714285714297</c:v>
                </c:pt>
                <c:pt idx="290">
                  <c:v>63868.857142857101</c:v>
                </c:pt>
                <c:pt idx="291">
                  <c:v>64492</c:v>
                </c:pt>
                <c:pt idx="292">
                  <c:v>64456.285714285703</c:v>
                </c:pt>
                <c:pt idx="293">
                  <c:v>64278.285714285703</c:v>
                </c:pt>
                <c:pt idx="294">
                  <c:v>64220.857142857203</c:v>
                </c:pt>
                <c:pt idx="295">
                  <c:v>63999.428571428602</c:v>
                </c:pt>
                <c:pt idx="296">
                  <c:v>63454.857142857203</c:v>
                </c:pt>
                <c:pt idx="297">
                  <c:v>63115.428571428602</c:v>
                </c:pt>
                <c:pt idx="298">
                  <c:v>61050.142857142899</c:v>
                </c:pt>
                <c:pt idx="299">
                  <c:v>60013.714285714297</c:v>
                </c:pt>
                <c:pt idx="300">
                  <c:v>59296.428571428602</c:v>
                </c:pt>
                <c:pt idx="301">
                  <c:v>59327</c:v>
                </c:pt>
                <c:pt idx="302">
                  <c:v>60126.571428571398</c:v>
                </c:pt>
                <c:pt idx="303">
                  <c:v>60808.428571428602</c:v>
                </c:pt>
                <c:pt idx="304">
                  <c:v>61716.571428571398</c:v>
                </c:pt>
                <c:pt idx="305">
                  <c:v>64053.571428571398</c:v>
                </c:pt>
                <c:pt idx="306">
                  <c:v>65960</c:v>
                </c:pt>
                <c:pt idx="307">
                  <c:v>67583.857142857203</c:v>
                </c:pt>
                <c:pt idx="308">
                  <c:v>68056.428571428594</c:v>
                </c:pt>
                <c:pt idx="309">
                  <c:v>67848.142857142899</c:v>
                </c:pt>
                <c:pt idx="310">
                  <c:v>67307.571428571406</c:v>
                </c:pt>
                <c:pt idx="311">
                  <c:v>67146</c:v>
                </c:pt>
                <c:pt idx="312">
                  <c:v>66877.428571428594</c:v>
                </c:pt>
                <c:pt idx="313">
                  <c:v>65947.571428571406</c:v>
                </c:pt>
                <c:pt idx="314">
                  <c:v>64705.714285714297</c:v>
                </c:pt>
                <c:pt idx="315">
                  <c:v>63654.714285714297</c:v>
                </c:pt>
                <c:pt idx="316">
                  <c:v>63250.142857142899</c:v>
                </c:pt>
                <c:pt idx="317">
                  <c:v>62634.142857142899</c:v>
                </c:pt>
                <c:pt idx="318">
                  <c:v>61880.857142857203</c:v>
                </c:pt>
                <c:pt idx="319">
                  <c:v>61099.428571428602</c:v>
                </c:pt>
                <c:pt idx="320">
                  <c:v>60571.142857142899</c:v>
                </c:pt>
                <c:pt idx="321">
                  <c:v>60184</c:v>
                </c:pt>
                <c:pt idx="322">
                  <c:v>59538.857142857203</c:v>
                </c:pt>
                <c:pt idx="323">
                  <c:v>58309</c:v>
                </c:pt>
                <c:pt idx="324">
                  <c:v>57622</c:v>
                </c:pt>
                <c:pt idx="325">
                  <c:v>56883.142857142899</c:v>
                </c:pt>
                <c:pt idx="326">
                  <c:v>55635.857142857203</c:v>
                </c:pt>
                <c:pt idx="327">
                  <c:v>54868.428571428602</c:v>
                </c:pt>
                <c:pt idx="328">
                  <c:v>54150.571428571398</c:v>
                </c:pt>
                <c:pt idx="329">
                  <c:v>52949</c:v>
                </c:pt>
                <c:pt idx="330">
                  <c:v>51914.714285714297</c:v>
                </c:pt>
                <c:pt idx="331">
                  <c:v>51105</c:v>
                </c:pt>
                <c:pt idx="332">
                  <c:v>50528</c:v>
                </c:pt>
                <c:pt idx="333">
                  <c:v>50045.714285714297</c:v>
                </c:pt>
                <c:pt idx="334">
                  <c:v>49581.285714285703</c:v>
                </c:pt>
                <c:pt idx="335">
                  <c:v>48803.857142857203</c:v>
                </c:pt>
                <c:pt idx="336">
                  <c:v>48676.142857142899</c:v>
                </c:pt>
                <c:pt idx="337">
                  <c:v>48390.142857142899</c:v>
                </c:pt>
                <c:pt idx="338">
                  <c:v>47602.571428571398</c:v>
                </c:pt>
                <c:pt idx="339">
                  <c:v>45971.142857142899</c:v>
                </c:pt>
                <c:pt idx="340">
                  <c:v>44901</c:v>
                </c:pt>
                <c:pt idx="341">
                  <c:v>43992.857142857203</c:v>
                </c:pt>
                <c:pt idx="342">
                  <c:v>43529.714285714297</c:v>
                </c:pt>
                <c:pt idx="343">
                  <c:v>43100.285714285703</c:v>
                </c:pt>
                <c:pt idx="344">
                  <c:v>42840.571428571398</c:v>
                </c:pt>
                <c:pt idx="345">
                  <c:v>42111.142857142899</c:v>
                </c:pt>
                <c:pt idx="346">
                  <c:v>41698.428571428602</c:v>
                </c:pt>
                <c:pt idx="347">
                  <c:v>41285.714285714297</c:v>
                </c:pt>
                <c:pt idx="348">
                  <c:v>41460</c:v>
                </c:pt>
                <c:pt idx="349">
                  <c:v>41110</c:v>
                </c:pt>
                <c:pt idx="350">
                  <c:v>41303.285714285703</c:v>
                </c:pt>
                <c:pt idx="351">
                  <c:v>41553.857142857203</c:v>
                </c:pt>
                <c:pt idx="352">
                  <c:v>39935</c:v>
                </c:pt>
                <c:pt idx="353">
                  <c:v>43985.857142857203</c:v>
                </c:pt>
                <c:pt idx="354">
                  <c:v>44841</c:v>
                </c:pt>
                <c:pt idx="355">
                  <c:v>45028.571428571398</c:v>
                </c:pt>
                <c:pt idx="356">
                  <c:v>45198</c:v>
                </c:pt>
                <c:pt idx="357">
                  <c:v>45114.571428571398</c:v>
                </c:pt>
                <c:pt idx="358">
                  <c:v>45014.285714285703</c:v>
                </c:pt>
                <c:pt idx="359">
                  <c:v>47537.142857142899</c:v>
                </c:pt>
                <c:pt idx="360">
                  <c:v>45073.142857142899</c:v>
                </c:pt>
                <c:pt idx="361">
                  <c:v>44967.714285714297</c:v>
                </c:pt>
                <c:pt idx="362">
                  <c:v>44710.428571428602</c:v>
                </c:pt>
                <c:pt idx="363">
                  <c:v>44502.142857142899</c:v>
                </c:pt>
                <c:pt idx="364">
                  <c:v>44497</c:v>
                </c:pt>
                <c:pt idx="365">
                  <c:v>44041</c:v>
                </c:pt>
                <c:pt idx="366">
                  <c:v>43753.571428571398</c:v>
                </c:pt>
                <c:pt idx="367">
                  <c:v>42920.714285714297</c:v>
                </c:pt>
                <c:pt idx="368">
                  <c:v>42692.714285714297</c:v>
                </c:pt>
                <c:pt idx="369">
                  <c:v>42400.428571428602</c:v>
                </c:pt>
                <c:pt idx="370">
                  <c:v>42363.285714285703</c:v>
                </c:pt>
                <c:pt idx="371">
                  <c:v>41570</c:v>
                </c:pt>
                <c:pt idx="372">
                  <c:v>42325.285714285703</c:v>
                </c:pt>
                <c:pt idx="373">
                  <c:v>42351.571428571398</c:v>
                </c:pt>
                <c:pt idx="374">
                  <c:v>42542.428571428602</c:v>
                </c:pt>
                <c:pt idx="375">
                  <c:v>42359.285714285703</c:v>
                </c:pt>
                <c:pt idx="376">
                  <c:v>42265.428571428602</c:v>
                </c:pt>
                <c:pt idx="377">
                  <c:v>41380.714285714297</c:v>
                </c:pt>
                <c:pt idx="378">
                  <c:v>41087</c:v>
                </c:pt>
                <c:pt idx="379">
                  <c:v>39587</c:v>
                </c:pt>
                <c:pt idx="380">
                  <c:v>38115.142857142899</c:v>
                </c:pt>
                <c:pt idx="381">
                  <c:v>37086</c:v>
                </c:pt>
                <c:pt idx="382">
                  <c:v>36282.571428571398</c:v>
                </c:pt>
                <c:pt idx="383">
                  <c:v>35497.142857142899</c:v>
                </c:pt>
                <c:pt idx="384">
                  <c:v>34869</c:v>
                </c:pt>
                <c:pt idx="385">
                  <c:v>34100.571428571398</c:v>
                </c:pt>
                <c:pt idx="386">
                  <c:v>32821.571428571398</c:v>
                </c:pt>
                <c:pt idx="387">
                  <c:v>32451</c:v>
                </c:pt>
                <c:pt idx="388">
                  <c:v>31598.571428571398</c:v>
                </c:pt>
                <c:pt idx="389">
                  <c:v>30767.142857142899</c:v>
                </c:pt>
                <c:pt idx="390">
                  <c:v>30185.714285714301</c:v>
                </c:pt>
                <c:pt idx="391">
                  <c:v>30462</c:v>
                </c:pt>
                <c:pt idx="392">
                  <c:v>30384.714285714301</c:v>
                </c:pt>
                <c:pt idx="393">
                  <c:v>30824</c:v>
                </c:pt>
                <c:pt idx="394">
                  <c:v>31087.142857142899</c:v>
                </c:pt>
                <c:pt idx="395">
                  <c:v>31086</c:v>
                </c:pt>
                <c:pt idx="396">
                  <c:v>31567.428571428602</c:v>
                </c:pt>
                <c:pt idx="397">
                  <c:v>32440</c:v>
                </c:pt>
                <c:pt idx="398">
                  <c:v>32512.142857142899</c:v>
                </c:pt>
                <c:pt idx="399">
                  <c:v>32719.285714285699</c:v>
                </c:pt>
                <c:pt idx="400">
                  <c:v>33050.428571428602</c:v>
                </c:pt>
                <c:pt idx="401">
                  <c:v>33022.857142857101</c:v>
                </c:pt>
                <c:pt idx="402">
                  <c:v>33206.428571428602</c:v>
                </c:pt>
                <c:pt idx="403">
                  <c:v>33045.285714285703</c:v>
                </c:pt>
                <c:pt idx="404">
                  <c:v>32739.714285714301</c:v>
                </c:pt>
                <c:pt idx="405">
                  <c:v>32284.428571428602</c:v>
                </c:pt>
                <c:pt idx="406">
                  <c:v>32153.714285714301</c:v>
                </c:pt>
                <c:pt idx="407">
                  <c:v>32093.428571428602</c:v>
                </c:pt>
                <c:pt idx="408">
                  <c:v>32327</c:v>
                </c:pt>
                <c:pt idx="409">
                  <c:v>32567</c:v>
                </c:pt>
                <c:pt idx="410">
                  <c:v>33261.857142857101</c:v>
                </c:pt>
                <c:pt idx="411">
                  <c:v>33922</c:v>
                </c:pt>
                <c:pt idx="412">
                  <c:v>34632.571428571398</c:v>
                </c:pt>
                <c:pt idx="413">
                  <c:v>35533.857142857101</c:v>
                </c:pt>
                <c:pt idx="414">
                  <c:v>36641.142857142899</c:v>
                </c:pt>
                <c:pt idx="415">
                  <c:v>37864.428571428602</c:v>
                </c:pt>
                <c:pt idx="416">
                  <c:v>39191.428571428602</c:v>
                </c:pt>
                <c:pt idx="417">
                  <c:v>40581</c:v>
                </c:pt>
                <c:pt idx="418">
                  <c:v>42350.714285714297</c:v>
                </c:pt>
                <c:pt idx="419">
                  <c:v>44400.857142857203</c:v>
                </c:pt>
                <c:pt idx="420">
                  <c:v>47157.857142857101</c:v>
                </c:pt>
                <c:pt idx="421">
                  <c:v>50245.714285714297</c:v>
                </c:pt>
                <c:pt idx="422">
                  <c:v>53419</c:v>
                </c:pt>
                <c:pt idx="423">
                  <c:v>57125</c:v>
                </c:pt>
                <c:pt idx="424">
                  <c:v>60891.571428571398</c:v>
                </c:pt>
                <c:pt idx="425">
                  <c:v>64003.714285714297</c:v>
                </c:pt>
                <c:pt idx="426">
                  <c:v>67494.285714285696</c:v>
                </c:pt>
                <c:pt idx="427">
                  <c:v>70521.285714285696</c:v>
                </c:pt>
                <c:pt idx="428">
                  <c:v>74198.142857142899</c:v>
                </c:pt>
                <c:pt idx="429">
                  <c:v>78094.857142857203</c:v>
                </c:pt>
                <c:pt idx="430">
                  <c:v>81396.285714285696</c:v>
                </c:pt>
                <c:pt idx="431">
                  <c:v>85381</c:v>
                </c:pt>
                <c:pt idx="432">
                  <c:v>88433.714285714304</c:v>
                </c:pt>
                <c:pt idx="433">
                  <c:v>90331.571428571406</c:v>
                </c:pt>
                <c:pt idx="434">
                  <c:v>93986.428571428594</c:v>
                </c:pt>
                <c:pt idx="435">
                  <c:v>98086.285714285696</c:v>
                </c:pt>
                <c:pt idx="436">
                  <c:v>103542.571428571</c:v>
                </c:pt>
                <c:pt idx="437">
                  <c:v>108886.285714286</c:v>
                </c:pt>
                <c:pt idx="438">
                  <c:v>115304</c:v>
                </c:pt>
                <c:pt idx="439">
                  <c:v>121173.714285714</c:v>
                </c:pt>
                <c:pt idx="440">
                  <c:v>130372.571428571</c:v>
                </c:pt>
                <c:pt idx="441">
                  <c:v>138673.285714286</c:v>
                </c:pt>
                <c:pt idx="442">
                  <c:v>146485.14285714299</c:v>
                </c:pt>
                <c:pt idx="443">
                  <c:v>154611.57142857101</c:v>
                </c:pt>
                <c:pt idx="444">
                  <c:v>163730.85714285701</c:v>
                </c:pt>
                <c:pt idx="445">
                  <c:v>172916.57142857101</c:v>
                </c:pt>
                <c:pt idx="446">
                  <c:v>183221.57142857101</c:v>
                </c:pt>
                <c:pt idx="447">
                  <c:v>193639.14285714299</c:v>
                </c:pt>
                <c:pt idx="448">
                  <c:v>204613.14285714299</c:v>
                </c:pt>
                <c:pt idx="449">
                  <c:v>217135</c:v>
                </c:pt>
                <c:pt idx="450">
                  <c:v>229737.14285714299</c:v>
                </c:pt>
                <c:pt idx="451">
                  <c:v>245628.14285714299</c:v>
                </c:pt>
                <c:pt idx="452">
                  <c:v>260880.714285714</c:v>
                </c:pt>
                <c:pt idx="453">
                  <c:v>274849</c:v>
                </c:pt>
                <c:pt idx="454">
                  <c:v>290956.57142857101</c:v>
                </c:pt>
                <c:pt idx="455">
                  <c:v>307829.71428571403</c:v>
                </c:pt>
                <c:pt idx="456">
                  <c:v>324894.14285714302</c:v>
                </c:pt>
                <c:pt idx="457">
                  <c:v>341448.28571428597</c:v>
                </c:pt>
                <c:pt idx="458">
                  <c:v>354234</c:v>
                </c:pt>
                <c:pt idx="459">
                  <c:v>365544.28571428597</c:v>
                </c:pt>
                <c:pt idx="460">
                  <c:v>374888.28571428597</c:v>
                </c:pt>
                <c:pt idx="461">
                  <c:v>384568.85714285698</c:v>
                </c:pt>
                <c:pt idx="462">
                  <c:v>394098.28571428597</c:v>
                </c:pt>
                <c:pt idx="463">
                  <c:v>402019.14285714302</c:v>
                </c:pt>
                <c:pt idx="464">
                  <c:v>409886.85714285698</c:v>
                </c:pt>
                <c:pt idx="465">
                  <c:v>415828.14285714302</c:v>
                </c:pt>
                <c:pt idx="466">
                  <c:v>418830.28571428597</c:v>
                </c:pt>
                <c:pt idx="467">
                  <c:v>423873.14285714302</c:v>
                </c:pt>
                <c:pt idx="468">
                  <c:v>426153.71428571403</c:v>
                </c:pt>
                <c:pt idx="469">
                  <c:v>430577.42857142899</c:v>
                </c:pt>
                <c:pt idx="470">
                  <c:v>435022.57142857101</c:v>
                </c:pt>
                <c:pt idx="471">
                  <c:v>435459.14285714302</c:v>
                </c:pt>
                <c:pt idx="472">
                  <c:v>437723.28571428597</c:v>
                </c:pt>
                <c:pt idx="473">
                  <c:v>437353.42857142899</c:v>
                </c:pt>
                <c:pt idx="474">
                  <c:v>433610.28571428597</c:v>
                </c:pt>
                <c:pt idx="475">
                  <c:v>430022.14285714302</c:v>
                </c:pt>
                <c:pt idx="476">
                  <c:v>423382.571428572</c:v>
                </c:pt>
                <c:pt idx="477">
                  <c:v>412769.14285714302</c:v>
                </c:pt>
                <c:pt idx="478">
                  <c:v>400915.85714285698</c:v>
                </c:pt>
                <c:pt idx="479">
                  <c:v>386756.85714285698</c:v>
                </c:pt>
                <c:pt idx="480">
                  <c:v>373589.28571428597</c:v>
                </c:pt>
                <c:pt idx="481">
                  <c:v>364707.28571428597</c:v>
                </c:pt>
                <c:pt idx="482">
                  <c:v>352936.14285714302</c:v>
                </c:pt>
                <c:pt idx="483">
                  <c:v>340927.42857142899</c:v>
                </c:pt>
                <c:pt idx="484">
                  <c:v>329353</c:v>
                </c:pt>
                <c:pt idx="485">
                  <c:v>320913.85714285698</c:v>
                </c:pt>
                <c:pt idx="486">
                  <c:v>312010.28571428597</c:v>
                </c:pt>
                <c:pt idx="487">
                  <c:v>304132.28571428597</c:v>
                </c:pt>
                <c:pt idx="488">
                  <c:v>294023.14285714302</c:v>
                </c:pt>
                <c:pt idx="489">
                  <c:v>285804.42857142899</c:v>
                </c:pt>
                <c:pt idx="490">
                  <c:v>276003.14285714302</c:v>
                </c:pt>
                <c:pt idx="491">
                  <c:v>265472</c:v>
                </c:pt>
                <c:pt idx="492">
                  <c:v>253333.285714286</c:v>
                </c:pt>
                <c:pt idx="493">
                  <c:v>242128.285714286</c:v>
                </c:pt>
                <c:pt idx="494">
                  <c:v>232534.285714286</c:v>
                </c:pt>
                <c:pt idx="495">
                  <c:v>222357.14285714299</c:v>
                </c:pt>
                <c:pt idx="496">
                  <c:v>210835.42857142899</c:v>
                </c:pt>
                <c:pt idx="497">
                  <c:v>199338.714285714</c:v>
                </c:pt>
                <c:pt idx="498">
                  <c:v>191334.714285714</c:v>
                </c:pt>
                <c:pt idx="499">
                  <c:v>183112</c:v>
                </c:pt>
                <c:pt idx="500">
                  <c:v>175057</c:v>
                </c:pt>
                <c:pt idx="501">
                  <c:v>166935.57142857101</c:v>
                </c:pt>
                <c:pt idx="502">
                  <c:v>160661.42857142899</c:v>
                </c:pt>
                <c:pt idx="503">
                  <c:v>154180.57142857101</c:v>
                </c:pt>
                <c:pt idx="504">
                  <c:v>148268.85714285701</c:v>
                </c:pt>
                <c:pt idx="505">
                  <c:v>141713</c:v>
                </c:pt>
                <c:pt idx="506">
                  <c:v>135880</c:v>
                </c:pt>
                <c:pt idx="507">
                  <c:v>130996.428571429</c:v>
                </c:pt>
                <c:pt idx="508">
                  <c:v>126623.857142857</c:v>
                </c:pt>
                <c:pt idx="509">
                  <c:v>123205.428571429</c:v>
                </c:pt>
                <c:pt idx="510">
                  <c:v>119708.857142857</c:v>
                </c:pt>
                <c:pt idx="511">
                  <c:v>115884</c:v>
                </c:pt>
                <c:pt idx="512">
                  <c:v>112516.857142857</c:v>
                </c:pt>
                <c:pt idx="513">
                  <c:v>110057.857142857</c:v>
                </c:pt>
                <c:pt idx="514">
                  <c:v>107274</c:v>
                </c:pt>
                <c:pt idx="515">
                  <c:v>105940.571428571</c:v>
                </c:pt>
                <c:pt idx="516">
                  <c:v>104524.714285714</c:v>
                </c:pt>
                <c:pt idx="517">
                  <c:v>103441.285714286</c:v>
                </c:pt>
                <c:pt idx="518">
                  <c:v>103145.571428571</c:v>
                </c:pt>
                <c:pt idx="519">
                  <c:v>102900.428571429</c:v>
                </c:pt>
                <c:pt idx="520">
                  <c:v>102511.142857143</c:v>
                </c:pt>
                <c:pt idx="521">
                  <c:v>103055.285714286</c:v>
                </c:pt>
                <c:pt idx="522">
                  <c:v>103537.285714286</c:v>
                </c:pt>
                <c:pt idx="523">
                  <c:v>104237.714285714</c:v>
                </c:pt>
                <c:pt idx="524">
                  <c:v>105516.571428571</c:v>
                </c:pt>
                <c:pt idx="525">
                  <c:v>106691</c:v>
                </c:pt>
                <c:pt idx="526">
                  <c:v>108232.857142857</c:v>
                </c:pt>
                <c:pt idx="527">
                  <c:v>109541</c:v>
                </c:pt>
                <c:pt idx="528">
                  <c:v>111215.428571429</c:v>
                </c:pt>
                <c:pt idx="529">
                  <c:v>111879.857142857</c:v>
                </c:pt>
                <c:pt idx="530">
                  <c:v>114162.428571429</c:v>
                </c:pt>
                <c:pt idx="531">
                  <c:v>117121.571428571</c:v>
                </c:pt>
                <c:pt idx="532">
                  <c:v>119429</c:v>
                </c:pt>
                <c:pt idx="533">
                  <c:v>121696.142857143</c:v>
                </c:pt>
                <c:pt idx="534">
                  <c:v>125128</c:v>
                </c:pt>
                <c:pt idx="535">
                  <c:v>128187</c:v>
                </c:pt>
                <c:pt idx="536">
                  <c:v>131310.57142857101</c:v>
                </c:pt>
                <c:pt idx="537">
                  <c:v>134713.57142857101</c:v>
                </c:pt>
                <c:pt idx="538">
                  <c:v>137861.14285714299</c:v>
                </c:pt>
                <c:pt idx="539">
                  <c:v>141934.14285714299</c:v>
                </c:pt>
                <c:pt idx="540">
                  <c:v>147146.14285714299</c:v>
                </c:pt>
                <c:pt idx="541">
                  <c:v>150979.14285714299</c:v>
                </c:pt>
                <c:pt idx="542">
                  <c:v>154399</c:v>
                </c:pt>
                <c:pt idx="543">
                  <c:v>156707.85714285701</c:v>
                </c:pt>
                <c:pt idx="544">
                  <c:v>155830.714285714</c:v>
                </c:pt>
                <c:pt idx="545">
                  <c:v>158270.42857142899</c:v>
                </c:pt>
                <c:pt idx="546">
                  <c:v>157165.57142857101</c:v>
                </c:pt>
                <c:pt idx="547">
                  <c:v>155004.42857142899</c:v>
                </c:pt>
                <c:pt idx="548">
                  <c:v>158017</c:v>
                </c:pt>
                <c:pt idx="549">
                  <c:v>154914</c:v>
                </c:pt>
                <c:pt idx="550">
                  <c:v>158458</c:v>
                </c:pt>
                <c:pt idx="551">
                  <c:v>160619.42857142899</c:v>
                </c:pt>
                <c:pt idx="552">
                  <c:v>163999.42857142899</c:v>
                </c:pt>
                <c:pt idx="553">
                  <c:v>169796.714285714</c:v>
                </c:pt>
                <c:pt idx="554">
                  <c:v>174852.714285714</c:v>
                </c:pt>
                <c:pt idx="555">
                  <c:v>175155.14285714299</c:v>
                </c:pt>
                <c:pt idx="556">
                  <c:v>180210</c:v>
                </c:pt>
                <c:pt idx="557">
                  <c:v>181596.285714286</c:v>
                </c:pt>
                <c:pt idx="558">
                  <c:v>182069.57142857101</c:v>
                </c:pt>
                <c:pt idx="559">
                  <c:v>182710</c:v>
                </c:pt>
                <c:pt idx="560">
                  <c:v>182905.714285714</c:v>
                </c:pt>
                <c:pt idx="561">
                  <c:v>183515.714285714</c:v>
                </c:pt>
                <c:pt idx="562">
                  <c:v>183932</c:v>
                </c:pt>
                <c:pt idx="563">
                  <c:v>185381</c:v>
                </c:pt>
                <c:pt idx="564">
                  <c:v>184390.285714286</c:v>
                </c:pt>
                <c:pt idx="565">
                  <c:v>185265</c:v>
                </c:pt>
                <c:pt idx="566">
                  <c:v>183332.14285714299</c:v>
                </c:pt>
                <c:pt idx="567">
                  <c:v>183614.285714286</c:v>
                </c:pt>
                <c:pt idx="568">
                  <c:v>180883</c:v>
                </c:pt>
                <c:pt idx="569">
                  <c:v>182616.57142857101</c:v>
                </c:pt>
                <c:pt idx="570">
                  <c:v>181653.14285714299</c:v>
                </c:pt>
                <c:pt idx="571">
                  <c:v>182405.57142857101</c:v>
                </c:pt>
                <c:pt idx="572">
                  <c:v>182593.85714285701</c:v>
                </c:pt>
                <c:pt idx="573">
                  <c:v>182141.285714286</c:v>
                </c:pt>
                <c:pt idx="574">
                  <c:v>179762.714285714</c:v>
                </c:pt>
                <c:pt idx="575">
                  <c:v>181428.714285714</c:v>
                </c:pt>
                <c:pt idx="576">
                  <c:v>179828.14285714299</c:v>
                </c:pt>
                <c:pt idx="577">
                  <c:v>179603.57142857101</c:v>
                </c:pt>
                <c:pt idx="578">
                  <c:v>176731.57142857101</c:v>
                </c:pt>
                <c:pt idx="579">
                  <c:v>175779.14285714299</c:v>
                </c:pt>
                <c:pt idx="580">
                  <c:v>175278.14285714299</c:v>
                </c:pt>
                <c:pt idx="581">
                  <c:v>178011.85714285701</c:v>
                </c:pt>
                <c:pt idx="582">
                  <c:v>178504</c:v>
                </c:pt>
                <c:pt idx="583">
                  <c:v>178644.285714286</c:v>
                </c:pt>
                <c:pt idx="584">
                  <c:v>179416.285714286</c:v>
                </c:pt>
                <c:pt idx="585">
                  <c:v>181354.14285714299</c:v>
                </c:pt>
                <c:pt idx="586">
                  <c:v>182964.57142857101</c:v>
                </c:pt>
                <c:pt idx="587">
                  <c:v>181303.285714286</c:v>
                </c:pt>
                <c:pt idx="588">
                  <c:v>176707.57142857101</c:v>
                </c:pt>
                <c:pt idx="589">
                  <c:v>173222.57142857101</c:v>
                </c:pt>
                <c:pt idx="590">
                  <c:v>171011.85714285701</c:v>
                </c:pt>
                <c:pt idx="591">
                  <c:v>167119.285714286</c:v>
                </c:pt>
                <c:pt idx="592">
                  <c:v>166139.285714286</c:v>
                </c:pt>
                <c:pt idx="593">
                  <c:v>162538.714285714</c:v>
                </c:pt>
                <c:pt idx="594">
                  <c:v>161266.42857142899</c:v>
                </c:pt>
                <c:pt idx="595">
                  <c:v>158920.714285714</c:v>
                </c:pt>
                <c:pt idx="596">
                  <c:v>156736.85714285701</c:v>
                </c:pt>
                <c:pt idx="597">
                  <c:v>152019</c:v>
                </c:pt>
                <c:pt idx="598">
                  <c:v>149361.14285714299</c:v>
                </c:pt>
                <c:pt idx="599">
                  <c:v>143957.285714286</c:v>
                </c:pt>
                <c:pt idx="600">
                  <c:v>141555.85714285701</c:v>
                </c:pt>
                <c:pt idx="601">
                  <c:v>136703.42857142899</c:v>
                </c:pt>
                <c:pt idx="602">
                  <c:v>134264.85714285701</c:v>
                </c:pt>
                <c:pt idx="603">
                  <c:v>131045.142857143</c:v>
                </c:pt>
                <c:pt idx="604">
                  <c:v>128959.428571429</c:v>
                </c:pt>
                <c:pt idx="605">
                  <c:v>126976.857142857</c:v>
                </c:pt>
                <c:pt idx="606">
                  <c:v>124629.285714286</c:v>
                </c:pt>
                <c:pt idx="607">
                  <c:v>123100</c:v>
                </c:pt>
                <c:pt idx="608">
                  <c:v>121526.428571429</c:v>
                </c:pt>
                <c:pt idx="609">
                  <c:v>119414.571428571</c:v>
                </c:pt>
                <c:pt idx="610">
                  <c:v>116492</c:v>
                </c:pt>
                <c:pt idx="611">
                  <c:v>113727.142857143</c:v>
                </c:pt>
                <c:pt idx="612">
                  <c:v>111354.142857143</c:v>
                </c:pt>
                <c:pt idx="613">
                  <c:v>110075.571428571</c:v>
                </c:pt>
                <c:pt idx="614">
                  <c:v>105114.285714286</c:v>
                </c:pt>
                <c:pt idx="615">
                  <c:v>102019.285714286</c:v>
                </c:pt>
                <c:pt idx="616">
                  <c:v>100739.142857143</c:v>
                </c:pt>
                <c:pt idx="617">
                  <c:v>98896</c:v>
                </c:pt>
                <c:pt idx="618">
                  <c:v>96487.857142857203</c:v>
                </c:pt>
                <c:pt idx="619">
                  <c:v>93611.714285714304</c:v>
                </c:pt>
                <c:pt idx="620">
                  <c:v>89767.142857142899</c:v>
                </c:pt>
                <c:pt idx="621">
                  <c:v>89364.857142857101</c:v>
                </c:pt>
                <c:pt idx="622">
                  <c:v>87391.428571428594</c:v>
                </c:pt>
                <c:pt idx="623">
                  <c:v>85166.571428571406</c:v>
                </c:pt>
                <c:pt idx="624">
                  <c:v>78897.428571428594</c:v>
                </c:pt>
                <c:pt idx="625">
                  <c:v>78167.571428571406</c:v>
                </c:pt>
                <c:pt idx="626">
                  <c:v>75917.571428571406</c:v>
                </c:pt>
                <c:pt idx="627">
                  <c:v>75330.142857142899</c:v>
                </c:pt>
                <c:pt idx="628">
                  <c:v>73472.142857142899</c:v>
                </c:pt>
                <c:pt idx="629">
                  <c:v>72539.142857142899</c:v>
                </c:pt>
                <c:pt idx="630">
                  <c:v>69059.142857142899</c:v>
                </c:pt>
                <c:pt idx="631">
                  <c:v>70928.857142857203</c:v>
                </c:pt>
                <c:pt idx="632">
                  <c:v>67664.285714285696</c:v>
                </c:pt>
                <c:pt idx="633">
                  <c:v>65653.571428571406</c:v>
                </c:pt>
                <c:pt idx="634">
                  <c:v>63986.571428571398</c:v>
                </c:pt>
                <c:pt idx="635">
                  <c:v>63678.857142857101</c:v>
                </c:pt>
                <c:pt idx="636">
                  <c:v>62495</c:v>
                </c:pt>
                <c:pt idx="637">
                  <c:v>61324.571428571398</c:v>
                </c:pt>
                <c:pt idx="638">
                  <c:v>59813</c:v>
                </c:pt>
                <c:pt idx="639">
                  <c:v>59318.285714285703</c:v>
                </c:pt>
                <c:pt idx="640">
                  <c:v>58960.142857142899</c:v>
                </c:pt>
                <c:pt idx="641">
                  <c:v>58508.714285714297</c:v>
                </c:pt>
                <c:pt idx="642">
                  <c:v>57978.571428571398</c:v>
                </c:pt>
                <c:pt idx="643">
                  <c:v>57332</c:v>
                </c:pt>
                <c:pt idx="644">
                  <c:v>57299.428571428602</c:v>
                </c:pt>
                <c:pt idx="645">
                  <c:v>56949.571428571398</c:v>
                </c:pt>
                <c:pt idx="646">
                  <c:v>57030.285714285703</c:v>
                </c:pt>
                <c:pt idx="647">
                  <c:v>56703</c:v>
                </c:pt>
                <c:pt idx="648">
                  <c:v>55841.428571428602</c:v>
                </c:pt>
                <c:pt idx="649">
                  <c:v>55102.285714285703</c:v>
                </c:pt>
                <c:pt idx="650">
                  <c:v>55808.142857142899</c:v>
                </c:pt>
                <c:pt idx="651">
                  <c:v>53557</c:v>
                </c:pt>
                <c:pt idx="652">
                  <c:v>54442.428571428602</c:v>
                </c:pt>
                <c:pt idx="653">
                  <c:v>52378</c:v>
                </c:pt>
                <c:pt idx="654">
                  <c:v>50840.285714285703</c:v>
                </c:pt>
                <c:pt idx="655">
                  <c:v>50346.857142857203</c:v>
                </c:pt>
                <c:pt idx="656">
                  <c:v>50329.428571428602</c:v>
                </c:pt>
                <c:pt idx="657">
                  <c:v>49237.857142857203</c:v>
                </c:pt>
                <c:pt idx="658">
                  <c:v>50146.285714285703</c:v>
                </c:pt>
                <c:pt idx="659">
                  <c:v>49311.571428571398</c:v>
                </c:pt>
                <c:pt idx="660">
                  <c:v>49939.142857142899</c:v>
                </c:pt>
                <c:pt idx="661">
                  <c:v>50737.285714285703</c:v>
                </c:pt>
                <c:pt idx="662">
                  <c:v>50643.714285714297</c:v>
                </c:pt>
                <c:pt idx="663">
                  <c:v>50144.571428571398</c:v>
                </c:pt>
                <c:pt idx="664">
                  <c:v>49873.714285714297</c:v>
                </c:pt>
                <c:pt idx="665">
                  <c:v>50199.571428571398</c:v>
                </c:pt>
                <c:pt idx="666">
                  <c:v>49393.857142857203</c:v>
                </c:pt>
                <c:pt idx="667">
                  <c:v>49086.857142857101</c:v>
                </c:pt>
                <c:pt idx="668">
                  <c:v>49050.142857142899</c:v>
                </c:pt>
                <c:pt idx="669">
                  <c:v>48720.857142857101</c:v>
                </c:pt>
                <c:pt idx="670">
                  <c:v>48568.714285714297</c:v>
                </c:pt>
                <c:pt idx="671">
                  <c:v>52464.857142857203</c:v>
                </c:pt>
                <c:pt idx="672">
                  <c:v>52005</c:v>
                </c:pt>
                <c:pt idx="673">
                  <c:v>#N/A</c:v>
                </c:pt>
                <c:pt idx="674">
                  <c:v>#N/A</c:v>
                </c:pt>
                <c:pt idx="675">
                  <c:v>#N/A</c:v>
                </c:pt>
                <c:pt idx="676">
                  <c:v>#N/A</c:v>
                </c:pt>
                <c:pt idx="677">
                  <c:v>#N/A</c:v>
                </c:pt>
                <c:pt idx="678">
                  <c:v>#N/A</c:v>
                </c:pt>
                <c:pt idx="679">
                  <c:v>#N/A</c:v>
                </c:pt>
                <c:pt idx="680">
                  <c:v>#N/A</c:v>
                </c:pt>
                <c:pt idx="681">
                  <c:v>#N/A</c:v>
                </c:pt>
                <c:pt idx="682">
                  <c:v>#N/A</c:v>
                </c:pt>
                <c:pt idx="683">
                  <c:v>#N/A</c:v>
                </c:pt>
                <c:pt idx="684">
                  <c:v>#N/A</c:v>
                </c:pt>
                <c:pt idx="685">
                  <c:v>#N/A</c:v>
                </c:pt>
                <c:pt idx="686">
                  <c:v>#N/A</c:v>
                </c:pt>
                <c:pt idx="687">
                  <c:v>#N/A</c:v>
                </c:pt>
                <c:pt idx="688">
                  <c:v>#N/A</c:v>
                </c:pt>
                <c:pt idx="689">
                  <c:v>#N/A</c:v>
                </c:pt>
                <c:pt idx="690">
                  <c:v>#N/A</c:v>
                </c:pt>
                <c:pt idx="691">
                  <c:v>#N/A</c:v>
                </c:pt>
                <c:pt idx="692">
                  <c:v>#N/A</c:v>
                </c:pt>
                <c:pt idx="693">
                  <c:v>#N/A</c:v>
                </c:pt>
              </c:numCache>
            </c:numRef>
          </c:val>
          <c:smooth val="0"/>
          <c:extLst>
            <c:ext xmlns:c16="http://schemas.microsoft.com/office/drawing/2014/chart" uri="{C3380CC4-5D6E-409C-BE32-E72D297353CC}">
              <c16:uniqueId val="{00000000-012D-46E6-9D5B-3B840377F977}"/>
            </c:ext>
          </c:extLst>
        </c:ser>
        <c:ser>
          <c:idx val="2"/>
          <c:order val="1"/>
          <c:tx>
            <c:strRef>
              <c:f>'DATA - Daily COVID cases'!$A$14</c:f>
              <c:strCache>
                <c:ptCount val="1"/>
                <c:pt idx="0">
                  <c:v>Europe</c:v>
                </c:pt>
              </c:strCache>
            </c:strRef>
          </c:tx>
          <c:spPr>
            <a:ln w="25400" cap="rnd">
              <a:solidFill>
                <a:srgbClr val="E7E6E6">
                  <a:lumMod val="75000"/>
                </a:srgbClr>
              </a:solidFill>
              <a:round/>
            </a:ln>
            <a:effectLst/>
          </c:spPr>
          <c:marker>
            <c:symbol val="none"/>
          </c:marker>
          <c:cat>
            <c:numRef>
              <c:f>'DATA - Daily COVID cases'!$B$1:$ZS$1</c:f>
              <c:numCache>
                <c:formatCode>mmm\-yy</c:formatCode>
                <c:ptCount val="694"/>
                <c:pt idx="0">
                  <c:v>43852</c:v>
                </c:pt>
                <c:pt idx="1">
                  <c:v>43853</c:v>
                </c:pt>
                <c:pt idx="2">
                  <c:v>43854</c:v>
                </c:pt>
                <c:pt idx="3">
                  <c:v>43855</c:v>
                </c:pt>
                <c:pt idx="4">
                  <c:v>43856</c:v>
                </c:pt>
                <c:pt idx="5">
                  <c:v>43857</c:v>
                </c:pt>
                <c:pt idx="6">
                  <c:v>43858</c:v>
                </c:pt>
                <c:pt idx="7">
                  <c:v>43859</c:v>
                </c:pt>
                <c:pt idx="8">
                  <c:v>43860</c:v>
                </c:pt>
                <c:pt idx="9">
                  <c:v>43861</c:v>
                </c:pt>
                <c:pt idx="10">
                  <c:v>43862</c:v>
                </c:pt>
                <c:pt idx="11">
                  <c:v>43863</c:v>
                </c:pt>
                <c:pt idx="12">
                  <c:v>43864</c:v>
                </c:pt>
                <c:pt idx="13">
                  <c:v>43865</c:v>
                </c:pt>
                <c:pt idx="14">
                  <c:v>43866</c:v>
                </c:pt>
                <c:pt idx="15">
                  <c:v>43867</c:v>
                </c:pt>
                <c:pt idx="16">
                  <c:v>43868</c:v>
                </c:pt>
                <c:pt idx="17">
                  <c:v>43869</c:v>
                </c:pt>
                <c:pt idx="18">
                  <c:v>43870</c:v>
                </c:pt>
                <c:pt idx="19">
                  <c:v>43871</c:v>
                </c:pt>
                <c:pt idx="20">
                  <c:v>43872</c:v>
                </c:pt>
                <c:pt idx="21">
                  <c:v>43873</c:v>
                </c:pt>
                <c:pt idx="22">
                  <c:v>43874</c:v>
                </c:pt>
                <c:pt idx="23">
                  <c:v>43875</c:v>
                </c:pt>
                <c:pt idx="24">
                  <c:v>43876</c:v>
                </c:pt>
                <c:pt idx="25">
                  <c:v>43877</c:v>
                </c:pt>
                <c:pt idx="26">
                  <c:v>43878</c:v>
                </c:pt>
                <c:pt idx="27">
                  <c:v>43879</c:v>
                </c:pt>
                <c:pt idx="28">
                  <c:v>43880</c:v>
                </c:pt>
                <c:pt idx="29">
                  <c:v>43881</c:v>
                </c:pt>
                <c:pt idx="30">
                  <c:v>43882</c:v>
                </c:pt>
                <c:pt idx="31">
                  <c:v>43883</c:v>
                </c:pt>
                <c:pt idx="32">
                  <c:v>43884</c:v>
                </c:pt>
                <c:pt idx="33">
                  <c:v>43885</c:v>
                </c:pt>
                <c:pt idx="34">
                  <c:v>43886</c:v>
                </c:pt>
                <c:pt idx="35">
                  <c:v>43887</c:v>
                </c:pt>
                <c:pt idx="36">
                  <c:v>43888</c:v>
                </c:pt>
                <c:pt idx="37">
                  <c:v>43889</c:v>
                </c:pt>
                <c:pt idx="38">
                  <c:v>43890</c:v>
                </c:pt>
                <c:pt idx="39">
                  <c:v>43891</c:v>
                </c:pt>
                <c:pt idx="40">
                  <c:v>43892</c:v>
                </c:pt>
                <c:pt idx="41">
                  <c:v>43893</c:v>
                </c:pt>
                <c:pt idx="42">
                  <c:v>43894</c:v>
                </c:pt>
                <c:pt idx="43">
                  <c:v>43895</c:v>
                </c:pt>
                <c:pt idx="44">
                  <c:v>43896</c:v>
                </c:pt>
                <c:pt idx="45">
                  <c:v>43897</c:v>
                </c:pt>
                <c:pt idx="46">
                  <c:v>43898</c:v>
                </c:pt>
                <c:pt idx="47">
                  <c:v>43899</c:v>
                </c:pt>
                <c:pt idx="48">
                  <c:v>43900</c:v>
                </c:pt>
                <c:pt idx="49">
                  <c:v>43901</c:v>
                </c:pt>
                <c:pt idx="50">
                  <c:v>43902</c:v>
                </c:pt>
                <c:pt idx="51">
                  <c:v>43903</c:v>
                </c:pt>
                <c:pt idx="52">
                  <c:v>43904</c:v>
                </c:pt>
                <c:pt idx="53">
                  <c:v>43905</c:v>
                </c:pt>
                <c:pt idx="54">
                  <c:v>43906</c:v>
                </c:pt>
                <c:pt idx="55">
                  <c:v>43907</c:v>
                </c:pt>
                <c:pt idx="56">
                  <c:v>43908</c:v>
                </c:pt>
                <c:pt idx="57">
                  <c:v>43909</c:v>
                </c:pt>
                <c:pt idx="58">
                  <c:v>43910</c:v>
                </c:pt>
                <c:pt idx="59">
                  <c:v>43911</c:v>
                </c:pt>
                <c:pt idx="60">
                  <c:v>43912</c:v>
                </c:pt>
                <c:pt idx="61">
                  <c:v>43913</c:v>
                </c:pt>
                <c:pt idx="62">
                  <c:v>43914</c:v>
                </c:pt>
                <c:pt idx="63">
                  <c:v>43915</c:v>
                </c:pt>
                <c:pt idx="64">
                  <c:v>43916</c:v>
                </c:pt>
                <c:pt idx="65">
                  <c:v>43917</c:v>
                </c:pt>
                <c:pt idx="66">
                  <c:v>43918</c:v>
                </c:pt>
                <c:pt idx="67">
                  <c:v>43919</c:v>
                </c:pt>
                <c:pt idx="68">
                  <c:v>43920</c:v>
                </c:pt>
                <c:pt idx="69">
                  <c:v>43921</c:v>
                </c:pt>
                <c:pt idx="70">
                  <c:v>43922</c:v>
                </c:pt>
                <c:pt idx="71">
                  <c:v>43923</c:v>
                </c:pt>
                <c:pt idx="72">
                  <c:v>43924</c:v>
                </c:pt>
                <c:pt idx="73">
                  <c:v>43925</c:v>
                </c:pt>
                <c:pt idx="74">
                  <c:v>43926</c:v>
                </c:pt>
                <c:pt idx="75">
                  <c:v>43927</c:v>
                </c:pt>
                <c:pt idx="76">
                  <c:v>43928</c:v>
                </c:pt>
                <c:pt idx="77">
                  <c:v>43929</c:v>
                </c:pt>
                <c:pt idx="78">
                  <c:v>43930</c:v>
                </c:pt>
                <c:pt idx="79">
                  <c:v>43931</c:v>
                </c:pt>
                <c:pt idx="80">
                  <c:v>43932</c:v>
                </c:pt>
                <c:pt idx="81">
                  <c:v>43933</c:v>
                </c:pt>
                <c:pt idx="82">
                  <c:v>43934</c:v>
                </c:pt>
                <c:pt idx="83">
                  <c:v>43935</c:v>
                </c:pt>
                <c:pt idx="84">
                  <c:v>43936</c:v>
                </c:pt>
                <c:pt idx="85">
                  <c:v>43937</c:v>
                </c:pt>
                <c:pt idx="86">
                  <c:v>43938</c:v>
                </c:pt>
                <c:pt idx="87">
                  <c:v>43939</c:v>
                </c:pt>
                <c:pt idx="88">
                  <c:v>43940</c:v>
                </c:pt>
                <c:pt idx="89">
                  <c:v>43941</c:v>
                </c:pt>
                <c:pt idx="90">
                  <c:v>43942</c:v>
                </c:pt>
                <c:pt idx="91">
                  <c:v>43943</c:v>
                </c:pt>
                <c:pt idx="92">
                  <c:v>43944</c:v>
                </c:pt>
                <c:pt idx="93">
                  <c:v>43945</c:v>
                </c:pt>
                <c:pt idx="94">
                  <c:v>43946</c:v>
                </c:pt>
                <c:pt idx="95">
                  <c:v>43947</c:v>
                </c:pt>
                <c:pt idx="96">
                  <c:v>43948</c:v>
                </c:pt>
                <c:pt idx="97">
                  <c:v>43949</c:v>
                </c:pt>
                <c:pt idx="98">
                  <c:v>43950</c:v>
                </c:pt>
                <c:pt idx="99">
                  <c:v>43951</c:v>
                </c:pt>
                <c:pt idx="100">
                  <c:v>43952</c:v>
                </c:pt>
                <c:pt idx="101">
                  <c:v>43953</c:v>
                </c:pt>
                <c:pt idx="102">
                  <c:v>43954</c:v>
                </c:pt>
                <c:pt idx="103">
                  <c:v>43955</c:v>
                </c:pt>
                <c:pt idx="104">
                  <c:v>43956</c:v>
                </c:pt>
                <c:pt idx="105">
                  <c:v>43957</c:v>
                </c:pt>
                <c:pt idx="106">
                  <c:v>43958</c:v>
                </c:pt>
                <c:pt idx="107">
                  <c:v>43959</c:v>
                </c:pt>
                <c:pt idx="108">
                  <c:v>43960</c:v>
                </c:pt>
                <c:pt idx="109">
                  <c:v>43961</c:v>
                </c:pt>
                <c:pt idx="110">
                  <c:v>43962</c:v>
                </c:pt>
                <c:pt idx="111">
                  <c:v>43963</c:v>
                </c:pt>
                <c:pt idx="112">
                  <c:v>43964</c:v>
                </c:pt>
                <c:pt idx="113">
                  <c:v>43965</c:v>
                </c:pt>
                <c:pt idx="114">
                  <c:v>43966</c:v>
                </c:pt>
                <c:pt idx="115">
                  <c:v>43967</c:v>
                </c:pt>
                <c:pt idx="116">
                  <c:v>43968</c:v>
                </c:pt>
                <c:pt idx="117">
                  <c:v>43969</c:v>
                </c:pt>
                <c:pt idx="118">
                  <c:v>43970</c:v>
                </c:pt>
                <c:pt idx="119">
                  <c:v>43971</c:v>
                </c:pt>
                <c:pt idx="120">
                  <c:v>43972</c:v>
                </c:pt>
                <c:pt idx="121">
                  <c:v>43973</c:v>
                </c:pt>
                <c:pt idx="122">
                  <c:v>43974</c:v>
                </c:pt>
                <c:pt idx="123">
                  <c:v>43975</c:v>
                </c:pt>
                <c:pt idx="124">
                  <c:v>43976</c:v>
                </c:pt>
                <c:pt idx="125">
                  <c:v>43977</c:v>
                </c:pt>
                <c:pt idx="126">
                  <c:v>43978</c:v>
                </c:pt>
                <c:pt idx="127">
                  <c:v>43979</c:v>
                </c:pt>
                <c:pt idx="128">
                  <c:v>43980</c:v>
                </c:pt>
                <c:pt idx="129">
                  <c:v>43981</c:v>
                </c:pt>
                <c:pt idx="130">
                  <c:v>43982</c:v>
                </c:pt>
                <c:pt idx="131">
                  <c:v>43983</c:v>
                </c:pt>
                <c:pt idx="132">
                  <c:v>43984</c:v>
                </c:pt>
                <c:pt idx="133">
                  <c:v>43985</c:v>
                </c:pt>
                <c:pt idx="134">
                  <c:v>43986</c:v>
                </c:pt>
                <c:pt idx="135">
                  <c:v>43987</c:v>
                </c:pt>
                <c:pt idx="136">
                  <c:v>43988</c:v>
                </c:pt>
                <c:pt idx="137">
                  <c:v>43989</c:v>
                </c:pt>
                <c:pt idx="138">
                  <c:v>43990</c:v>
                </c:pt>
                <c:pt idx="139">
                  <c:v>43991</c:v>
                </c:pt>
                <c:pt idx="140">
                  <c:v>43992</c:v>
                </c:pt>
                <c:pt idx="141">
                  <c:v>43993</c:v>
                </c:pt>
                <c:pt idx="142">
                  <c:v>43994</c:v>
                </c:pt>
                <c:pt idx="143">
                  <c:v>43995</c:v>
                </c:pt>
                <c:pt idx="144">
                  <c:v>43996</c:v>
                </c:pt>
                <c:pt idx="145">
                  <c:v>43997</c:v>
                </c:pt>
                <c:pt idx="146">
                  <c:v>43998</c:v>
                </c:pt>
                <c:pt idx="147">
                  <c:v>43999</c:v>
                </c:pt>
                <c:pt idx="148">
                  <c:v>44000</c:v>
                </c:pt>
                <c:pt idx="149">
                  <c:v>44001</c:v>
                </c:pt>
                <c:pt idx="150">
                  <c:v>44002</c:v>
                </c:pt>
                <c:pt idx="151">
                  <c:v>44003</c:v>
                </c:pt>
                <c:pt idx="152">
                  <c:v>44004</c:v>
                </c:pt>
                <c:pt idx="153">
                  <c:v>44005</c:v>
                </c:pt>
                <c:pt idx="154">
                  <c:v>44006</c:v>
                </c:pt>
                <c:pt idx="155">
                  <c:v>44007</c:v>
                </c:pt>
                <c:pt idx="156">
                  <c:v>44008</c:v>
                </c:pt>
                <c:pt idx="157">
                  <c:v>44009</c:v>
                </c:pt>
                <c:pt idx="158">
                  <c:v>44010</c:v>
                </c:pt>
                <c:pt idx="159">
                  <c:v>44011</c:v>
                </c:pt>
                <c:pt idx="160">
                  <c:v>44012</c:v>
                </c:pt>
                <c:pt idx="161">
                  <c:v>44013</c:v>
                </c:pt>
                <c:pt idx="162">
                  <c:v>44014</c:v>
                </c:pt>
                <c:pt idx="163">
                  <c:v>44015</c:v>
                </c:pt>
                <c:pt idx="164">
                  <c:v>44016</c:v>
                </c:pt>
                <c:pt idx="165">
                  <c:v>44017</c:v>
                </c:pt>
                <c:pt idx="166">
                  <c:v>44018</c:v>
                </c:pt>
                <c:pt idx="167">
                  <c:v>44019</c:v>
                </c:pt>
                <c:pt idx="168">
                  <c:v>44020</c:v>
                </c:pt>
                <c:pt idx="169">
                  <c:v>44021</c:v>
                </c:pt>
                <c:pt idx="170">
                  <c:v>44022</c:v>
                </c:pt>
                <c:pt idx="171">
                  <c:v>44023</c:v>
                </c:pt>
                <c:pt idx="172">
                  <c:v>44024</c:v>
                </c:pt>
                <c:pt idx="173">
                  <c:v>44025</c:v>
                </c:pt>
                <c:pt idx="174">
                  <c:v>44026</c:v>
                </c:pt>
                <c:pt idx="175">
                  <c:v>44027</c:v>
                </c:pt>
                <c:pt idx="176">
                  <c:v>44028</c:v>
                </c:pt>
                <c:pt idx="177">
                  <c:v>44029</c:v>
                </c:pt>
                <c:pt idx="178">
                  <c:v>44030</c:v>
                </c:pt>
                <c:pt idx="179">
                  <c:v>44031</c:v>
                </c:pt>
                <c:pt idx="180">
                  <c:v>44032</c:v>
                </c:pt>
                <c:pt idx="181">
                  <c:v>44033</c:v>
                </c:pt>
                <c:pt idx="182">
                  <c:v>44034</c:v>
                </c:pt>
                <c:pt idx="183">
                  <c:v>44035</c:v>
                </c:pt>
                <c:pt idx="184">
                  <c:v>44036</c:v>
                </c:pt>
                <c:pt idx="185">
                  <c:v>44037</c:v>
                </c:pt>
                <c:pt idx="186">
                  <c:v>44038</c:v>
                </c:pt>
                <c:pt idx="187">
                  <c:v>44039</c:v>
                </c:pt>
                <c:pt idx="188">
                  <c:v>44040</c:v>
                </c:pt>
                <c:pt idx="189">
                  <c:v>44041</c:v>
                </c:pt>
                <c:pt idx="190">
                  <c:v>44042</c:v>
                </c:pt>
                <c:pt idx="191">
                  <c:v>44043</c:v>
                </c:pt>
                <c:pt idx="192">
                  <c:v>44044</c:v>
                </c:pt>
                <c:pt idx="193">
                  <c:v>44045</c:v>
                </c:pt>
                <c:pt idx="194">
                  <c:v>44046</c:v>
                </c:pt>
                <c:pt idx="195">
                  <c:v>44047</c:v>
                </c:pt>
                <c:pt idx="196">
                  <c:v>44048</c:v>
                </c:pt>
                <c:pt idx="197">
                  <c:v>44049</c:v>
                </c:pt>
                <c:pt idx="198">
                  <c:v>44050</c:v>
                </c:pt>
                <c:pt idx="199">
                  <c:v>44051</c:v>
                </c:pt>
                <c:pt idx="200">
                  <c:v>44052</c:v>
                </c:pt>
                <c:pt idx="201">
                  <c:v>44053</c:v>
                </c:pt>
                <c:pt idx="202">
                  <c:v>44054</c:v>
                </c:pt>
                <c:pt idx="203">
                  <c:v>44055</c:v>
                </c:pt>
                <c:pt idx="204">
                  <c:v>44056</c:v>
                </c:pt>
                <c:pt idx="205">
                  <c:v>44057</c:v>
                </c:pt>
                <c:pt idx="206">
                  <c:v>44058</c:v>
                </c:pt>
                <c:pt idx="207">
                  <c:v>44059</c:v>
                </c:pt>
                <c:pt idx="208">
                  <c:v>44060</c:v>
                </c:pt>
                <c:pt idx="209">
                  <c:v>44061</c:v>
                </c:pt>
                <c:pt idx="210">
                  <c:v>44062</c:v>
                </c:pt>
                <c:pt idx="211">
                  <c:v>44063</c:v>
                </c:pt>
                <c:pt idx="212">
                  <c:v>44064</c:v>
                </c:pt>
                <c:pt idx="213">
                  <c:v>44065</c:v>
                </c:pt>
                <c:pt idx="214">
                  <c:v>44066</c:v>
                </c:pt>
                <c:pt idx="215">
                  <c:v>44067</c:v>
                </c:pt>
                <c:pt idx="216">
                  <c:v>44068</c:v>
                </c:pt>
                <c:pt idx="217">
                  <c:v>44069</c:v>
                </c:pt>
                <c:pt idx="218">
                  <c:v>44070</c:v>
                </c:pt>
                <c:pt idx="219">
                  <c:v>44071</c:v>
                </c:pt>
                <c:pt idx="220">
                  <c:v>44072</c:v>
                </c:pt>
                <c:pt idx="221">
                  <c:v>44073</c:v>
                </c:pt>
                <c:pt idx="222">
                  <c:v>44074</c:v>
                </c:pt>
                <c:pt idx="223">
                  <c:v>44075</c:v>
                </c:pt>
                <c:pt idx="224">
                  <c:v>44076</c:v>
                </c:pt>
                <c:pt idx="225">
                  <c:v>44077</c:v>
                </c:pt>
                <c:pt idx="226">
                  <c:v>44078</c:v>
                </c:pt>
                <c:pt idx="227">
                  <c:v>44079</c:v>
                </c:pt>
                <c:pt idx="228">
                  <c:v>44080</c:v>
                </c:pt>
                <c:pt idx="229">
                  <c:v>44081</c:v>
                </c:pt>
                <c:pt idx="230">
                  <c:v>44082</c:v>
                </c:pt>
                <c:pt idx="231">
                  <c:v>44083</c:v>
                </c:pt>
                <c:pt idx="232">
                  <c:v>44084</c:v>
                </c:pt>
                <c:pt idx="233">
                  <c:v>44085</c:v>
                </c:pt>
                <c:pt idx="234">
                  <c:v>44086</c:v>
                </c:pt>
                <c:pt idx="235">
                  <c:v>44087</c:v>
                </c:pt>
                <c:pt idx="236">
                  <c:v>44088</c:v>
                </c:pt>
                <c:pt idx="237">
                  <c:v>44089</c:v>
                </c:pt>
                <c:pt idx="238">
                  <c:v>44090</c:v>
                </c:pt>
                <c:pt idx="239">
                  <c:v>44091</c:v>
                </c:pt>
                <c:pt idx="240">
                  <c:v>44092</c:v>
                </c:pt>
                <c:pt idx="241">
                  <c:v>44093</c:v>
                </c:pt>
                <c:pt idx="242">
                  <c:v>44094</c:v>
                </c:pt>
                <c:pt idx="243">
                  <c:v>44095</c:v>
                </c:pt>
                <c:pt idx="244">
                  <c:v>44096</c:v>
                </c:pt>
                <c:pt idx="245">
                  <c:v>44097</c:v>
                </c:pt>
                <c:pt idx="246">
                  <c:v>44098</c:v>
                </c:pt>
                <c:pt idx="247">
                  <c:v>44099</c:v>
                </c:pt>
                <c:pt idx="248">
                  <c:v>44100</c:v>
                </c:pt>
                <c:pt idx="249">
                  <c:v>44101</c:v>
                </c:pt>
                <c:pt idx="250">
                  <c:v>44102</c:v>
                </c:pt>
                <c:pt idx="251">
                  <c:v>44103</c:v>
                </c:pt>
                <c:pt idx="252">
                  <c:v>44104</c:v>
                </c:pt>
                <c:pt idx="253">
                  <c:v>44105</c:v>
                </c:pt>
                <c:pt idx="254">
                  <c:v>44106</c:v>
                </c:pt>
                <c:pt idx="255">
                  <c:v>44107</c:v>
                </c:pt>
                <c:pt idx="256">
                  <c:v>44108</c:v>
                </c:pt>
                <c:pt idx="257">
                  <c:v>44109</c:v>
                </c:pt>
                <c:pt idx="258">
                  <c:v>44110</c:v>
                </c:pt>
                <c:pt idx="259">
                  <c:v>44111</c:v>
                </c:pt>
                <c:pt idx="260">
                  <c:v>44112</c:v>
                </c:pt>
                <c:pt idx="261">
                  <c:v>44113</c:v>
                </c:pt>
                <c:pt idx="262">
                  <c:v>44114</c:v>
                </c:pt>
                <c:pt idx="263">
                  <c:v>44115</c:v>
                </c:pt>
                <c:pt idx="264">
                  <c:v>44116</c:v>
                </c:pt>
                <c:pt idx="265">
                  <c:v>44117</c:v>
                </c:pt>
                <c:pt idx="266">
                  <c:v>44118</c:v>
                </c:pt>
                <c:pt idx="267">
                  <c:v>44119</c:v>
                </c:pt>
                <c:pt idx="268">
                  <c:v>44120</c:v>
                </c:pt>
                <c:pt idx="269">
                  <c:v>44121</c:v>
                </c:pt>
                <c:pt idx="270">
                  <c:v>44122</c:v>
                </c:pt>
                <c:pt idx="271">
                  <c:v>44123</c:v>
                </c:pt>
                <c:pt idx="272">
                  <c:v>44124</c:v>
                </c:pt>
                <c:pt idx="273">
                  <c:v>44125</c:v>
                </c:pt>
                <c:pt idx="274">
                  <c:v>44126</c:v>
                </c:pt>
                <c:pt idx="275">
                  <c:v>44127</c:v>
                </c:pt>
                <c:pt idx="276">
                  <c:v>44128</c:v>
                </c:pt>
                <c:pt idx="277">
                  <c:v>44129</c:v>
                </c:pt>
                <c:pt idx="278">
                  <c:v>44130</c:v>
                </c:pt>
                <c:pt idx="279">
                  <c:v>44131</c:v>
                </c:pt>
                <c:pt idx="280">
                  <c:v>44132</c:v>
                </c:pt>
                <c:pt idx="281">
                  <c:v>44133</c:v>
                </c:pt>
                <c:pt idx="282">
                  <c:v>44134</c:v>
                </c:pt>
                <c:pt idx="283">
                  <c:v>44135</c:v>
                </c:pt>
                <c:pt idx="284">
                  <c:v>44136</c:v>
                </c:pt>
                <c:pt idx="285">
                  <c:v>44137</c:v>
                </c:pt>
                <c:pt idx="286">
                  <c:v>44138</c:v>
                </c:pt>
                <c:pt idx="287">
                  <c:v>44139</c:v>
                </c:pt>
                <c:pt idx="288">
                  <c:v>44140</c:v>
                </c:pt>
                <c:pt idx="289">
                  <c:v>44141</c:v>
                </c:pt>
                <c:pt idx="290">
                  <c:v>44142</c:v>
                </c:pt>
                <c:pt idx="291">
                  <c:v>44143</c:v>
                </c:pt>
                <c:pt idx="292">
                  <c:v>44144</c:v>
                </c:pt>
                <c:pt idx="293">
                  <c:v>44145</c:v>
                </c:pt>
                <c:pt idx="294">
                  <c:v>44146</c:v>
                </c:pt>
                <c:pt idx="295">
                  <c:v>44147</c:v>
                </c:pt>
                <c:pt idx="296">
                  <c:v>44148</c:v>
                </c:pt>
                <c:pt idx="297">
                  <c:v>44149</c:v>
                </c:pt>
                <c:pt idx="298">
                  <c:v>44150</c:v>
                </c:pt>
                <c:pt idx="299">
                  <c:v>44151</c:v>
                </c:pt>
                <c:pt idx="300">
                  <c:v>44152</c:v>
                </c:pt>
                <c:pt idx="301">
                  <c:v>44153</c:v>
                </c:pt>
                <c:pt idx="302">
                  <c:v>44154</c:v>
                </c:pt>
                <c:pt idx="303">
                  <c:v>44155</c:v>
                </c:pt>
                <c:pt idx="304">
                  <c:v>44156</c:v>
                </c:pt>
                <c:pt idx="305">
                  <c:v>44157</c:v>
                </c:pt>
                <c:pt idx="306">
                  <c:v>44158</c:v>
                </c:pt>
                <c:pt idx="307">
                  <c:v>44159</c:v>
                </c:pt>
                <c:pt idx="308">
                  <c:v>44160</c:v>
                </c:pt>
                <c:pt idx="309">
                  <c:v>44161</c:v>
                </c:pt>
                <c:pt idx="310">
                  <c:v>44162</c:v>
                </c:pt>
                <c:pt idx="311">
                  <c:v>44163</c:v>
                </c:pt>
                <c:pt idx="312">
                  <c:v>44164</c:v>
                </c:pt>
                <c:pt idx="313">
                  <c:v>44165</c:v>
                </c:pt>
                <c:pt idx="314">
                  <c:v>44166</c:v>
                </c:pt>
                <c:pt idx="315">
                  <c:v>44167</c:v>
                </c:pt>
                <c:pt idx="316">
                  <c:v>44168</c:v>
                </c:pt>
                <c:pt idx="317">
                  <c:v>44169</c:v>
                </c:pt>
                <c:pt idx="318">
                  <c:v>44170</c:v>
                </c:pt>
                <c:pt idx="319">
                  <c:v>44171</c:v>
                </c:pt>
                <c:pt idx="320">
                  <c:v>44172</c:v>
                </c:pt>
                <c:pt idx="321">
                  <c:v>44173</c:v>
                </c:pt>
                <c:pt idx="322">
                  <c:v>44174</c:v>
                </c:pt>
                <c:pt idx="323">
                  <c:v>44175</c:v>
                </c:pt>
                <c:pt idx="324">
                  <c:v>44176</c:v>
                </c:pt>
                <c:pt idx="325">
                  <c:v>44177</c:v>
                </c:pt>
                <c:pt idx="326">
                  <c:v>44178</c:v>
                </c:pt>
                <c:pt idx="327">
                  <c:v>44179</c:v>
                </c:pt>
                <c:pt idx="328">
                  <c:v>44180</c:v>
                </c:pt>
                <c:pt idx="329">
                  <c:v>44181</c:v>
                </c:pt>
                <c:pt idx="330">
                  <c:v>44182</c:v>
                </c:pt>
                <c:pt idx="331">
                  <c:v>44183</c:v>
                </c:pt>
                <c:pt idx="332">
                  <c:v>44184</c:v>
                </c:pt>
                <c:pt idx="333">
                  <c:v>44185</c:v>
                </c:pt>
                <c:pt idx="334">
                  <c:v>44186</c:v>
                </c:pt>
                <c:pt idx="335">
                  <c:v>44187</c:v>
                </c:pt>
                <c:pt idx="336">
                  <c:v>44188</c:v>
                </c:pt>
                <c:pt idx="337">
                  <c:v>44189</c:v>
                </c:pt>
                <c:pt idx="338">
                  <c:v>44190</c:v>
                </c:pt>
                <c:pt idx="339">
                  <c:v>44191</c:v>
                </c:pt>
                <c:pt idx="340">
                  <c:v>44192</c:v>
                </c:pt>
                <c:pt idx="341">
                  <c:v>44193</c:v>
                </c:pt>
                <c:pt idx="342">
                  <c:v>44194</c:v>
                </c:pt>
                <c:pt idx="343">
                  <c:v>44195</c:v>
                </c:pt>
                <c:pt idx="344">
                  <c:v>44196</c:v>
                </c:pt>
                <c:pt idx="345">
                  <c:v>44197</c:v>
                </c:pt>
                <c:pt idx="346">
                  <c:v>44198</c:v>
                </c:pt>
                <c:pt idx="347">
                  <c:v>44199</c:v>
                </c:pt>
                <c:pt idx="348">
                  <c:v>44200</c:v>
                </c:pt>
                <c:pt idx="349">
                  <c:v>44201</c:v>
                </c:pt>
                <c:pt idx="350">
                  <c:v>44202</c:v>
                </c:pt>
                <c:pt idx="351">
                  <c:v>44203</c:v>
                </c:pt>
                <c:pt idx="352">
                  <c:v>44204</c:v>
                </c:pt>
                <c:pt idx="353">
                  <c:v>44205</c:v>
                </c:pt>
                <c:pt idx="354">
                  <c:v>44206</c:v>
                </c:pt>
                <c:pt idx="355">
                  <c:v>44207</c:v>
                </c:pt>
                <c:pt idx="356">
                  <c:v>44208</c:v>
                </c:pt>
                <c:pt idx="357">
                  <c:v>44209</c:v>
                </c:pt>
                <c:pt idx="358">
                  <c:v>44210</c:v>
                </c:pt>
                <c:pt idx="359">
                  <c:v>44211</c:v>
                </c:pt>
                <c:pt idx="360">
                  <c:v>44212</c:v>
                </c:pt>
                <c:pt idx="361">
                  <c:v>44213</c:v>
                </c:pt>
                <c:pt idx="362">
                  <c:v>44214</c:v>
                </c:pt>
                <c:pt idx="363">
                  <c:v>44215</c:v>
                </c:pt>
                <c:pt idx="364">
                  <c:v>44216</c:v>
                </c:pt>
                <c:pt idx="365">
                  <c:v>44217</c:v>
                </c:pt>
                <c:pt idx="366">
                  <c:v>44218</c:v>
                </c:pt>
                <c:pt idx="367">
                  <c:v>44219</c:v>
                </c:pt>
                <c:pt idx="368">
                  <c:v>44220</c:v>
                </c:pt>
                <c:pt idx="369">
                  <c:v>44221</c:v>
                </c:pt>
                <c:pt idx="370">
                  <c:v>44222</c:v>
                </c:pt>
                <c:pt idx="371">
                  <c:v>44223</c:v>
                </c:pt>
                <c:pt idx="372">
                  <c:v>44224</c:v>
                </c:pt>
                <c:pt idx="373">
                  <c:v>44225</c:v>
                </c:pt>
                <c:pt idx="374">
                  <c:v>44226</c:v>
                </c:pt>
                <c:pt idx="375">
                  <c:v>44227</c:v>
                </c:pt>
                <c:pt idx="376">
                  <c:v>44228</c:v>
                </c:pt>
                <c:pt idx="377">
                  <c:v>44229</c:v>
                </c:pt>
                <c:pt idx="378">
                  <c:v>44230</c:v>
                </c:pt>
                <c:pt idx="379">
                  <c:v>44231</c:v>
                </c:pt>
                <c:pt idx="380">
                  <c:v>44232</c:v>
                </c:pt>
                <c:pt idx="381">
                  <c:v>44233</c:v>
                </c:pt>
                <c:pt idx="382">
                  <c:v>44234</c:v>
                </c:pt>
                <c:pt idx="383">
                  <c:v>44235</c:v>
                </c:pt>
                <c:pt idx="384">
                  <c:v>44236</c:v>
                </c:pt>
                <c:pt idx="385">
                  <c:v>44237</c:v>
                </c:pt>
                <c:pt idx="386">
                  <c:v>44238</c:v>
                </c:pt>
                <c:pt idx="387">
                  <c:v>44239</c:v>
                </c:pt>
                <c:pt idx="388">
                  <c:v>44240</c:v>
                </c:pt>
                <c:pt idx="389">
                  <c:v>44241</c:v>
                </c:pt>
                <c:pt idx="390">
                  <c:v>44242</c:v>
                </c:pt>
                <c:pt idx="391">
                  <c:v>44243</c:v>
                </c:pt>
                <c:pt idx="392">
                  <c:v>44244</c:v>
                </c:pt>
                <c:pt idx="393">
                  <c:v>44245</c:v>
                </c:pt>
                <c:pt idx="394">
                  <c:v>44246</c:v>
                </c:pt>
                <c:pt idx="395">
                  <c:v>44247</c:v>
                </c:pt>
                <c:pt idx="396">
                  <c:v>44248</c:v>
                </c:pt>
                <c:pt idx="397">
                  <c:v>44249</c:v>
                </c:pt>
                <c:pt idx="398">
                  <c:v>44250</c:v>
                </c:pt>
                <c:pt idx="399">
                  <c:v>44251</c:v>
                </c:pt>
                <c:pt idx="400">
                  <c:v>44252</c:v>
                </c:pt>
                <c:pt idx="401">
                  <c:v>44253</c:v>
                </c:pt>
                <c:pt idx="402">
                  <c:v>44254</c:v>
                </c:pt>
                <c:pt idx="403">
                  <c:v>44255</c:v>
                </c:pt>
                <c:pt idx="404">
                  <c:v>44256</c:v>
                </c:pt>
                <c:pt idx="405">
                  <c:v>44257</c:v>
                </c:pt>
                <c:pt idx="406">
                  <c:v>44258</c:v>
                </c:pt>
                <c:pt idx="407">
                  <c:v>44259</c:v>
                </c:pt>
                <c:pt idx="408">
                  <c:v>44260</c:v>
                </c:pt>
                <c:pt idx="409">
                  <c:v>44261</c:v>
                </c:pt>
                <c:pt idx="410">
                  <c:v>44262</c:v>
                </c:pt>
                <c:pt idx="411">
                  <c:v>44263</c:v>
                </c:pt>
                <c:pt idx="412">
                  <c:v>44264</c:v>
                </c:pt>
                <c:pt idx="413">
                  <c:v>44265</c:v>
                </c:pt>
                <c:pt idx="414">
                  <c:v>44266</c:v>
                </c:pt>
                <c:pt idx="415">
                  <c:v>44267</c:v>
                </c:pt>
                <c:pt idx="416">
                  <c:v>44268</c:v>
                </c:pt>
                <c:pt idx="417">
                  <c:v>44269</c:v>
                </c:pt>
                <c:pt idx="418">
                  <c:v>44270</c:v>
                </c:pt>
                <c:pt idx="419">
                  <c:v>44271</c:v>
                </c:pt>
                <c:pt idx="420">
                  <c:v>44272</c:v>
                </c:pt>
                <c:pt idx="421">
                  <c:v>44273</c:v>
                </c:pt>
                <c:pt idx="422">
                  <c:v>44274</c:v>
                </c:pt>
                <c:pt idx="423">
                  <c:v>44275</c:v>
                </c:pt>
                <c:pt idx="424">
                  <c:v>44276</c:v>
                </c:pt>
                <c:pt idx="425">
                  <c:v>44277</c:v>
                </c:pt>
                <c:pt idx="426">
                  <c:v>44278</c:v>
                </c:pt>
                <c:pt idx="427">
                  <c:v>44279</c:v>
                </c:pt>
                <c:pt idx="428">
                  <c:v>44280</c:v>
                </c:pt>
                <c:pt idx="429">
                  <c:v>44281</c:v>
                </c:pt>
                <c:pt idx="430">
                  <c:v>44282</c:v>
                </c:pt>
                <c:pt idx="431">
                  <c:v>44283</c:v>
                </c:pt>
                <c:pt idx="432">
                  <c:v>44284</c:v>
                </c:pt>
                <c:pt idx="433">
                  <c:v>44285</c:v>
                </c:pt>
                <c:pt idx="434">
                  <c:v>44286</c:v>
                </c:pt>
                <c:pt idx="435">
                  <c:v>44287</c:v>
                </c:pt>
                <c:pt idx="436">
                  <c:v>44288</c:v>
                </c:pt>
                <c:pt idx="437">
                  <c:v>44289</c:v>
                </c:pt>
                <c:pt idx="438">
                  <c:v>44290</c:v>
                </c:pt>
                <c:pt idx="439">
                  <c:v>44291</c:v>
                </c:pt>
                <c:pt idx="440">
                  <c:v>44292</c:v>
                </c:pt>
                <c:pt idx="441">
                  <c:v>44293</c:v>
                </c:pt>
                <c:pt idx="442">
                  <c:v>44294</c:v>
                </c:pt>
                <c:pt idx="443">
                  <c:v>44295</c:v>
                </c:pt>
                <c:pt idx="444">
                  <c:v>44296</c:v>
                </c:pt>
                <c:pt idx="445">
                  <c:v>44297</c:v>
                </c:pt>
                <c:pt idx="446">
                  <c:v>44298</c:v>
                </c:pt>
                <c:pt idx="447">
                  <c:v>44299</c:v>
                </c:pt>
                <c:pt idx="448">
                  <c:v>44300</c:v>
                </c:pt>
                <c:pt idx="449">
                  <c:v>44301</c:v>
                </c:pt>
                <c:pt idx="450">
                  <c:v>44302</c:v>
                </c:pt>
                <c:pt idx="451">
                  <c:v>44303</c:v>
                </c:pt>
                <c:pt idx="452">
                  <c:v>44304</c:v>
                </c:pt>
                <c:pt idx="453">
                  <c:v>44305</c:v>
                </c:pt>
                <c:pt idx="454">
                  <c:v>44306</c:v>
                </c:pt>
                <c:pt idx="455">
                  <c:v>44307</c:v>
                </c:pt>
                <c:pt idx="456">
                  <c:v>44308</c:v>
                </c:pt>
                <c:pt idx="457">
                  <c:v>44309</c:v>
                </c:pt>
                <c:pt idx="458">
                  <c:v>44310</c:v>
                </c:pt>
                <c:pt idx="459">
                  <c:v>44311</c:v>
                </c:pt>
                <c:pt idx="460">
                  <c:v>44312</c:v>
                </c:pt>
                <c:pt idx="461">
                  <c:v>44313</c:v>
                </c:pt>
                <c:pt idx="462">
                  <c:v>44314</c:v>
                </c:pt>
                <c:pt idx="463">
                  <c:v>44315</c:v>
                </c:pt>
                <c:pt idx="464">
                  <c:v>44316</c:v>
                </c:pt>
                <c:pt idx="465">
                  <c:v>44317</c:v>
                </c:pt>
                <c:pt idx="466">
                  <c:v>44318</c:v>
                </c:pt>
                <c:pt idx="467">
                  <c:v>44319</c:v>
                </c:pt>
                <c:pt idx="468">
                  <c:v>44320</c:v>
                </c:pt>
                <c:pt idx="469">
                  <c:v>44321</c:v>
                </c:pt>
                <c:pt idx="470">
                  <c:v>44322</c:v>
                </c:pt>
                <c:pt idx="471">
                  <c:v>44323</c:v>
                </c:pt>
                <c:pt idx="472">
                  <c:v>44324</c:v>
                </c:pt>
                <c:pt idx="473">
                  <c:v>44325</c:v>
                </c:pt>
                <c:pt idx="474">
                  <c:v>44326</c:v>
                </c:pt>
                <c:pt idx="475">
                  <c:v>44327</c:v>
                </c:pt>
                <c:pt idx="476">
                  <c:v>44328</c:v>
                </c:pt>
                <c:pt idx="477">
                  <c:v>44329</c:v>
                </c:pt>
                <c:pt idx="478">
                  <c:v>44330</c:v>
                </c:pt>
                <c:pt idx="479">
                  <c:v>44331</c:v>
                </c:pt>
                <c:pt idx="480">
                  <c:v>44332</c:v>
                </c:pt>
                <c:pt idx="481">
                  <c:v>44333</c:v>
                </c:pt>
                <c:pt idx="482">
                  <c:v>44334</c:v>
                </c:pt>
                <c:pt idx="483">
                  <c:v>44335</c:v>
                </c:pt>
                <c:pt idx="484">
                  <c:v>44336</c:v>
                </c:pt>
                <c:pt idx="485">
                  <c:v>44337</c:v>
                </c:pt>
                <c:pt idx="486">
                  <c:v>44338</c:v>
                </c:pt>
                <c:pt idx="487">
                  <c:v>44339</c:v>
                </c:pt>
                <c:pt idx="488">
                  <c:v>44340</c:v>
                </c:pt>
                <c:pt idx="489">
                  <c:v>44341</c:v>
                </c:pt>
                <c:pt idx="490">
                  <c:v>44342</c:v>
                </c:pt>
                <c:pt idx="491">
                  <c:v>44343</c:v>
                </c:pt>
                <c:pt idx="492">
                  <c:v>44344</c:v>
                </c:pt>
                <c:pt idx="493">
                  <c:v>44345</c:v>
                </c:pt>
                <c:pt idx="494">
                  <c:v>44346</c:v>
                </c:pt>
                <c:pt idx="495">
                  <c:v>44347</c:v>
                </c:pt>
                <c:pt idx="496">
                  <c:v>44348</c:v>
                </c:pt>
                <c:pt idx="497">
                  <c:v>44349</c:v>
                </c:pt>
                <c:pt idx="498">
                  <c:v>44350</c:v>
                </c:pt>
                <c:pt idx="499">
                  <c:v>44351</c:v>
                </c:pt>
                <c:pt idx="500">
                  <c:v>44352</c:v>
                </c:pt>
                <c:pt idx="501">
                  <c:v>44353</c:v>
                </c:pt>
                <c:pt idx="502">
                  <c:v>44354</c:v>
                </c:pt>
                <c:pt idx="503">
                  <c:v>44355</c:v>
                </c:pt>
                <c:pt idx="504">
                  <c:v>44356</c:v>
                </c:pt>
                <c:pt idx="505">
                  <c:v>44357</c:v>
                </c:pt>
                <c:pt idx="506">
                  <c:v>44358</c:v>
                </c:pt>
                <c:pt idx="507">
                  <c:v>44359</c:v>
                </c:pt>
                <c:pt idx="508">
                  <c:v>44360</c:v>
                </c:pt>
                <c:pt idx="509">
                  <c:v>44361</c:v>
                </c:pt>
                <c:pt idx="510">
                  <c:v>44362</c:v>
                </c:pt>
                <c:pt idx="511">
                  <c:v>44363</c:v>
                </c:pt>
                <c:pt idx="512">
                  <c:v>44364</c:v>
                </c:pt>
                <c:pt idx="513">
                  <c:v>44365</c:v>
                </c:pt>
                <c:pt idx="514">
                  <c:v>44366</c:v>
                </c:pt>
                <c:pt idx="515">
                  <c:v>44367</c:v>
                </c:pt>
                <c:pt idx="516">
                  <c:v>44368</c:v>
                </c:pt>
                <c:pt idx="517">
                  <c:v>44369</c:v>
                </c:pt>
                <c:pt idx="518">
                  <c:v>44370</c:v>
                </c:pt>
                <c:pt idx="519">
                  <c:v>44371</c:v>
                </c:pt>
                <c:pt idx="520">
                  <c:v>44372</c:v>
                </c:pt>
                <c:pt idx="521">
                  <c:v>44373</c:v>
                </c:pt>
                <c:pt idx="522">
                  <c:v>44374</c:v>
                </c:pt>
                <c:pt idx="523">
                  <c:v>44375</c:v>
                </c:pt>
                <c:pt idx="524">
                  <c:v>44376</c:v>
                </c:pt>
                <c:pt idx="525">
                  <c:v>44377</c:v>
                </c:pt>
                <c:pt idx="526">
                  <c:v>44378</c:v>
                </c:pt>
                <c:pt idx="527">
                  <c:v>44379</c:v>
                </c:pt>
                <c:pt idx="528">
                  <c:v>44380</c:v>
                </c:pt>
                <c:pt idx="529">
                  <c:v>44381</c:v>
                </c:pt>
                <c:pt idx="530">
                  <c:v>44382</c:v>
                </c:pt>
                <c:pt idx="531">
                  <c:v>44383</c:v>
                </c:pt>
                <c:pt idx="532">
                  <c:v>44384</c:v>
                </c:pt>
                <c:pt idx="533">
                  <c:v>44385</c:v>
                </c:pt>
                <c:pt idx="534">
                  <c:v>44386</c:v>
                </c:pt>
                <c:pt idx="535">
                  <c:v>44387</c:v>
                </c:pt>
                <c:pt idx="536">
                  <c:v>44388</c:v>
                </c:pt>
                <c:pt idx="537">
                  <c:v>44389</c:v>
                </c:pt>
                <c:pt idx="538">
                  <c:v>44390</c:v>
                </c:pt>
                <c:pt idx="539">
                  <c:v>44391</c:v>
                </c:pt>
                <c:pt idx="540">
                  <c:v>44392</c:v>
                </c:pt>
                <c:pt idx="541">
                  <c:v>44393</c:v>
                </c:pt>
                <c:pt idx="542">
                  <c:v>44394</c:v>
                </c:pt>
                <c:pt idx="543">
                  <c:v>44395</c:v>
                </c:pt>
                <c:pt idx="544">
                  <c:v>44396</c:v>
                </c:pt>
                <c:pt idx="545">
                  <c:v>44397</c:v>
                </c:pt>
                <c:pt idx="546">
                  <c:v>44398</c:v>
                </c:pt>
                <c:pt idx="547">
                  <c:v>44399</c:v>
                </c:pt>
                <c:pt idx="548">
                  <c:v>44400</c:v>
                </c:pt>
                <c:pt idx="549">
                  <c:v>44401</c:v>
                </c:pt>
                <c:pt idx="550">
                  <c:v>44402</c:v>
                </c:pt>
                <c:pt idx="551">
                  <c:v>44403</c:v>
                </c:pt>
                <c:pt idx="552">
                  <c:v>44404</c:v>
                </c:pt>
                <c:pt idx="553">
                  <c:v>44405</c:v>
                </c:pt>
                <c:pt idx="554">
                  <c:v>44406</c:v>
                </c:pt>
                <c:pt idx="555">
                  <c:v>44407</c:v>
                </c:pt>
                <c:pt idx="556">
                  <c:v>44408</c:v>
                </c:pt>
                <c:pt idx="557">
                  <c:v>44409</c:v>
                </c:pt>
                <c:pt idx="558">
                  <c:v>44410</c:v>
                </c:pt>
                <c:pt idx="559">
                  <c:v>44411</c:v>
                </c:pt>
                <c:pt idx="560">
                  <c:v>44412</c:v>
                </c:pt>
                <c:pt idx="561">
                  <c:v>44413</c:v>
                </c:pt>
                <c:pt idx="562">
                  <c:v>44414</c:v>
                </c:pt>
                <c:pt idx="563">
                  <c:v>44415</c:v>
                </c:pt>
                <c:pt idx="564">
                  <c:v>44416</c:v>
                </c:pt>
                <c:pt idx="565">
                  <c:v>44417</c:v>
                </c:pt>
                <c:pt idx="566">
                  <c:v>44418</c:v>
                </c:pt>
                <c:pt idx="567">
                  <c:v>44419</c:v>
                </c:pt>
                <c:pt idx="568">
                  <c:v>44420</c:v>
                </c:pt>
                <c:pt idx="569">
                  <c:v>44421</c:v>
                </c:pt>
                <c:pt idx="570">
                  <c:v>44422</c:v>
                </c:pt>
                <c:pt idx="571">
                  <c:v>44423</c:v>
                </c:pt>
                <c:pt idx="572">
                  <c:v>44424</c:v>
                </c:pt>
                <c:pt idx="573">
                  <c:v>44425</c:v>
                </c:pt>
                <c:pt idx="574">
                  <c:v>44426</c:v>
                </c:pt>
                <c:pt idx="575">
                  <c:v>44427</c:v>
                </c:pt>
                <c:pt idx="576">
                  <c:v>44428</c:v>
                </c:pt>
                <c:pt idx="577">
                  <c:v>44429</c:v>
                </c:pt>
                <c:pt idx="578">
                  <c:v>44430</c:v>
                </c:pt>
                <c:pt idx="579">
                  <c:v>44431</c:v>
                </c:pt>
                <c:pt idx="580">
                  <c:v>44432</c:v>
                </c:pt>
                <c:pt idx="581">
                  <c:v>44433</c:v>
                </c:pt>
                <c:pt idx="582">
                  <c:v>44434</c:v>
                </c:pt>
                <c:pt idx="583">
                  <c:v>44435</c:v>
                </c:pt>
                <c:pt idx="584">
                  <c:v>44436</c:v>
                </c:pt>
                <c:pt idx="585">
                  <c:v>44437</c:v>
                </c:pt>
                <c:pt idx="586">
                  <c:v>44438</c:v>
                </c:pt>
                <c:pt idx="587">
                  <c:v>44439</c:v>
                </c:pt>
                <c:pt idx="588">
                  <c:v>44440</c:v>
                </c:pt>
                <c:pt idx="589">
                  <c:v>44441</c:v>
                </c:pt>
                <c:pt idx="590">
                  <c:v>44442</c:v>
                </c:pt>
                <c:pt idx="591">
                  <c:v>44443</c:v>
                </c:pt>
                <c:pt idx="592">
                  <c:v>44444</c:v>
                </c:pt>
                <c:pt idx="593">
                  <c:v>44445</c:v>
                </c:pt>
                <c:pt idx="594">
                  <c:v>44446</c:v>
                </c:pt>
                <c:pt idx="595">
                  <c:v>44447</c:v>
                </c:pt>
                <c:pt idx="596">
                  <c:v>44448</c:v>
                </c:pt>
                <c:pt idx="597">
                  <c:v>44449</c:v>
                </c:pt>
                <c:pt idx="598">
                  <c:v>44450</c:v>
                </c:pt>
                <c:pt idx="599">
                  <c:v>44451</c:v>
                </c:pt>
                <c:pt idx="600">
                  <c:v>44452</c:v>
                </c:pt>
                <c:pt idx="601">
                  <c:v>44453</c:v>
                </c:pt>
                <c:pt idx="602">
                  <c:v>44454</c:v>
                </c:pt>
                <c:pt idx="603">
                  <c:v>44455</c:v>
                </c:pt>
                <c:pt idx="604">
                  <c:v>44456</c:v>
                </c:pt>
                <c:pt idx="605">
                  <c:v>44457</c:v>
                </c:pt>
                <c:pt idx="606">
                  <c:v>44458</c:v>
                </c:pt>
                <c:pt idx="607">
                  <c:v>44459</c:v>
                </c:pt>
                <c:pt idx="608">
                  <c:v>44460</c:v>
                </c:pt>
                <c:pt idx="609">
                  <c:v>44461</c:v>
                </c:pt>
                <c:pt idx="610">
                  <c:v>44462</c:v>
                </c:pt>
                <c:pt idx="611">
                  <c:v>44463</c:v>
                </c:pt>
                <c:pt idx="612">
                  <c:v>44464</c:v>
                </c:pt>
                <c:pt idx="613">
                  <c:v>44465</c:v>
                </c:pt>
                <c:pt idx="614">
                  <c:v>44466</c:v>
                </c:pt>
                <c:pt idx="615">
                  <c:v>44467</c:v>
                </c:pt>
                <c:pt idx="616">
                  <c:v>44468</c:v>
                </c:pt>
                <c:pt idx="617">
                  <c:v>44469</c:v>
                </c:pt>
                <c:pt idx="618">
                  <c:v>44470</c:v>
                </c:pt>
                <c:pt idx="619">
                  <c:v>44471</c:v>
                </c:pt>
                <c:pt idx="620">
                  <c:v>44472</c:v>
                </c:pt>
                <c:pt idx="621">
                  <c:v>44473</c:v>
                </c:pt>
                <c:pt idx="622">
                  <c:v>44474</c:v>
                </c:pt>
                <c:pt idx="623">
                  <c:v>44475</c:v>
                </c:pt>
                <c:pt idx="624">
                  <c:v>44476</c:v>
                </c:pt>
                <c:pt idx="625">
                  <c:v>44477</c:v>
                </c:pt>
                <c:pt idx="626">
                  <c:v>44478</c:v>
                </c:pt>
                <c:pt idx="627">
                  <c:v>44479</c:v>
                </c:pt>
                <c:pt idx="628">
                  <c:v>44480</c:v>
                </c:pt>
                <c:pt idx="629">
                  <c:v>44481</c:v>
                </c:pt>
                <c:pt idx="630">
                  <c:v>44482</c:v>
                </c:pt>
                <c:pt idx="631">
                  <c:v>44483</c:v>
                </c:pt>
                <c:pt idx="632">
                  <c:v>44484</c:v>
                </c:pt>
                <c:pt idx="633">
                  <c:v>44485</c:v>
                </c:pt>
                <c:pt idx="634">
                  <c:v>44486</c:v>
                </c:pt>
                <c:pt idx="635">
                  <c:v>44487</c:v>
                </c:pt>
                <c:pt idx="636">
                  <c:v>44488</c:v>
                </c:pt>
                <c:pt idx="637">
                  <c:v>44489</c:v>
                </c:pt>
                <c:pt idx="638">
                  <c:v>44490</c:v>
                </c:pt>
                <c:pt idx="639">
                  <c:v>44491</c:v>
                </c:pt>
                <c:pt idx="640">
                  <c:v>44492</c:v>
                </c:pt>
                <c:pt idx="641">
                  <c:v>44493</c:v>
                </c:pt>
                <c:pt idx="642">
                  <c:v>44494</c:v>
                </c:pt>
                <c:pt idx="643">
                  <c:v>44495</c:v>
                </c:pt>
                <c:pt idx="644">
                  <c:v>44496</c:v>
                </c:pt>
                <c:pt idx="645">
                  <c:v>44497</c:v>
                </c:pt>
                <c:pt idx="646">
                  <c:v>44498</c:v>
                </c:pt>
                <c:pt idx="647">
                  <c:v>44499</c:v>
                </c:pt>
                <c:pt idx="648">
                  <c:v>44500</c:v>
                </c:pt>
                <c:pt idx="649">
                  <c:v>44501</c:v>
                </c:pt>
                <c:pt idx="650">
                  <c:v>44502</c:v>
                </c:pt>
                <c:pt idx="651">
                  <c:v>44503</c:v>
                </c:pt>
                <c:pt idx="652">
                  <c:v>44504</c:v>
                </c:pt>
                <c:pt idx="653">
                  <c:v>44505</c:v>
                </c:pt>
                <c:pt idx="654">
                  <c:v>44506</c:v>
                </c:pt>
                <c:pt idx="655">
                  <c:v>44507</c:v>
                </c:pt>
                <c:pt idx="656">
                  <c:v>44508</c:v>
                </c:pt>
                <c:pt idx="657">
                  <c:v>44509</c:v>
                </c:pt>
                <c:pt idx="658">
                  <c:v>44510</c:v>
                </c:pt>
                <c:pt idx="659">
                  <c:v>44511</c:v>
                </c:pt>
                <c:pt idx="660">
                  <c:v>44512</c:v>
                </c:pt>
                <c:pt idx="661">
                  <c:v>44513</c:v>
                </c:pt>
                <c:pt idx="662">
                  <c:v>44514</c:v>
                </c:pt>
                <c:pt idx="663">
                  <c:v>44515</c:v>
                </c:pt>
                <c:pt idx="664">
                  <c:v>44516</c:v>
                </c:pt>
                <c:pt idx="665">
                  <c:v>44517</c:v>
                </c:pt>
                <c:pt idx="666">
                  <c:v>44518</c:v>
                </c:pt>
                <c:pt idx="667">
                  <c:v>44519</c:v>
                </c:pt>
                <c:pt idx="668">
                  <c:v>44520</c:v>
                </c:pt>
                <c:pt idx="669">
                  <c:v>44521</c:v>
                </c:pt>
                <c:pt idx="670">
                  <c:v>44522</c:v>
                </c:pt>
                <c:pt idx="671">
                  <c:v>44523</c:v>
                </c:pt>
                <c:pt idx="672">
                  <c:v>44524</c:v>
                </c:pt>
                <c:pt idx="673">
                  <c:v>#N/A</c:v>
                </c:pt>
                <c:pt idx="674">
                  <c:v>#N/A</c:v>
                </c:pt>
                <c:pt idx="675">
                  <c:v>#N/A</c:v>
                </c:pt>
                <c:pt idx="676">
                  <c:v>#N/A</c:v>
                </c:pt>
                <c:pt idx="677">
                  <c:v>#N/A</c:v>
                </c:pt>
                <c:pt idx="678">
                  <c:v>#N/A</c:v>
                </c:pt>
                <c:pt idx="679">
                  <c:v>#N/A</c:v>
                </c:pt>
                <c:pt idx="680">
                  <c:v>#N/A</c:v>
                </c:pt>
                <c:pt idx="681">
                  <c:v>#N/A</c:v>
                </c:pt>
                <c:pt idx="682">
                  <c:v>#N/A</c:v>
                </c:pt>
                <c:pt idx="683">
                  <c:v>#N/A</c:v>
                </c:pt>
                <c:pt idx="684">
                  <c:v>#N/A</c:v>
                </c:pt>
                <c:pt idx="685">
                  <c:v>#N/A</c:v>
                </c:pt>
                <c:pt idx="686">
                  <c:v>#N/A</c:v>
                </c:pt>
                <c:pt idx="687">
                  <c:v>#N/A</c:v>
                </c:pt>
                <c:pt idx="688">
                  <c:v>#N/A</c:v>
                </c:pt>
                <c:pt idx="689">
                  <c:v>#N/A</c:v>
                </c:pt>
                <c:pt idx="690">
                  <c:v>#N/A</c:v>
                </c:pt>
                <c:pt idx="691">
                  <c:v>#N/A</c:v>
                </c:pt>
                <c:pt idx="692">
                  <c:v>#N/A</c:v>
                </c:pt>
                <c:pt idx="693">
                  <c:v>#N/A</c:v>
                </c:pt>
              </c:numCache>
            </c:numRef>
          </c:cat>
          <c:val>
            <c:numRef>
              <c:f>'DATA - Daily COVID cases'!$B$14:$ZS$14</c:f>
              <c:numCache>
                <c:formatCode>General</c:formatCode>
                <c:ptCount val="694"/>
                <c:pt idx="4">
                  <c:v>#N/A</c:v>
                </c:pt>
                <c:pt idx="5">
                  <c:v>#N/A</c:v>
                </c:pt>
                <c:pt idx="6">
                  <c:v>#N/A</c:v>
                </c:pt>
                <c:pt idx="7">
                  <c:v>1.4285714285714299</c:v>
                </c:pt>
                <c:pt idx="8">
                  <c:v>1.4285714285714299</c:v>
                </c:pt>
                <c:pt idx="9">
                  <c:v>2.1428571428571401</c:v>
                </c:pt>
                <c:pt idx="10">
                  <c:v>2.8571428571428599</c:v>
                </c:pt>
                <c:pt idx="11">
                  <c:v>3.1428571428571401</c:v>
                </c:pt>
                <c:pt idx="12">
                  <c:v>4.1428571428571397</c:v>
                </c:pt>
                <c:pt idx="13">
                  <c:v>3.71428571428571</c:v>
                </c:pt>
                <c:pt idx="14">
                  <c:v>3.5714285714285698</c:v>
                </c:pt>
                <c:pt idx="15">
                  <c:v>3.5714285714285698</c:v>
                </c:pt>
                <c:pt idx="16">
                  <c:v>2.8571428571428599</c:v>
                </c:pt>
                <c:pt idx="17">
                  <c:v>3.28571428571429</c:v>
                </c:pt>
                <c:pt idx="18">
                  <c:v>3.4285714285714302</c:v>
                </c:pt>
                <c:pt idx="19">
                  <c:v>2.28571428571429</c:v>
                </c:pt>
                <c:pt idx="20">
                  <c:v>2.5714285714285698</c:v>
                </c:pt>
                <c:pt idx="21">
                  <c:v>2.5714285714285698</c:v>
                </c:pt>
                <c:pt idx="22">
                  <c:v>2.71428571428571</c:v>
                </c:pt>
                <c:pt idx="23">
                  <c:v>2.5714285714285698</c:v>
                </c:pt>
                <c:pt idx="24">
                  <c:v>1.4285714285714299</c:v>
                </c:pt>
                <c:pt idx="25">
                  <c:v>1</c:v>
                </c:pt>
                <c:pt idx="26">
                  <c:v>1.1428571428571399</c:v>
                </c:pt>
                <c:pt idx="27">
                  <c:v>0.71428571428571397</c:v>
                </c:pt>
                <c:pt idx="28">
                  <c:v>0.71428571428571397</c:v>
                </c:pt>
                <c:pt idx="29">
                  <c:v>0.85714285714285698</c:v>
                </c:pt>
                <c:pt idx="30">
                  <c:v>3.4285714285714302</c:v>
                </c:pt>
                <c:pt idx="31">
                  <c:v>9.28571428571429</c:v>
                </c:pt>
                <c:pt idx="32">
                  <c:v>23.285714285714299</c:v>
                </c:pt>
                <c:pt idx="33">
                  <c:v>34</c:v>
                </c:pt>
                <c:pt idx="34">
                  <c:v>49.428571428571402</c:v>
                </c:pt>
                <c:pt idx="35">
                  <c:v>72.857142857142904</c:v>
                </c:pt>
                <c:pt idx="36">
                  <c:v>110.428571428571</c:v>
                </c:pt>
                <c:pt idx="37">
                  <c:v>151.42857142857099</c:v>
                </c:pt>
                <c:pt idx="38">
                  <c:v>198.857142857143</c:v>
                </c:pt>
                <c:pt idx="39">
                  <c:v>293.28571428571399</c:v>
                </c:pt>
                <c:pt idx="40">
                  <c:v>363.142857142857</c:v>
                </c:pt>
                <c:pt idx="41">
                  <c:v>447.28571428571399</c:v>
                </c:pt>
                <c:pt idx="42">
                  <c:v>567.42857142857099</c:v>
                </c:pt>
                <c:pt idx="43">
                  <c:v>736</c:v>
                </c:pt>
                <c:pt idx="44">
                  <c:v>949</c:v>
                </c:pt>
                <c:pt idx="45">
                  <c:v>1206.57142857143</c:v>
                </c:pt>
                <c:pt idx="46">
                  <c:v>1461.42857142857</c:v>
                </c:pt>
                <c:pt idx="47">
                  <c:v>1832.2857142857099</c:v>
                </c:pt>
                <c:pt idx="48">
                  <c:v>2221.5714285714298</c:v>
                </c:pt>
                <c:pt idx="49">
                  <c:v>2855.7142857142899</c:v>
                </c:pt>
                <c:pt idx="50">
                  <c:v>3213.1428571428601</c:v>
                </c:pt>
                <c:pt idx="51">
                  <c:v>4609.1428571428596</c:v>
                </c:pt>
                <c:pt idx="52">
                  <c:v>5470.8571428571404</c:v>
                </c:pt>
                <c:pt idx="53">
                  <c:v>6377.1428571428596</c:v>
                </c:pt>
                <c:pt idx="54">
                  <c:v>7513.1428571428596</c:v>
                </c:pt>
                <c:pt idx="55">
                  <c:v>8692</c:v>
                </c:pt>
                <c:pt idx="56">
                  <c:v>9935.7142857142899</c:v>
                </c:pt>
                <c:pt idx="57">
                  <c:v>12161.285714285699</c:v>
                </c:pt>
                <c:pt idx="58">
                  <c:v>13494</c:v>
                </c:pt>
                <c:pt idx="59">
                  <c:v>15493.857142857099</c:v>
                </c:pt>
                <c:pt idx="60">
                  <c:v>17251.857142857101</c:v>
                </c:pt>
                <c:pt idx="61">
                  <c:v>19507.428571428602</c:v>
                </c:pt>
                <c:pt idx="62">
                  <c:v>21395.857142857101</c:v>
                </c:pt>
                <c:pt idx="63">
                  <c:v>24050.142857142899</c:v>
                </c:pt>
                <c:pt idx="64">
                  <c:v>26634.571428571398</c:v>
                </c:pt>
                <c:pt idx="65">
                  <c:v>29148.428571428602</c:v>
                </c:pt>
                <c:pt idx="66">
                  <c:v>31544.8571428572</c:v>
                </c:pt>
                <c:pt idx="67">
                  <c:v>33160.428571428602</c:v>
                </c:pt>
                <c:pt idx="68">
                  <c:v>34294.142857142899</c:v>
                </c:pt>
                <c:pt idx="69">
                  <c:v>36480.571428571398</c:v>
                </c:pt>
                <c:pt idx="70">
                  <c:v>37508</c:v>
                </c:pt>
                <c:pt idx="71">
                  <c:v>37756.571428571398</c:v>
                </c:pt>
                <c:pt idx="72">
                  <c:v>38194.142857142899</c:v>
                </c:pt>
                <c:pt idx="73">
                  <c:v>34914.571428571398</c:v>
                </c:pt>
                <c:pt idx="74">
                  <c:v>34595.714285714297</c:v>
                </c:pt>
                <c:pt idx="75">
                  <c:v>34055.428571428602</c:v>
                </c:pt>
                <c:pt idx="76">
                  <c:v>32332</c:v>
                </c:pt>
                <c:pt idx="77">
                  <c:v>32146.142857142899</c:v>
                </c:pt>
                <c:pt idx="78">
                  <c:v>31920.857142857101</c:v>
                </c:pt>
                <c:pt idx="79">
                  <c:v>31199.857142857101</c:v>
                </c:pt>
                <c:pt idx="80">
                  <c:v>33580.428571428602</c:v>
                </c:pt>
                <c:pt idx="81">
                  <c:v>40746.428571428602</c:v>
                </c:pt>
                <c:pt idx="82">
                  <c:v>40558.714285714297</c:v>
                </c:pt>
                <c:pt idx="83">
                  <c:v>42554.571428571398</c:v>
                </c:pt>
                <c:pt idx="84">
                  <c:v>42264.857142857101</c:v>
                </c:pt>
                <c:pt idx="85">
                  <c:v>43904</c:v>
                </c:pt>
                <c:pt idx="86">
                  <c:v>43953</c:v>
                </c:pt>
                <c:pt idx="87">
                  <c:v>43783.857142857203</c:v>
                </c:pt>
                <c:pt idx="88">
                  <c:v>37214.142857142899</c:v>
                </c:pt>
                <c:pt idx="89">
                  <c:v>37060.714285714297</c:v>
                </c:pt>
                <c:pt idx="90">
                  <c:v>35671.714285714297</c:v>
                </c:pt>
                <c:pt idx="91">
                  <c:v>35153.142857142899</c:v>
                </c:pt>
                <c:pt idx="92">
                  <c:v>32258.857142857101</c:v>
                </c:pt>
                <c:pt idx="93">
                  <c:v>29796.285714285699</c:v>
                </c:pt>
                <c:pt idx="94">
                  <c:v>29280.285714285699</c:v>
                </c:pt>
                <c:pt idx="95">
                  <c:v>27870.8571428572</c:v>
                </c:pt>
                <c:pt idx="96">
                  <c:v>27563.142857142899</c:v>
                </c:pt>
                <c:pt idx="97">
                  <c:v>26739.857142857101</c:v>
                </c:pt>
                <c:pt idx="98">
                  <c:v>25556.285714285699</c:v>
                </c:pt>
                <c:pt idx="99">
                  <c:v>25129.571428571398</c:v>
                </c:pt>
                <c:pt idx="100">
                  <c:v>25938.285714285699</c:v>
                </c:pt>
                <c:pt idx="101">
                  <c:v>25436.571428571398</c:v>
                </c:pt>
                <c:pt idx="102">
                  <c:v>25215</c:v>
                </c:pt>
                <c:pt idx="103">
                  <c:v>24694.571428571398</c:v>
                </c:pt>
                <c:pt idx="104">
                  <c:v>24404.142857142899</c:v>
                </c:pt>
                <c:pt idx="105">
                  <c:v>25100.571428571398</c:v>
                </c:pt>
                <c:pt idx="106">
                  <c:v>25282.857142857101</c:v>
                </c:pt>
                <c:pt idx="107">
                  <c:v>25311.285714285699</c:v>
                </c:pt>
                <c:pt idx="108">
                  <c:v>25030.571428571398</c:v>
                </c:pt>
                <c:pt idx="109">
                  <c:v>24808.571428571398</c:v>
                </c:pt>
                <c:pt idx="110">
                  <c:v>25122</c:v>
                </c:pt>
                <c:pt idx="111">
                  <c:v>25032</c:v>
                </c:pt>
                <c:pt idx="112">
                  <c:v>24000.285714285699</c:v>
                </c:pt>
                <c:pt idx="113">
                  <c:v>23241.285714285699</c:v>
                </c:pt>
                <c:pt idx="114">
                  <c:v>22777.571428571398</c:v>
                </c:pt>
                <c:pt idx="115">
                  <c:v>22364.142857142899</c:v>
                </c:pt>
                <c:pt idx="116">
                  <c:v>21875.142857142899</c:v>
                </c:pt>
                <c:pt idx="117">
                  <c:v>20932.285714285699</c:v>
                </c:pt>
                <c:pt idx="118">
                  <c:v>20394.571428571398</c:v>
                </c:pt>
                <c:pt idx="119">
                  <c:v>19959.142857142899</c:v>
                </c:pt>
                <c:pt idx="120">
                  <c:v>19517.142857142899</c:v>
                </c:pt>
                <c:pt idx="121">
                  <c:v>19219</c:v>
                </c:pt>
                <c:pt idx="122">
                  <c:v>19030</c:v>
                </c:pt>
                <c:pt idx="123">
                  <c:v>18694.857142857101</c:v>
                </c:pt>
                <c:pt idx="124">
                  <c:v>18310.285714285699</c:v>
                </c:pt>
                <c:pt idx="125">
                  <c:v>17931.142857142899</c:v>
                </c:pt>
                <c:pt idx="126">
                  <c:v>17548.285714285699</c:v>
                </c:pt>
                <c:pt idx="127">
                  <c:v>18016.857142857101</c:v>
                </c:pt>
                <c:pt idx="128">
                  <c:v>17759.142857142899</c:v>
                </c:pt>
                <c:pt idx="129">
                  <c:v>17715.285714285699</c:v>
                </c:pt>
                <c:pt idx="130">
                  <c:v>17741.285714285699</c:v>
                </c:pt>
                <c:pt idx="131">
                  <c:v>17750</c:v>
                </c:pt>
                <c:pt idx="132">
                  <c:v>17457.428571428602</c:v>
                </c:pt>
                <c:pt idx="133">
                  <c:v>16978.285714285699</c:v>
                </c:pt>
                <c:pt idx="134">
                  <c:v>16897.428571428602</c:v>
                </c:pt>
                <c:pt idx="135">
                  <c:v>16877.428571428602</c:v>
                </c:pt>
                <c:pt idx="136">
                  <c:v>16810.285714285699</c:v>
                </c:pt>
                <c:pt idx="137">
                  <c:v>16908.714285714301</c:v>
                </c:pt>
                <c:pt idx="138">
                  <c:v>16997.428571428602</c:v>
                </c:pt>
                <c:pt idx="139">
                  <c:v>17195.714285714301</c:v>
                </c:pt>
                <c:pt idx="140">
                  <c:v>17749.714285714301</c:v>
                </c:pt>
                <c:pt idx="141">
                  <c:v>17226.714285714301</c:v>
                </c:pt>
                <c:pt idx="142">
                  <c:v>17351.285714285699</c:v>
                </c:pt>
                <c:pt idx="143">
                  <c:v>17444.428571428602</c:v>
                </c:pt>
                <c:pt idx="144">
                  <c:v>17525</c:v>
                </c:pt>
                <c:pt idx="145">
                  <c:v>17497.142857142899</c:v>
                </c:pt>
                <c:pt idx="146">
                  <c:v>17669.857142857101</c:v>
                </c:pt>
                <c:pt idx="147">
                  <c:v>17839.428571428602</c:v>
                </c:pt>
                <c:pt idx="148">
                  <c:v>18041</c:v>
                </c:pt>
                <c:pt idx="149">
                  <c:v>17870.428571428602</c:v>
                </c:pt>
                <c:pt idx="150">
                  <c:v>17672.428571428602</c:v>
                </c:pt>
                <c:pt idx="151">
                  <c:v>17406.285714285699</c:v>
                </c:pt>
                <c:pt idx="152">
                  <c:v>17311</c:v>
                </c:pt>
                <c:pt idx="153">
                  <c:v>17209.714285714301</c:v>
                </c:pt>
                <c:pt idx="154">
                  <c:v>17163.142857142899</c:v>
                </c:pt>
                <c:pt idx="155">
                  <c:v>16911.714285714301</c:v>
                </c:pt>
                <c:pt idx="156">
                  <c:v>16989.571428571398</c:v>
                </c:pt>
                <c:pt idx="157">
                  <c:v>16975.571428571398</c:v>
                </c:pt>
                <c:pt idx="158">
                  <c:v>16850.142857142899</c:v>
                </c:pt>
                <c:pt idx="159">
                  <c:v>16873.714285714301</c:v>
                </c:pt>
                <c:pt idx="160">
                  <c:v>16611.428571428602</c:v>
                </c:pt>
                <c:pt idx="161">
                  <c:v>16357.4285714286</c:v>
                </c:pt>
                <c:pt idx="162">
                  <c:v>16244.4285714286</c:v>
                </c:pt>
                <c:pt idx="163">
                  <c:v>16038.5714285714</c:v>
                </c:pt>
                <c:pt idx="164">
                  <c:v>15936.857142857099</c:v>
                </c:pt>
                <c:pt idx="165">
                  <c:v>16012.285714285699</c:v>
                </c:pt>
                <c:pt idx="166">
                  <c:v>16079.5714285714</c:v>
                </c:pt>
                <c:pt idx="167">
                  <c:v>16013.857142857099</c:v>
                </c:pt>
                <c:pt idx="168">
                  <c:v>16188.285714285699</c:v>
                </c:pt>
                <c:pt idx="169">
                  <c:v>16203.142857142901</c:v>
                </c:pt>
                <c:pt idx="170">
                  <c:v>16330.5714285714</c:v>
                </c:pt>
                <c:pt idx="171">
                  <c:v>16462.714285714301</c:v>
                </c:pt>
                <c:pt idx="172">
                  <c:v>16458.285714285699</c:v>
                </c:pt>
                <c:pt idx="173">
                  <c:v>16681.571428571398</c:v>
                </c:pt>
                <c:pt idx="174">
                  <c:v>16805.571428571398</c:v>
                </c:pt>
                <c:pt idx="175">
                  <c:v>16897.428571428602</c:v>
                </c:pt>
                <c:pt idx="176">
                  <c:v>17207</c:v>
                </c:pt>
                <c:pt idx="177">
                  <c:v>17444.285714285699</c:v>
                </c:pt>
                <c:pt idx="178">
                  <c:v>17420.428571428602</c:v>
                </c:pt>
                <c:pt idx="179">
                  <c:v>17359.857142857101</c:v>
                </c:pt>
                <c:pt idx="180">
                  <c:v>17861.428571428602</c:v>
                </c:pt>
                <c:pt idx="181">
                  <c:v>18140.571428571398</c:v>
                </c:pt>
                <c:pt idx="182">
                  <c:v>18349.285714285699</c:v>
                </c:pt>
                <c:pt idx="183">
                  <c:v>18666.142857142899</c:v>
                </c:pt>
                <c:pt idx="184">
                  <c:v>18904.142857142899</c:v>
                </c:pt>
                <c:pt idx="185">
                  <c:v>18861.714285714301</c:v>
                </c:pt>
                <c:pt idx="186">
                  <c:v>19011.714285714301</c:v>
                </c:pt>
                <c:pt idx="187">
                  <c:v>19513.857142857101</c:v>
                </c:pt>
                <c:pt idx="188">
                  <c:v>19664.285714285699</c:v>
                </c:pt>
                <c:pt idx="189">
                  <c:v>20006.285714285699</c:v>
                </c:pt>
                <c:pt idx="190">
                  <c:v>20270</c:v>
                </c:pt>
                <c:pt idx="191">
                  <c:v>20489.857142857101</c:v>
                </c:pt>
                <c:pt idx="192">
                  <c:v>20531.428571428602</c:v>
                </c:pt>
                <c:pt idx="193">
                  <c:v>20446</c:v>
                </c:pt>
                <c:pt idx="194">
                  <c:v>20913.285714285699</c:v>
                </c:pt>
                <c:pt idx="195">
                  <c:v>21599.142857142899</c:v>
                </c:pt>
                <c:pt idx="196">
                  <c:v>21869.571428571398</c:v>
                </c:pt>
                <c:pt idx="197">
                  <c:v>22188.285714285699</c:v>
                </c:pt>
                <c:pt idx="198">
                  <c:v>22818.714285714301</c:v>
                </c:pt>
                <c:pt idx="199">
                  <c:v>22938.428571428602</c:v>
                </c:pt>
                <c:pt idx="200">
                  <c:v>23147.571428571398</c:v>
                </c:pt>
                <c:pt idx="201">
                  <c:v>23551</c:v>
                </c:pt>
                <c:pt idx="202">
                  <c:v>23476.571428571398</c:v>
                </c:pt>
                <c:pt idx="203">
                  <c:v>23900</c:v>
                </c:pt>
                <c:pt idx="204">
                  <c:v>24681.714285714301</c:v>
                </c:pt>
                <c:pt idx="205">
                  <c:v>25130</c:v>
                </c:pt>
                <c:pt idx="206">
                  <c:v>25828.571428571398</c:v>
                </c:pt>
                <c:pt idx="207">
                  <c:v>26328.428571428602</c:v>
                </c:pt>
                <c:pt idx="208">
                  <c:v>26761.428571428602</c:v>
                </c:pt>
                <c:pt idx="209">
                  <c:v>27220.714285714301</c:v>
                </c:pt>
                <c:pt idx="210">
                  <c:v>27896.142857142899</c:v>
                </c:pt>
                <c:pt idx="211">
                  <c:v>28326.428571428602</c:v>
                </c:pt>
                <c:pt idx="212">
                  <c:v>29048</c:v>
                </c:pt>
                <c:pt idx="213">
                  <c:v>29246.428571428602</c:v>
                </c:pt>
                <c:pt idx="214">
                  <c:v>29652.571428571398</c:v>
                </c:pt>
                <c:pt idx="215">
                  <c:v>30615.285714285699</c:v>
                </c:pt>
                <c:pt idx="216">
                  <c:v>31275.285714285699</c:v>
                </c:pt>
                <c:pt idx="217">
                  <c:v>31032.857142857101</c:v>
                </c:pt>
                <c:pt idx="218">
                  <c:v>32552.857142857101</c:v>
                </c:pt>
                <c:pt idx="219">
                  <c:v>33126.428571428602</c:v>
                </c:pt>
                <c:pt idx="220">
                  <c:v>33559.285714285703</c:v>
                </c:pt>
                <c:pt idx="221">
                  <c:v>33903.428571428602</c:v>
                </c:pt>
                <c:pt idx="222">
                  <c:v>34858.857142857101</c:v>
                </c:pt>
                <c:pt idx="223">
                  <c:v>35317.285714285703</c:v>
                </c:pt>
                <c:pt idx="224">
                  <c:v>36948.571428571398</c:v>
                </c:pt>
                <c:pt idx="225">
                  <c:v>36604.857142857101</c:v>
                </c:pt>
                <c:pt idx="226">
                  <c:v>37648.285714285703</c:v>
                </c:pt>
                <c:pt idx="227">
                  <c:v>38599.857142857101</c:v>
                </c:pt>
                <c:pt idx="228">
                  <c:v>39427.428571428602</c:v>
                </c:pt>
                <c:pt idx="229">
                  <c:v>40780</c:v>
                </c:pt>
                <c:pt idx="230">
                  <c:v>42057.428571428602</c:v>
                </c:pt>
                <c:pt idx="231">
                  <c:v>42965</c:v>
                </c:pt>
                <c:pt idx="232">
                  <c:v>44436.571428571398</c:v>
                </c:pt>
                <c:pt idx="233">
                  <c:v>45713</c:v>
                </c:pt>
                <c:pt idx="234">
                  <c:v>47092</c:v>
                </c:pt>
                <c:pt idx="235">
                  <c:v>47697</c:v>
                </c:pt>
                <c:pt idx="236">
                  <c:v>48627</c:v>
                </c:pt>
                <c:pt idx="237">
                  <c:v>49918</c:v>
                </c:pt>
                <c:pt idx="238">
                  <c:v>51486.714285714297</c:v>
                </c:pt>
                <c:pt idx="239">
                  <c:v>53071.428571428602</c:v>
                </c:pt>
                <c:pt idx="240">
                  <c:v>54993.285714285703</c:v>
                </c:pt>
                <c:pt idx="241">
                  <c:v>56123.857142857203</c:v>
                </c:pt>
                <c:pt idx="242">
                  <c:v>57379.714285714297</c:v>
                </c:pt>
                <c:pt idx="243">
                  <c:v>58656.285714285703</c:v>
                </c:pt>
                <c:pt idx="244">
                  <c:v>60216.571428571398</c:v>
                </c:pt>
                <c:pt idx="245">
                  <c:v>61964.857142857203</c:v>
                </c:pt>
                <c:pt idx="246">
                  <c:v>63833.285714285703</c:v>
                </c:pt>
                <c:pt idx="247">
                  <c:v>65554.142857142899</c:v>
                </c:pt>
                <c:pt idx="248">
                  <c:v>66873.285714285696</c:v>
                </c:pt>
                <c:pt idx="249">
                  <c:v>67842.571428571406</c:v>
                </c:pt>
                <c:pt idx="250">
                  <c:v>67818.142857142899</c:v>
                </c:pt>
                <c:pt idx="251">
                  <c:v>66777.142857142899</c:v>
                </c:pt>
                <c:pt idx="252">
                  <c:v>69664.142857142899</c:v>
                </c:pt>
                <c:pt idx="253">
                  <c:v>70279</c:v>
                </c:pt>
                <c:pt idx="254">
                  <c:v>71055</c:v>
                </c:pt>
                <c:pt idx="255">
                  <c:v>73404</c:v>
                </c:pt>
                <c:pt idx="256">
                  <c:v>77506.142857142899</c:v>
                </c:pt>
                <c:pt idx="257">
                  <c:v>80424.142857142899</c:v>
                </c:pt>
                <c:pt idx="258">
                  <c:v>85608</c:v>
                </c:pt>
                <c:pt idx="259">
                  <c:v>87753</c:v>
                </c:pt>
                <c:pt idx="260">
                  <c:v>93100.142857142899</c:v>
                </c:pt>
                <c:pt idx="261">
                  <c:v>98454.571428571406</c:v>
                </c:pt>
                <c:pt idx="262">
                  <c:v>103759.714285714</c:v>
                </c:pt>
                <c:pt idx="263">
                  <c:v>105594.571428571</c:v>
                </c:pt>
                <c:pt idx="264">
                  <c:v>109620.571428571</c:v>
                </c:pt>
                <c:pt idx="265">
                  <c:v>113350.142857143</c:v>
                </c:pt>
                <c:pt idx="266">
                  <c:v>119483.571428571</c:v>
                </c:pt>
                <c:pt idx="267">
                  <c:v>125830.571428571</c:v>
                </c:pt>
                <c:pt idx="268">
                  <c:v>131485.14285714299</c:v>
                </c:pt>
                <c:pt idx="269">
                  <c:v>136522.57142857101</c:v>
                </c:pt>
                <c:pt idx="270">
                  <c:v>143106.285714286</c:v>
                </c:pt>
                <c:pt idx="271">
                  <c:v>150344.42857142899</c:v>
                </c:pt>
                <c:pt idx="272">
                  <c:v>157284</c:v>
                </c:pt>
                <c:pt idx="273">
                  <c:v>165686.42857142899</c:v>
                </c:pt>
                <c:pt idx="274">
                  <c:v>174312.42857142899</c:v>
                </c:pt>
                <c:pt idx="275">
                  <c:v>185638.14285714299</c:v>
                </c:pt>
                <c:pt idx="276">
                  <c:v>194675</c:v>
                </c:pt>
                <c:pt idx="277">
                  <c:v>197915.285714286</c:v>
                </c:pt>
                <c:pt idx="278">
                  <c:v>214945.714285714</c:v>
                </c:pt>
                <c:pt idx="279">
                  <c:v>225078.42857142899</c:v>
                </c:pt>
                <c:pt idx="280">
                  <c:v>233266.42857142899</c:v>
                </c:pt>
                <c:pt idx="281">
                  <c:v>243187.57142857101</c:v>
                </c:pt>
                <c:pt idx="282">
                  <c:v>252541.285714286</c:v>
                </c:pt>
                <c:pt idx="283">
                  <c:v>256247</c:v>
                </c:pt>
                <c:pt idx="284">
                  <c:v>265625.42857142899</c:v>
                </c:pt>
                <c:pt idx="285">
                  <c:v>274632.14285714302</c:v>
                </c:pt>
                <c:pt idx="286">
                  <c:v>281432.42857142899</c:v>
                </c:pt>
                <c:pt idx="287">
                  <c:v>277371</c:v>
                </c:pt>
                <c:pt idx="288">
                  <c:v>281932</c:v>
                </c:pt>
                <c:pt idx="289">
                  <c:v>285101.28571428597</c:v>
                </c:pt>
                <c:pt idx="290">
                  <c:v>295241.28571428597</c:v>
                </c:pt>
                <c:pt idx="291">
                  <c:v>295571.85714285698</c:v>
                </c:pt>
                <c:pt idx="292">
                  <c:v>281057.14285714302</c:v>
                </c:pt>
                <c:pt idx="293">
                  <c:v>277303.28571428597</c:v>
                </c:pt>
                <c:pt idx="294">
                  <c:v>287216.28571428597</c:v>
                </c:pt>
                <c:pt idx="295">
                  <c:v>284340.57142857101</c:v>
                </c:pt>
                <c:pt idx="296">
                  <c:v>279434.14285714302</c:v>
                </c:pt>
                <c:pt idx="297">
                  <c:v>271210</c:v>
                </c:pt>
                <c:pt idx="298">
                  <c:v>268429.28571428597</c:v>
                </c:pt>
                <c:pt idx="299">
                  <c:v>267297</c:v>
                </c:pt>
                <c:pt idx="300">
                  <c:v>270872.71428571403</c:v>
                </c:pt>
                <c:pt idx="301">
                  <c:v>266361.28571428597</c:v>
                </c:pt>
                <c:pt idx="302">
                  <c:v>263155</c:v>
                </c:pt>
                <c:pt idx="303">
                  <c:v>260993</c:v>
                </c:pt>
                <c:pt idx="304">
                  <c:v>258381.42857142899</c:v>
                </c:pt>
                <c:pt idx="305">
                  <c:v>255116.714285714</c:v>
                </c:pt>
                <c:pt idx="306">
                  <c:v>249723.42857142899</c:v>
                </c:pt>
                <c:pt idx="307">
                  <c:v>243506</c:v>
                </c:pt>
                <c:pt idx="308">
                  <c:v>240426.285714286</c:v>
                </c:pt>
                <c:pt idx="309">
                  <c:v>240589.42857142899</c:v>
                </c:pt>
                <c:pt idx="310">
                  <c:v>241567.285714286</c:v>
                </c:pt>
                <c:pt idx="311">
                  <c:v>241404.85714285701</c:v>
                </c:pt>
                <c:pt idx="312">
                  <c:v>241737.57142857101</c:v>
                </c:pt>
                <c:pt idx="313">
                  <c:v>241223.57142857101</c:v>
                </c:pt>
                <c:pt idx="314">
                  <c:v>241220</c:v>
                </c:pt>
                <c:pt idx="315">
                  <c:v>241273.714285714</c:v>
                </c:pt>
                <c:pt idx="316">
                  <c:v>239117.57142857101</c:v>
                </c:pt>
                <c:pt idx="317">
                  <c:v>234832.14285714299</c:v>
                </c:pt>
                <c:pt idx="318">
                  <c:v>236364</c:v>
                </c:pt>
                <c:pt idx="319">
                  <c:v>238162.57142857101</c:v>
                </c:pt>
                <c:pt idx="320">
                  <c:v>236422.14285714299</c:v>
                </c:pt>
                <c:pt idx="321">
                  <c:v>236688.85714285701</c:v>
                </c:pt>
                <c:pt idx="322">
                  <c:v>237282.42857142899</c:v>
                </c:pt>
                <c:pt idx="323">
                  <c:v>352337.42857142899</c:v>
                </c:pt>
                <c:pt idx="324">
                  <c:v>354720.57142857101</c:v>
                </c:pt>
                <c:pt idx="325">
                  <c:v>354600.28571428597</c:v>
                </c:pt>
                <c:pt idx="326">
                  <c:v>354922.14285714302</c:v>
                </c:pt>
                <c:pt idx="327">
                  <c:v>355393.14285714302</c:v>
                </c:pt>
                <c:pt idx="328">
                  <c:v>357406.14285714302</c:v>
                </c:pt>
                <c:pt idx="329">
                  <c:v>361574</c:v>
                </c:pt>
                <c:pt idx="330">
                  <c:v>250395.85714285701</c:v>
                </c:pt>
                <c:pt idx="331">
                  <c:v>251483.14285714299</c:v>
                </c:pt>
                <c:pt idx="332">
                  <c:v>250536.14285714299</c:v>
                </c:pt>
                <c:pt idx="333">
                  <c:v>249595.42857142899</c:v>
                </c:pt>
                <c:pt idx="334">
                  <c:v>252245.42857142899</c:v>
                </c:pt>
                <c:pt idx="335">
                  <c:v>254526.285714286</c:v>
                </c:pt>
                <c:pt idx="336">
                  <c:v>253620.14285714299</c:v>
                </c:pt>
                <c:pt idx="337">
                  <c:v>251714</c:v>
                </c:pt>
                <c:pt idx="338">
                  <c:v>241143.14285714299</c:v>
                </c:pt>
                <c:pt idx="339">
                  <c:v>230786.14285714299</c:v>
                </c:pt>
                <c:pt idx="340">
                  <c:v>224773.57142857101</c:v>
                </c:pt>
                <c:pt idx="341">
                  <c:v>222326.285714286</c:v>
                </c:pt>
                <c:pt idx="342">
                  <c:v>222690.714285714</c:v>
                </c:pt>
                <c:pt idx="343">
                  <c:v>226834.285714286</c:v>
                </c:pt>
                <c:pt idx="344">
                  <c:v>230121.14285714299</c:v>
                </c:pt>
                <c:pt idx="345">
                  <c:v>235882.14285714299</c:v>
                </c:pt>
                <c:pt idx="346">
                  <c:v>238124.285714286</c:v>
                </c:pt>
                <c:pt idx="347">
                  <c:v>242650.714285714</c:v>
                </c:pt>
                <c:pt idx="348">
                  <c:v>247032.42857142899</c:v>
                </c:pt>
                <c:pt idx="349">
                  <c:v>251903.714285714</c:v>
                </c:pt>
                <c:pt idx="350">
                  <c:v>250581.57142857101</c:v>
                </c:pt>
                <c:pt idx="351">
                  <c:v>256256.714285714</c:v>
                </c:pt>
                <c:pt idx="352">
                  <c:v>263556.85714285698</c:v>
                </c:pt>
                <c:pt idx="353">
                  <c:v>274096.14285714302</c:v>
                </c:pt>
                <c:pt idx="354">
                  <c:v>276259.28571428597</c:v>
                </c:pt>
                <c:pt idx="355">
                  <c:v>277572.14285714302</c:v>
                </c:pt>
                <c:pt idx="356">
                  <c:v>270885.85714285698</c:v>
                </c:pt>
                <c:pt idx="357">
                  <c:v>269218.57142857101</c:v>
                </c:pt>
                <c:pt idx="358">
                  <c:v>260188</c:v>
                </c:pt>
                <c:pt idx="359">
                  <c:v>255048.57142857101</c:v>
                </c:pt>
                <c:pt idx="360">
                  <c:v>248315.714285714</c:v>
                </c:pt>
                <c:pt idx="361">
                  <c:v>244213.42857142899</c:v>
                </c:pt>
                <c:pt idx="362">
                  <c:v>242630.85714285701</c:v>
                </c:pt>
                <c:pt idx="363">
                  <c:v>236953.42857142899</c:v>
                </c:pt>
                <c:pt idx="364">
                  <c:v>234141.14285714299</c:v>
                </c:pt>
                <c:pt idx="365">
                  <c:v>228630.42857142899</c:v>
                </c:pt>
                <c:pt idx="366">
                  <c:v>226229.85714285701</c:v>
                </c:pt>
                <c:pt idx="367">
                  <c:v>223304.42857142899</c:v>
                </c:pt>
                <c:pt idx="368">
                  <c:v>220823.57142857101</c:v>
                </c:pt>
                <c:pt idx="369">
                  <c:v>218580.285714286</c:v>
                </c:pt>
                <c:pt idx="370">
                  <c:v>215228.285714286</c:v>
                </c:pt>
                <c:pt idx="371">
                  <c:v>211136.42857142899</c:v>
                </c:pt>
                <c:pt idx="372">
                  <c:v>209062.85714285701</c:v>
                </c:pt>
                <c:pt idx="373">
                  <c:v>205148</c:v>
                </c:pt>
                <c:pt idx="374">
                  <c:v>203243</c:v>
                </c:pt>
                <c:pt idx="375">
                  <c:v>199940</c:v>
                </c:pt>
                <c:pt idx="376">
                  <c:v>197445.42857142899</c:v>
                </c:pt>
                <c:pt idx="377">
                  <c:v>194711.57142857101</c:v>
                </c:pt>
                <c:pt idx="378">
                  <c:v>190190.85714285701</c:v>
                </c:pt>
                <c:pt idx="379">
                  <c:v>183018.285714286</c:v>
                </c:pt>
                <c:pt idx="380">
                  <c:v>182250.85714285701</c:v>
                </c:pt>
                <c:pt idx="381">
                  <c:v>178838.714285714</c:v>
                </c:pt>
                <c:pt idx="382">
                  <c:v>178271.714285714</c:v>
                </c:pt>
                <c:pt idx="383">
                  <c:v>171386.285714286</c:v>
                </c:pt>
                <c:pt idx="384">
                  <c:v>167162</c:v>
                </c:pt>
                <c:pt idx="385">
                  <c:v>162419.14285714299</c:v>
                </c:pt>
                <c:pt idx="386">
                  <c:v>161574.57142857101</c:v>
                </c:pt>
                <c:pt idx="387">
                  <c:v>154392.57142857101</c:v>
                </c:pt>
                <c:pt idx="388">
                  <c:v>152809.714285714</c:v>
                </c:pt>
                <c:pt idx="389">
                  <c:v>149978.57142857101</c:v>
                </c:pt>
                <c:pt idx="390">
                  <c:v>146720.57142857101</c:v>
                </c:pt>
                <c:pt idx="391">
                  <c:v>145292.285714286</c:v>
                </c:pt>
                <c:pt idx="392">
                  <c:v>143648.85714285701</c:v>
                </c:pt>
                <c:pt idx="393">
                  <c:v>143228</c:v>
                </c:pt>
                <c:pt idx="394">
                  <c:v>143972.714285714</c:v>
                </c:pt>
                <c:pt idx="395">
                  <c:v>144674.14285714299</c:v>
                </c:pt>
                <c:pt idx="396">
                  <c:v>147828</c:v>
                </c:pt>
                <c:pt idx="397">
                  <c:v>147976</c:v>
                </c:pt>
                <c:pt idx="398">
                  <c:v>149883.42857142899</c:v>
                </c:pt>
                <c:pt idx="399">
                  <c:v>153747.42857142899</c:v>
                </c:pt>
                <c:pt idx="400">
                  <c:v>156558.42857142899</c:v>
                </c:pt>
                <c:pt idx="401">
                  <c:v>158483.85714285701</c:v>
                </c:pt>
                <c:pt idx="402">
                  <c:v>161479.714285714</c:v>
                </c:pt>
                <c:pt idx="403">
                  <c:v>162244.57142857101</c:v>
                </c:pt>
                <c:pt idx="404">
                  <c:v>162181.14285714299</c:v>
                </c:pt>
                <c:pt idx="405">
                  <c:v>153248.285714286</c:v>
                </c:pt>
                <c:pt idx="406">
                  <c:v>154083.42857142899</c:v>
                </c:pt>
                <c:pt idx="407">
                  <c:v>155060.85714285701</c:v>
                </c:pt>
                <c:pt idx="408">
                  <c:v>156818.85714285701</c:v>
                </c:pt>
                <c:pt idx="409">
                  <c:v>158709.85714285701</c:v>
                </c:pt>
                <c:pt idx="410">
                  <c:v>160413</c:v>
                </c:pt>
                <c:pt idx="411">
                  <c:v>160735</c:v>
                </c:pt>
                <c:pt idx="412">
                  <c:v>172461.57142857101</c:v>
                </c:pt>
                <c:pt idx="413">
                  <c:v>175341.57142857101</c:v>
                </c:pt>
                <c:pt idx="414">
                  <c:v>176958.85714285701</c:v>
                </c:pt>
                <c:pt idx="415">
                  <c:v>179645.714285714</c:v>
                </c:pt>
                <c:pt idx="416">
                  <c:v>183915.57142857101</c:v>
                </c:pt>
                <c:pt idx="417">
                  <c:v>186691.14285714299</c:v>
                </c:pt>
                <c:pt idx="418">
                  <c:v>189777.42857142899</c:v>
                </c:pt>
                <c:pt idx="419">
                  <c:v>193877.57142857101</c:v>
                </c:pt>
                <c:pt idx="420">
                  <c:v>197701.285714286</c:v>
                </c:pt>
                <c:pt idx="421">
                  <c:v>203367.85714285701</c:v>
                </c:pt>
                <c:pt idx="422">
                  <c:v>207585.85714285701</c:v>
                </c:pt>
                <c:pt idx="423">
                  <c:v>209674.85714285701</c:v>
                </c:pt>
                <c:pt idx="424">
                  <c:v>213934.714285714</c:v>
                </c:pt>
                <c:pt idx="425">
                  <c:v>218985.42857142899</c:v>
                </c:pt>
                <c:pt idx="426">
                  <c:v>220409</c:v>
                </c:pt>
                <c:pt idx="427">
                  <c:v>227268.42857142899</c:v>
                </c:pt>
                <c:pt idx="428">
                  <c:v>233120.85714285701</c:v>
                </c:pt>
                <c:pt idx="429">
                  <c:v>237390.57142857101</c:v>
                </c:pt>
                <c:pt idx="430">
                  <c:v>242071.42857142899</c:v>
                </c:pt>
                <c:pt idx="431">
                  <c:v>242102.57142857101</c:v>
                </c:pt>
                <c:pt idx="432">
                  <c:v>241497.57142857101</c:v>
                </c:pt>
                <c:pt idx="433">
                  <c:v>246538.14285714299</c:v>
                </c:pt>
                <c:pt idx="434">
                  <c:v>247893.14285714299</c:v>
                </c:pt>
                <c:pt idx="435">
                  <c:v>249357.57142857101</c:v>
                </c:pt>
                <c:pt idx="436">
                  <c:v>248090</c:v>
                </c:pt>
                <c:pt idx="437">
                  <c:v>240880.42857142899</c:v>
                </c:pt>
                <c:pt idx="438">
                  <c:v>247927.57142857101</c:v>
                </c:pt>
                <c:pt idx="439">
                  <c:v>244904.42857142899</c:v>
                </c:pt>
                <c:pt idx="440">
                  <c:v>236100.57142857101</c:v>
                </c:pt>
                <c:pt idx="441">
                  <c:v>224962.14285714299</c:v>
                </c:pt>
                <c:pt idx="442">
                  <c:v>231661.714285714</c:v>
                </c:pt>
                <c:pt idx="443">
                  <c:v>227712.57142857101</c:v>
                </c:pt>
                <c:pt idx="444">
                  <c:v>227733.42857142899</c:v>
                </c:pt>
                <c:pt idx="445">
                  <c:v>231993.57142857101</c:v>
                </c:pt>
                <c:pt idx="446">
                  <c:v>236550.57142857101</c:v>
                </c:pt>
                <c:pt idx="447">
                  <c:v>246790.57142857101</c:v>
                </c:pt>
                <c:pt idx="448">
                  <c:v>254962.42857142899</c:v>
                </c:pt>
                <c:pt idx="449">
                  <c:v>243866.14285714299</c:v>
                </c:pt>
                <c:pt idx="450">
                  <c:v>247551.14285714299</c:v>
                </c:pt>
                <c:pt idx="451">
                  <c:v>250750.14285714299</c:v>
                </c:pt>
                <c:pt idx="452">
                  <c:v>235744</c:v>
                </c:pt>
                <c:pt idx="453">
                  <c:v>233250.14285714299</c:v>
                </c:pt>
                <c:pt idx="454">
                  <c:v>231279.285714286</c:v>
                </c:pt>
                <c:pt idx="455">
                  <c:v>227503.85714285701</c:v>
                </c:pt>
                <c:pt idx="456">
                  <c:v>224967.85714285701</c:v>
                </c:pt>
                <c:pt idx="457">
                  <c:v>219690.42857142899</c:v>
                </c:pt>
                <c:pt idx="458">
                  <c:v>213003.85714285701</c:v>
                </c:pt>
                <c:pt idx="459">
                  <c:v>209992.14285714299</c:v>
                </c:pt>
                <c:pt idx="460">
                  <c:v>204574.85714285701</c:v>
                </c:pt>
                <c:pt idx="461">
                  <c:v>197981.714285714</c:v>
                </c:pt>
                <c:pt idx="462">
                  <c:v>191177.714285714</c:v>
                </c:pt>
                <c:pt idx="463">
                  <c:v>183786.57142857101</c:v>
                </c:pt>
                <c:pt idx="464">
                  <c:v>175590</c:v>
                </c:pt>
                <c:pt idx="465">
                  <c:v>170967.285714286</c:v>
                </c:pt>
                <c:pt idx="466">
                  <c:v>163527.14285714299</c:v>
                </c:pt>
                <c:pt idx="467">
                  <c:v>159248.42857142899</c:v>
                </c:pt>
                <c:pt idx="468">
                  <c:v>152911.57142857101</c:v>
                </c:pt>
                <c:pt idx="469">
                  <c:v>145660.714285714</c:v>
                </c:pt>
                <c:pt idx="470">
                  <c:v>139196.285714286</c:v>
                </c:pt>
                <c:pt idx="471">
                  <c:v>135406.14285714299</c:v>
                </c:pt>
                <c:pt idx="472">
                  <c:v>131361.85714285701</c:v>
                </c:pt>
                <c:pt idx="473">
                  <c:v>128242.142857143</c:v>
                </c:pt>
                <c:pt idx="474">
                  <c:v>125868.142857143</c:v>
                </c:pt>
                <c:pt idx="475">
                  <c:v>121949.857142857</c:v>
                </c:pt>
                <c:pt idx="476">
                  <c:v>116015.714285714</c:v>
                </c:pt>
                <c:pt idx="477">
                  <c:v>109394.428571429</c:v>
                </c:pt>
                <c:pt idx="478">
                  <c:v>103834</c:v>
                </c:pt>
                <c:pt idx="479">
                  <c:v>99211.714285714304</c:v>
                </c:pt>
                <c:pt idx="480">
                  <c:v>98598.428571428594</c:v>
                </c:pt>
                <c:pt idx="481">
                  <c:v>95841.142857142899</c:v>
                </c:pt>
                <c:pt idx="482">
                  <c:v>90878.571428571406</c:v>
                </c:pt>
                <c:pt idx="483">
                  <c:v>89440.285714285696</c:v>
                </c:pt>
                <c:pt idx="484">
                  <c:v>35679.142857142899</c:v>
                </c:pt>
                <c:pt idx="485">
                  <c:v>33058</c:v>
                </c:pt>
                <c:pt idx="486">
                  <c:v>30846.428571428602</c:v>
                </c:pt>
                <c:pt idx="487">
                  <c:v>28322.142857142899</c:v>
                </c:pt>
                <c:pt idx="488">
                  <c:v>26178.8571428572</c:v>
                </c:pt>
                <c:pt idx="489">
                  <c:v>22120.714285714301</c:v>
                </c:pt>
                <c:pt idx="490">
                  <c:v>17571.285714285699</c:v>
                </c:pt>
                <c:pt idx="491">
                  <c:v>67044.857142857203</c:v>
                </c:pt>
                <c:pt idx="492">
                  <c:v>65272.714285714297</c:v>
                </c:pt>
                <c:pt idx="493">
                  <c:v>63753.428571428602</c:v>
                </c:pt>
                <c:pt idx="494">
                  <c:v>62860.285714285703</c:v>
                </c:pt>
                <c:pt idx="495">
                  <c:v>62138.571428571398</c:v>
                </c:pt>
                <c:pt idx="496">
                  <c:v>61377.571428571398</c:v>
                </c:pt>
                <c:pt idx="497">
                  <c:v>58654.285714285703</c:v>
                </c:pt>
                <c:pt idx="498">
                  <c:v>58275</c:v>
                </c:pt>
                <c:pt idx="499">
                  <c:v>55992.285714285703</c:v>
                </c:pt>
                <c:pt idx="500">
                  <c:v>54101.857142857101</c:v>
                </c:pt>
                <c:pt idx="501">
                  <c:v>52715.428571428602</c:v>
                </c:pt>
                <c:pt idx="502">
                  <c:v>52393.857142857203</c:v>
                </c:pt>
                <c:pt idx="503">
                  <c:v>51594.714285714297</c:v>
                </c:pt>
                <c:pt idx="504">
                  <c:v>51713.857142857203</c:v>
                </c:pt>
                <c:pt idx="505">
                  <c:v>50186.142857142899</c:v>
                </c:pt>
                <c:pt idx="506">
                  <c:v>49388.142857142899</c:v>
                </c:pt>
                <c:pt idx="507">
                  <c:v>49111.857142857203</c:v>
                </c:pt>
                <c:pt idx="508">
                  <c:v>49262.571428571398</c:v>
                </c:pt>
                <c:pt idx="509">
                  <c:v>49482.714285714297</c:v>
                </c:pt>
                <c:pt idx="510">
                  <c:v>48858.428571428602</c:v>
                </c:pt>
                <c:pt idx="511">
                  <c:v>48049.142857142899</c:v>
                </c:pt>
                <c:pt idx="512">
                  <c:v>46054</c:v>
                </c:pt>
                <c:pt idx="513">
                  <c:v>46101.142857142899</c:v>
                </c:pt>
                <c:pt idx="514">
                  <c:v>46409.714285714297</c:v>
                </c:pt>
                <c:pt idx="515">
                  <c:v>46495.857142857203</c:v>
                </c:pt>
                <c:pt idx="516">
                  <c:v>46903.857142857203</c:v>
                </c:pt>
                <c:pt idx="517">
                  <c:v>47601.571428571398</c:v>
                </c:pt>
                <c:pt idx="518">
                  <c:v>48945</c:v>
                </c:pt>
                <c:pt idx="519">
                  <c:v>50421.428571428602</c:v>
                </c:pt>
                <c:pt idx="520">
                  <c:v>51530.285714285703</c:v>
                </c:pt>
                <c:pt idx="521">
                  <c:v>52884.428571428602</c:v>
                </c:pt>
                <c:pt idx="522">
                  <c:v>54002.857142857101</c:v>
                </c:pt>
                <c:pt idx="523">
                  <c:v>56926.285714285703</c:v>
                </c:pt>
                <c:pt idx="524">
                  <c:v>59230</c:v>
                </c:pt>
                <c:pt idx="525">
                  <c:v>61768</c:v>
                </c:pt>
                <c:pt idx="526">
                  <c:v>65563.714285714304</c:v>
                </c:pt>
                <c:pt idx="527">
                  <c:v>69143.571428571406</c:v>
                </c:pt>
                <c:pt idx="528">
                  <c:v>71025.571428571406</c:v>
                </c:pt>
                <c:pt idx="529">
                  <c:v>73420.285714285696</c:v>
                </c:pt>
                <c:pt idx="530">
                  <c:v>78294.714285714304</c:v>
                </c:pt>
                <c:pt idx="531">
                  <c:v>81649.714285714304</c:v>
                </c:pt>
                <c:pt idx="532">
                  <c:v>85710.428571428594</c:v>
                </c:pt>
                <c:pt idx="533">
                  <c:v>88686.857142857101</c:v>
                </c:pt>
                <c:pt idx="534">
                  <c:v>93638</c:v>
                </c:pt>
                <c:pt idx="535">
                  <c:v>97052.571428571406</c:v>
                </c:pt>
                <c:pt idx="536">
                  <c:v>100169.142857143</c:v>
                </c:pt>
                <c:pt idx="537">
                  <c:v>103409.571428571</c:v>
                </c:pt>
                <c:pt idx="538">
                  <c:v>111293.142857143</c:v>
                </c:pt>
                <c:pt idx="539">
                  <c:v>115777.285714286</c:v>
                </c:pt>
                <c:pt idx="540">
                  <c:v>122565.285714286</c:v>
                </c:pt>
                <c:pt idx="541">
                  <c:v>128702.428571429</c:v>
                </c:pt>
                <c:pt idx="542">
                  <c:v>134149.714285714</c:v>
                </c:pt>
                <c:pt idx="543">
                  <c:v>137771.85714285701</c:v>
                </c:pt>
                <c:pt idx="544">
                  <c:v>145081.57142857101</c:v>
                </c:pt>
                <c:pt idx="545">
                  <c:v>146736.57142857101</c:v>
                </c:pt>
                <c:pt idx="546">
                  <c:v>150521.85714285701</c:v>
                </c:pt>
                <c:pt idx="547">
                  <c:v>151728.57142857101</c:v>
                </c:pt>
                <c:pt idx="548">
                  <c:v>150880.42857142899</c:v>
                </c:pt>
                <c:pt idx="549">
                  <c:v>150085.42857142899</c:v>
                </c:pt>
                <c:pt idx="550">
                  <c:v>149278</c:v>
                </c:pt>
                <c:pt idx="551">
                  <c:v>147057</c:v>
                </c:pt>
                <c:pt idx="552">
                  <c:v>146453.714285714</c:v>
                </c:pt>
                <c:pt idx="553">
                  <c:v>146648.85714285701</c:v>
                </c:pt>
                <c:pt idx="554">
                  <c:v>147138.57142857101</c:v>
                </c:pt>
                <c:pt idx="555">
                  <c:v>147980.285714286</c:v>
                </c:pt>
                <c:pt idx="556">
                  <c:v>148347.285714286</c:v>
                </c:pt>
                <c:pt idx="557">
                  <c:v>149219.14285714299</c:v>
                </c:pt>
                <c:pt idx="558">
                  <c:v>149602.14285714299</c:v>
                </c:pt>
                <c:pt idx="559">
                  <c:v>149126.14285714299</c:v>
                </c:pt>
                <c:pt idx="560">
                  <c:v>150400.85714285701</c:v>
                </c:pt>
                <c:pt idx="561">
                  <c:v>150849.57142857101</c:v>
                </c:pt>
                <c:pt idx="562">
                  <c:v>151746.57142857101</c:v>
                </c:pt>
                <c:pt idx="563">
                  <c:v>153329.14285714299</c:v>
                </c:pt>
                <c:pt idx="564">
                  <c:v>151815.714285714</c:v>
                </c:pt>
                <c:pt idx="565">
                  <c:v>154013.14285714299</c:v>
                </c:pt>
                <c:pt idx="566">
                  <c:v>155729.42857142899</c:v>
                </c:pt>
                <c:pt idx="567">
                  <c:v>157472.285714286</c:v>
                </c:pt>
                <c:pt idx="568">
                  <c:v>159046.714285714</c:v>
                </c:pt>
                <c:pt idx="569">
                  <c:v>160057.57142857101</c:v>
                </c:pt>
                <c:pt idx="570">
                  <c:v>160713.14285714299</c:v>
                </c:pt>
                <c:pt idx="571">
                  <c:v>164094.714285714</c:v>
                </c:pt>
                <c:pt idx="572">
                  <c:v>160749</c:v>
                </c:pt>
                <c:pt idx="573">
                  <c:v>161482.714285714</c:v>
                </c:pt>
                <c:pt idx="574">
                  <c:v>161381.85714285701</c:v>
                </c:pt>
                <c:pt idx="575">
                  <c:v>161496.85714285701</c:v>
                </c:pt>
                <c:pt idx="576">
                  <c:v>162130.14285714299</c:v>
                </c:pt>
                <c:pt idx="577">
                  <c:v>163167.85714285701</c:v>
                </c:pt>
                <c:pt idx="578">
                  <c:v>164048</c:v>
                </c:pt>
                <c:pt idx="579">
                  <c:v>164470.57142857101</c:v>
                </c:pt>
                <c:pt idx="580">
                  <c:v>167044.714285714</c:v>
                </c:pt>
                <c:pt idx="581">
                  <c:v>167230.85714285701</c:v>
                </c:pt>
                <c:pt idx="582">
                  <c:v>167173.85714285701</c:v>
                </c:pt>
                <c:pt idx="583">
                  <c:v>162733.14285714299</c:v>
                </c:pt>
                <c:pt idx="584">
                  <c:v>165168.285714286</c:v>
                </c:pt>
                <c:pt idx="585">
                  <c:v>164872.285714286</c:v>
                </c:pt>
                <c:pt idx="586">
                  <c:v>163413.57142857101</c:v>
                </c:pt>
                <c:pt idx="587">
                  <c:v>159170.85714285701</c:v>
                </c:pt>
                <c:pt idx="588">
                  <c:v>162036.714285714</c:v>
                </c:pt>
                <c:pt idx="589">
                  <c:v>162518</c:v>
                </c:pt>
                <c:pt idx="590">
                  <c:v>165394.14285714299</c:v>
                </c:pt>
                <c:pt idx="591">
                  <c:v>162498.285714286</c:v>
                </c:pt>
                <c:pt idx="592">
                  <c:v>162852.85714285701</c:v>
                </c:pt>
                <c:pt idx="593">
                  <c:v>160875</c:v>
                </c:pt>
                <c:pt idx="594">
                  <c:v>164280.14285714299</c:v>
                </c:pt>
                <c:pt idx="595">
                  <c:v>160508</c:v>
                </c:pt>
                <c:pt idx="596">
                  <c:v>161126.714285714</c:v>
                </c:pt>
                <c:pt idx="597">
                  <c:v>160199.57142857101</c:v>
                </c:pt>
                <c:pt idx="598">
                  <c:v>160071.714285714</c:v>
                </c:pt>
                <c:pt idx="599">
                  <c:v>158968.42857142899</c:v>
                </c:pt>
                <c:pt idx="600">
                  <c:v>161119.85714285701</c:v>
                </c:pt>
                <c:pt idx="601">
                  <c:v>159550.42857142899</c:v>
                </c:pt>
                <c:pt idx="602">
                  <c:v>157196</c:v>
                </c:pt>
                <c:pt idx="603">
                  <c:v>155267</c:v>
                </c:pt>
                <c:pt idx="604">
                  <c:v>155804.14285714299</c:v>
                </c:pt>
                <c:pt idx="605">
                  <c:v>156332.285714286</c:v>
                </c:pt>
                <c:pt idx="606">
                  <c:v>157521.285714286</c:v>
                </c:pt>
                <c:pt idx="607">
                  <c:v>157630.14285714299</c:v>
                </c:pt>
                <c:pt idx="608">
                  <c:v>156923.714285714</c:v>
                </c:pt>
                <c:pt idx="609">
                  <c:v>158130.42857142899</c:v>
                </c:pt>
                <c:pt idx="610">
                  <c:v>158051.14285714299</c:v>
                </c:pt>
                <c:pt idx="611">
                  <c:v>158113.42857142899</c:v>
                </c:pt>
                <c:pt idx="612">
                  <c:v>157757.42857142899</c:v>
                </c:pt>
                <c:pt idx="613">
                  <c:v>158099.42857142899</c:v>
                </c:pt>
                <c:pt idx="614">
                  <c:v>158283</c:v>
                </c:pt>
                <c:pt idx="615">
                  <c:v>159434.714285714</c:v>
                </c:pt>
                <c:pt idx="616">
                  <c:v>161180.42857142899</c:v>
                </c:pt>
                <c:pt idx="617">
                  <c:v>162850.57142857101</c:v>
                </c:pt>
                <c:pt idx="618">
                  <c:v>164662.42857142899</c:v>
                </c:pt>
                <c:pt idx="619">
                  <c:v>166163.714285714</c:v>
                </c:pt>
                <c:pt idx="620">
                  <c:v>166965</c:v>
                </c:pt>
                <c:pt idx="621">
                  <c:v>167742.42857142899</c:v>
                </c:pt>
                <c:pt idx="622">
                  <c:v>168685.14285714299</c:v>
                </c:pt>
                <c:pt idx="623">
                  <c:v>175503.285714286</c:v>
                </c:pt>
                <c:pt idx="624">
                  <c:v>177541</c:v>
                </c:pt>
                <c:pt idx="625">
                  <c:v>179633.14285714299</c:v>
                </c:pt>
                <c:pt idx="626">
                  <c:v>183047.57142857101</c:v>
                </c:pt>
                <c:pt idx="627">
                  <c:v>185134.285714286</c:v>
                </c:pt>
                <c:pt idx="628">
                  <c:v>187839.285714286</c:v>
                </c:pt>
                <c:pt idx="629">
                  <c:v>191127.285714286</c:v>
                </c:pt>
                <c:pt idx="630">
                  <c:v>188876</c:v>
                </c:pt>
                <c:pt idx="631">
                  <c:v>192423.714285714</c:v>
                </c:pt>
                <c:pt idx="632">
                  <c:v>196024</c:v>
                </c:pt>
                <c:pt idx="633">
                  <c:v>198588.42857142899</c:v>
                </c:pt>
                <c:pt idx="634">
                  <c:v>202107.714285714</c:v>
                </c:pt>
                <c:pt idx="635">
                  <c:v>206427.14285714299</c:v>
                </c:pt>
                <c:pt idx="636">
                  <c:v>212573.285714286</c:v>
                </c:pt>
                <c:pt idx="637">
                  <c:v>219245.285714286</c:v>
                </c:pt>
                <c:pt idx="638">
                  <c:v>225084.85714285701</c:v>
                </c:pt>
                <c:pt idx="639">
                  <c:v>231804</c:v>
                </c:pt>
                <c:pt idx="640">
                  <c:v>236109</c:v>
                </c:pt>
                <c:pt idx="641">
                  <c:v>239778.42857142899</c:v>
                </c:pt>
                <c:pt idx="642">
                  <c:v>242292.714285714</c:v>
                </c:pt>
                <c:pt idx="643">
                  <c:v>246545.714285714</c:v>
                </c:pt>
                <c:pt idx="644">
                  <c:v>250765.57142857101</c:v>
                </c:pt>
                <c:pt idx="645">
                  <c:v>250684.285714286</c:v>
                </c:pt>
                <c:pt idx="646">
                  <c:v>255275.85714285701</c:v>
                </c:pt>
                <c:pt idx="647">
                  <c:v>258908.285714286</c:v>
                </c:pt>
                <c:pt idx="648">
                  <c:v>258551.285714286</c:v>
                </c:pt>
                <c:pt idx="649">
                  <c:v>259182.57142857101</c:v>
                </c:pt>
                <c:pt idx="650">
                  <c:v>257473.714285714</c:v>
                </c:pt>
                <c:pt idx="651">
                  <c:v>264366</c:v>
                </c:pt>
                <c:pt idx="652">
                  <c:v>274120.57142857101</c:v>
                </c:pt>
                <c:pt idx="653">
                  <c:v>276327.14285714302</c:v>
                </c:pt>
                <c:pt idx="654">
                  <c:v>281260.28571428597</c:v>
                </c:pt>
                <c:pt idx="655">
                  <c:v>285018.14285714302</c:v>
                </c:pt>
                <c:pt idx="656">
                  <c:v>292810.85714285698</c:v>
                </c:pt>
                <c:pt idx="657">
                  <c:v>299061.28571428597</c:v>
                </c:pt>
                <c:pt idx="658">
                  <c:v>304398</c:v>
                </c:pt>
                <c:pt idx="659">
                  <c:v>306852</c:v>
                </c:pt>
                <c:pt idx="660">
                  <c:v>311337.71428571403</c:v>
                </c:pt>
                <c:pt idx="661">
                  <c:v>312376.14285714302</c:v>
                </c:pt>
                <c:pt idx="662">
                  <c:v>314230.71428571403</c:v>
                </c:pt>
                <c:pt idx="663">
                  <c:v>319246.57142857101</c:v>
                </c:pt>
                <c:pt idx="664">
                  <c:v>326656.57142857101</c:v>
                </c:pt>
                <c:pt idx="665">
                  <c:v>331652.71428571403</c:v>
                </c:pt>
                <c:pt idx="666">
                  <c:v>339317.14285714302</c:v>
                </c:pt>
                <c:pt idx="667">
                  <c:v>346683</c:v>
                </c:pt>
                <c:pt idx="668">
                  <c:v>353175.85714285698</c:v>
                </c:pt>
                <c:pt idx="669">
                  <c:v>358267.14285714302</c:v>
                </c:pt>
                <c:pt idx="670">
                  <c:v>369853.57142857101</c:v>
                </c:pt>
                <c:pt idx="671">
                  <c:v>372681.71428571403</c:v>
                </c:pt>
                <c:pt idx="672">
                  <c:v>379892.28571428597</c:v>
                </c:pt>
                <c:pt idx="673">
                  <c:v>#N/A</c:v>
                </c:pt>
                <c:pt idx="674">
                  <c:v>#N/A</c:v>
                </c:pt>
                <c:pt idx="675">
                  <c:v>#N/A</c:v>
                </c:pt>
                <c:pt idx="676">
                  <c:v>#N/A</c:v>
                </c:pt>
                <c:pt idx="677">
                  <c:v>#N/A</c:v>
                </c:pt>
                <c:pt idx="678">
                  <c:v>#N/A</c:v>
                </c:pt>
                <c:pt idx="679">
                  <c:v>#N/A</c:v>
                </c:pt>
                <c:pt idx="680">
                  <c:v>#N/A</c:v>
                </c:pt>
                <c:pt idx="681">
                  <c:v>#N/A</c:v>
                </c:pt>
                <c:pt idx="682">
                  <c:v>#N/A</c:v>
                </c:pt>
                <c:pt idx="683">
                  <c:v>#N/A</c:v>
                </c:pt>
                <c:pt idx="684">
                  <c:v>#N/A</c:v>
                </c:pt>
                <c:pt idx="685">
                  <c:v>#N/A</c:v>
                </c:pt>
                <c:pt idx="686">
                  <c:v>#N/A</c:v>
                </c:pt>
                <c:pt idx="687">
                  <c:v>#N/A</c:v>
                </c:pt>
                <c:pt idx="688">
                  <c:v>#N/A</c:v>
                </c:pt>
                <c:pt idx="689">
                  <c:v>#N/A</c:v>
                </c:pt>
                <c:pt idx="690">
                  <c:v>#N/A</c:v>
                </c:pt>
                <c:pt idx="691">
                  <c:v>#N/A</c:v>
                </c:pt>
                <c:pt idx="692">
                  <c:v>#N/A</c:v>
                </c:pt>
                <c:pt idx="693">
                  <c:v>#N/A</c:v>
                </c:pt>
              </c:numCache>
            </c:numRef>
          </c:val>
          <c:smooth val="0"/>
          <c:extLst>
            <c:ext xmlns:c16="http://schemas.microsoft.com/office/drawing/2014/chart" uri="{C3380CC4-5D6E-409C-BE32-E72D297353CC}">
              <c16:uniqueId val="{00000001-012D-46E6-9D5B-3B840377F977}"/>
            </c:ext>
          </c:extLst>
        </c:ser>
        <c:ser>
          <c:idx val="3"/>
          <c:order val="2"/>
          <c:tx>
            <c:strRef>
              <c:f>'DATA - Daily COVID cases'!$A$15</c:f>
              <c:strCache>
                <c:ptCount val="1"/>
                <c:pt idx="0">
                  <c:v>Middle east</c:v>
                </c:pt>
              </c:strCache>
            </c:strRef>
          </c:tx>
          <c:spPr>
            <a:ln w="19050" cap="rnd">
              <a:solidFill>
                <a:sysClr val="window" lastClr="FFFFFF">
                  <a:lumMod val="65000"/>
                </a:sysClr>
              </a:solidFill>
              <a:prstDash val="solid"/>
              <a:round/>
            </a:ln>
            <a:effectLst/>
          </c:spPr>
          <c:marker>
            <c:symbol val="none"/>
          </c:marker>
          <c:cat>
            <c:numRef>
              <c:f>'DATA - Daily COVID cases'!$B$1:$ZS$1</c:f>
              <c:numCache>
                <c:formatCode>mmm\-yy</c:formatCode>
                <c:ptCount val="694"/>
                <c:pt idx="0">
                  <c:v>43852</c:v>
                </c:pt>
                <c:pt idx="1">
                  <c:v>43853</c:v>
                </c:pt>
                <c:pt idx="2">
                  <c:v>43854</c:v>
                </c:pt>
                <c:pt idx="3">
                  <c:v>43855</c:v>
                </c:pt>
                <c:pt idx="4">
                  <c:v>43856</c:v>
                </c:pt>
                <c:pt idx="5">
                  <c:v>43857</c:v>
                </c:pt>
                <c:pt idx="6">
                  <c:v>43858</c:v>
                </c:pt>
                <c:pt idx="7">
                  <c:v>43859</c:v>
                </c:pt>
                <c:pt idx="8">
                  <c:v>43860</c:v>
                </c:pt>
                <c:pt idx="9">
                  <c:v>43861</c:v>
                </c:pt>
                <c:pt idx="10">
                  <c:v>43862</c:v>
                </c:pt>
                <c:pt idx="11">
                  <c:v>43863</c:v>
                </c:pt>
                <c:pt idx="12">
                  <c:v>43864</c:v>
                </c:pt>
                <c:pt idx="13">
                  <c:v>43865</c:v>
                </c:pt>
                <c:pt idx="14">
                  <c:v>43866</c:v>
                </c:pt>
                <c:pt idx="15">
                  <c:v>43867</c:v>
                </c:pt>
                <c:pt idx="16">
                  <c:v>43868</c:v>
                </c:pt>
                <c:pt idx="17">
                  <c:v>43869</c:v>
                </c:pt>
                <c:pt idx="18">
                  <c:v>43870</c:v>
                </c:pt>
                <c:pt idx="19">
                  <c:v>43871</c:v>
                </c:pt>
                <c:pt idx="20">
                  <c:v>43872</c:v>
                </c:pt>
                <c:pt idx="21">
                  <c:v>43873</c:v>
                </c:pt>
                <c:pt idx="22">
                  <c:v>43874</c:v>
                </c:pt>
                <c:pt idx="23">
                  <c:v>43875</c:v>
                </c:pt>
                <c:pt idx="24">
                  <c:v>43876</c:v>
                </c:pt>
                <c:pt idx="25">
                  <c:v>43877</c:v>
                </c:pt>
                <c:pt idx="26">
                  <c:v>43878</c:v>
                </c:pt>
                <c:pt idx="27">
                  <c:v>43879</c:v>
                </c:pt>
                <c:pt idx="28">
                  <c:v>43880</c:v>
                </c:pt>
                <c:pt idx="29">
                  <c:v>43881</c:v>
                </c:pt>
                <c:pt idx="30">
                  <c:v>43882</c:v>
                </c:pt>
                <c:pt idx="31">
                  <c:v>43883</c:v>
                </c:pt>
                <c:pt idx="32">
                  <c:v>43884</c:v>
                </c:pt>
                <c:pt idx="33">
                  <c:v>43885</c:v>
                </c:pt>
                <c:pt idx="34">
                  <c:v>43886</c:v>
                </c:pt>
                <c:pt idx="35">
                  <c:v>43887</c:v>
                </c:pt>
                <c:pt idx="36">
                  <c:v>43888</c:v>
                </c:pt>
                <c:pt idx="37">
                  <c:v>43889</c:v>
                </c:pt>
                <c:pt idx="38">
                  <c:v>43890</c:v>
                </c:pt>
                <c:pt idx="39">
                  <c:v>43891</c:v>
                </c:pt>
                <c:pt idx="40">
                  <c:v>43892</c:v>
                </c:pt>
                <c:pt idx="41">
                  <c:v>43893</c:v>
                </c:pt>
                <c:pt idx="42">
                  <c:v>43894</c:v>
                </c:pt>
                <c:pt idx="43">
                  <c:v>43895</c:v>
                </c:pt>
                <c:pt idx="44">
                  <c:v>43896</c:v>
                </c:pt>
                <c:pt idx="45">
                  <c:v>43897</c:v>
                </c:pt>
                <c:pt idx="46">
                  <c:v>43898</c:v>
                </c:pt>
                <c:pt idx="47">
                  <c:v>43899</c:v>
                </c:pt>
                <c:pt idx="48">
                  <c:v>43900</c:v>
                </c:pt>
                <c:pt idx="49">
                  <c:v>43901</c:v>
                </c:pt>
                <c:pt idx="50">
                  <c:v>43902</c:v>
                </c:pt>
                <c:pt idx="51">
                  <c:v>43903</c:v>
                </c:pt>
                <c:pt idx="52">
                  <c:v>43904</c:v>
                </c:pt>
                <c:pt idx="53">
                  <c:v>43905</c:v>
                </c:pt>
                <c:pt idx="54">
                  <c:v>43906</c:v>
                </c:pt>
                <c:pt idx="55">
                  <c:v>43907</c:v>
                </c:pt>
                <c:pt idx="56">
                  <c:v>43908</c:v>
                </c:pt>
                <c:pt idx="57">
                  <c:v>43909</c:v>
                </c:pt>
                <c:pt idx="58">
                  <c:v>43910</c:v>
                </c:pt>
                <c:pt idx="59">
                  <c:v>43911</c:v>
                </c:pt>
                <c:pt idx="60">
                  <c:v>43912</c:v>
                </c:pt>
                <c:pt idx="61">
                  <c:v>43913</c:v>
                </c:pt>
                <c:pt idx="62">
                  <c:v>43914</c:v>
                </c:pt>
                <c:pt idx="63">
                  <c:v>43915</c:v>
                </c:pt>
                <c:pt idx="64">
                  <c:v>43916</c:v>
                </c:pt>
                <c:pt idx="65">
                  <c:v>43917</c:v>
                </c:pt>
                <c:pt idx="66">
                  <c:v>43918</c:v>
                </c:pt>
                <c:pt idx="67">
                  <c:v>43919</c:v>
                </c:pt>
                <c:pt idx="68">
                  <c:v>43920</c:v>
                </c:pt>
                <c:pt idx="69">
                  <c:v>43921</c:v>
                </c:pt>
                <c:pt idx="70">
                  <c:v>43922</c:v>
                </c:pt>
                <c:pt idx="71">
                  <c:v>43923</c:v>
                </c:pt>
                <c:pt idx="72">
                  <c:v>43924</c:v>
                </c:pt>
                <c:pt idx="73">
                  <c:v>43925</c:v>
                </c:pt>
                <c:pt idx="74">
                  <c:v>43926</c:v>
                </c:pt>
                <c:pt idx="75">
                  <c:v>43927</c:v>
                </c:pt>
                <c:pt idx="76">
                  <c:v>43928</c:v>
                </c:pt>
                <c:pt idx="77">
                  <c:v>43929</c:v>
                </c:pt>
                <c:pt idx="78">
                  <c:v>43930</c:v>
                </c:pt>
                <c:pt idx="79">
                  <c:v>43931</c:v>
                </c:pt>
                <c:pt idx="80">
                  <c:v>43932</c:v>
                </c:pt>
                <c:pt idx="81">
                  <c:v>43933</c:v>
                </c:pt>
                <c:pt idx="82">
                  <c:v>43934</c:v>
                </c:pt>
                <c:pt idx="83">
                  <c:v>43935</c:v>
                </c:pt>
                <c:pt idx="84">
                  <c:v>43936</c:v>
                </c:pt>
                <c:pt idx="85">
                  <c:v>43937</c:v>
                </c:pt>
                <c:pt idx="86">
                  <c:v>43938</c:v>
                </c:pt>
                <c:pt idx="87">
                  <c:v>43939</c:v>
                </c:pt>
                <c:pt idx="88">
                  <c:v>43940</c:v>
                </c:pt>
                <c:pt idx="89">
                  <c:v>43941</c:v>
                </c:pt>
                <c:pt idx="90">
                  <c:v>43942</c:v>
                </c:pt>
                <c:pt idx="91">
                  <c:v>43943</c:v>
                </c:pt>
                <c:pt idx="92">
                  <c:v>43944</c:v>
                </c:pt>
                <c:pt idx="93">
                  <c:v>43945</c:v>
                </c:pt>
                <c:pt idx="94">
                  <c:v>43946</c:v>
                </c:pt>
                <c:pt idx="95">
                  <c:v>43947</c:v>
                </c:pt>
                <c:pt idx="96">
                  <c:v>43948</c:v>
                </c:pt>
                <c:pt idx="97">
                  <c:v>43949</c:v>
                </c:pt>
                <c:pt idx="98">
                  <c:v>43950</c:v>
                </c:pt>
                <c:pt idx="99">
                  <c:v>43951</c:v>
                </c:pt>
                <c:pt idx="100">
                  <c:v>43952</c:v>
                </c:pt>
                <c:pt idx="101">
                  <c:v>43953</c:v>
                </c:pt>
                <c:pt idx="102">
                  <c:v>43954</c:v>
                </c:pt>
                <c:pt idx="103">
                  <c:v>43955</c:v>
                </c:pt>
                <c:pt idx="104">
                  <c:v>43956</c:v>
                </c:pt>
                <c:pt idx="105">
                  <c:v>43957</c:v>
                </c:pt>
                <c:pt idx="106">
                  <c:v>43958</c:v>
                </c:pt>
                <c:pt idx="107">
                  <c:v>43959</c:v>
                </c:pt>
                <c:pt idx="108">
                  <c:v>43960</c:v>
                </c:pt>
                <c:pt idx="109">
                  <c:v>43961</c:v>
                </c:pt>
                <c:pt idx="110">
                  <c:v>43962</c:v>
                </c:pt>
                <c:pt idx="111">
                  <c:v>43963</c:v>
                </c:pt>
                <c:pt idx="112">
                  <c:v>43964</c:v>
                </c:pt>
                <c:pt idx="113">
                  <c:v>43965</c:v>
                </c:pt>
                <c:pt idx="114">
                  <c:v>43966</c:v>
                </c:pt>
                <c:pt idx="115">
                  <c:v>43967</c:v>
                </c:pt>
                <c:pt idx="116">
                  <c:v>43968</c:v>
                </c:pt>
                <c:pt idx="117">
                  <c:v>43969</c:v>
                </c:pt>
                <c:pt idx="118">
                  <c:v>43970</c:v>
                </c:pt>
                <c:pt idx="119">
                  <c:v>43971</c:v>
                </c:pt>
                <c:pt idx="120">
                  <c:v>43972</c:v>
                </c:pt>
                <c:pt idx="121">
                  <c:v>43973</c:v>
                </c:pt>
                <c:pt idx="122">
                  <c:v>43974</c:v>
                </c:pt>
                <c:pt idx="123">
                  <c:v>43975</c:v>
                </c:pt>
                <c:pt idx="124">
                  <c:v>43976</c:v>
                </c:pt>
                <c:pt idx="125">
                  <c:v>43977</c:v>
                </c:pt>
                <c:pt idx="126">
                  <c:v>43978</c:v>
                </c:pt>
                <c:pt idx="127">
                  <c:v>43979</c:v>
                </c:pt>
                <c:pt idx="128">
                  <c:v>43980</c:v>
                </c:pt>
                <c:pt idx="129">
                  <c:v>43981</c:v>
                </c:pt>
                <c:pt idx="130">
                  <c:v>43982</c:v>
                </c:pt>
                <c:pt idx="131">
                  <c:v>43983</c:v>
                </c:pt>
                <c:pt idx="132">
                  <c:v>43984</c:v>
                </c:pt>
                <c:pt idx="133">
                  <c:v>43985</c:v>
                </c:pt>
                <c:pt idx="134">
                  <c:v>43986</c:v>
                </c:pt>
                <c:pt idx="135">
                  <c:v>43987</c:v>
                </c:pt>
                <c:pt idx="136">
                  <c:v>43988</c:v>
                </c:pt>
                <c:pt idx="137">
                  <c:v>43989</c:v>
                </c:pt>
                <c:pt idx="138">
                  <c:v>43990</c:v>
                </c:pt>
                <c:pt idx="139">
                  <c:v>43991</c:v>
                </c:pt>
                <c:pt idx="140">
                  <c:v>43992</c:v>
                </c:pt>
                <c:pt idx="141">
                  <c:v>43993</c:v>
                </c:pt>
                <c:pt idx="142">
                  <c:v>43994</c:v>
                </c:pt>
                <c:pt idx="143">
                  <c:v>43995</c:v>
                </c:pt>
                <c:pt idx="144">
                  <c:v>43996</c:v>
                </c:pt>
                <c:pt idx="145">
                  <c:v>43997</c:v>
                </c:pt>
                <c:pt idx="146">
                  <c:v>43998</c:v>
                </c:pt>
                <c:pt idx="147">
                  <c:v>43999</c:v>
                </c:pt>
                <c:pt idx="148">
                  <c:v>44000</c:v>
                </c:pt>
                <c:pt idx="149">
                  <c:v>44001</c:v>
                </c:pt>
                <c:pt idx="150">
                  <c:v>44002</c:v>
                </c:pt>
                <c:pt idx="151">
                  <c:v>44003</c:v>
                </c:pt>
                <c:pt idx="152">
                  <c:v>44004</c:v>
                </c:pt>
                <c:pt idx="153">
                  <c:v>44005</c:v>
                </c:pt>
                <c:pt idx="154">
                  <c:v>44006</c:v>
                </c:pt>
                <c:pt idx="155">
                  <c:v>44007</c:v>
                </c:pt>
                <c:pt idx="156">
                  <c:v>44008</c:v>
                </c:pt>
                <c:pt idx="157">
                  <c:v>44009</c:v>
                </c:pt>
                <c:pt idx="158">
                  <c:v>44010</c:v>
                </c:pt>
                <c:pt idx="159">
                  <c:v>44011</c:v>
                </c:pt>
                <c:pt idx="160">
                  <c:v>44012</c:v>
                </c:pt>
                <c:pt idx="161">
                  <c:v>44013</c:v>
                </c:pt>
                <c:pt idx="162">
                  <c:v>44014</c:v>
                </c:pt>
                <c:pt idx="163">
                  <c:v>44015</c:v>
                </c:pt>
                <c:pt idx="164">
                  <c:v>44016</c:v>
                </c:pt>
                <c:pt idx="165">
                  <c:v>44017</c:v>
                </c:pt>
                <c:pt idx="166">
                  <c:v>44018</c:v>
                </c:pt>
                <c:pt idx="167">
                  <c:v>44019</c:v>
                </c:pt>
                <c:pt idx="168">
                  <c:v>44020</c:v>
                </c:pt>
                <c:pt idx="169">
                  <c:v>44021</c:v>
                </c:pt>
                <c:pt idx="170">
                  <c:v>44022</c:v>
                </c:pt>
                <c:pt idx="171">
                  <c:v>44023</c:v>
                </c:pt>
                <c:pt idx="172">
                  <c:v>44024</c:v>
                </c:pt>
                <c:pt idx="173">
                  <c:v>44025</c:v>
                </c:pt>
                <c:pt idx="174">
                  <c:v>44026</c:v>
                </c:pt>
                <c:pt idx="175">
                  <c:v>44027</c:v>
                </c:pt>
                <c:pt idx="176">
                  <c:v>44028</c:v>
                </c:pt>
                <c:pt idx="177">
                  <c:v>44029</c:v>
                </c:pt>
                <c:pt idx="178">
                  <c:v>44030</c:v>
                </c:pt>
                <c:pt idx="179">
                  <c:v>44031</c:v>
                </c:pt>
                <c:pt idx="180">
                  <c:v>44032</c:v>
                </c:pt>
                <c:pt idx="181">
                  <c:v>44033</c:v>
                </c:pt>
                <c:pt idx="182">
                  <c:v>44034</c:v>
                </c:pt>
                <c:pt idx="183">
                  <c:v>44035</c:v>
                </c:pt>
                <c:pt idx="184">
                  <c:v>44036</c:v>
                </c:pt>
                <c:pt idx="185">
                  <c:v>44037</c:v>
                </c:pt>
                <c:pt idx="186">
                  <c:v>44038</c:v>
                </c:pt>
                <c:pt idx="187">
                  <c:v>44039</c:v>
                </c:pt>
                <c:pt idx="188">
                  <c:v>44040</c:v>
                </c:pt>
                <c:pt idx="189">
                  <c:v>44041</c:v>
                </c:pt>
                <c:pt idx="190">
                  <c:v>44042</c:v>
                </c:pt>
                <c:pt idx="191">
                  <c:v>44043</c:v>
                </c:pt>
                <c:pt idx="192">
                  <c:v>44044</c:v>
                </c:pt>
                <c:pt idx="193">
                  <c:v>44045</c:v>
                </c:pt>
                <c:pt idx="194">
                  <c:v>44046</c:v>
                </c:pt>
                <c:pt idx="195">
                  <c:v>44047</c:v>
                </c:pt>
                <c:pt idx="196">
                  <c:v>44048</c:v>
                </c:pt>
                <c:pt idx="197">
                  <c:v>44049</c:v>
                </c:pt>
                <c:pt idx="198">
                  <c:v>44050</c:v>
                </c:pt>
                <c:pt idx="199">
                  <c:v>44051</c:v>
                </c:pt>
                <c:pt idx="200">
                  <c:v>44052</c:v>
                </c:pt>
                <c:pt idx="201">
                  <c:v>44053</c:v>
                </c:pt>
                <c:pt idx="202">
                  <c:v>44054</c:v>
                </c:pt>
                <c:pt idx="203">
                  <c:v>44055</c:v>
                </c:pt>
                <c:pt idx="204">
                  <c:v>44056</c:v>
                </c:pt>
                <c:pt idx="205">
                  <c:v>44057</c:v>
                </c:pt>
                <c:pt idx="206">
                  <c:v>44058</c:v>
                </c:pt>
                <c:pt idx="207">
                  <c:v>44059</c:v>
                </c:pt>
                <c:pt idx="208">
                  <c:v>44060</c:v>
                </c:pt>
                <c:pt idx="209">
                  <c:v>44061</c:v>
                </c:pt>
                <c:pt idx="210">
                  <c:v>44062</c:v>
                </c:pt>
                <c:pt idx="211">
                  <c:v>44063</c:v>
                </c:pt>
                <c:pt idx="212">
                  <c:v>44064</c:v>
                </c:pt>
                <c:pt idx="213">
                  <c:v>44065</c:v>
                </c:pt>
                <c:pt idx="214">
                  <c:v>44066</c:v>
                </c:pt>
                <c:pt idx="215">
                  <c:v>44067</c:v>
                </c:pt>
                <c:pt idx="216">
                  <c:v>44068</c:v>
                </c:pt>
                <c:pt idx="217">
                  <c:v>44069</c:v>
                </c:pt>
                <c:pt idx="218">
                  <c:v>44070</c:v>
                </c:pt>
                <c:pt idx="219">
                  <c:v>44071</c:v>
                </c:pt>
                <c:pt idx="220">
                  <c:v>44072</c:v>
                </c:pt>
                <c:pt idx="221">
                  <c:v>44073</c:v>
                </c:pt>
                <c:pt idx="222">
                  <c:v>44074</c:v>
                </c:pt>
                <c:pt idx="223">
                  <c:v>44075</c:v>
                </c:pt>
                <c:pt idx="224">
                  <c:v>44076</c:v>
                </c:pt>
                <c:pt idx="225">
                  <c:v>44077</c:v>
                </c:pt>
                <c:pt idx="226">
                  <c:v>44078</c:v>
                </c:pt>
                <c:pt idx="227">
                  <c:v>44079</c:v>
                </c:pt>
                <c:pt idx="228">
                  <c:v>44080</c:v>
                </c:pt>
                <c:pt idx="229">
                  <c:v>44081</c:v>
                </c:pt>
                <c:pt idx="230">
                  <c:v>44082</c:v>
                </c:pt>
                <c:pt idx="231">
                  <c:v>44083</c:v>
                </c:pt>
                <c:pt idx="232">
                  <c:v>44084</c:v>
                </c:pt>
                <c:pt idx="233">
                  <c:v>44085</c:v>
                </c:pt>
                <c:pt idx="234">
                  <c:v>44086</c:v>
                </c:pt>
                <c:pt idx="235">
                  <c:v>44087</c:v>
                </c:pt>
                <c:pt idx="236">
                  <c:v>44088</c:v>
                </c:pt>
                <c:pt idx="237">
                  <c:v>44089</c:v>
                </c:pt>
                <c:pt idx="238">
                  <c:v>44090</c:v>
                </c:pt>
                <c:pt idx="239">
                  <c:v>44091</c:v>
                </c:pt>
                <c:pt idx="240">
                  <c:v>44092</c:v>
                </c:pt>
                <c:pt idx="241">
                  <c:v>44093</c:v>
                </c:pt>
                <c:pt idx="242">
                  <c:v>44094</c:v>
                </c:pt>
                <c:pt idx="243">
                  <c:v>44095</c:v>
                </c:pt>
                <c:pt idx="244">
                  <c:v>44096</c:v>
                </c:pt>
                <c:pt idx="245">
                  <c:v>44097</c:v>
                </c:pt>
                <c:pt idx="246">
                  <c:v>44098</c:v>
                </c:pt>
                <c:pt idx="247">
                  <c:v>44099</c:v>
                </c:pt>
                <c:pt idx="248">
                  <c:v>44100</c:v>
                </c:pt>
                <c:pt idx="249">
                  <c:v>44101</c:v>
                </c:pt>
                <c:pt idx="250">
                  <c:v>44102</c:v>
                </c:pt>
                <c:pt idx="251">
                  <c:v>44103</c:v>
                </c:pt>
                <c:pt idx="252">
                  <c:v>44104</c:v>
                </c:pt>
                <c:pt idx="253">
                  <c:v>44105</c:v>
                </c:pt>
                <c:pt idx="254">
                  <c:v>44106</c:v>
                </c:pt>
                <c:pt idx="255">
                  <c:v>44107</c:v>
                </c:pt>
                <c:pt idx="256">
                  <c:v>44108</c:v>
                </c:pt>
                <c:pt idx="257">
                  <c:v>44109</c:v>
                </c:pt>
                <c:pt idx="258">
                  <c:v>44110</c:v>
                </c:pt>
                <c:pt idx="259">
                  <c:v>44111</c:v>
                </c:pt>
                <c:pt idx="260">
                  <c:v>44112</c:v>
                </c:pt>
                <c:pt idx="261">
                  <c:v>44113</c:v>
                </c:pt>
                <c:pt idx="262">
                  <c:v>44114</c:v>
                </c:pt>
                <c:pt idx="263">
                  <c:v>44115</c:v>
                </c:pt>
                <c:pt idx="264">
                  <c:v>44116</c:v>
                </c:pt>
                <c:pt idx="265">
                  <c:v>44117</c:v>
                </c:pt>
                <c:pt idx="266">
                  <c:v>44118</c:v>
                </c:pt>
                <c:pt idx="267">
                  <c:v>44119</c:v>
                </c:pt>
                <c:pt idx="268">
                  <c:v>44120</c:v>
                </c:pt>
                <c:pt idx="269">
                  <c:v>44121</c:v>
                </c:pt>
                <c:pt idx="270">
                  <c:v>44122</c:v>
                </c:pt>
                <c:pt idx="271">
                  <c:v>44123</c:v>
                </c:pt>
                <c:pt idx="272">
                  <c:v>44124</c:v>
                </c:pt>
                <c:pt idx="273">
                  <c:v>44125</c:v>
                </c:pt>
                <c:pt idx="274">
                  <c:v>44126</c:v>
                </c:pt>
                <c:pt idx="275">
                  <c:v>44127</c:v>
                </c:pt>
                <c:pt idx="276">
                  <c:v>44128</c:v>
                </c:pt>
                <c:pt idx="277">
                  <c:v>44129</c:v>
                </c:pt>
                <c:pt idx="278">
                  <c:v>44130</c:v>
                </c:pt>
                <c:pt idx="279">
                  <c:v>44131</c:v>
                </c:pt>
                <c:pt idx="280">
                  <c:v>44132</c:v>
                </c:pt>
                <c:pt idx="281">
                  <c:v>44133</c:v>
                </c:pt>
                <c:pt idx="282">
                  <c:v>44134</c:v>
                </c:pt>
                <c:pt idx="283">
                  <c:v>44135</c:v>
                </c:pt>
                <c:pt idx="284">
                  <c:v>44136</c:v>
                </c:pt>
                <c:pt idx="285">
                  <c:v>44137</c:v>
                </c:pt>
                <c:pt idx="286">
                  <c:v>44138</c:v>
                </c:pt>
                <c:pt idx="287">
                  <c:v>44139</c:v>
                </c:pt>
                <c:pt idx="288">
                  <c:v>44140</c:v>
                </c:pt>
                <c:pt idx="289">
                  <c:v>44141</c:v>
                </c:pt>
                <c:pt idx="290">
                  <c:v>44142</c:v>
                </c:pt>
                <c:pt idx="291">
                  <c:v>44143</c:v>
                </c:pt>
                <c:pt idx="292">
                  <c:v>44144</c:v>
                </c:pt>
                <c:pt idx="293">
                  <c:v>44145</c:v>
                </c:pt>
                <c:pt idx="294">
                  <c:v>44146</c:v>
                </c:pt>
                <c:pt idx="295">
                  <c:v>44147</c:v>
                </c:pt>
                <c:pt idx="296">
                  <c:v>44148</c:v>
                </c:pt>
                <c:pt idx="297">
                  <c:v>44149</c:v>
                </c:pt>
                <c:pt idx="298">
                  <c:v>44150</c:v>
                </c:pt>
                <c:pt idx="299">
                  <c:v>44151</c:v>
                </c:pt>
                <c:pt idx="300">
                  <c:v>44152</c:v>
                </c:pt>
                <c:pt idx="301">
                  <c:v>44153</c:v>
                </c:pt>
                <c:pt idx="302">
                  <c:v>44154</c:v>
                </c:pt>
                <c:pt idx="303">
                  <c:v>44155</c:v>
                </c:pt>
                <c:pt idx="304">
                  <c:v>44156</c:v>
                </c:pt>
                <c:pt idx="305">
                  <c:v>44157</c:v>
                </c:pt>
                <c:pt idx="306">
                  <c:v>44158</c:v>
                </c:pt>
                <c:pt idx="307">
                  <c:v>44159</c:v>
                </c:pt>
                <c:pt idx="308">
                  <c:v>44160</c:v>
                </c:pt>
                <c:pt idx="309">
                  <c:v>44161</c:v>
                </c:pt>
                <c:pt idx="310">
                  <c:v>44162</c:v>
                </c:pt>
                <c:pt idx="311">
                  <c:v>44163</c:v>
                </c:pt>
                <c:pt idx="312">
                  <c:v>44164</c:v>
                </c:pt>
                <c:pt idx="313">
                  <c:v>44165</c:v>
                </c:pt>
                <c:pt idx="314">
                  <c:v>44166</c:v>
                </c:pt>
                <c:pt idx="315">
                  <c:v>44167</c:v>
                </c:pt>
                <c:pt idx="316">
                  <c:v>44168</c:v>
                </c:pt>
                <c:pt idx="317">
                  <c:v>44169</c:v>
                </c:pt>
                <c:pt idx="318">
                  <c:v>44170</c:v>
                </c:pt>
                <c:pt idx="319">
                  <c:v>44171</c:v>
                </c:pt>
                <c:pt idx="320">
                  <c:v>44172</c:v>
                </c:pt>
                <c:pt idx="321">
                  <c:v>44173</c:v>
                </c:pt>
                <c:pt idx="322">
                  <c:v>44174</c:v>
                </c:pt>
                <c:pt idx="323">
                  <c:v>44175</c:v>
                </c:pt>
                <c:pt idx="324">
                  <c:v>44176</c:v>
                </c:pt>
                <c:pt idx="325">
                  <c:v>44177</c:v>
                </c:pt>
                <c:pt idx="326">
                  <c:v>44178</c:v>
                </c:pt>
                <c:pt idx="327">
                  <c:v>44179</c:v>
                </c:pt>
                <c:pt idx="328">
                  <c:v>44180</c:v>
                </c:pt>
                <c:pt idx="329">
                  <c:v>44181</c:v>
                </c:pt>
                <c:pt idx="330">
                  <c:v>44182</c:v>
                </c:pt>
                <c:pt idx="331">
                  <c:v>44183</c:v>
                </c:pt>
                <c:pt idx="332">
                  <c:v>44184</c:v>
                </c:pt>
                <c:pt idx="333">
                  <c:v>44185</c:v>
                </c:pt>
                <c:pt idx="334">
                  <c:v>44186</c:v>
                </c:pt>
                <c:pt idx="335">
                  <c:v>44187</c:v>
                </c:pt>
                <c:pt idx="336">
                  <c:v>44188</c:v>
                </c:pt>
                <c:pt idx="337">
                  <c:v>44189</c:v>
                </c:pt>
                <c:pt idx="338">
                  <c:v>44190</c:v>
                </c:pt>
                <c:pt idx="339">
                  <c:v>44191</c:v>
                </c:pt>
                <c:pt idx="340">
                  <c:v>44192</c:v>
                </c:pt>
                <c:pt idx="341">
                  <c:v>44193</c:v>
                </c:pt>
                <c:pt idx="342">
                  <c:v>44194</c:v>
                </c:pt>
                <c:pt idx="343">
                  <c:v>44195</c:v>
                </c:pt>
                <c:pt idx="344">
                  <c:v>44196</c:v>
                </c:pt>
                <c:pt idx="345">
                  <c:v>44197</c:v>
                </c:pt>
                <c:pt idx="346">
                  <c:v>44198</c:v>
                </c:pt>
                <c:pt idx="347">
                  <c:v>44199</c:v>
                </c:pt>
                <c:pt idx="348">
                  <c:v>44200</c:v>
                </c:pt>
                <c:pt idx="349">
                  <c:v>44201</c:v>
                </c:pt>
                <c:pt idx="350">
                  <c:v>44202</c:v>
                </c:pt>
                <c:pt idx="351">
                  <c:v>44203</c:v>
                </c:pt>
                <c:pt idx="352">
                  <c:v>44204</c:v>
                </c:pt>
                <c:pt idx="353">
                  <c:v>44205</c:v>
                </c:pt>
                <c:pt idx="354">
                  <c:v>44206</c:v>
                </c:pt>
                <c:pt idx="355">
                  <c:v>44207</c:v>
                </c:pt>
                <c:pt idx="356">
                  <c:v>44208</c:v>
                </c:pt>
                <c:pt idx="357">
                  <c:v>44209</c:v>
                </c:pt>
                <c:pt idx="358">
                  <c:v>44210</c:v>
                </c:pt>
                <c:pt idx="359">
                  <c:v>44211</c:v>
                </c:pt>
                <c:pt idx="360">
                  <c:v>44212</c:v>
                </c:pt>
                <c:pt idx="361">
                  <c:v>44213</c:v>
                </c:pt>
                <c:pt idx="362">
                  <c:v>44214</c:v>
                </c:pt>
                <c:pt idx="363">
                  <c:v>44215</c:v>
                </c:pt>
                <c:pt idx="364">
                  <c:v>44216</c:v>
                </c:pt>
                <c:pt idx="365">
                  <c:v>44217</c:v>
                </c:pt>
                <c:pt idx="366">
                  <c:v>44218</c:v>
                </c:pt>
                <c:pt idx="367">
                  <c:v>44219</c:v>
                </c:pt>
                <c:pt idx="368">
                  <c:v>44220</c:v>
                </c:pt>
                <c:pt idx="369">
                  <c:v>44221</c:v>
                </c:pt>
                <c:pt idx="370">
                  <c:v>44222</c:v>
                </c:pt>
                <c:pt idx="371">
                  <c:v>44223</c:v>
                </c:pt>
                <c:pt idx="372">
                  <c:v>44224</c:v>
                </c:pt>
                <c:pt idx="373">
                  <c:v>44225</c:v>
                </c:pt>
                <c:pt idx="374">
                  <c:v>44226</c:v>
                </c:pt>
                <c:pt idx="375">
                  <c:v>44227</c:v>
                </c:pt>
                <c:pt idx="376">
                  <c:v>44228</c:v>
                </c:pt>
                <c:pt idx="377">
                  <c:v>44229</c:v>
                </c:pt>
                <c:pt idx="378">
                  <c:v>44230</c:v>
                </c:pt>
                <c:pt idx="379">
                  <c:v>44231</c:v>
                </c:pt>
                <c:pt idx="380">
                  <c:v>44232</c:v>
                </c:pt>
                <c:pt idx="381">
                  <c:v>44233</c:v>
                </c:pt>
                <c:pt idx="382">
                  <c:v>44234</c:v>
                </c:pt>
                <c:pt idx="383">
                  <c:v>44235</c:v>
                </c:pt>
                <c:pt idx="384">
                  <c:v>44236</c:v>
                </c:pt>
                <c:pt idx="385">
                  <c:v>44237</c:v>
                </c:pt>
                <c:pt idx="386">
                  <c:v>44238</c:v>
                </c:pt>
                <c:pt idx="387">
                  <c:v>44239</c:v>
                </c:pt>
                <c:pt idx="388">
                  <c:v>44240</c:v>
                </c:pt>
                <c:pt idx="389">
                  <c:v>44241</c:v>
                </c:pt>
                <c:pt idx="390">
                  <c:v>44242</c:v>
                </c:pt>
                <c:pt idx="391">
                  <c:v>44243</c:v>
                </c:pt>
                <c:pt idx="392">
                  <c:v>44244</c:v>
                </c:pt>
                <c:pt idx="393">
                  <c:v>44245</c:v>
                </c:pt>
                <c:pt idx="394">
                  <c:v>44246</c:v>
                </c:pt>
                <c:pt idx="395">
                  <c:v>44247</c:v>
                </c:pt>
                <c:pt idx="396">
                  <c:v>44248</c:v>
                </c:pt>
                <c:pt idx="397">
                  <c:v>44249</c:v>
                </c:pt>
                <c:pt idx="398">
                  <c:v>44250</c:v>
                </c:pt>
                <c:pt idx="399">
                  <c:v>44251</c:v>
                </c:pt>
                <c:pt idx="400">
                  <c:v>44252</c:v>
                </c:pt>
                <c:pt idx="401">
                  <c:v>44253</c:v>
                </c:pt>
                <c:pt idx="402">
                  <c:v>44254</c:v>
                </c:pt>
                <c:pt idx="403">
                  <c:v>44255</c:v>
                </c:pt>
                <c:pt idx="404">
                  <c:v>44256</c:v>
                </c:pt>
                <c:pt idx="405">
                  <c:v>44257</c:v>
                </c:pt>
                <c:pt idx="406">
                  <c:v>44258</c:v>
                </c:pt>
                <c:pt idx="407">
                  <c:v>44259</c:v>
                </c:pt>
                <c:pt idx="408">
                  <c:v>44260</c:v>
                </c:pt>
                <c:pt idx="409">
                  <c:v>44261</c:v>
                </c:pt>
                <c:pt idx="410">
                  <c:v>44262</c:v>
                </c:pt>
                <c:pt idx="411">
                  <c:v>44263</c:v>
                </c:pt>
                <c:pt idx="412">
                  <c:v>44264</c:v>
                </c:pt>
                <c:pt idx="413">
                  <c:v>44265</c:v>
                </c:pt>
                <c:pt idx="414">
                  <c:v>44266</c:v>
                </c:pt>
                <c:pt idx="415">
                  <c:v>44267</c:v>
                </c:pt>
                <c:pt idx="416">
                  <c:v>44268</c:v>
                </c:pt>
                <c:pt idx="417">
                  <c:v>44269</c:v>
                </c:pt>
                <c:pt idx="418">
                  <c:v>44270</c:v>
                </c:pt>
                <c:pt idx="419">
                  <c:v>44271</c:v>
                </c:pt>
                <c:pt idx="420">
                  <c:v>44272</c:v>
                </c:pt>
                <c:pt idx="421">
                  <c:v>44273</c:v>
                </c:pt>
                <c:pt idx="422">
                  <c:v>44274</c:v>
                </c:pt>
                <c:pt idx="423">
                  <c:v>44275</c:v>
                </c:pt>
                <c:pt idx="424">
                  <c:v>44276</c:v>
                </c:pt>
                <c:pt idx="425">
                  <c:v>44277</c:v>
                </c:pt>
                <c:pt idx="426">
                  <c:v>44278</c:v>
                </c:pt>
                <c:pt idx="427">
                  <c:v>44279</c:v>
                </c:pt>
                <c:pt idx="428">
                  <c:v>44280</c:v>
                </c:pt>
                <c:pt idx="429">
                  <c:v>44281</c:v>
                </c:pt>
                <c:pt idx="430">
                  <c:v>44282</c:v>
                </c:pt>
                <c:pt idx="431">
                  <c:v>44283</c:v>
                </c:pt>
                <c:pt idx="432">
                  <c:v>44284</c:v>
                </c:pt>
                <c:pt idx="433">
                  <c:v>44285</c:v>
                </c:pt>
                <c:pt idx="434">
                  <c:v>44286</c:v>
                </c:pt>
                <c:pt idx="435">
                  <c:v>44287</c:v>
                </c:pt>
                <c:pt idx="436">
                  <c:v>44288</c:v>
                </c:pt>
                <c:pt idx="437">
                  <c:v>44289</c:v>
                </c:pt>
                <c:pt idx="438">
                  <c:v>44290</c:v>
                </c:pt>
                <c:pt idx="439">
                  <c:v>44291</c:v>
                </c:pt>
                <c:pt idx="440">
                  <c:v>44292</c:v>
                </c:pt>
                <c:pt idx="441">
                  <c:v>44293</c:v>
                </c:pt>
                <c:pt idx="442">
                  <c:v>44294</c:v>
                </c:pt>
                <c:pt idx="443">
                  <c:v>44295</c:v>
                </c:pt>
                <c:pt idx="444">
                  <c:v>44296</c:v>
                </c:pt>
                <c:pt idx="445">
                  <c:v>44297</c:v>
                </c:pt>
                <c:pt idx="446">
                  <c:v>44298</c:v>
                </c:pt>
                <c:pt idx="447">
                  <c:v>44299</c:v>
                </c:pt>
                <c:pt idx="448">
                  <c:v>44300</c:v>
                </c:pt>
                <c:pt idx="449">
                  <c:v>44301</c:v>
                </c:pt>
                <c:pt idx="450">
                  <c:v>44302</c:v>
                </c:pt>
                <c:pt idx="451">
                  <c:v>44303</c:v>
                </c:pt>
                <c:pt idx="452">
                  <c:v>44304</c:v>
                </c:pt>
                <c:pt idx="453">
                  <c:v>44305</c:v>
                </c:pt>
                <c:pt idx="454">
                  <c:v>44306</c:v>
                </c:pt>
                <c:pt idx="455">
                  <c:v>44307</c:v>
                </c:pt>
                <c:pt idx="456">
                  <c:v>44308</c:v>
                </c:pt>
                <c:pt idx="457">
                  <c:v>44309</c:v>
                </c:pt>
                <c:pt idx="458">
                  <c:v>44310</c:v>
                </c:pt>
                <c:pt idx="459">
                  <c:v>44311</c:v>
                </c:pt>
                <c:pt idx="460">
                  <c:v>44312</c:v>
                </c:pt>
                <c:pt idx="461">
                  <c:v>44313</c:v>
                </c:pt>
                <c:pt idx="462">
                  <c:v>44314</c:v>
                </c:pt>
                <c:pt idx="463">
                  <c:v>44315</c:v>
                </c:pt>
                <c:pt idx="464">
                  <c:v>44316</c:v>
                </c:pt>
                <c:pt idx="465">
                  <c:v>44317</c:v>
                </c:pt>
                <c:pt idx="466">
                  <c:v>44318</c:v>
                </c:pt>
                <c:pt idx="467">
                  <c:v>44319</c:v>
                </c:pt>
                <c:pt idx="468">
                  <c:v>44320</c:v>
                </c:pt>
                <c:pt idx="469">
                  <c:v>44321</c:v>
                </c:pt>
                <c:pt idx="470">
                  <c:v>44322</c:v>
                </c:pt>
                <c:pt idx="471">
                  <c:v>44323</c:v>
                </c:pt>
                <c:pt idx="472">
                  <c:v>44324</c:v>
                </c:pt>
                <c:pt idx="473">
                  <c:v>44325</c:v>
                </c:pt>
                <c:pt idx="474">
                  <c:v>44326</c:v>
                </c:pt>
                <c:pt idx="475">
                  <c:v>44327</c:v>
                </c:pt>
                <c:pt idx="476">
                  <c:v>44328</c:v>
                </c:pt>
                <c:pt idx="477">
                  <c:v>44329</c:v>
                </c:pt>
                <c:pt idx="478">
                  <c:v>44330</c:v>
                </c:pt>
                <c:pt idx="479">
                  <c:v>44331</c:v>
                </c:pt>
                <c:pt idx="480">
                  <c:v>44332</c:v>
                </c:pt>
                <c:pt idx="481">
                  <c:v>44333</c:v>
                </c:pt>
                <c:pt idx="482">
                  <c:v>44334</c:v>
                </c:pt>
                <c:pt idx="483">
                  <c:v>44335</c:v>
                </c:pt>
                <c:pt idx="484">
                  <c:v>44336</c:v>
                </c:pt>
                <c:pt idx="485">
                  <c:v>44337</c:v>
                </c:pt>
                <c:pt idx="486">
                  <c:v>44338</c:v>
                </c:pt>
                <c:pt idx="487">
                  <c:v>44339</c:v>
                </c:pt>
                <c:pt idx="488">
                  <c:v>44340</c:v>
                </c:pt>
                <c:pt idx="489">
                  <c:v>44341</c:v>
                </c:pt>
                <c:pt idx="490">
                  <c:v>44342</c:v>
                </c:pt>
                <c:pt idx="491">
                  <c:v>44343</c:v>
                </c:pt>
                <c:pt idx="492">
                  <c:v>44344</c:v>
                </c:pt>
                <c:pt idx="493">
                  <c:v>44345</c:v>
                </c:pt>
                <c:pt idx="494">
                  <c:v>44346</c:v>
                </c:pt>
                <c:pt idx="495">
                  <c:v>44347</c:v>
                </c:pt>
                <c:pt idx="496">
                  <c:v>44348</c:v>
                </c:pt>
                <c:pt idx="497">
                  <c:v>44349</c:v>
                </c:pt>
                <c:pt idx="498">
                  <c:v>44350</c:v>
                </c:pt>
                <c:pt idx="499">
                  <c:v>44351</c:v>
                </c:pt>
                <c:pt idx="500">
                  <c:v>44352</c:v>
                </c:pt>
                <c:pt idx="501">
                  <c:v>44353</c:v>
                </c:pt>
                <c:pt idx="502">
                  <c:v>44354</c:v>
                </c:pt>
                <c:pt idx="503">
                  <c:v>44355</c:v>
                </c:pt>
                <c:pt idx="504">
                  <c:v>44356</c:v>
                </c:pt>
                <c:pt idx="505">
                  <c:v>44357</c:v>
                </c:pt>
                <c:pt idx="506">
                  <c:v>44358</c:v>
                </c:pt>
                <c:pt idx="507">
                  <c:v>44359</c:v>
                </c:pt>
                <c:pt idx="508">
                  <c:v>44360</c:v>
                </c:pt>
                <c:pt idx="509">
                  <c:v>44361</c:v>
                </c:pt>
                <c:pt idx="510">
                  <c:v>44362</c:v>
                </c:pt>
                <c:pt idx="511">
                  <c:v>44363</c:v>
                </c:pt>
                <c:pt idx="512">
                  <c:v>44364</c:v>
                </c:pt>
                <c:pt idx="513">
                  <c:v>44365</c:v>
                </c:pt>
                <c:pt idx="514">
                  <c:v>44366</c:v>
                </c:pt>
                <c:pt idx="515">
                  <c:v>44367</c:v>
                </c:pt>
                <c:pt idx="516">
                  <c:v>44368</c:v>
                </c:pt>
                <c:pt idx="517">
                  <c:v>44369</c:v>
                </c:pt>
                <c:pt idx="518">
                  <c:v>44370</c:v>
                </c:pt>
                <c:pt idx="519">
                  <c:v>44371</c:v>
                </c:pt>
                <c:pt idx="520">
                  <c:v>44372</c:v>
                </c:pt>
                <c:pt idx="521">
                  <c:v>44373</c:v>
                </c:pt>
                <c:pt idx="522">
                  <c:v>44374</c:v>
                </c:pt>
                <c:pt idx="523">
                  <c:v>44375</c:v>
                </c:pt>
                <c:pt idx="524">
                  <c:v>44376</c:v>
                </c:pt>
                <c:pt idx="525">
                  <c:v>44377</c:v>
                </c:pt>
                <c:pt idx="526">
                  <c:v>44378</c:v>
                </c:pt>
                <c:pt idx="527">
                  <c:v>44379</c:v>
                </c:pt>
                <c:pt idx="528">
                  <c:v>44380</c:v>
                </c:pt>
                <c:pt idx="529">
                  <c:v>44381</c:v>
                </c:pt>
                <c:pt idx="530">
                  <c:v>44382</c:v>
                </c:pt>
                <c:pt idx="531">
                  <c:v>44383</c:v>
                </c:pt>
                <c:pt idx="532">
                  <c:v>44384</c:v>
                </c:pt>
                <c:pt idx="533">
                  <c:v>44385</c:v>
                </c:pt>
                <c:pt idx="534">
                  <c:v>44386</c:v>
                </c:pt>
                <c:pt idx="535">
                  <c:v>44387</c:v>
                </c:pt>
                <c:pt idx="536">
                  <c:v>44388</c:v>
                </c:pt>
                <c:pt idx="537">
                  <c:v>44389</c:v>
                </c:pt>
                <c:pt idx="538">
                  <c:v>44390</c:v>
                </c:pt>
                <c:pt idx="539">
                  <c:v>44391</c:v>
                </c:pt>
                <c:pt idx="540">
                  <c:v>44392</c:v>
                </c:pt>
                <c:pt idx="541">
                  <c:v>44393</c:v>
                </c:pt>
                <c:pt idx="542">
                  <c:v>44394</c:v>
                </c:pt>
                <c:pt idx="543">
                  <c:v>44395</c:v>
                </c:pt>
                <c:pt idx="544">
                  <c:v>44396</c:v>
                </c:pt>
                <c:pt idx="545">
                  <c:v>44397</c:v>
                </c:pt>
                <c:pt idx="546">
                  <c:v>44398</c:v>
                </c:pt>
                <c:pt idx="547">
                  <c:v>44399</c:v>
                </c:pt>
                <c:pt idx="548">
                  <c:v>44400</c:v>
                </c:pt>
                <c:pt idx="549">
                  <c:v>44401</c:v>
                </c:pt>
                <c:pt idx="550">
                  <c:v>44402</c:v>
                </c:pt>
                <c:pt idx="551">
                  <c:v>44403</c:v>
                </c:pt>
                <c:pt idx="552">
                  <c:v>44404</c:v>
                </c:pt>
                <c:pt idx="553">
                  <c:v>44405</c:v>
                </c:pt>
                <c:pt idx="554">
                  <c:v>44406</c:v>
                </c:pt>
                <c:pt idx="555">
                  <c:v>44407</c:v>
                </c:pt>
                <c:pt idx="556">
                  <c:v>44408</c:v>
                </c:pt>
                <c:pt idx="557">
                  <c:v>44409</c:v>
                </c:pt>
                <c:pt idx="558">
                  <c:v>44410</c:v>
                </c:pt>
                <c:pt idx="559">
                  <c:v>44411</c:v>
                </c:pt>
                <c:pt idx="560">
                  <c:v>44412</c:v>
                </c:pt>
                <c:pt idx="561">
                  <c:v>44413</c:v>
                </c:pt>
                <c:pt idx="562">
                  <c:v>44414</c:v>
                </c:pt>
                <c:pt idx="563">
                  <c:v>44415</c:v>
                </c:pt>
                <c:pt idx="564">
                  <c:v>44416</c:v>
                </c:pt>
                <c:pt idx="565">
                  <c:v>44417</c:v>
                </c:pt>
                <c:pt idx="566">
                  <c:v>44418</c:v>
                </c:pt>
                <c:pt idx="567">
                  <c:v>44419</c:v>
                </c:pt>
                <c:pt idx="568">
                  <c:v>44420</c:v>
                </c:pt>
                <c:pt idx="569">
                  <c:v>44421</c:v>
                </c:pt>
                <c:pt idx="570">
                  <c:v>44422</c:v>
                </c:pt>
                <c:pt idx="571">
                  <c:v>44423</c:v>
                </c:pt>
                <c:pt idx="572">
                  <c:v>44424</c:v>
                </c:pt>
                <c:pt idx="573">
                  <c:v>44425</c:v>
                </c:pt>
                <c:pt idx="574">
                  <c:v>44426</c:v>
                </c:pt>
                <c:pt idx="575">
                  <c:v>44427</c:v>
                </c:pt>
                <c:pt idx="576">
                  <c:v>44428</c:v>
                </c:pt>
                <c:pt idx="577">
                  <c:v>44429</c:v>
                </c:pt>
                <c:pt idx="578">
                  <c:v>44430</c:v>
                </c:pt>
                <c:pt idx="579">
                  <c:v>44431</c:v>
                </c:pt>
                <c:pt idx="580">
                  <c:v>44432</c:v>
                </c:pt>
                <c:pt idx="581">
                  <c:v>44433</c:v>
                </c:pt>
                <c:pt idx="582">
                  <c:v>44434</c:v>
                </c:pt>
                <c:pt idx="583">
                  <c:v>44435</c:v>
                </c:pt>
                <c:pt idx="584">
                  <c:v>44436</c:v>
                </c:pt>
                <c:pt idx="585">
                  <c:v>44437</c:v>
                </c:pt>
                <c:pt idx="586">
                  <c:v>44438</c:v>
                </c:pt>
                <c:pt idx="587">
                  <c:v>44439</c:v>
                </c:pt>
                <c:pt idx="588">
                  <c:v>44440</c:v>
                </c:pt>
                <c:pt idx="589">
                  <c:v>44441</c:v>
                </c:pt>
                <c:pt idx="590">
                  <c:v>44442</c:v>
                </c:pt>
                <c:pt idx="591">
                  <c:v>44443</c:v>
                </c:pt>
                <c:pt idx="592">
                  <c:v>44444</c:v>
                </c:pt>
                <c:pt idx="593">
                  <c:v>44445</c:v>
                </c:pt>
                <c:pt idx="594">
                  <c:v>44446</c:v>
                </c:pt>
                <c:pt idx="595">
                  <c:v>44447</c:v>
                </c:pt>
                <c:pt idx="596">
                  <c:v>44448</c:v>
                </c:pt>
                <c:pt idx="597">
                  <c:v>44449</c:v>
                </c:pt>
                <c:pt idx="598">
                  <c:v>44450</c:v>
                </c:pt>
                <c:pt idx="599">
                  <c:v>44451</c:v>
                </c:pt>
                <c:pt idx="600">
                  <c:v>44452</c:v>
                </c:pt>
                <c:pt idx="601">
                  <c:v>44453</c:v>
                </c:pt>
                <c:pt idx="602">
                  <c:v>44454</c:v>
                </c:pt>
                <c:pt idx="603">
                  <c:v>44455</c:v>
                </c:pt>
                <c:pt idx="604">
                  <c:v>44456</c:v>
                </c:pt>
                <c:pt idx="605">
                  <c:v>44457</c:v>
                </c:pt>
                <c:pt idx="606">
                  <c:v>44458</c:v>
                </c:pt>
                <c:pt idx="607">
                  <c:v>44459</c:v>
                </c:pt>
                <c:pt idx="608">
                  <c:v>44460</c:v>
                </c:pt>
                <c:pt idx="609">
                  <c:v>44461</c:v>
                </c:pt>
                <c:pt idx="610">
                  <c:v>44462</c:v>
                </c:pt>
                <c:pt idx="611">
                  <c:v>44463</c:v>
                </c:pt>
                <c:pt idx="612">
                  <c:v>44464</c:v>
                </c:pt>
                <c:pt idx="613">
                  <c:v>44465</c:v>
                </c:pt>
                <c:pt idx="614">
                  <c:v>44466</c:v>
                </c:pt>
                <c:pt idx="615">
                  <c:v>44467</c:v>
                </c:pt>
                <c:pt idx="616">
                  <c:v>44468</c:v>
                </c:pt>
                <c:pt idx="617">
                  <c:v>44469</c:v>
                </c:pt>
                <c:pt idx="618">
                  <c:v>44470</c:v>
                </c:pt>
                <c:pt idx="619">
                  <c:v>44471</c:v>
                </c:pt>
                <c:pt idx="620">
                  <c:v>44472</c:v>
                </c:pt>
                <c:pt idx="621">
                  <c:v>44473</c:v>
                </c:pt>
                <c:pt idx="622">
                  <c:v>44474</c:v>
                </c:pt>
                <c:pt idx="623">
                  <c:v>44475</c:v>
                </c:pt>
                <c:pt idx="624">
                  <c:v>44476</c:v>
                </c:pt>
                <c:pt idx="625">
                  <c:v>44477</c:v>
                </c:pt>
                <c:pt idx="626">
                  <c:v>44478</c:v>
                </c:pt>
                <c:pt idx="627">
                  <c:v>44479</c:v>
                </c:pt>
                <c:pt idx="628">
                  <c:v>44480</c:v>
                </c:pt>
                <c:pt idx="629">
                  <c:v>44481</c:v>
                </c:pt>
                <c:pt idx="630">
                  <c:v>44482</c:v>
                </c:pt>
                <c:pt idx="631">
                  <c:v>44483</c:v>
                </c:pt>
                <c:pt idx="632">
                  <c:v>44484</c:v>
                </c:pt>
                <c:pt idx="633">
                  <c:v>44485</c:v>
                </c:pt>
                <c:pt idx="634">
                  <c:v>44486</c:v>
                </c:pt>
                <c:pt idx="635">
                  <c:v>44487</c:v>
                </c:pt>
                <c:pt idx="636">
                  <c:v>44488</c:v>
                </c:pt>
                <c:pt idx="637">
                  <c:v>44489</c:v>
                </c:pt>
                <c:pt idx="638">
                  <c:v>44490</c:v>
                </c:pt>
                <c:pt idx="639">
                  <c:v>44491</c:v>
                </c:pt>
                <c:pt idx="640">
                  <c:v>44492</c:v>
                </c:pt>
                <c:pt idx="641">
                  <c:v>44493</c:v>
                </c:pt>
                <c:pt idx="642">
                  <c:v>44494</c:v>
                </c:pt>
                <c:pt idx="643">
                  <c:v>44495</c:v>
                </c:pt>
                <c:pt idx="644">
                  <c:v>44496</c:v>
                </c:pt>
                <c:pt idx="645">
                  <c:v>44497</c:v>
                </c:pt>
                <c:pt idx="646">
                  <c:v>44498</c:v>
                </c:pt>
                <c:pt idx="647">
                  <c:v>44499</c:v>
                </c:pt>
                <c:pt idx="648">
                  <c:v>44500</c:v>
                </c:pt>
                <c:pt idx="649">
                  <c:v>44501</c:v>
                </c:pt>
                <c:pt idx="650">
                  <c:v>44502</c:v>
                </c:pt>
                <c:pt idx="651">
                  <c:v>44503</c:v>
                </c:pt>
                <c:pt idx="652">
                  <c:v>44504</c:v>
                </c:pt>
                <c:pt idx="653">
                  <c:v>44505</c:v>
                </c:pt>
                <c:pt idx="654">
                  <c:v>44506</c:v>
                </c:pt>
                <c:pt idx="655">
                  <c:v>44507</c:v>
                </c:pt>
                <c:pt idx="656">
                  <c:v>44508</c:v>
                </c:pt>
                <c:pt idx="657">
                  <c:v>44509</c:v>
                </c:pt>
                <c:pt idx="658">
                  <c:v>44510</c:v>
                </c:pt>
                <c:pt idx="659">
                  <c:v>44511</c:v>
                </c:pt>
                <c:pt idx="660">
                  <c:v>44512</c:v>
                </c:pt>
                <c:pt idx="661">
                  <c:v>44513</c:v>
                </c:pt>
                <c:pt idx="662">
                  <c:v>44514</c:v>
                </c:pt>
                <c:pt idx="663">
                  <c:v>44515</c:v>
                </c:pt>
                <c:pt idx="664">
                  <c:v>44516</c:v>
                </c:pt>
                <c:pt idx="665">
                  <c:v>44517</c:v>
                </c:pt>
                <c:pt idx="666">
                  <c:v>44518</c:v>
                </c:pt>
                <c:pt idx="667">
                  <c:v>44519</c:v>
                </c:pt>
                <c:pt idx="668">
                  <c:v>44520</c:v>
                </c:pt>
                <c:pt idx="669">
                  <c:v>44521</c:v>
                </c:pt>
                <c:pt idx="670">
                  <c:v>44522</c:v>
                </c:pt>
                <c:pt idx="671">
                  <c:v>44523</c:v>
                </c:pt>
                <c:pt idx="672">
                  <c:v>44524</c:v>
                </c:pt>
                <c:pt idx="673">
                  <c:v>#N/A</c:v>
                </c:pt>
                <c:pt idx="674">
                  <c:v>#N/A</c:v>
                </c:pt>
                <c:pt idx="675">
                  <c:v>#N/A</c:v>
                </c:pt>
                <c:pt idx="676">
                  <c:v>#N/A</c:v>
                </c:pt>
                <c:pt idx="677">
                  <c:v>#N/A</c:v>
                </c:pt>
                <c:pt idx="678">
                  <c:v>#N/A</c:v>
                </c:pt>
                <c:pt idx="679">
                  <c:v>#N/A</c:v>
                </c:pt>
                <c:pt idx="680">
                  <c:v>#N/A</c:v>
                </c:pt>
                <c:pt idx="681">
                  <c:v>#N/A</c:v>
                </c:pt>
                <c:pt idx="682">
                  <c:v>#N/A</c:v>
                </c:pt>
                <c:pt idx="683">
                  <c:v>#N/A</c:v>
                </c:pt>
                <c:pt idx="684">
                  <c:v>#N/A</c:v>
                </c:pt>
                <c:pt idx="685">
                  <c:v>#N/A</c:v>
                </c:pt>
                <c:pt idx="686">
                  <c:v>#N/A</c:v>
                </c:pt>
                <c:pt idx="687">
                  <c:v>#N/A</c:v>
                </c:pt>
                <c:pt idx="688">
                  <c:v>#N/A</c:v>
                </c:pt>
                <c:pt idx="689">
                  <c:v>#N/A</c:v>
                </c:pt>
                <c:pt idx="690">
                  <c:v>#N/A</c:v>
                </c:pt>
                <c:pt idx="691">
                  <c:v>#N/A</c:v>
                </c:pt>
                <c:pt idx="692">
                  <c:v>#N/A</c:v>
                </c:pt>
                <c:pt idx="693">
                  <c:v>#N/A</c:v>
                </c:pt>
              </c:numCache>
            </c:numRef>
          </c:cat>
          <c:val>
            <c:numRef>
              <c:f>'DATA - Daily COVID cases'!$B$15:$ZS$15</c:f>
              <c:numCache>
                <c:formatCode>General</c:formatCode>
                <c:ptCount val="694"/>
                <c:pt idx="4">
                  <c:v>#N/A</c:v>
                </c:pt>
                <c:pt idx="5">
                  <c:v>#N/A</c:v>
                </c:pt>
                <c:pt idx="6">
                  <c:v>#N/A</c:v>
                </c:pt>
                <c:pt idx="7">
                  <c:v>0.57142857142857095</c:v>
                </c:pt>
                <c:pt idx="8">
                  <c:v>0.57142857142857095</c:v>
                </c:pt>
                <c:pt idx="9">
                  <c:v>0.57142857142857095</c:v>
                </c:pt>
                <c:pt idx="10">
                  <c:v>0.57142857142857095</c:v>
                </c:pt>
                <c:pt idx="11">
                  <c:v>0.71428571428571397</c:v>
                </c:pt>
                <c:pt idx="12">
                  <c:v>0.71428571428571397</c:v>
                </c:pt>
                <c:pt idx="13">
                  <c:v>0.71428571428571397</c:v>
                </c:pt>
                <c:pt idx="14">
                  <c:v>0.14285714285714299</c:v>
                </c:pt>
                <c:pt idx="15">
                  <c:v>0.14285714285714299</c:v>
                </c:pt>
                <c:pt idx="16">
                  <c:v>0.14285714285714299</c:v>
                </c:pt>
                <c:pt idx="17">
                  <c:v>0.42857142857142899</c:v>
                </c:pt>
                <c:pt idx="18">
                  <c:v>0.28571428571428598</c:v>
                </c:pt>
                <c:pt idx="19">
                  <c:v>0.42857142857142899</c:v>
                </c:pt>
                <c:pt idx="20">
                  <c:v>0.42857142857142899</c:v>
                </c:pt>
                <c:pt idx="21">
                  <c:v>0.42857142857142899</c:v>
                </c:pt>
                <c:pt idx="22">
                  <c:v>0.42857142857142899</c:v>
                </c:pt>
                <c:pt idx="23">
                  <c:v>0.57142857142857095</c:v>
                </c:pt>
                <c:pt idx="24">
                  <c:v>0.28571428571428598</c:v>
                </c:pt>
                <c:pt idx="25">
                  <c:v>0.42857142857142899</c:v>
                </c:pt>
                <c:pt idx="26">
                  <c:v>0.28571428571428598</c:v>
                </c:pt>
                <c:pt idx="27">
                  <c:v>0.28571428571428598</c:v>
                </c:pt>
                <c:pt idx="28">
                  <c:v>0.57142857142857095</c:v>
                </c:pt>
                <c:pt idx="29">
                  <c:v>1</c:v>
                </c:pt>
                <c:pt idx="30">
                  <c:v>2.8571428571428599</c:v>
                </c:pt>
                <c:pt idx="31">
                  <c:v>4.8571428571428603</c:v>
                </c:pt>
                <c:pt idx="32">
                  <c:v>6.8571428571428603</c:v>
                </c:pt>
                <c:pt idx="33">
                  <c:v>10</c:v>
                </c:pt>
                <c:pt idx="34">
                  <c:v>16.285714285714299</c:v>
                </c:pt>
                <c:pt idx="35">
                  <c:v>25.428571428571399</c:v>
                </c:pt>
                <c:pt idx="36">
                  <c:v>42.857142857142897</c:v>
                </c:pt>
                <c:pt idx="37">
                  <c:v>62.428571428571402</c:v>
                </c:pt>
                <c:pt idx="38">
                  <c:v>91.571428571428598</c:v>
                </c:pt>
                <c:pt idx="39">
                  <c:v>146.57142857142901</c:v>
                </c:pt>
                <c:pt idx="40">
                  <c:v>221.28571428571399</c:v>
                </c:pt>
                <c:pt idx="41">
                  <c:v>337.57142857142901</c:v>
                </c:pt>
                <c:pt idx="42">
                  <c:v>412.857142857143</c:v>
                </c:pt>
                <c:pt idx="43">
                  <c:v>481.28571428571399</c:v>
                </c:pt>
                <c:pt idx="44">
                  <c:v>639.28571428571399</c:v>
                </c:pt>
                <c:pt idx="45">
                  <c:v>766.57142857142901</c:v>
                </c:pt>
                <c:pt idx="46">
                  <c:v>825</c:v>
                </c:pt>
                <c:pt idx="47">
                  <c:v>834</c:v>
                </c:pt>
                <c:pt idx="48">
                  <c:v>847.42857142857201</c:v>
                </c:pt>
                <c:pt idx="49">
                  <c:v>937.142857142857</c:v>
                </c:pt>
                <c:pt idx="50">
                  <c:v>1011.57142857143</c:v>
                </c:pt>
                <c:pt idx="51">
                  <c:v>1038.8571428571399</c:v>
                </c:pt>
                <c:pt idx="52">
                  <c:v>1091.42857142857</c:v>
                </c:pt>
                <c:pt idx="53">
                  <c:v>1165.57142857143</c:v>
                </c:pt>
                <c:pt idx="54">
                  <c:v>1246.42857142857</c:v>
                </c:pt>
                <c:pt idx="55">
                  <c:v>1302.2857142857099</c:v>
                </c:pt>
                <c:pt idx="56">
                  <c:v>1311.8571428571399</c:v>
                </c:pt>
                <c:pt idx="57">
                  <c:v>1340.8571428571399</c:v>
                </c:pt>
                <c:pt idx="58">
                  <c:v>1333.2857142857099</c:v>
                </c:pt>
                <c:pt idx="59">
                  <c:v>1279.1428571428601</c:v>
                </c:pt>
                <c:pt idx="60">
                  <c:v>1277.2857142857099</c:v>
                </c:pt>
                <c:pt idx="61">
                  <c:v>1342.7142857142901</c:v>
                </c:pt>
                <c:pt idx="62">
                  <c:v>1469</c:v>
                </c:pt>
                <c:pt idx="63">
                  <c:v>1652.2857142857099</c:v>
                </c:pt>
                <c:pt idx="64">
                  <c:v>1846.2857142857099</c:v>
                </c:pt>
                <c:pt idx="65">
                  <c:v>2119.1428571428601</c:v>
                </c:pt>
                <c:pt idx="66">
                  <c:v>2450.7142857142899</c:v>
                </c:pt>
                <c:pt idx="67">
                  <c:v>2733.7142857142899</c:v>
                </c:pt>
                <c:pt idx="68">
                  <c:v>3016.2857142857201</c:v>
                </c:pt>
                <c:pt idx="69">
                  <c:v>3204.8571428571399</c:v>
                </c:pt>
                <c:pt idx="70">
                  <c:v>3339.1428571428601</c:v>
                </c:pt>
                <c:pt idx="71">
                  <c:v>3466.4285714285702</c:v>
                </c:pt>
                <c:pt idx="72">
                  <c:v>3497.7142857142899</c:v>
                </c:pt>
                <c:pt idx="73">
                  <c:v>3502.5714285714298</c:v>
                </c:pt>
                <c:pt idx="74">
                  <c:v>3544.8571428571399</c:v>
                </c:pt>
                <c:pt idx="75">
                  <c:v>3509.4285714285702</c:v>
                </c:pt>
                <c:pt idx="76">
                  <c:v>3450.7142857142899</c:v>
                </c:pt>
                <c:pt idx="77">
                  <c:v>3373.5714285714298</c:v>
                </c:pt>
                <c:pt idx="78">
                  <c:v>3258.4285714285702</c:v>
                </c:pt>
                <c:pt idx="79">
                  <c:v>3201</c:v>
                </c:pt>
                <c:pt idx="80">
                  <c:v>3170.1428571428601</c:v>
                </c:pt>
                <c:pt idx="81">
                  <c:v>3090.8571428571399</c:v>
                </c:pt>
                <c:pt idx="82">
                  <c:v>3051.8571428571399</c:v>
                </c:pt>
                <c:pt idx="83">
                  <c:v>3027.4285714285702</c:v>
                </c:pt>
                <c:pt idx="84">
                  <c:v>3041.7142857142899</c:v>
                </c:pt>
                <c:pt idx="85">
                  <c:v>3131.2857142857101</c:v>
                </c:pt>
                <c:pt idx="86">
                  <c:v>3215.4285714285702</c:v>
                </c:pt>
                <c:pt idx="87">
                  <c:v>3222.1428571428601</c:v>
                </c:pt>
                <c:pt idx="88">
                  <c:v>3323.2857142857101</c:v>
                </c:pt>
                <c:pt idx="89">
                  <c:v>3443</c:v>
                </c:pt>
                <c:pt idx="90">
                  <c:v>3565.5714285714298</c:v>
                </c:pt>
                <c:pt idx="91">
                  <c:v>3686.5714285714298</c:v>
                </c:pt>
                <c:pt idx="92">
                  <c:v>3753.8571428571399</c:v>
                </c:pt>
                <c:pt idx="93">
                  <c:v>3818</c:v>
                </c:pt>
                <c:pt idx="94">
                  <c:v>3974.8571428571399</c:v>
                </c:pt>
                <c:pt idx="95">
                  <c:v>4067.7142857142899</c:v>
                </c:pt>
                <c:pt idx="96">
                  <c:v>4116.8571428571404</c:v>
                </c:pt>
                <c:pt idx="97">
                  <c:v>4167.5714285714303</c:v>
                </c:pt>
                <c:pt idx="98">
                  <c:v>4228.5714285714303</c:v>
                </c:pt>
                <c:pt idx="99">
                  <c:v>4311</c:v>
                </c:pt>
                <c:pt idx="100">
                  <c:v>4357.4285714285697</c:v>
                </c:pt>
                <c:pt idx="101">
                  <c:v>4324.4285714285697</c:v>
                </c:pt>
                <c:pt idx="102">
                  <c:v>4350</c:v>
                </c:pt>
                <c:pt idx="103">
                  <c:v>4432.1428571428596</c:v>
                </c:pt>
                <c:pt idx="104">
                  <c:v>4613</c:v>
                </c:pt>
                <c:pt idx="105">
                  <c:v>4827.7142857142899</c:v>
                </c:pt>
                <c:pt idx="106">
                  <c:v>4984.2857142857201</c:v>
                </c:pt>
                <c:pt idx="107">
                  <c:v>5273</c:v>
                </c:pt>
                <c:pt idx="108">
                  <c:v>5552.1428571428596</c:v>
                </c:pt>
                <c:pt idx="109">
                  <c:v>5913</c:v>
                </c:pt>
                <c:pt idx="110">
                  <c:v>6169.5714285714303</c:v>
                </c:pt>
                <c:pt idx="111">
                  <c:v>6437</c:v>
                </c:pt>
                <c:pt idx="112">
                  <c:v>6673.4285714285697</c:v>
                </c:pt>
                <c:pt idx="113">
                  <c:v>7036.4285714285697</c:v>
                </c:pt>
                <c:pt idx="114">
                  <c:v>7244.5714285714303</c:v>
                </c:pt>
                <c:pt idx="115">
                  <c:v>7641.4285714285697</c:v>
                </c:pt>
                <c:pt idx="116">
                  <c:v>7882.1428571428596</c:v>
                </c:pt>
                <c:pt idx="117">
                  <c:v>8196.2857142857192</c:v>
                </c:pt>
                <c:pt idx="118">
                  <c:v>8487.5714285714294</c:v>
                </c:pt>
                <c:pt idx="119">
                  <c:v>8779.5714285714294</c:v>
                </c:pt>
                <c:pt idx="120">
                  <c:v>9018.7142857142899</c:v>
                </c:pt>
                <c:pt idx="121">
                  <c:v>9326.4285714285706</c:v>
                </c:pt>
                <c:pt idx="122">
                  <c:v>9382.8571428571395</c:v>
                </c:pt>
                <c:pt idx="123">
                  <c:v>9441</c:v>
                </c:pt>
                <c:pt idx="124">
                  <c:v>9375.1428571428605</c:v>
                </c:pt>
                <c:pt idx="125">
                  <c:v>9216.7142857142899</c:v>
                </c:pt>
                <c:pt idx="126">
                  <c:v>9097.5714285714294</c:v>
                </c:pt>
                <c:pt idx="127">
                  <c:v>9047.4285714285706</c:v>
                </c:pt>
                <c:pt idx="128">
                  <c:v>9122.5714285714294</c:v>
                </c:pt>
                <c:pt idx="129">
                  <c:v>9272.4285714285706</c:v>
                </c:pt>
                <c:pt idx="130">
                  <c:v>9450.1428571428605</c:v>
                </c:pt>
                <c:pt idx="131">
                  <c:v>9740.7142857142899</c:v>
                </c:pt>
                <c:pt idx="132">
                  <c:v>10079.714285714301</c:v>
                </c:pt>
                <c:pt idx="133">
                  <c:v>10425.714285714301</c:v>
                </c:pt>
                <c:pt idx="134">
                  <c:v>10661.857142857099</c:v>
                </c:pt>
                <c:pt idx="135">
                  <c:v>10823.285714285699</c:v>
                </c:pt>
                <c:pt idx="136">
                  <c:v>11052.4285714286</c:v>
                </c:pt>
                <c:pt idx="137">
                  <c:v>11259.857142857099</c:v>
                </c:pt>
                <c:pt idx="138">
                  <c:v>11375.5714285714</c:v>
                </c:pt>
                <c:pt idx="139">
                  <c:v>11463.285714285699</c:v>
                </c:pt>
                <c:pt idx="140">
                  <c:v>11603</c:v>
                </c:pt>
                <c:pt idx="141">
                  <c:v>11790.5714285714</c:v>
                </c:pt>
                <c:pt idx="142">
                  <c:v>11927.4285714286</c:v>
                </c:pt>
                <c:pt idx="143">
                  <c:v>12027.5714285714</c:v>
                </c:pt>
                <c:pt idx="144">
                  <c:v>12186.5714285714</c:v>
                </c:pt>
                <c:pt idx="145">
                  <c:v>12452.857142857099</c:v>
                </c:pt>
                <c:pt idx="146">
                  <c:v>12658.142857142901</c:v>
                </c:pt>
                <c:pt idx="147">
                  <c:v>12837.285714285699</c:v>
                </c:pt>
                <c:pt idx="148">
                  <c:v>12927.857142857099</c:v>
                </c:pt>
                <c:pt idx="149">
                  <c:v>13000.142857142901</c:v>
                </c:pt>
                <c:pt idx="150">
                  <c:v>12983.714285714301</c:v>
                </c:pt>
                <c:pt idx="151">
                  <c:v>12793</c:v>
                </c:pt>
                <c:pt idx="152">
                  <c:v>12792.285714285699</c:v>
                </c:pt>
                <c:pt idx="153">
                  <c:v>12761</c:v>
                </c:pt>
                <c:pt idx="154">
                  <c:v>12710.142857142901</c:v>
                </c:pt>
                <c:pt idx="155">
                  <c:v>12832.142857142901</c:v>
                </c:pt>
                <c:pt idx="156">
                  <c:v>12902.4285714286</c:v>
                </c:pt>
                <c:pt idx="157">
                  <c:v>12907.142857142901</c:v>
                </c:pt>
                <c:pt idx="158">
                  <c:v>13083.285714285699</c:v>
                </c:pt>
                <c:pt idx="159">
                  <c:v>12998.5714285714</c:v>
                </c:pt>
                <c:pt idx="160">
                  <c:v>13153</c:v>
                </c:pt>
                <c:pt idx="161">
                  <c:v>13172.5714285714</c:v>
                </c:pt>
                <c:pt idx="162">
                  <c:v>13097.857142857099</c:v>
                </c:pt>
                <c:pt idx="163">
                  <c:v>13163.5714285714</c:v>
                </c:pt>
                <c:pt idx="164">
                  <c:v>13284.4285714286</c:v>
                </c:pt>
                <c:pt idx="165">
                  <c:v>13241.4285714286</c:v>
                </c:pt>
                <c:pt idx="166">
                  <c:v>13318.5714285714</c:v>
                </c:pt>
                <c:pt idx="167">
                  <c:v>13185.857142857099</c:v>
                </c:pt>
                <c:pt idx="168">
                  <c:v>13116.714285714301</c:v>
                </c:pt>
                <c:pt idx="169">
                  <c:v>12925.5714285714</c:v>
                </c:pt>
                <c:pt idx="170">
                  <c:v>12751.5714285714</c:v>
                </c:pt>
                <c:pt idx="171">
                  <c:v>12502.857142857099</c:v>
                </c:pt>
                <c:pt idx="172">
                  <c:v>12346.4285714286</c:v>
                </c:pt>
                <c:pt idx="173">
                  <c:v>12213.857142857099</c:v>
                </c:pt>
                <c:pt idx="174">
                  <c:v>12017.285714285699</c:v>
                </c:pt>
                <c:pt idx="175">
                  <c:v>11825.142857142901</c:v>
                </c:pt>
                <c:pt idx="176">
                  <c:v>11756.285714285699</c:v>
                </c:pt>
                <c:pt idx="177">
                  <c:v>11443.857142857099</c:v>
                </c:pt>
                <c:pt idx="178">
                  <c:v>11256.4285714286</c:v>
                </c:pt>
                <c:pt idx="179">
                  <c:v>11012.4285714286</c:v>
                </c:pt>
                <c:pt idx="180">
                  <c:v>10822</c:v>
                </c:pt>
                <c:pt idx="181">
                  <c:v>10815.5714285714</c:v>
                </c:pt>
                <c:pt idx="182">
                  <c:v>10856.857142857099</c:v>
                </c:pt>
                <c:pt idx="183">
                  <c:v>10728.714285714301</c:v>
                </c:pt>
                <c:pt idx="184">
                  <c:v>10739</c:v>
                </c:pt>
                <c:pt idx="185">
                  <c:v>10784</c:v>
                </c:pt>
                <c:pt idx="186">
                  <c:v>10782</c:v>
                </c:pt>
                <c:pt idx="187">
                  <c:v>10661.142857142901</c:v>
                </c:pt>
                <c:pt idx="188">
                  <c:v>10548.4285714286</c:v>
                </c:pt>
                <c:pt idx="189">
                  <c:v>10352.857142857099</c:v>
                </c:pt>
                <c:pt idx="190">
                  <c:v>10236.142857142901</c:v>
                </c:pt>
                <c:pt idx="191">
                  <c:v>10025.4285714286</c:v>
                </c:pt>
                <c:pt idx="192">
                  <c:v>9599.5714285714294</c:v>
                </c:pt>
                <c:pt idx="193">
                  <c:v>9325.7142857142899</c:v>
                </c:pt>
                <c:pt idx="194">
                  <c:v>9040</c:v>
                </c:pt>
                <c:pt idx="195">
                  <c:v>8717.4285714285706</c:v>
                </c:pt>
                <c:pt idx="196">
                  <c:v>8674.2857142857101</c:v>
                </c:pt>
                <c:pt idx="197">
                  <c:v>8624.1428571428605</c:v>
                </c:pt>
                <c:pt idx="198">
                  <c:v>8666</c:v>
                </c:pt>
                <c:pt idx="199">
                  <c:v>8824.8571428571395</c:v>
                </c:pt>
                <c:pt idx="200">
                  <c:v>8863.8571428571395</c:v>
                </c:pt>
                <c:pt idx="201">
                  <c:v>9053.7142857142899</c:v>
                </c:pt>
                <c:pt idx="202">
                  <c:v>9277.7142857142899</c:v>
                </c:pt>
                <c:pt idx="203">
                  <c:v>9255.8571428571395</c:v>
                </c:pt>
                <c:pt idx="204">
                  <c:v>9392.1428571428605</c:v>
                </c:pt>
                <c:pt idx="205">
                  <c:v>9457.5714285714294</c:v>
                </c:pt>
                <c:pt idx="206">
                  <c:v>9650.2857142857101</c:v>
                </c:pt>
                <c:pt idx="207">
                  <c:v>9905.1428571428605</c:v>
                </c:pt>
                <c:pt idx="208">
                  <c:v>9883.1428571428605</c:v>
                </c:pt>
                <c:pt idx="209">
                  <c:v>10067.857142857099</c:v>
                </c:pt>
                <c:pt idx="210">
                  <c:v>10196.5714285714</c:v>
                </c:pt>
                <c:pt idx="211">
                  <c:v>10146.857142857099</c:v>
                </c:pt>
                <c:pt idx="212">
                  <c:v>10137</c:v>
                </c:pt>
                <c:pt idx="213">
                  <c:v>10065</c:v>
                </c:pt>
                <c:pt idx="214">
                  <c:v>9842.5714285714294</c:v>
                </c:pt>
                <c:pt idx="215">
                  <c:v>9967.2857142857101</c:v>
                </c:pt>
                <c:pt idx="216">
                  <c:v>9774.4285714285706</c:v>
                </c:pt>
                <c:pt idx="217">
                  <c:v>9679.5714285714294</c:v>
                </c:pt>
                <c:pt idx="218">
                  <c:v>9653</c:v>
                </c:pt>
                <c:pt idx="219">
                  <c:v>9633.1428571428605</c:v>
                </c:pt>
                <c:pt idx="220">
                  <c:v>9576.8571428571395</c:v>
                </c:pt>
                <c:pt idx="221">
                  <c:v>9702.8571428571395</c:v>
                </c:pt>
                <c:pt idx="222">
                  <c:v>9565.7142857142899</c:v>
                </c:pt>
                <c:pt idx="223">
                  <c:v>9480.8571428571395</c:v>
                </c:pt>
                <c:pt idx="224">
                  <c:v>9421.7142857142899</c:v>
                </c:pt>
                <c:pt idx="225">
                  <c:v>9609.5714285714294</c:v>
                </c:pt>
                <c:pt idx="226">
                  <c:v>9764.1428571428605</c:v>
                </c:pt>
                <c:pt idx="227">
                  <c:v>9920.2857142857101</c:v>
                </c:pt>
                <c:pt idx="228">
                  <c:v>9990.4285714285706</c:v>
                </c:pt>
                <c:pt idx="229">
                  <c:v>10238.857142857099</c:v>
                </c:pt>
                <c:pt idx="230">
                  <c:v>10590.4285714286</c:v>
                </c:pt>
                <c:pt idx="231">
                  <c:v>10840.5714285714</c:v>
                </c:pt>
                <c:pt idx="232">
                  <c:v>10802</c:v>
                </c:pt>
                <c:pt idx="233">
                  <c:v>10793.857142857099</c:v>
                </c:pt>
                <c:pt idx="234">
                  <c:v>10783.4285714286</c:v>
                </c:pt>
                <c:pt idx="235">
                  <c:v>10895.4285714286</c:v>
                </c:pt>
                <c:pt idx="236">
                  <c:v>11045.4285714286</c:v>
                </c:pt>
                <c:pt idx="237">
                  <c:v>10939.714285714301</c:v>
                </c:pt>
                <c:pt idx="238">
                  <c:v>11036.285714285699</c:v>
                </c:pt>
                <c:pt idx="239">
                  <c:v>11211</c:v>
                </c:pt>
                <c:pt idx="240">
                  <c:v>11280.4285714286</c:v>
                </c:pt>
                <c:pt idx="241">
                  <c:v>11352.285714285699</c:v>
                </c:pt>
                <c:pt idx="242">
                  <c:v>11578.4285714286</c:v>
                </c:pt>
                <c:pt idx="243">
                  <c:v>11548.714285714301</c:v>
                </c:pt>
                <c:pt idx="244">
                  <c:v>11980.285714285699</c:v>
                </c:pt>
                <c:pt idx="245">
                  <c:v>12244.285714285699</c:v>
                </c:pt>
                <c:pt idx="246">
                  <c:v>12383</c:v>
                </c:pt>
                <c:pt idx="247">
                  <c:v>12604.285714285699</c:v>
                </c:pt>
                <c:pt idx="248">
                  <c:v>12888.285714285699</c:v>
                </c:pt>
                <c:pt idx="249">
                  <c:v>12916.5714285714</c:v>
                </c:pt>
                <c:pt idx="250">
                  <c:v>13074.4285714286</c:v>
                </c:pt>
                <c:pt idx="251">
                  <c:v>13121.714285714301</c:v>
                </c:pt>
                <c:pt idx="252">
                  <c:v>13181.142857142901</c:v>
                </c:pt>
                <c:pt idx="253">
                  <c:v>13307</c:v>
                </c:pt>
                <c:pt idx="254">
                  <c:v>13325.5714285714</c:v>
                </c:pt>
                <c:pt idx="255">
                  <c:v>13259.857142857099</c:v>
                </c:pt>
                <c:pt idx="256">
                  <c:v>13561.5714285714</c:v>
                </c:pt>
                <c:pt idx="257">
                  <c:v>13755</c:v>
                </c:pt>
                <c:pt idx="258">
                  <c:v>13962.5714285714</c:v>
                </c:pt>
                <c:pt idx="259">
                  <c:v>14037.714285714301</c:v>
                </c:pt>
                <c:pt idx="260">
                  <c:v>14122.285714285699</c:v>
                </c:pt>
                <c:pt idx="261">
                  <c:v>14182.285714285699</c:v>
                </c:pt>
                <c:pt idx="262">
                  <c:v>14067.714285714301</c:v>
                </c:pt>
                <c:pt idx="263">
                  <c:v>13873.857142857099</c:v>
                </c:pt>
                <c:pt idx="264">
                  <c:v>13843.285714285699</c:v>
                </c:pt>
                <c:pt idx="265">
                  <c:v>13920.285714285699</c:v>
                </c:pt>
                <c:pt idx="266">
                  <c:v>14184.857142857099</c:v>
                </c:pt>
                <c:pt idx="267">
                  <c:v>14454.285714285699</c:v>
                </c:pt>
                <c:pt idx="268">
                  <c:v>14666.5714285714</c:v>
                </c:pt>
                <c:pt idx="269">
                  <c:v>14883.714285714301</c:v>
                </c:pt>
                <c:pt idx="270">
                  <c:v>15115.857142857099</c:v>
                </c:pt>
                <c:pt idx="271">
                  <c:v>15205.142857142901</c:v>
                </c:pt>
                <c:pt idx="272">
                  <c:v>15268.714285714301</c:v>
                </c:pt>
                <c:pt idx="273">
                  <c:v>15392.4285714286</c:v>
                </c:pt>
                <c:pt idx="274">
                  <c:v>15651.857142857099</c:v>
                </c:pt>
                <c:pt idx="275">
                  <c:v>16049.5714285714</c:v>
                </c:pt>
                <c:pt idx="276">
                  <c:v>16513.571428571398</c:v>
                </c:pt>
                <c:pt idx="277">
                  <c:v>16993</c:v>
                </c:pt>
                <c:pt idx="278">
                  <c:v>17302.142857142899</c:v>
                </c:pt>
                <c:pt idx="279">
                  <c:v>17978.428571428602</c:v>
                </c:pt>
                <c:pt idx="280">
                  <c:v>18379.714285714301</c:v>
                </c:pt>
                <c:pt idx="281">
                  <c:v>18789.285714285699</c:v>
                </c:pt>
                <c:pt idx="282">
                  <c:v>19122.142857142899</c:v>
                </c:pt>
                <c:pt idx="283">
                  <c:v>19341</c:v>
                </c:pt>
                <c:pt idx="284">
                  <c:v>19604.142857142899</c:v>
                </c:pt>
                <c:pt idx="285">
                  <c:v>20471.714285714301</c:v>
                </c:pt>
                <c:pt idx="286">
                  <c:v>20675.142857142899</c:v>
                </c:pt>
                <c:pt idx="287">
                  <c:v>20992.714285714301</c:v>
                </c:pt>
                <c:pt idx="288">
                  <c:v>21306.428571428602</c:v>
                </c:pt>
                <c:pt idx="289">
                  <c:v>21848.857142857101</c:v>
                </c:pt>
                <c:pt idx="290">
                  <c:v>22300.142857142899</c:v>
                </c:pt>
                <c:pt idx="291">
                  <c:v>22591</c:v>
                </c:pt>
                <c:pt idx="292">
                  <c:v>22839.857142857101</c:v>
                </c:pt>
                <c:pt idx="293">
                  <c:v>23272.285714285699</c:v>
                </c:pt>
                <c:pt idx="294">
                  <c:v>23809.285714285699</c:v>
                </c:pt>
                <c:pt idx="295">
                  <c:v>24221.285714285699</c:v>
                </c:pt>
                <c:pt idx="296">
                  <c:v>24298</c:v>
                </c:pt>
                <c:pt idx="297">
                  <c:v>24545</c:v>
                </c:pt>
                <c:pt idx="298">
                  <c:v>24655</c:v>
                </c:pt>
                <c:pt idx="299">
                  <c:v>24857</c:v>
                </c:pt>
                <c:pt idx="300">
                  <c:v>25111.428571428602</c:v>
                </c:pt>
                <c:pt idx="301">
                  <c:v>25536.571428571398</c:v>
                </c:pt>
                <c:pt idx="302">
                  <c:v>25539.571428571398</c:v>
                </c:pt>
                <c:pt idx="303">
                  <c:v>25743.857142857101</c:v>
                </c:pt>
                <c:pt idx="304">
                  <c:v>25734.571428571398</c:v>
                </c:pt>
                <c:pt idx="305">
                  <c:v>26105.857142857101</c:v>
                </c:pt>
                <c:pt idx="306">
                  <c:v>25800.714285714301</c:v>
                </c:pt>
                <c:pt idx="307">
                  <c:v>25478.142857142899</c:v>
                </c:pt>
                <c:pt idx="308">
                  <c:v>25030.857142857101</c:v>
                </c:pt>
                <c:pt idx="309">
                  <c:v>25059.428571428602</c:v>
                </c:pt>
                <c:pt idx="310">
                  <c:v>25113.857142857101</c:v>
                </c:pt>
                <c:pt idx="311">
                  <c:v>25052.285714285699</c:v>
                </c:pt>
                <c:pt idx="312">
                  <c:v>24828.857142857101</c:v>
                </c:pt>
                <c:pt idx="313">
                  <c:v>24905.428571428602</c:v>
                </c:pt>
                <c:pt idx="314">
                  <c:v>24878.714285714301</c:v>
                </c:pt>
                <c:pt idx="315">
                  <c:v>24624.714285714301</c:v>
                </c:pt>
                <c:pt idx="316">
                  <c:v>24412.714285714301</c:v>
                </c:pt>
                <c:pt idx="317">
                  <c:v>23937.285714285699</c:v>
                </c:pt>
                <c:pt idx="318">
                  <c:v>23544.428571428602</c:v>
                </c:pt>
                <c:pt idx="319">
                  <c:v>23345.857142857101</c:v>
                </c:pt>
                <c:pt idx="320">
                  <c:v>22814</c:v>
                </c:pt>
                <c:pt idx="321">
                  <c:v>22181</c:v>
                </c:pt>
                <c:pt idx="322">
                  <c:v>21462.142857142899</c:v>
                </c:pt>
                <c:pt idx="323">
                  <c:v>20695</c:v>
                </c:pt>
                <c:pt idx="324">
                  <c:v>19926.428571428602</c:v>
                </c:pt>
                <c:pt idx="325">
                  <c:v>19292</c:v>
                </c:pt>
                <c:pt idx="326">
                  <c:v>18341</c:v>
                </c:pt>
                <c:pt idx="327">
                  <c:v>17658.857142857101</c:v>
                </c:pt>
                <c:pt idx="328">
                  <c:v>17006.428571428602</c:v>
                </c:pt>
                <c:pt idx="329">
                  <c:v>16647.714285714301</c:v>
                </c:pt>
                <c:pt idx="330">
                  <c:v>16222.857142857099</c:v>
                </c:pt>
                <c:pt idx="331">
                  <c:v>15871.285714285699</c:v>
                </c:pt>
                <c:pt idx="332">
                  <c:v>15593.5714285714</c:v>
                </c:pt>
                <c:pt idx="333">
                  <c:v>15469.4285714286</c:v>
                </c:pt>
                <c:pt idx="334">
                  <c:v>15259.4285714286</c:v>
                </c:pt>
                <c:pt idx="335">
                  <c:v>15084.857142857099</c:v>
                </c:pt>
                <c:pt idx="336">
                  <c:v>14854.4285714286</c:v>
                </c:pt>
                <c:pt idx="337">
                  <c:v>14700.285714285699</c:v>
                </c:pt>
                <c:pt idx="338">
                  <c:v>14585.142857142901</c:v>
                </c:pt>
                <c:pt idx="339">
                  <c:v>14431.285714285699</c:v>
                </c:pt>
                <c:pt idx="340">
                  <c:v>14211</c:v>
                </c:pt>
                <c:pt idx="341">
                  <c:v>14131.285714285699</c:v>
                </c:pt>
                <c:pt idx="342">
                  <c:v>14151</c:v>
                </c:pt>
                <c:pt idx="343">
                  <c:v>14265</c:v>
                </c:pt>
                <c:pt idx="344">
                  <c:v>14394.142857142901</c:v>
                </c:pt>
                <c:pt idx="345">
                  <c:v>14523.4285714286</c:v>
                </c:pt>
                <c:pt idx="346">
                  <c:v>14839.5714285714</c:v>
                </c:pt>
                <c:pt idx="347">
                  <c:v>15197</c:v>
                </c:pt>
                <c:pt idx="348">
                  <c:v>15427.714285714301</c:v>
                </c:pt>
                <c:pt idx="349">
                  <c:v>15619.4285714286</c:v>
                </c:pt>
                <c:pt idx="350">
                  <c:v>15783.714285714301</c:v>
                </c:pt>
                <c:pt idx="351">
                  <c:v>16151.142857142901</c:v>
                </c:pt>
                <c:pt idx="352">
                  <c:v>16646.571428571398</c:v>
                </c:pt>
                <c:pt idx="353">
                  <c:v>17159.285714285699</c:v>
                </c:pt>
                <c:pt idx="354">
                  <c:v>17398.857142857101</c:v>
                </c:pt>
                <c:pt idx="355">
                  <c:v>17579.142857142899</c:v>
                </c:pt>
                <c:pt idx="356">
                  <c:v>17935</c:v>
                </c:pt>
                <c:pt idx="357">
                  <c:v>18243.428571428602</c:v>
                </c:pt>
                <c:pt idx="358">
                  <c:v>18354</c:v>
                </c:pt>
                <c:pt idx="359">
                  <c:v>18546</c:v>
                </c:pt>
                <c:pt idx="360">
                  <c:v>18632</c:v>
                </c:pt>
                <c:pt idx="361">
                  <c:v>18705.142857142899</c:v>
                </c:pt>
                <c:pt idx="362">
                  <c:v>18760.428571428602</c:v>
                </c:pt>
                <c:pt idx="363">
                  <c:v>18660.428571428602</c:v>
                </c:pt>
                <c:pt idx="364">
                  <c:v>18512.285714285699</c:v>
                </c:pt>
                <c:pt idx="365">
                  <c:v>18326.285714285699</c:v>
                </c:pt>
                <c:pt idx="366">
                  <c:v>17905.142857142899</c:v>
                </c:pt>
                <c:pt idx="367">
                  <c:v>17697.571428571398</c:v>
                </c:pt>
                <c:pt idx="368">
                  <c:v>17641</c:v>
                </c:pt>
                <c:pt idx="369">
                  <c:v>17615</c:v>
                </c:pt>
                <c:pt idx="370">
                  <c:v>17591.285714285699</c:v>
                </c:pt>
                <c:pt idx="371">
                  <c:v>17675.142857142899</c:v>
                </c:pt>
                <c:pt idx="372">
                  <c:v>17685.714285714301</c:v>
                </c:pt>
                <c:pt idx="373">
                  <c:v>17846</c:v>
                </c:pt>
                <c:pt idx="374">
                  <c:v>17672.428571428602</c:v>
                </c:pt>
                <c:pt idx="375">
                  <c:v>17537</c:v>
                </c:pt>
                <c:pt idx="376">
                  <c:v>17460.428571428602</c:v>
                </c:pt>
                <c:pt idx="377">
                  <c:v>17518.857142857101</c:v>
                </c:pt>
                <c:pt idx="378">
                  <c:v>17635</c:v>
                </c:pt>
                <c:pt idx="379">
                  <c:v>17679</c:v>
                </c:pt>
                <c:pt idx="380">
                  <c:v>17825.428571428602</c:v>
                </c:pt>
                <c:pt idx="381">
                  <c:v>18071.142857142899</c:v>
                </c:pt>
                <c:pt idx="382">
                  <c:v>18363.714285714301</c:v>
                </c:pt>
                <c:pt idx="383">
                  <c:v>18767.571428571398</c:v>
                </c:pt>
                <c:pt idx="384">
                  <c:v>19084.285714285699</c:v>
                </c:pt>
                <c:pt idx="385">
                  <c:v>19338.571428571398</c:v>
                </c:pt>
                <c:pt idx="386">
                  <c:v>19692.285714285699</c:v>
                </c:pt>
                <c:pt idx="387">
                  <c:v>19889.857142857101</c:v>
                </c:pt>
                <c:pt idx="388">
                  <c:v>20018.857142857101</c:v>
                </c:pt>
                <c:pt idx="389">
                  <c:v>20309.857142857101</c:v>
                </c:pt>
                <c:pt idx="390">
                  <c:v>20582</c:v>
                </c:pt>
                <c:pt idx="391">
                  <c:v>20863.571428571398</c:v>
                </c:pt>
                <c:pt idx="392">
                  <c:v>21142.857142857101</c:v>
                </c:pt>
                <c:pt idx="393">
                  <c:v>21339.714285714301</c:v>
                </c:pt>
                <c:pt idx="394">
                  <c:v>21436.285714285699</c:v>
                </c:pt>
                <c:pt idx="395">
                  <c:v>21831.571428571398</c:v>
                </c:pt>
                <c:pt idx="396">
                  <c:v>22087.285714285699</c:v>
                </c:pt>
                <c:pt idx="397">
                  <c:v>22427.857142857101</c:v>
                </c:pt>
                <c:pt idx="398">
                  <c:v>22863.285714285699</c:v>
                </c:pt>
                <c:pt idx="399">
                  <c:v>23310.285714285699</c:v>
                </c:pt>
                <c:pt idx="400">
                  <c:v>23766.285714285699</c:v>
                </c:pt>
                <c:pt idx="401">
                  <c:v>24444.857142857101</c:v>
                </c:pt>
                <c:pt idx="402">
                  <c:v>24698.142857142899</c:v>
                </c:pt>
                <c:pt idx="403">
                  <c:v>25084.571428571398</c:v>
                </c:pt>
                <c:pt idx="404">
                  <c:v>25496.142857142899</c:v>
                </c:pt>
                <c:pt idx="405">
                  <c:v>25844</c:v>
                </c:pt>
                <c:pt idx="406">
                  <c:v>26186.142857142899</c:v>
                </c:pt>
                <c:pt idx="407">
                  <c:v>26743.857142857101</c:v>
                </c:pt>
                <c:pt idx="408">
                  <c:v>27072.285714285699</c:v>
                </c:pt>
                <c:pt idx="409">
                  <c:v>27328.142857142899</c:v>
                </c:pt>
                <c:pt idx="410">
                  <c:v>27652.714285714301</c:v>
                </c:pt>
                <c:pt idx="411">
                  <c:v>28076</c:v>
                </c:pt>
                <c:pt idx="412">
                  <c:v>28452.857142857101</c:v>
                </c:pt>
                <c:pt idx="413">
                  <c:v>28613.428571428602</c:v>
                </c:pt>
                <c:pt idx="414">
                  <c:v>28849.857142857101</c:v>
                </c:pt>
                <c:pt idx="415">
                  <c:v>29008.571428571398</c:v>
                </c:pt>
                <c:pt idx="416">
                  <c:v>28973</c:v>
                </c:pt>
                <c:pt idx="417">
                  <c:v>29357.714285714301</c:v>
                </c:pt>
                <c:pt idx="418">
                  <c:v>29496.285714285699</c:v>
                </c:pt>
                <c:pt idx="419">
                  <c:v>29759.857142857101</c:v>
                </c:pt>
                <c:pt idx="420">
                  <c:v>30216.8571428572</c:v>
                </c:pt>
                <c:pt idx="421">
                  <c:v>30381.857142857101</c:v>
                </c:pt>
                <c:pt idx="422">
                  <c:v>30498.714285714301</c:v>
                </c:pt>
                <c:pt idx="423">
                  <c:v>30529.857142857101</c:v>
                </c:pt>
                <c:pt idx="424">
                  <c:v>30656.142857142899</c:v>
                </c:pt>
                <c:pt idx="425">
                  <c:v>30516.142857142899</c:v>
                </c:pt>
                <c:pt idx="426">
                  <c:v>30372.142857142899</c:v>
                </c:pt>
                <c:pt idx="427">
                  <c:v>30409.142857142899</c:v>
                </c:pt>
                <c:pt idx="428">
                  <c:v>30451.428571428602</c:v>
                </c:pt>
                <c:pt idx="429">
                  <c:v>30477.571428571398</c:v>
                </c:pt>
                <c:pt idx="430">
                  <c:v>30660.428571428602</c:v>
                </c:pt>
                <c:pt idx="431">
                  <c:v>30809.142857142899</c:v>
                </c:pt>
                <c:pt idx="432">
                  <c:v>31060.285714285699</c:v>
                </c:pt>
                <c:pt idx="433">
                  <c:v>31443.285714285699</c:v>
                </c:pt>
                <c:pt idx="434">
                  <c:v>31559</c:v>
                </c:pt>
                <c:pt idx="435">
                  <c:v>31951.571428571398</c:v>
                </c:pt>
                <c:pt idx="436">
                  <c:v>32202.142857142899</c:v>
                </c:pt>
                <c:pt idx="437">
                  <c:v>32599.428571428602</c:v>
                </c:pt>
                <c:pt idx="438">
                  <c:v>33086.285714285703</c:v>
                </c:pt>
                <c:pt idx="439">
                  <c:v>33794.428571428602</c:v>
                </c:pt>
                <c:pt idx="440">
                  <c:v>34778.857142857101</c:v>
                </c:pt>
                <c:pt idx="441">
                  <c:v>36410.857142857101</c:v>
                </c:pt>
                <c:pt idx="442">
                  <c:v>38041.285714285703</c:v>
                </c:pt>
                <c:pt idx="443">
                  <c:v>39662.285714285703</c:v>
                </c:pt>
                <c:pt idx="444">
                  <c:v>41034</c:v>
                </c:pt>
                <c:pt idx="445">
                  <c:v>42213</c:v>
                </c:pt>
                <c:pt idx="446">
                  <c:v>43429.142857142899</c:v>
                </c:pt>
                <c:pt idx="447">
                  <c:v>44166.857142857101</c:v>
                </c:pt>
                <c:pt idx="448">
                  <c:v>44472.428571428602</c:v>
                </c:pt>
                <c:pt idx="449">
                  <c:v>44331.142857142899</c:v>
                </c:pt>
                <c:pt idx="450">
                  <c:v>44430.857142857203</c:v>
                </c:pt>
                <c:pt idx="451">
                  <c:v>44271.571428571398</c:v>
                </c:pt>
                <c:pt idx="452">
                  <c:v>44028.428571428602</c:v>
                </c:pt>
                <c:pt idx="453">
                  <c:v>44061.571428571398</c:v>
                </c:pt>
                <c:pt idx="454">
                  <c:v>44030.142857142899</c:v>
                </c:pt>
                <c:pt idx="455">
                  <c:v>43849.571428571398</c:v>
                </c:pt>
                <c:pt idx="456">
                  <c:v>43623</c:v>
                </c:pt>
                <c:pt idx="457">
                  <c:v>43140.142857142899</c:v>
                </c:pt>
                <c:pt idx="458">
                  <c:v>42687</c:v>
                </c:pt>
                <c:pt idx="459">
                  <c:v>42156.714285714297</c:v>
                </c:pt>
                <c:pt idx="460">
                  <c:v>41238</c:v>
                </c:pt>
                <c:pt idx="461">
                  <c:v>40241.142857142899</c:v>
                </c:pt>
                <c:pt idx="462">
                  <c:v>39191.142857142899</c:v>
                </c:pt>
                <c:pt idx="463">
                  <c:v>38136.428571428602</c:v>
                </c:pt>
                <c:pt idx="464">
                  <c:v>37277.857142857101</c:v>
                </c:pt>
                <c:pt idx="465">
                  <c:v>36650.142857142899</c:v>
                </c:pt>
                <c:pt idx="466">
                  <c:v>35962.857142857101</c:v>
                </c:pt>
                <c:pt idx="467">
                  <c:v>35439.857142857101</c:v>
                </c:pt>
                <c:pt idx="468">
                  <c:v>34933.714285714297</c:v>
                </c:pt>
                <c:pt idx="469">
                  <c:v>33765.142857142899</c:v>
                </c:pt>
                <c:pt idx="470">
                  <c:v>33241.285714285703</c:v>
                </c:pt>
                <c:pt idx="471">
                  <c:v>32606.285714285699</c:v>
                </c:pt>
                <c:pt idx="472">
                  <c:v>31908.857142857101</c:v>
                </c:pt>
                <c:pt idx="473">
                  <c:v>30865.142857142899</c:v>
                </c:pt>
                <c:pt idx="474">
                  <c:v>30414.857142857101</c:v>
                </c:pt>
                <c:pt idx="475">
                  <c:v>29791.8571428572</c:v>
                </c:pt>
                <c:pt idx="476">
                  <c:v>29219.714285714301</c:v>
                </c:pt>
                <c:pt idx="477">
                  <c:v>28104.285714285699</c:v>
                </c:pt>
                <c:pt idx="478">
                  <c:v>26262.428571428602</c:v>
                </c:pt>
                <c:pt idx="479">
                  <c:v>24828.428571428602</c:v>
                </c:pt>
                <c:pt idx="480">
                  <c:v>24348.285714285699</c:v>
                </c:pt>
                <c:pt idx="481">
                  <c:v>23393.428571428602</c:v>
                </c:pt>
                <c:pt idx="482">
                  <c:v>22627.428571428602</c:v>
                </c:pt>
                <c:pt idx="483">
                  <c:v>22189.285714285699</c:v>
                </c:pt>
                <c:pt idx="484">
                  <c:v>21936</c:v>
                </c:pt>
                <c:pt idx="485">
                  <c:v>22550.428571428602</c:v>
                </c:pt>
                <c:pt idx="486">
                  <c:v>22915.285714285699</c:v>
                </c:pt>
                <c:pt idx="487">
                  <c:v>22505.142857142899</c:v>
                </c:pt>
                <c:pt idx="488">
                  <c:v>22791.285714285699</c:v>
                </c:pt>
                <c:pt idx="489">
                  <c:v>22571.571428571398</c:v>
                </c:pt>
                <c:pt idx="490">
                  <c:v>22316.857142857101</c:v>
                </c:pt>
                <c:pt idx="491">
                  <c:v>22427.714285714301</c:v>
                </c:pt>
                <c:pt idx="492">
                  <c:v>22419.285714285699</c:v>
                </c:pt>
                <c:pt idx="493">
                  <c:v>22233.428571428602</c:v>
                </c:pt>
                <c:pt idx="494">
                  <c:v>22275.714285714301</c:v>
                </c:pt>
                <c:pt idx="495">
                  <c:v>21962.714285714301</c:v>
                </c:pt>
                <c:pt idx="496">
                  <c:v>21766.714285714301</c:v>
                </c:pt>
                <c:pt idx="497">
                  <c:v>22077</c:v>
                </c:pt>
                <c:pt idx="498">
                  <c:v>21691.428571428602</c:v>
                </c:pt>
                <c:pt idx="499">
                  <c:v>21449.857142857101</c:v>
                </c:pt>
                <c:pt idx="500">
                  <c:v>21425.714285714301</c:v>
                </c:pt>
                <c:pt idx="501">
                  <c:v>21133.428571428602</c:v>
                </c:pt>
                <c:pt idx="502">
                  <c:v>20047.571428571398</c:v>
                </c:pt>
                <c:pt idx="503">
                  <c:v>19856.285714285699</c:v>
                </c:pt>
                <c:pt idx="504">
                  <c:v>19775.714285714301</c:v>
                </c:pt>
                <c:pt idx="505">
                  <c:v>19786.571428571398</c:v>
                </c:pt>
                <c:pt idx="506">
                  <c:v>20487.285714285699</c:v>
                </c:pt>
                <c:pt idx="507">
                  <c:v>20674</c:v>
                </c:pt>
                <c:pt idx="508">
                  <c:v>21308.571428571398</c:v>
                </c:pt>
                <c:pt idx="509">
                  <c:v>22296.857142857101</c:v>
                </c:pt>
                <c:pt idx="510">
                  <c:v>22581.714285714301</c:v>
                </c:pt>
                <c:pt idx="511">
                  <c:v>22635.571428571398</c:v>
                </c:pt>
                <c:pt idx="512">
                  <c:v>22955.714285714301</c:v>
                </c:pt>
                <c:pt idx="513">
                  <c:v>22465</c:v>
                </c:pt>
                <c:pt idx="514">
                  <c:v>22308</c:v>
                </c:pt>
                <c:pt idx="515">
                  <c:v>22474.571428571398</c:v>
                </c:pt>
                <c:pt idx="516">
                  <c:v>22613.571428571398</c:v>
                </c:pt>
                <c:pt idx="517">
                  <c:v>23096.428571428602</c:v>
                </c:pt>
                <c:pt idx="518">
                  <c:v>23362.857142857101</c:v>
                </c:pt>
                <c:pt idx="519">
                  <c:v>23655.142857142899</c:v>
                </c:pt>
                <c:pt idx="520">
                  <c:v>23846.857142857101</c:v>
                </c:pt>
                <c:pt idx="521">
                  <c:v>24138.857142857101</c:v>
                </c:pt>
                <c:pt idx="522">
                  <c:v>24462.714285714301</c:v>
                </c:pt>
                <c:pt idx="523">
                  <c:v>24830.285714285699</c:v>
                </c:pt>
                <c:pt idx="524">
                  <c:v>25059.571428571398</c:v>
                </c:pt>
                <c:pt idx="525">
                  <c:v>25242.857142857101</c:v>
                </c:pt>
                <c:pt idx="526">
                  <c:v>25818</c:v>
                </c:pt>
                <c:pt idx="527">
                  <c:v>26340</c:v>
                </c:pt>
                <c:pt idx="528">
                  <c:v>26443.857142857101</c:v>
                </c:pt>
                <c:pt idx="529">
                  <c:v>27134.428571428602</c:v>
                </c:pt>
                <c:pt idx="530">
                  <c:v>27809.428571428602</c:v>
                </c:pt>
                <c:pt idx="531">
                  <c:v>28544.714285714301</c:v>
                </c:pt>
                <c:pt idx="532">
                  <c:v>29569.571428571398</c:v>
                </c:pt>
                <c:pt idx="533">
                  <c:v>31110.571428571398</c:v>
                </c:pt>
                <c:pt idx="534">
                  <c:v>31944.8571428572</c:v>
                </c:pt>
                <c:pt idx="535">
                  <c:v>32650</c:v>
                </c:pt>
                <c:pt idx="536">
                  <c:v>33453.857142857203</c:v>
                </c:pt>
                <c:pt idx="537">
                  <c:v>34511</c:v>
                </c:pt>
                <c:pt idx="538">
                  <c:v>35600.857142857101</c:v>
                </c:pt>
                <c:pt idx="539">
                  <c:v>36738.428571428602</c:v>
                </c:pt>
                <c:pt idx="540">
                  <c:v>36843</c:v>
                </c:pt>
                <c:pt idx="541">
                  <c:v>37711.142857142899</c:v>
                </c:pt>
                <c:pt idx="542">
                  <c:v>38361.857142857101</c:v>
                </c:pt>
                <c:pt idx="543">
                  <c:v>38847.428571428602</c:v>
                </c:pt>
                <c:pt idx="544">
                  <c:v>39357.571428571398</c:v>
                </c:pt>
                <c:pt idx="545">
                  <c:v>39742.428571428602</c:v>
                </c:pt>
                <c:pt idx="546">
                  <c:v>39424.428571428602</c:v>
                </c:pt>
                <c:pt idx="547">
                  <c:v>38304.571428571398</c:v>
                </c:pt>
                <c:pt idx="548">
                  <c:v>38214.714285714297</c:v>
                </c:pt>
                <c:pt idx="549">
                  <c:v>38684.142857142899</c:v>
                </c:pt>
                <c:pt idx="550">
                  <c:v>40215.428571428602</c:v>
                </c:pt>
                <c:pt idx="551">
                  <c:v>41704.571428571398</c:v>
                </c:pt>
                <c:pt idx="552">
                  <c:v>43666.428571428602</c:v>
                </c:pt>
                <c:pt idx="553">
                  <c:v>46100.285714285703</c:v>
                </c:pt>
                <c:pt idx="554">
                  <c:v>49163.142857142899</c:v>
                </c:pt>
                <c:pt idx="555">
                  <c:v>50107.714285714297</c:v>
                </c:pt>
                <c:pt idx="556">
                  <c:v>50990.714285714297</c:v>
                </c:pt>
                <c:pt idx="557">
                  <c:v>51309.285714285703</c:v>
                </c:pt>
                <c:pt idx="558">
                  <c:v>51695.142857142899</c:v>
                </c:pt>
                <c:pt idx="559">
                  <c:v>51849.142857142899</c:v>
                </c:pt>
                <c:pt idx="560">
                  <c:v>52210.142857142899</c:v>
                </c:pt>
                <c:pt idx="561">
                  <c:v>52449.428571428602</c:v>
                </c:pt>
                <c:pt idx="562">
                  <c:v>54353.714285714297</c:v>
                </c:pt>
                <c:pt idx="563">
                  <c:v>54496</c:v>
                </c:pt>
                <c:pt idx="564">
                  <c:v>55007</c:v>
                </c:pt>
                <c:pt idx="565">
                  <c:v>55042.142857142899</c:v>
                </c:pt>
                <c:pt idx="566">
                  <c:v>54637.428571428602</c:v>
                </c:pt>
                <c:pt idx="567">
                  <c:v>54549.285714285703</c:v>
                </c:pt>
                <c:pt idx="568">
                  <c:v>54493.428571428602</c:v>
                </c:pt>
                <c:pt idx="569">
                  <c:v>55031.285714285703</c:v>
                </c:pt>
                <c:pt idx="570">
                  <c:v>55409.857142857203</c:v>
                </c:pt>
                <c:pt idx="571">
                  <c:v>54723.714285714297</c:v>
                </c:pt>
                <c:pt idx="572">
                  <c:v>54995.857142857101</c:v>
                </c:pt>
                <c:pt idx="573">
                  <c:v>56355.428571428602</c:v>
                </c:pt>
                <c:pt idx="574">
                  <c:v>55589.285714285703</c:v>
                </c:pt>
                <c:pt idx="575">
                  <c:v>54213.571428571398</c:v>
                </c:pt>
                <c:pt idx="576">
                  <c:v>51251.142857142899</c:v>
                </c:pt>
                <c:pt idx="577">
                  <c:v>49934.714285714297</c:v>
                </c:pt>
                <c:pt idx="578">
                  <c:v>49461.428571428602</c:v>
                </c:pt>
                <c:pt idx="579">
                  <c:v>48508.571428571398</c:v>
                </c:pt>
                <c:pt idx="580">
                  <c:v>46878.571428571398</c:v>
                </c:pt>
                <c:pt idx="581">
                  <c:v>46836.714285714297</c:v>
                </c:pt>
                <c:pt idx="582">
                  <c:v>47334</c:v>
                </c:pt>
                <c:pt idx="583">
                  <c:v>48533.857142857101</c:v>
                </c:pt>
                <c:pt idx="584">
                  <c:v>49020.571428571398</c:v>
                </c:pt>
                <c:pt idx="585">
                  <c:v>48332.571428571398</c:v>
                </c:pt>
                <c:pt idx="586">
                  <c:v>47500</c:v>
                </c:pt>
                <c:pt idx="587">
                  <c:v>45965.285714285703</c:v>
                </c:pt>
                <c:pt idx="588">
                  <c:v>44848.714285714297</c:v>
                </c:pt>
                <c:pt idx="589">
                  <c:v>43677.428571428602</c:v>
                </c:pt>
                <c:pt idx="590">
                  <c:v>42120.285714285703</c:v>
                </c:pt>
                <c:pt idx="591">
                  <c:v>41008</c:v>
                </c:pt>
                <c:pt idx="592">
                  <c:v>40255.285714285703</c:v>
                </c:pt>
                <c:pt idx="593">
                  <c:v>39130</c:v>
                </c:pt>
                <c:pt idx="594">
                  <c:v>38439.142857142899</c:v>
                </c:pt>
                <c:pt idx="595">
                  <c:v>37225.857142857101</c:v>
                </c:pt>
                <c:pt idx="596">
                  <c:v>36354.285714285703</c:v>
                </c:pt>
                <c:pt idx="597">
                  <c:v>35307.142857142899</c:v>
                </c:pt>
                <c:pt idx="598">
                  <c:v>34478.714285714297</c:v>
                </c:pt>
                <c:pt idx="599">
                  <c:v>33136.714285714297</c:v>
                </c:pt>
                <c:pt idx="600">
                  <c:v>31979.428571428602</c:v>
                </c:pt>
                <c:pt idx="601">
                  <c:v>31058.428571428602</c:v>
                </c:pt>
                <c:pt idx="602">
                  <c:v>29792.857142857101</c:v>
                </c:pt>
                <c:pt idx="603">
                  <c:v>28384.428571428602</c:v>
                </c:pt>
                <c:pt idx="604">
                  <c:v>27559.285714285699</c:v>
                </c:pt>
                <c:pt idx="605">
                  <c:v>26868.714285714301</c:v>
                </c:pt>
                <c:pt idx="606">
                  <c:v>25955.142857142899</c:v>
                </c:pt>
                <c:pt idx="607">
                  <c:v>25028.857142857101</c:v>
                </c:pt>
                <c:pt idx="608">
                  <c:v>24108.571428571398</c:v>
                </c:pt>
                <c:pt idx="609">
                  <c:v>23526.142857142899</c:v>
                </c:pt>
                <c:pt idx="610">
                  <c:v>23050.142857142899</c:v>
                </c:pt>
                <c:pt idx="611">
                  <c:v>22556.714285714301</c:v>
                </c:pt>
                <c:pt idx="612">
                  <c:v>22179.142857142899</c:v>
                </c:pt>
                <c:pt idx="613">
                  <c:v>21774.142857142899</c:v>
                </c:pt>
                <c:pt idx="614">
                  <c:v>21328</c:v>
                </c:pt>
                <c:pt idx="615">
                  <c:v>20185</c:v>
                </c:pt>
                <c:pt idx="616">
                  <c:v>19427.857142857101</c:v>
                </c:pt>
                <c:pt idx="617">
                  <c:v>19021.571428571398</c:v>
                </c:pt>
                <c:pt idx="618">
                  <c:v>18875.571428571398</c:v>
                </c:pt>
                <c:pt idx="619">
                  <c:v>18778.285714285699</c:v>
                </c:pt>
                <c:pt idx="620">
                  <c:v>18582.857142857101</c:v>
                </c:pt>
                <c:pt idx="621">
                  <c:v>18521.571428571398</c:v>
                </c:pt>
                <c:pt idx="622">
                  <c:v>18802.142857142899</c:v>
                </c:pt>
                <c:pt idx="623">
                  <c:v>18507.285714285699</c:v>
                </c:pt>
                <c:pt idx="624">
                  <c:v>18085.428571428602</c:v>
                </c:pt>
                <c:pt idx="625">
                  <c:v>17325</c:v>
                </c:pt>
                <c:pt idx="626">
                  <c:v>16959.285714285699</c:v>
                </c:pt>
                <c:pt idx="627">
                  <c:v>16702.857142857101</c:v>
                </c:pt>
                <c:pt idx="628">
                  <c:v>16399.571428571398</c:v>
                </c:pt>
                <c:pt idx="629">
                  <c:v>16254.142857142901</c:v>
                </c:pt>
                <c:pt idx="630">
                  <c:v>16392.285714285699</c:v>
                </c:pt>
                <c:pt idx="631">
                  <c:v>16485.142857142899</c:v>
                </c:pt>
                <c:pt idx="632">
                  <c:v>16752.142857142899</c:v>
                </c:pt>
                <c:pt idx="633">
                  <c:v>16702.428571428602</c:v>
                </c:pt>
                <c:pt idx="634">
                  <c:v>16769.285714285699</c:v>
                </c:pt>
                <c:pt idx="635">
                  <c:v>16692.142857142899</c:v>
                </c:pt>
                <c:pt idx="636">
                  <c:v>16751</c:v>
                </c:pt>
                <c:pt idx="637">
                  <c:v>16597.714285714301</c:v>
                </c:pt>
                <c:pt idx="638">
                  <c:v>16318.142857142901</c:v>
                </c:pt>
                <c:pt idx="639">
                  <c:v>16463</c:v>
                </c:pt>
                <c:pt idx="640">
                  <c:v>16427.857142857101</c:v>
                </c:pt>
                <c:pt idx="641">
                  <c:v>16077.714285714301</c:v>
                </c:pt>
                <c:pt idx="642">
                  <c:v>15431.285714285699</c:v>
                </c:pt>
                <c:pt idx="643">
                  <c:v>14812.4285714286</c:v>
                </c:pt>
                <c:pt idx="644">
                  <c:v>14731.142857142901</c:v>
                </c:pt>
                <c:pt idx="645">
                  <c:v>14910.285714285699</c:v>
                </c:pt>
                <c:pt idx="646">
                  <c:v>14473.142857142901</c:v>
                </c:pt>
                <c:pt idx="647">
                  <c:v>14432</c:v>
                </c:pt>
                <c:pt idx="648">
                  <c:v>14331.5714285714</c:v>
                </c:pt>
                <c:pt idx="649">
                  <c:v>14689.285714285699</c:v>
                </c:pt>
                <c:pt idx="650">
                  <c:v>14847.285714285699</c:v>
                </c:pt>
                <c:pt idx="651">
                  <c:v>14816.285714285699</c:v>
                </c:pt>
                <c:pt idx="652">
                  <c:v>14563.5714285714</c:v>
                </c:pt>
                <c:pt idx="653">
                  <c:v>14446.285714285699</c:v>
                </c:pt>
                <c:pt idx="654">
                  <c:v>14470.5714285714</c:v>
                </c:pt>
                <c:pt idx="655">
                  <c:v>14387.5714285714</c:v>
                </c:pt>
                <c:pt idx="656">
                  <c:v>14261.142857142901</c:v>
                </c:pt>
                <c:pt idx="657">
                  <c:v>14118.142857142901</c:v>
                </c:pt>
                <c:pt idx="658">
                  <c:v>13849.714285714301</c:v>
                </c:pt>
                <c:pt idx="659">
                  <c:v>13593.285714285699</c:v>
                </c:pt>
                <c:pt idx="660">
                  <c:v>13444</c:v>
                </c:pt>
                <c:pt idx="661">
                  <c:v>13150.857142857099</c:v>
                </c:pt>
                <c:pt idx="662">
                  <c:v>12519.285714285699</c:v>
                </c:pt>
                <c:pt idx="663">
                  <c:v>12928</c:v>
                </c:pt>
                <c:pt idx="664">
                  <c:v>12271.142857142901</c:v>
                </c:pt>
                <c:pt idx="665">
                  <c:v>12088.4285714286</c:v>
                </c:pt>
                <c:pt idx="666">
                  <c:v>12487</c:v>
                </c:pt>
                <c:pt idx="667">
                  <c:v>11917.142857142901</c:v>
                </c:pt>
                <c:pt idx="668">
                  <c:v>12407.714285714301</c:v>
                </c:pt>
                <c:pt idx="669">
                  <c:v>12745.4285714286</c:v>
                </c:pt>
                <c:pt idx="670">
                  <c:v>12050.4285714286</c:v>
                </c:pt>
                <c:pt idx="671">
                  <c:v>12510.285714285699</c:v>
                </c:pt>
                <c:pt idx="672">
                  <c:v>12602.4285714286</c:v>
                </c:pt>
                <c:pt idx="673">
                  <c:v>#N/A</c:v>
                </c:pt>
                <c:pt idx="674">
                  <c:v>#N/A</c:v>
                </c:pt>
                <c:pt idx="675">
                  <c:v>#N/A</c:v>
                </c:pt>
                <c:pt idx="676">
                  <c:v>#N/A</c:v>
                </c:pt>
                <c:pt idx="677">
                  <c:v>#N/A</c:v>
                </c:pt>
                <c:pt idx="678">
                  <c:v>#N/A</c:v>
                </c:pt>
                <c:pt idx="679">
                  <c:v>#N/A</c:v>
                </c:pt>
                <c:pt idx="680">
                  <c:v>#N/A</c:v>
                </c:pt>
                <c:pt idx="681">
                  <c:v>#N/A</c:v>
                </c:pt>
                <c:pt idx="682">
                  <c:v>#N/A</c:v>
                </c:pt>
                <c:pt idx="683">
                  <c:v>#N/A</c:v>
                </c:pt>
                <c:pt idx="684">
                  <c:v>#N/A</c:v>
                </c:pt>
                <c:pt idx="685">
                  <c:v>#N/A</c:v>
                </c:pt>
                <c:pt idx="686">
                  <c:v>#N/A</c:v>
                </c:pt>
                <c:pt idx="687">
                  <c:v>#N/A</c:v>
                </c:pt>
                <c:pt idx="688">
                  <c:v>#N/A</c:v>
                </c:pt>
                <c:pt idx="689">
                  <c:v>#N/A</c:v>
                </c:pt>
                <c:pt idx="690">
                  <c:v>#N/A</c:v>
                </c:pt>
                <c:pt idx="691">
                  <c:v>#N/A</c:v>
                </c:pt>
                <c:pt idx="692">
                  <c:v>#N/A</c:v>
                </c:pt>
                <c:pt idx="693">
                  <c:v>#N/A</c:v>
                </c:pt>
              </c:numCache>
            </c:numRef>
          </c:val>
          <c:smooth val="0"/>
          <c:extLst>
            <c:ext xmlns:c16="http://schemas.microsoft.com/office/drawing/2014/chart" uri="{C3380CC4-5D6E-409C-BE32-E72D297353CC}">
              <c16:uniqueId val="{00000002-012D-46E6-9D5B-3B840377F977}"/>
            </c:ext>
          </c:extLst>
        </c:ser>
        <c:ser>
          <c:idx val="4"/>
          <c:order val="3"/>
          <c:tx>
            <c:strRef>
              <c:f>'DATA - Daily COVID cases'!$A$16</c:f>
              <c:strCache>
                <c:ptCount val="1"/>
                <c:pt idx="0">
                  <c:v>North America</c:v>
                </c:pt>
              </c:strCache>
            </c:strRef>
          </c:tx>
          <c:spPr>
            <a:ln w="22225" cap="rnd">
              <a:solidFill>
                <a:sysClr val="windowText" lastClr="000000"/>
              </a:solidFill>
              <a:round/>
            </a:ln>
            <a:effectLst/>
          </c:spPr>
          <c:marker>
            <c:symbol val="none"/>
          </c:marker>
          <c:cat>
            <c:numRef>
              <c:f>'DATA - Daily COVID cases'!$B$1:$ZS$1</c:f>
              <c:numCache>
                <c:formatCode>mmm\-yy</c:formatCode>
                <c:ptCount val="694"/>
                <c:pt idx="0">
                  <c:v>43852</c:v>
                </c:pt>
                <c:pt idx="1">
                  <c:v>43853</c:v>
                </c:pt>
                <c:pt idx="2">
                  <c:v>43854</c:v>
                </c:pt>
                <c:pt idx="3">
                  <c:v>43855</c:v>
                </c:pt>
                <c:pt idx="4">
                  <c:v>43856</c:v>
                </c:pt>
                <c:pt idx="5">
                  <c:v>43857</c:v>
                </c:pt>
                <c:pt idx="6">
                  <c:v>43858</c:v>
                </c:pt>
                <c:pt idx="7">
                  <c:v>43859</c:v>
                </c:pt>
                <c:pt idx="8">
                  <c:v>43860</c:v>
                </c:pt>
                <c:pt idx="9">
                  <c:v>43861</c:v>
                </c:pt>
                <c:pt idx="10">
                  <c:v>43862</c:v>
                </c:pt>
                <c:pt idx="11">
                  <c:v>43863</c:v>
                </c:pt>
                <c:pt idx="12">
                  <c:v>43864</c:v>
                </c:pt>
                <c:pt idx="13">
                  <c:v>43865</c:v>
                </c:pt>
                <c:pt idx="14">
                  <c:v>43866</c:v>
                </c:pt>
                <c:pt idx="15">
                  <c:v>43867</c:v>
                </c:pt>
                <c:pt idx="16">
                  <c:v>43868</c:v>
                </c:pt>
                <c:pt idx="17">
                  <c:v>43869</c:v>
                </c:pt>
                <c:pt idx="18">
                  <c:v>43870</c:v>
                </c:pt>
                <c:pt idx="19">
                  <c:v>43871</c:v>
                </c:pt>
                <c:pt idx="20">
                  <c:v>43872</c:v>
                </c:pt>
                <c:pt idx="21">
                  <c:v>43873</c:v>
                </c:pt>
                <c:pt idx="22">
                  <c:v>43874</c:v>
                </c:pt>
                <c:pt idx="23">
                  <c:v>43875</c:v>
                </c:pt>
                <c:pt idx="24">
                  <c:v>43876</c:v>
                </c:pt>
                <c:pt idx="25">
                  <c:v>43877</c:v>
                </c:pt>
                <c:pt idx="26">
                  <c:v>43878</c:v>
                </c:pt>
                <c:pt idx="27">
                  <c:v>43879</c:v>
                </c:pt>
                <c:pt idx="28">
                  <c:v>43880</c:v>
                </c:pt>
                <c:pt idx="29">
                  <c:v>43881</c:v>
                </c:pt>
                <c:pt idx="30">
                  <c:v>43882</c:v>
                </c:pt>
                <c:pt idx="31">
                  <c:v>43883</c:v>
                </c:pt>
                <c:pt idx="32">
                  <c:v>43884</c:v>
                </c:pt>
                <c:pt idx="33">
                  <c:v>43885</c:v>
                </c:pt>
                <c:pt idx="34">
                  <c:v>43886</c:v>
                </c:pt>
                <c:pt idx="35">
                  <c:v>43887</c:v>
                </c:pt>
                <c:pt idx="36">
                  <c:v>43888</c:v>
                </c:pt>
                <c:pt idx="37">
                  <c:v>43889</c:v>
                </c:pt>
                <c:pt idx="38">
                  <c:v>43890</c:v>
                </c:pt>
                <c:pt idx="39">
                  <c:v>43891</c:v>
                </c:pt>
                <c:pt idx="40">
                  <c:v>43892</c:v>
                </c:pt>
                <c:pt idx="41">
                  <c:v>43893</c:v>
                </c:pt>
                <c:pt idx="42">
                  <c:v>43894</c:v>
                </c:pt>
                <c:pt idx="43">
                  <c:v>43895</c:v>
                </c:pt>
                <c:pt idx="44">
                  <c:v>43896</c:v>
                </c:pt>
                <c:pt idx="45">
                  <c:v>43897</c:v>
                </c:pt>
                <c:pt idx="46">
                  <c:v>43898</c:v>
                </c:pt>
                <c:pt idx="47">
                  <c:v>43899</c:v>
                </c:pt>
                <c:pt idx="48">
                  <c:v>43900</c:v>
                </c:pt>
                <c:pt idx="49">
                  <c:v>43901</c:v>
                </c:pt>
                <c:pt idx="50">
                  <c:v>43902</c:v>
                </c:pt>
                <c:pt idx="51">
                  <c:v>43903</c:v>
                </c:pt>
                <c:pt idx="52">
                  <c:v>43904</c:v>
                </c:pt>
                <c:pt idx="53">
                  <c:v>43905</c:v>
                </c:pt>
                <c:pt idx="54">
                  <c:v>43906</c:v>
                </c:pt>
                <c:pt idx="55">
                  <c:v>43907</c:v>
                </c:pt>
                <c:pt idx="56">
                  <c:v>43908</c:v>
                </c:pt>
                <c:pt idx="57">
                  <c:v>43909</c:v>
                </c:pt>
                <c:pt idx="58">
                  <c:v>43910</c:v>
                </c:pt>
                <c:pt idx="59">
                  <c:v>43911</c:v>
                </c:pt>
                <c:pt idx="60">
                  <c:v>43912</c:v>
                </c:pt>
                <c:pt idx="61">
                  <c:v>43913</c:v>
                </c:pt>
                <c:pt idx="62">
                  <c:v>43914</c:v>
                </c:pt>
                <c:pt idx="63">
                  <c:v>43915</c:v>
                </c:pt>
                <c:pt idx="64">
                  <c:v>43916</c:v>
                </c:pt>
                <c:pt idx="65">
                  <c:v>43917</c:v>
                </c:pt>
                <c:pt idx="66">
                  <c:v>43918</c:v>
                </c:pt>
                <c:pt idx="67">
                  <c:v>43919</c:v>
                </c:pt>
                <c:pt idx="68">
                  <c:v>43920</c:v>
                </c:pt>
                <c:pt idx="69">
                  <c:v>43921</c:v>
                </c:pt>
                <c:pt idx="70">
                  <c:v>43922</c:v>
                </c:pt>
                <c:pt idx="71">
                  <c:v>43923</c:v>
                </c:pt>
                <c:pt idx="72">
                  <c:v>43924</c:v>
                </c:pt>
                <c:pt idx="73">
                  <c:v>43925</c:v>
                </c:pt>
                <c:pt idx="74">
                  <c:v>43926</c:v>
                </c:pt>
                <c:pt idx="75">
                  <c:v>43927</c:v>
                </c:pt>
                <c:pt idx="76">
                  <c:v>43928</c:v>
                </c:pt>
                <c:pt idx="77">
                  <c:v>43929</c:v>
                </c:pt>
                <c:pt idx="78">
                  <c:v>43930</c:v>
                </c:pt>
                <c:pt idx="79">
                  <c:v>43931</c:v>
                </c:pt>
                <c:pt idx="80">
                  <c:v>43932</c:v>
                </c:pt>
                <c:pt idx="81">
                  <c:v>43933</c:v>
                </c:pt>
                <c:pt idx="82">
                  <c:v>43934</c:v>
                </c:pt>
                <c:pt idx="83">
                  <c:v>43935</c:v>
                </c:pt>
                <c:pt idx="84">
                  <c:v>43936</c:v>
                </c:pt>
                <c:pt idx="85">
                  <c:v>43937</c:v>
                </c:pt>
                <c:pt idx="86">
                  <c:v>43938</c:v>
                </c:pt>
                <c:pt idx="87">
                  <c:v>43939</c:v>
                </c:pt>
                <c:pt idx="88">
                  <c:v>43940</c:v>
                </c:pt>
                <c:pt idx="89">
                  <c:v>43941</c:v>
                </c:pt>
                <c:pt idx="90">
                  <c:v>43942</c:v>
                </c:pt>
                <c:pt idx="91">
                  <c:v>43943</c:v>
                </c:pt>
                <c:pt idx="92">
                  <c:v>43944</c:v>
                </c:pt>
                <c:pt idx="93">
                  <c:v>43945</c:v>
                </c:pt>
                <c:pt idx="94">
                  <c:v>43946</c:v>
                </c:pt>
                <c:pt idx="95">
                  <c:v>43947</c:v>
                </c:pt>
                <c:pt idx="96">
                  <c:v>43948</c:v>
                </c:pt>
                <c:pt idx="97">
                  <c:v>43949</c:v>
                </c:pt>
                <c:pt idx="98">
                  <c:v>43950</c:v>
                </c:pt>
                <c:pt idx="99">
                  <c:v>43951</c:v>
                </c:pt>
                <c:pt idx="100">
                  <c:v>43952</c:v>
                </c:pt>
                <c:pt idx="101">
                  <c:v>43953</c:v>
                </c:pt>
                <c:pt idx="102">
                  <c:v>43954</c:v>
                </c:pt>
                <c:pt idx="103">
                  <c:v>43955</c:v>
                </c:pt>
                <c:pt idx="104">
                  <c:v>43956</c:v>
                </c:pt>
                <c:pt idx="105">
                  <c:v>43957</c:v>
                </c:pt>
                <c:pt idx="106">
                  <c:v>43958</c:v>
                </c:pt>
                <c:pt idx="107">
                  <c:v>43959</c:v>
                </c:pt>
                <c:pt idx="108">
                  <c:v>43960</c:v>
                </c:pt>
                <c:pt idx="109">
                  <c:v>43961</c:v>
                </c:pt>
                <c:pt idx="110">
                  <c:v>43962</c:v>
                </c:pt>
                <c:pt idx="111">
                  <c:v>43963</c:v>
                </c:pt>
                <c:pt idx="112">
                  <c:v>43964</c:v>
                </c:pt>
                <c:pt idx="113">
                  <c:v>43965</c:v>
                </c:pt>
                <c:pt idx="114">
                  <c:v>43966</c:v>
                </c:pt>
                <c:pt idx="115">
                  <c:v>43967</c:v>
                </c:pt>
                <c:pt idx="116">
                  <c:v>43968</c:v>
                </c:pt>
                <c:pt idx="117">
                  <c:v>43969</c:v>
                </c:pt>
                <c:pt idx="118">
                  <c:v>43970</c:v>
                </c:pt>
                <c:pt idx="119">
                  <c:v>43971</c:v>
                </c:pt>
                <c:pt idx="120">
                  <c:v>43972</c:v>
                </c:pt>
                <c:pt idx="121">
                  <c:v>43973</c:v>
                </c:pt>
                <c:pt idx="122">
                  <c:v>43974</c:v>
                </c:pt>
                <c:pt idx="123">
                  <c:v>43975</c:v>
                </c:pt>
                <c:pt idx="124">
                  <c:v>43976</c:v>
                </c:pt>
                <c:pt idx="125">
                  <c:v>43977</c:v>
                </c:pt>
                <c:pt idx="126">
                  <c:v>43978</c:v>
                </c:pt>
                <c:pt idx="127">
                  <c:v>43979</c:v>
                </c:pt>
                <c:pt idx="128">
                  <c:v>43980</c:v>
                </c:pt>
                <c:pt idx="129">
                  <c:v>43981</c:v>
                </c:pt>
                <c:pt idx="130">
                  <c:v>43982</c:v>
                </c:pt>
                <c:pt idx="131">
                  <c:v>43983</c:v>
                </c:pt>
                <c:pt idx="132">
                  <c:v>43984</c:v>
                </c:pt>
                <c:pt idx="133">
                  <c:v>43985</c:v>
                </c:pt>
                <c:pt idx="134">
                  <c:v>43986</c:v>
                </c:pt>
                <c:pt idx="135">
                  <c:v>43987</c:v>
                </c:pt>
                <c:pt idx="136">
                  <c:v>43988</c:v>
                </c:pt>
                <c:pt idx="137">
                  <c:v>43989</c:v>
                </c:pt>
                <c:pt idx="138">
                  <c:v>43990</c:v>
                </c:pt>
                <c:pt idx="139">
                  <c:v>43991</c:v>
                </c:pt>
                <c:pt idx="140">
                  <c:v>43992</c:v>
                </c:pt>
                <c:pt idx="141">
                  <c:v>43993</c:v>
                </c:pt>
                <c:pt idx="142">
                  <c:v>43994</c:v>
                </c:pt>
                <c:pt idx="143">
                  <c:v>43995</c:v>
                </c:pt>
                <c:pt idx="144">
                  <c:v>43996</c:v>
                </c:pt>
                <c:pt idx="145">
                  <c:v>43997</c:v>
                </c:pt>
                <c:pt idx="146">
                  <c:v>43998</c:v>
                </c:pt>
                <c:pt idx="147">
                  <c:v>43999</c:v>
                </c:pt>
                <c:pt idx="148">
                  <c:v>44000</c:v>
                </c:pt>
                <c:pt idx="149">
                  <c:v>44001</c:v>
                </c:pt>
                <c:pt idx="150">
                  <c:v>44002</c:v>
                </c:pt>
                <c:pt idx="151">
                  <c:v>44003</c:v>
                </c:pt>
                <c:pt idx="152">
                  <c:v>44004</c:v>
                </c:pt>
                <c:pt idx="153">
                  <c:v>44005</c:v>
                </c:pt>
                <c:pt idx="154">
                  <c:v>44006</c:v>
                </c:pt>
                <c:pt idx="155">
                  <c:v>44007</c:v>
                </c:pt>
                <c:pt idx="156">
                  <c:v>44008</c:v>
                </c:pt>
                <c:pt idx="157">
                  <c:v>44009</c:v>
                </c:pt>
                <c:pt idx="158">
                  <c:v>44010</c:v>
                </c:pt>
                <c:pt idx="159">
                  <c:v>44011</c:v>
                </c:pt>
                <c:pt idx="160">
                  <c:v>44012</c:v>
                </c:pt>
                <c:pt idx="161">
                  <c:v>44013</c:v>
                </c:pt>
                <c:pt idx="162">
                  <c:v>44014</c:v>
                </c:pt>
                <c:pt idx="163">
                  <c:v>44015</c:v>
                </c:pt>
                <c:pt idx="164">
                  <c:v>44016</c:v>
                </c:pt>
                <c:pt idx="165">
                  <c:v>44017</c:v>
                </c:pt>
                <c:pt idx="166">
                  <c:v>44018</c:v>
                </c:pt>
                <c:pt idx="167">
                  <c:v>44019</c:v>
                </c:pt>
                <c:pt idx="168">
                  <c:v>44020</c:v>
                </c:pt>
                <c:pt idx="169">
                  <c:v>44021</c:v>
                </c:pt>
                <c:pt idx="170">
                  <c:v>44022</c:v>
                </c:pt>
                <c:pt idx="171">
                  <c:v>44023</c:v>
                </c:pt>
                <c:pt idx="172">
                  <c:v>44024</c:v>
                </c:pt>
                <c:pt idx="173">
                  <c:v>44025</c:v>
                </c:pt>
                <c:pt idx="174">
                  <c:v>44026</c:v>
                </c:pt>
                <c:pt idx="175">
                  <c:v>44027</c:v>
                </c:pt>
                <c:pt idx="176">
                  <c:v>44028</c:v>
                </c:pt>
                <c:pt idx="177">
                  <c:v>44029</c:v>
                </c:pt>
                <c:pt idx="178">
                  <c:v>44030</c:v>
                </c:pt>
                <c:pt idx="179">
                  <c:v>44031</c:v>
                </c:pt>
                <c:pt idx="180">
                  <c:v>44032</c:v>
                </c:pt>
                <c:pt idx="181">
                  <c:v>44033</c:v>
                </c:pt>
                <c:pt idx="182">
                  <c:v>44034</c:v>
                </c:pt>
                <c:pt idx="183">
                  <c:v>44035</c:v>
                </c:pt>
                <c:pt idx="184">
                  <c:v>44036</c:v>
                </c:pt>
                <c:pt idx="185">
                  <c:v>44037</c:v>
                </c:pt>
                <c:pt idx="186">
                  <c:v>44038</c:v>
                </c:pt>
                <c:pt idx="187">
                  <c:v>44039</c:v>
                </c:pt>
                <c:pt idx="188">
                  <c:v>44040</c:v>
                </c:pt>
                <c:pt idx="189">
                  <c:v>44041</c:v>
                </c:pt>
                <c:pt idx="190">
                  <c:v>44042</c:v>
                </c:pt>
                <c:pt idx="191">
                  <c:v>44043</c:v>
                </c:pt>
                <c:pt idx="192">
                  <c:v>44044</c:v>
                </c:pt>
                <c:pt idx="193">
                  <c:v>44045</c:v>
                </c:pt>
                <c:pt idx="194">
                  <c:v>44046</c:v>
                </c:pt>
                <c:pt idx="195">
                  <c:v>44047</c:v>
                </c:pt>
                <c:pt idx="196">
                  <c:v>44048</c:v>
                </c:pt>
                <c:pt idx="197">
                  <c:v>44049</c:v>
                </c:pt>
                <c:pt idx="198">
                  <c:v>44050</c:v>
                </c:pt>
                <c:pt idx="199">
                  <c:v>44051</c:v>
                </c:pt>
                <c:pt idx="200">
                  <c:v>44052</c:v>
                </c:pt>
                <c:pt idx="201">
                  <c:v>44053</c:v>
                </c:pt>
                <c:pt idx="202">
                  <c:v>44054</c:v>
                </c:pt>
                <c:pt idx="203">
                  <c:v>44055</c:v>
                </c:pt>
                <c:pt idx="204">
                  <c:v>44056</c:v>
                </c:pt>
                <c:pt idx="205">
                  <c:v>44057</c:v>
                </c:pt>
                <c:pt idx="206">
                  <c:v>44058</c:v>
                </c:pt>
                <c:pt idx="207">
                  <c:v>44059</c:v>
                </c:pt>
                <c:pt idx="208">
                  <c:v>44060</c:v>
                </c:pt>
                <c:pt idx="209">
                  <c:v>44061</c:v>
                </c:pt>
                <c:pt idx="210">
                  <c:v>44062</c:v>
                </c:pt>
                <c:pt idx="211">
                  <c:v>44063</c:v>
                </c:pt>
                <c:pt idx="212">
                  <c:v>44064</c:v>
                </c:pt>
                <c:pt idx="213">
                  <c:v>44065</c:v>
                </c:pt>
                <c:pt idx="214">
                  <c:v>44066</c:v>
                </c:pt>
                <c:pt idx="215">
                  <c:v>44067</c:v>
                </c:pt>
                <c:pt idx="216">
                  <c:v>44068</c:v>
                </c:pt>
                <c:pt idx="217">
                  <c:v>44069</c:v>
                </c:pt>
                <c:pt idx="218">
                  <c:v>44070</c:v>
                </c:pt>
                <c:pt idx="219">
                  <c:v>44071</c:v>
                </c:pt>
                <c:pt idx="220">
                  <c:v>44072</c:v>
                </c:pt>
                <c:pt idx="221">
                  <c:v>44073</c:v>
                </c:pt>
                <c:pt idx="222">
                  <c:v>44074</c:v>
                </c:pt>
                <c:pt idx="223">
                  <c:v>44075</c:v>
                </c:pt>
                <c:pt idx="224">
                  <c:v>44076</c:v>
                </c:pt>
                <c:pt idx="225">
                  <c:v>44077</c:v>
                </c:pt>
                <c:pt idx="226">
                  <c:v>44078</c:v>
                </c:pt>
                <c:pt idx="227">
                  <c:v>44079</c:v>
                </c:pt>
                <c:pt idx="228">
                  <c:v>44080</c:v>
                </c:pt>
                <c:pt idx="229">
                  <c:v>44081</c:v>
                </c:pt>
                <c:pt idx="230">
                  <c:v>44082</c:v>
                </c:pt>
                <c:pt idx="231">
                  <c:v>44083</c:v>
                </c:pt>
                <c:pt idx="232">
                  <c:v>44084</c:v>
                </c:pt>
                <c:pt idx="233">
                  <c:v>44085</c:v>
                </c:pt>
                <c:pt idx="234">
                  <c:v>44086</c:v>
                </c:pt>
                <c:pt idx="235">
                  <c:v>44087</c:v>
                </c:pt>
                <c:pt idx="236">
                  <c:v>44088</c:v>
                </c:pt>
                <c:pt idx="237">
                  <c:v>44089</c:v>
                </c:pt>
                <c:pt idx="238">
                  <c:v>44090</c:v>
                </c:pt>
                <c:pt idx="239">
                  <c:v>44091</c:v>
                </c:pt>
                <c:pt idx="240">
                  <c:v>44092</c:v>
                </c:pt>
                <c:pt idx="241">
                  <c:v>44093</c:v>
                </c:pt>
                <c:pt idx="242">
                  <c:v>44094</c:v>
                </c:pt>
                <c:pt idx="243">
                  <c:v>44095</c:v>
                </c:pt>
                <c:pt idx="244">
                  <c:v>44096</c:v>
                </c:pt>
                <c:pt idx="245">
                  <c:v>44097</c:v>
                </c:pt>
                <c:pt idx="246">
                  <c:v>44098</c:v>
                </c:pt>
                <c:pt idx="247">
                  <c:v>44099</c:v>
                </c:pt>
                <c:pt idx="248">
                  <c:v>44100</c:v>
                </c:pt>
                <c:pt idx="249">
                  <c:v>44101</c:v>
                </c:pt>
                <c:pt idx="250">
                  <c:v>44102</c:v>
                </c:pt>
                <c:pt idx="251">
                  <c:v>44103</c:v>
                </c:pt>
                <c:pt idx="252">
                  <c:v>44104</c:v>
                </c:pt>
                <c:pt idx="253">
                  <c:v>44105</c:v>
                </c:pt>
                <c:pt idx="254">
                  <c:v>44106</c:v>
                </c:pt>
                <c:pt idx="255">
                  <c:v>44107</c:v>
                </c:pt>
                <c:pt idx="256">
                  <c:v>44108</c:v>
                </c:pt>
                <c:pt idx="257">
                  <c:v>44109</c:v>
                </c:pt>
                <c:pt idx="258">
                  <c:v>44110</c:v>
                </c:pt>
                <c:pt idx="259">
                  <c:v>44111</c:v>
                </c:pt>
                <c:pt idx="260">
                  <c:v>44112</c:v>
                </c:pt>
                <c:pt idx="261">
                  <c:v>44113</c:v>
                </c:pt>
                <c:pt idx="262">
                  <c:v>44114</c:v>
                </c:pt>
                <c:pt idx="263">
                  <c:v>44115</c:v>
                </c:pt>
                <c:pt idx="264">
                  <c:v>44116</c:v>
                </c:pt>
                <c:pt idx="265">
                  <c:v>44117</c:v>
                </c:pt>
                <c:pt idx="266">
                  <c:v>44118</c:v>
                </c:pt>
                <c:pt idx="267">
                  <c:v>44119</c:v>
                </c:pt>
                <c:pt idx="268">
                  <c:v>44120</c:v>
                </c:pt>
                <c:pt idx="269">
                  <c:v>44121</c:v>
                </c:pt>
                <c:pt idx="270">
                  <c:v>44122</c:v>
                </c:pt>
                <c:pt idx="271">
                  <c:v>44123</c:v>
                </c:pt>
                <c:pt idx="272">
                  <c:v>44124</c:v>
                </c:pt>
                <c:pt idx="273">
                  <c:v>44125</c:v>
                </c:pt>
                <c:pt idx="274">
                  <c:v>44126</c:v>
                </c:pt>
                <c:pt idx="275">
                  <c:v>44127</c:v>
                </c:pt>
                <c:pt idx="276">
                  <c:v>44128</c:v>
                </c:pt>
                <c:pt idx="277">
                  <c:v>44129</c:v>
                </c:pt>
                <c:pt idx="278">
                  <c:v>44130</c:v>
                </c:pt>
                <c:pt idx="279">
                  <c:v>44131</c:v>
                </c:pt>
                <c:pt idx="280">
                  <c:v>44132</c:v>
                </c:pt>
                <c:pt idx="281">
                  <c:v>44133</c:v>
                </c:pt>
                <c:pt idx="282">
                  <c:v>44134</c:v>
                </c:pt>
                <c:pt idx="283">
                  <c:v>44135</c:v>
                </c:pt>
                <c:pt idx="284">
                  <c:v>44136</c:v>
                </c:pt>
                <c:pt idx="285">
                  <c:v>44137</c:v>
                </c:pt>
                <c:pt idx="286">
                  <c:v>44138</c:v>
                </c:pt>
                <c:pt idx="287">
                  <c:v>44139</c:v>
                </c:pt>
                <c:pt idx="288">
                  <c:v>44140</c:v>
                </c:pt>
                <c:pt idx="289">
                  <c:v>44141</c:v>
                </c:pt>
                <c:pt idx="290">
                  <c:v>44142</c:v>
                </c:pt>
                <c:pt idx="291">
                  <c:v>44143</c:v>
                </c:pt>
                <c:pt idx="292">
                  <c:v>44144</c:v>
                </c:pt>
                <c:pt idx="293">
                  <c:v>44145</c:v>
                </c:pt>
                <c:pt idx="294">
                  <c:v>44146</c:v>
                </c:pt>
                <c:pt idx="295">
                  <c:v>44147</c:v>
                </c:pt>
                <c:pt idx="296">
                  <c:v>44148</c:v>
                </c:pt>
                <c:pt idx="297">
                  <c:v>44149</c:v>
                </c:pt>
                <c:pt idx="298">
                  <c:v>44150</c:v>
                </c:pt>
                <c:pt idx="299">
                  <c:v>44151</c:v>
                </c:pt>
                <c:pt idx="300">
                  <c:v>44152</c:v>
                </c:pt>
                <c:pt idx="301">
                  <c:v>44153</c:v>
                </c:pt>
                <c:pt idx="302">
                  <c:v>44154</c:v>
                </c:pt>
                <c:pt idx="303">
                  <c:v>44155</c:v>
                </c:pt>
                <c:pt idx="304">
                  <c:v>44156</c:v>
                </c:pt>
                <c:pt idx="305">
                  <c:v>44157</c:v>
                </c:pt>
                <c:pt idx="306">
                  <c:v>44158</c:v>
                </c:pt>
                <c:pt idx="307">
                  <c:v>44159</c:v>
                </c:pt>
                <c:pt idx="308">
                  <c:v>44160</c:v>
                </c:pt>
                <c:pt idx="309">
                  <c:v>44161</c:v>
                </c:pt>
                <c:pt idx="310">
                  <c:v>44162</c:v>
                </c:pt>
                <c:pt idx="311">
                  <c:v>44163</c:v>
                </c:pt>
                <c:pt idx="312">
                  <c:v>44164</c:v>
                </c:pt>
                <c:pt idx="313">
                  <c:v>44165</c:v>
                </c:pt>
                <c:pt idx="314">
                  <c:v>44166</c:v>
                </c:pt>
                <c:pt idx="315">
                  <c:v>44167</c:v>
                </c:pt>
                <c:pt idx="316">
                  <c:v>44168</c:v>
                </c:pt>
                <c:pt idx="317">
                  <c:v>44169</c:v>
                </c:pt>
                <c:pt idx="318">
                  <c:v>44170</c:v>
                </c:pt>
                <c:pt idx="319">
                  <c:v>44171</c:v>
                </c:pt>
                <c:pt idx="320">
                  <c:v>44172</c:v>
                </c:pt>
                <c:pt idx="321">
                  <c:v>44173</c:v>
                </c:pt>
                <c:pt idx="322">
                  <c:v>44174</c:v>
                </c:pt>
                <c:pt idx="323">
                  <c:v>44175</c:v>
                </c:pt>
                <c:pt idx="324">
                  <c:v>44176</c:v>
                </c:pt>
                <c:pt idx="325">
                  <c:v>44177</c:v>
                </c:pt>
                <c:pt idx="326">
                  <c:v>44178</c:v>
                </c:pt>
                <c:pt idx="327">
                  <c:v>44179</c:v>
                </c:pt>
                <c:pt idx="328">
                  <c:v>44180</c:v>
                </c:pt>
                <c:pt idx="329">
                  <c:v>44181</c:v>
                </c:pt>
                <c:pt idx="330">
                  <c:v>44182</c:v>
                </c:pt>
                <c:pt idx="331">
                  <c:v>44183</c:v>
                </c:pt>
                <c:pt idx="332">
                  <c:v>44184</c:v>
                </c:pt>
                <c:pt idx="333">
                  <c:v>44185</c:v>
                </c:pt>
                <c:pt idx="334">
                  <c:v>44186</c:v>
                </c:pt>
                <c:pt idx="335">
                  <c:v>44187</c:v>
                </c:pt>
                <c:pt idx="336">
                  <c:v>44188</c:v>
                </c:pt>
                <c:pt idx="337">
                  <c:v>44189</c:v>
                </c:pt>
                <c:pt idx="338">
                  <c:v>44190</c:v>
                </c:pt>
                <c:pt idx="339">
                  <c:v>44191</c:v>
                </c:pt>
                <c:pt idx="340">
                  <c:v>44192</c:v>
                </c:pt>
                <c:pt idx="341">
                  <c:v>44193</c:v>
                </c:pt>
                <c:pt idx="342">
                  <c:v>44194</c:v>
                </c:pt>
                <c:pt idx="343">
                  <c:v>44195</c:v>
                </c:pt>
                <c:pt idx="344">
                  <c:v>44196</c:v>
                </c:pt>
                <c:pt idx="345">
                  <c:v>44197</c:v>
                </c:pt>
                <c:pt idx="346">
                  <c:v>44198</c:v>
                </c:pt>
                <c:pt idx="347">
                  <c:v>44199</c:v>
                </c:pt>
                <c:pt idx="348">
                  <c:v>44200</c:v>
                </c:pt>
                <c:pt idx="349">
                  <c:v>44201</c:v>
                </c:pt>
                <c:pt idx="350">
                  <c:v>44202</c:v>
                </c:pt>
                <c:pt idx="351">
                  <c:v>44203</c:v>
                </c:pt>
                <c:pt idx="352">
                  <c:v>44204</c:v>
                </c:pt>
                <c:pt idx="353">
                  <c:v>44205</c:v>
                </c:pt>
                <c:pt idx="354">
                  <c:v>44206</c:v>
                </c:pt>
                <c:pt idx="355">
                  <c:v>44207</c:v>
                </c:pt>
                <c:pt idx="356">
                  <c:v>44208</c:v>
                </c:pt>
                <c:pt idx="357">
                  <c:v>44209</c:v>
                </c:pt>
                <c:pt idx="358">
                  <c:v>44210</c:v>
                </c:pt>
                <c:pt idx="359">
                  <c:v>44211</c:v>
                </c:pt>
                <c:pt idx="360">
                  <c:v>44212</c:v>
                </c:pt>
                <c:pt idx="361">
                  <c:v>44213</c:v>
                </c:pt>
                <c:pt idx="362">
                  <c:v>44214</c:v>
                </c:pt>
                <c:pt idx="363">
                  <c:v>44215</c:v>
                </c:pt>
                <c:pt idx="364">
                  <c:v>44216</c:v>
                </c:pt>
                <c:pt idx="365">
                  <c:v>44217</c:v>
                </c:pt>
                <c:pt idx="366">
                  <c:v>44218</c:v>
                </c:pt>
                <c:pt idx="367">
                  <c:v>44219</c:v>
                </c:pt>
                <c:pt idx="368">
                  <c:v>44220</c:v>
                </c:pt>
                <c:pt idx="369">
                  <c:v>44221</c:v>
                </c:pt>
                <c:pt idx="370">
                  <c:v>44222</c:v>
                </c:pt>
                <c:pt idx="371">
                  <c:v>44223</c:v>
                </c:pt>
                <c:pt idx="372">
                  <c:v>44224</c:v>
                </c:pt>
                <c:pt idx="373">
                  <c:v>44225</c:v>
                </c:pt>
                <c:pt idx="374">
                  <c:v>44226</c:v>
                </c:pt>
                <c:pt idx="375">
                  <c:v>44227</c:v>
                </c:pt>
                <c:pt idx="376">
                  <c:v>44228</c:v>
                </c:pt>
                <c:pt idx="377">
                  <c:v>44229</c:v>
                </c:pt>
                <c:pt idx="378">
                  <c:v>44230</c:v>
                </c:pt>
                <c:pt idx="379">
                  <c:v>44231</c:v>
                </c:pt>
                <c:pt idx="380">
                  <c:v>44232</c:v>
                </c:pt>
                <c:pt idx="381">
                  <c:v>44233</c:v>
                </c:pt>
                <c:pt idx="382">
                  <c:v>44234</c:v>
                </c:pt>
                <c:pt idx="383">
                  <c:v>44235</c:v>
                </c:pt>
                <c:pt idx="384">
                  <c:v>44236</c:v>
                </c:pt>
                <c:pt idx="385">
                  <c:v>44237</c:v>
                </c:pt>
                <c:pt idx="386">
                  <c:v>44238</c:v>
                </c:pt>
                <c:pt idx="387">
                  <c:v>44239</c:v>
                </c:pt>
                <c:pt idx="388">
                  <c:v>44240</c:v>
                </c:pt>
                <c:pt idx="389">
                  <c:v>44241</c:v>
                </c:pt>
                <c:pt idx="390">
                  <c:v>44242</c:v>
                </c:pt>
                <c:pt idx="391">
                  <c:v>44243</c:v>
                </c:pt>
                <c:pt idx="392">
                  <c:v>44244</c:v>
                </c:pt>
                <c:pt idx="393">
                  <c:v>44245</c:v>
                </c:pt>
                <c:pt idx="394">
                  <c:v>44246</c:v>
                </c:pt>
                <c:pt idx="395">
                  <c:v>44247</c:v>
                </c:pt>
                <c:pt idx="396">
                  <c:v>44248</c:v>
                </c:pt>
                <c:pt idx="397">
                  <c:v>44249</c:v>
                </c:pt>
                <c:pt idx="398">
                  <c:v>44250</c:v>
                </c:pt>
                <c:pt idx="399">
                  <c:v>44251</c:v>
                </c:pt>
                <c:pt idx="400">
                  <c:v>44252</c:v>
                </c:pt>
                <c:pt idx="401">
                  <c:v>44253</c:v>
                </c:pt>
                <c:pt idx="402">
                  <c:v>44254</c:v>
                </c:pt>
                <c:pt idx="403">
                  <c:v>44255</c:v>
                </c:pt>
                <c:pt idx="404">
                  <c:v>44256</c:v>
                </c:pt>
                <c:pt idx="405">
                  <c:v>44257</c:v>
                </c:pt>
                <c:pt idx="406">
                  <c:v>44258</c:v>
                </c:pt>
                <c:pt idx="407">
                  <c:v>44259</c:v>
                </c:pt>
                <c:pt idx="408">
                  <c:v>44260</c:v>
                </c:pt>
                <c:pt idx="409">
                  <c:v>44261</c:v>
                </c:pt>
                <c:pt idx="410">
                  <c:v>44262</c:v>
                </c:pt>
                <c:pt idx="411">
                  <c:v>44263</c:v>
                </c:pt>
                <c:pt idx="412">
                  <c:v>44264</c:v>
                </c:pt>
                <c:pt idx="413">
                  <c:v>44265</c:v>
                </c:pt>
                <c:pt idx="414">
                  <c:v>44266</c:v>
                </c:pt>
                <c:pt idx="415">
                  <c:v>44267</c:v>
                </c:pt>
                <c:pt idx="416">
                  <c:v>44268</c:v>
                </c:pt>
                <c:pt idx="417">
                  <c:v>44269</c:v>
                </c:pt>
                <c:pt idx="418">
                  <c:v>44270</c:v>
                </c:pt>
                <c:pt idx="419">
                  <c:v>44271</c:v>
                </c:pt>
                <c:pt idx="420">
                  <c:v>44272</c:v>
                </c:pt>
                <c:pt idx="421">
                  <c:v>44273</c:v>
                </c:pt>
                <c:pt idx="422">
                  <c:v>44274</c:v>
                </c:pt>
                <c:pt idx="423">
                  <c:v>44275</c:v>
                </c:pt>
                <c:pt idx="424">
                  <c:v>44276</c:v>
                </c:pt>
                <c:pt idx="425">
                  <c:v>44277</c:v>
                </c:pt>
                <c:pt idx="426">
                  <c:v>44278</c:v>
                </c:pt>
                <c:pt idx="427">
                  <c:v>44279</c:v>
                </c:pt>
                <c:pt idx="428">
                  <c:v>44280</c:v>
                </c:pt>
                <c:pt idx="429">
                  <c:v>44281</c:v>
                </c:pt>
                <c:pt idx="430">
                  <c:v>44282</c:v>
                </c:pt>
                <c:pt idx="431">
                  <c:v>44283</c:v>
                </c:pt>
                <c:pt idx="432">
                  <c:v>44284</c:v>
                </c:pt>
                <c:pt idx="433">
                  <c:v>44285</c:v>
                </c:pt>
                <c:pt idx="434">
                  <c:v>44286</c:v>
                </c:pt>
                <c:pt idx="435">
                  <c:v>44287</c:v>
                </c:pt>
                <c:pt idx="436">
                  <c:v>44288</c:v>
                </c:pt>
                <c:pt idx="437">
                  <c:v>44289</c:v>
                </c:pt>
                <c:pt idx="438">
                  <c:v>44290</c:v>
                </c:pt>
                <c:pt idx="439">
                  <c:v>44291</c:v>
                </c:pt>
                <c:pt idx="440">
                  <c:v>44292</c:v>
                </c:pt>
                <c:pt idx="441">
                  <c:v>44293</c:v>
                </c:pt>
                <c:pt idx="442">
                  <c:v>44294</c:v>
                </c:pt>
                <c:pt idx="443">
                  <c:v>44295</c:v>
                </c:pt>
                <c:pt idx="444">
                  <c:v>44296</c:v>
                </c:pt>
                <c:pt idx="445">
                  <c:v>44297</c:v>
                </c:pt>
                <c:pt idx="446">
                  <c:v>44298</c:v>
                </c:pt>
                <c:pt idx="447">
                  <c:v>44299</c:v>
                </c:pt>
                <c:pt idx="448">
                  <c:v>44300</c:v>
                </c:pt>
                <c:pt idx="449">
                  <c:v>44301</c:v>
                </c:pt>
                <c:pt idx="450">
                  <c:v>44302</c:v>
                </c:pt>
                <c:pt idx="451">
                  <c:v>44303</c:v>
                </c:pt>
                <c:pt idx="452">
                  <c:v>44304</c:v>
                </c:pt>
                <c:pt idx="453">
                  <c:v>44305</c:v>
                </c:pt>
                <c:pt idx="454">
                  <c:v>44306</c:v>
                </c:pt>
                <c:pt idx="455">
                  <c:v>44307</c:v>
                </c:pt>
                <c:pt idx="456">
                  <c:v>44308</c:v>
                </c:pt>
                <c:pt idx="457">
                  <c:v>44309</c:v>
                </c:pt>
                <c:pt idx="458">
                  <c:v>44310</c:v>
                </c:pt>
                <c:pt idx="459">
                  <c:v>44311</c:v>
                </c:pt>
                <c:pt idx="460">
                  <c:v>44312</c:v>
                </c:pt>
                <c:pt idx="461">
                  <c:v>44313</c:v>
                </c:pt>
                <c:pt idx="462">
                  <c:v>44314</c:v>
                </c:pt>
                <c:pt idx="463">
                  <c:v>44315</c:v>
                </c:pt>
                <c:pt idx="464">
                  <c:v>44316</c:v>
                </c:pt>
                <c:pt idx="465">
                  <c:v>44317</c:v>
                </c:pt>
                <c:pt idx="466">
                  <c:v>44318</c:v>
                </c:pt>
                <c:pt idx="467">
                  <c:v>44319</c:v>
                </c:pt>
                <c:pt idx="468">
                  <c:v>44320</c:v>
                </c:pt>
                <c:pt idx="469">
                  <c:v>44321</c:v>
                </c:pt>
                <c:pt idx="470">
                  <c:v>44322</c:v>
                </c:pt>
                <c:pt idx="471">
                  <c:v>44323</c:v>
                </c:pt>
                <c:pt idx="472">
                  <c:v>44324</c:v>
                </c:pt>
                <c:pt idx="473">
                  <c:v>44325</c:v>
                </c:pt>
                <c:pt idx="474">
                  <c:v>44326</c:v>
                </c:pt>
                <c:pt idx="475">
                  <c:v>44327</c:v>
                </c:pt>
                <c:pt idx="476">
                  <c:v>44328</c:v>
                </c:pt>
                <c:pt idx="477">
                  <c:v>44329</c:v>
                </c:pt>
                <c:pt idx="478">
                  <c:v>44330</c:v>
                </c:pt>
                <c:pt idx="479">
                  <c:v>44331</c:v>
                </c:pt>
                <c:pt idx="480">
                  <c:v>44332</c:v>
                </c:pt>
                <c:pt idx="481">
                  <c:v>44333</c:v>
                </c:pt>
                <c:pt idx="482">
                  <c:v>44334</c:v>
                </c:pt>
                <c:pt idx="483">
                  <c:v>44335</c:v>
                </c:pt>
                <c:pt idx="484">
                  <c:v>44336</c:v>
                </c:pt>
                <c:pt idx="485">
                  <c:v>44337</c:v>
                </c:pt>
                <c:pt idx="486">
                  <c:v>44338</c:v>
                </c:pt>
                <c:pt idx="487">
                  <c:v>44339</c:v>
                </c:pt>
                <c:pt idx="488">
                  <c:v>44340</c:v>
                </c:pt>
                <c:pt idx="489">
                  <c:v>44341</c:v>
                </c:pt>
                <c:pt idx="490">
                  <c:v>44342</c:v>
                </c:pt>
                <c:pt idx="491">
                  <c:v>44343</c:v>
                </c:pt>
                <c:pt idx="492">
                  <c:v>44344</c:v>
                </c:pt>
                <c:pt idx="493">
                  <c:v>44345</c:v>
                </c:pt>
                <c:pt idx="494">
                  <c:v>44346</c:v>
                </c:pt>
                <c:pt idx="495">
                  <c:v>44347</c:v>
                </c:pt>
                <c:pt idx="496">
                  <c:v>44348</c:v>
                </c:pt>
                <c:pt idx="497">
                  <c:v>44349</c:v>
                </c:pt>
                <c:pt idx="498">
                  <c:v>44350</c:v>
                </c:pt>
                <c:pt idx="499">
                  <c:v>44351</c:v>
                </c:pt>
                <c:pt idx="500">
                  <c:v>44352</c:v>
                </c:pt>
                <c:pt idx="501">
                  <c:v>44353</c:v>
                </c:pt>
                <c:pt idx="502">
                  <c:v>44354</c:v>
                </c:pt>
                <c:pt idx="503">
                  <c:v>44355</c:v>
                </c:pt>
                <c:pt idx="504">
                  <c:v>44356</c:v>
                </c:pt>
                <c:pt idx="505">
                  <c:v>44357</c:v>
                </c:pt>
                <c:pt idx="506">
                  <c:v>44358</c:v>
                </c:pt>
                <c:pt idx="507">
                  <c:v>44359</c:v>
                </c:pt>
                <c:pt idx="508">
                  <c:v>44360</c:v>
                </c:pt>
                <c:pt idx="509">
                  <c:v>44361</c:v>
                </c:pt>
                <c:pt idx="510">
                  <c:v>44362</c:v>
                </c:pt>
                <c:pt idx="511">
                  <c:v>44363</c:v>
                </c:pt>
                <c:pt idx="512">
                  <c:v>44364</c:v>
                </c:pt>
                <c:pt idx="513">
                  <c:v>44365</c:v>
                </c:pt>
                <c:pt idx="514">
                  <c:v>44366</c:v>
                </c:pt>
                <c:pt idx="515">
                  <c:v>44367</c:v>
                </c:pt>
                <c:pt idx="516">
                  <c:v>44368</c:v>
                </c:pt>
                <c:pt idx="517">
                  <c:v>44369</c:v>
                </c:pt>
                <c:pt idx="518">
                  <c:v>44370</c:v>
                </c:pt>
                <c:pt idx="519">
                  <c:v>44371</c:v>
                </c:pt>
                <c:pt idx="520">
                  <c:v>44372</c:v>
                </c:pt>
                <c:pt idx="521">
                  <c:v>44373</c:v>
                </c:pt>
                <c:pt idx="522">
                  <c:v>44374</c:v>
                </c:pt>
                <c:pt idx="523">
                  <c:v>44375</c:v>
                </c:pt>
                <c:pt idx="524">
                  <c:v>44376</c:v>
                </c:pt>
                <c:pt idx="525">
                  <c:v>44377</c:v>
                </c:pt>
                <c:pt idx="526">
                  <c:v>44378</c:v>
                </c:pt>
                <c:pt idx="527">
                  <c:v>44379</c:v>
                </c:pt>
                <c:pt idx="528">
                  <c:v>44380</c:v>
                </c:pt>
                <c:pt idx="529">
                  <c:v>44381</c:v>
                </c:pt>
                <c:pt idx="530">
                  <c:v>44382</c:v>
                </c:pt>
                <c:pt idx="531">
                  <c:v>44383</c:v>
                </c:pt>
                <c:pt idx="532">
                  <c:v>44384</c:v>
                </c:pt>
                <c:pt idx="533">
                  <c:v>44385</c:v>
                </c:pt>
                <c:pt idx="534">
                  <c:v>44386</c:v>
                </c:pt>
                <c:pt idx="535">
                  <c:v>44387</c:v>
                </c:pt>
                <c:pt idx="536">
                  <c:v>44388</c:v>
                </c:pt>
                <c:pt idx="537">
                  <c:v>44389</c:v>
                </c:pt>
                <c:pt idx="538">
                  <c:v>44390</c:v>
                </c:pt>
                <c:pt idx="539">
                  <c:v>44391</c:v>
                </c:pt>
                <c:pt idx="540">
                  <c:v>44392</c:v>
                </c:pt>
                <c:pt idx="541">
                  <c:v>44393</c:v>
                </c:pt>
                <c:pt idx="542">
                  <c:v>44394</c:v>
                </c:pt>
                <c:pt idx="543">
                  <c:v>44395</c:v>
                </c:pt>
                <c:pt idx="544">
                  <c:v>44396</c:v>
                </c:pt>
                <c:pt idx="545">
                  <c:v>44397</c:v>
                </c:pt>
                <c:pt idx="546">
                  <c:v>44398</c:v>
                </c:pt>
                <c:pt idx="547">
                  <c:v>44399</c:v>
                </c:pt>
                <c:pt idx="548">
                  <c:v>44400</c:v>
                </c:pt>
                <c:pt idx="549">
                  <c:v>44401</c:v>
                </c:pt>
                <c:pt idx="550">
                  <c:v>44402</c:v>
                </c:pt>
                <c:pt idx="551">
                  <c:v>44403</c:v>
                </c:pt>
                <c:pt idx="552">
                  <c:v>44404</c:v>
                </c:pt>
                <c:pt idx="553">
                  <c:v>44405</c:v>
                </c:pt>
                <c:pt idx="554">
                  <c:v>44406</c:v>
                </c:pt>
                <c:pt idx="555">
                  <c:v>44407</c:v>
                </c:pt>
                <c:pt idx="556">
                  <c:v>44408</c:v>
                </c:pt>
                <c:pt idx="557">
                  <c:v>44409</c:v>
                </c:pt>
                <c:pt idx="558">
                  <c:v>44410</c:v>
                </c:pt>
                <c:pt idx="559">
                  <c:v>44411</c:v>
                </c:pt>
                <c:pt idx="560">
                  <c:v>44412</c:v>
                </c:pt>
                <c:pt idx="561">
                  <c:v>44413</c:v>
                </c:pt>
                <c:pt idx="562">
                  <c:v>44414</c:v>
                </c:pt>
                <c:pt idx="563">
                  <c:v>44415</c:v>
                </c:pt>
                <c:pt idx="564">
                  <c:v>44416</c:v>
                </c:pt>
                <c:pt idx="565">
                  <c:v>44417</c:v>
                </c:pt>
                <c:pt idx="566">
                  <c:v>44418</c:v>
                </c:pt>
                <c:pt idx="567">
                  <c:v>44419</c:v>
                </c:pt>
                <c:pt idx="568">
                  <c:v>44420</c:v>
                </c:pt>
                <c:pt idx="569">
                  <c:v>44421</c:v>
                </c:pt>
                <c:pt idx="570">
                  <c:v>44422</c:v>
                </c:pt>
                <c:pt idx="571">
                  <c:v>44423</c:v>
                </c:pt>
                <c:pt idx="572">
                  <c:v>44424</c:v>
                </c:pt>
                <c:pt idx="573">
                  <c:v>44425</c:v>
                </c:pt>
                <c:pt idx="574">
                  <c:v>44426</c:v>
                </c:pt>
                <c:pt idx="575">
                  <c:v>44427</c:v>
                </c:pt>
                <c:pt idx="576">
                  <c:v>44428</c:v>
                </c:pt>
                <c:pt idx="577">
                  <c:v>44429</c:v>
                </c:pt>
                <c:pt idx="578">
                  <c:v>44430</c:v>
                </c:pt>
                <c:pt idx="579">
                  <c:v>44431</c:v>
                </c:pt>
                <c:pt idx="580">
                  <c:v>44432</c:v>
                </c:pt>
                <c:pt idx="581">
                  <c:v>44433</c:v>
                </c:pt>
                <c:pt idx="582">
                  <c:v>44434</c:v>
                </c:pt>
                <c:pt idx="583">
                  <c:v>44435</c:v>
                </c:pt>
                <c:pt idx="584">
                  <c:v>44436</c:v>
                </c:pt>
                <c:pt idx="585">
                  <c:v>44437</c:v>
                </c:pt>
                <c:pt idx="586">
                  <c:v>44438</c:v>
                </c:pt>
                <c:pt idx="587">
                  <c:v>44439</c:v>
                </c:pt>
                <c:pt idx="588">
                  <c:v>44440</c:v>
                </c:pt>
                <c:pt idx="589">
                  <c:v>44441</c:v>
                </c:pt>
                <c:pt idx="590">
                  <c:v>44442</c:v>
                </c:pt>
                <c:pt idx="591">
                  <c:v>44443</c:v>
                </c:pt>
                <c:pt idx="592">
                  <c:v>44444</c:v>
                </c:pt>
                <c:pt idx="593">
                  <c:v>44445</c:v>
                </c:pt>
                <c:pt idx="594">
                  <c:v>44446</c:v>
                </c:pt>
                <c:pt idx="595">
                  <c:v>44447</c:v>
                </c:pt>
                <c:pt idx="596">
                  <c:v>44448</c:v>
                </c:pt>
                <c:pt idx="597">
                  <c:v>44449</c:v>
                </c:pt>
                <c:pt idx="598">
                  <c:v>44450</c:v>
                </c:pt>
                <c:pt idx="599">
                  <c:v>44451</c:v>
                </c:pt>
                <c:pt idx="600">
                  <c:v>44452</c:v>
                </c:pt>
                <c:pt idx="601">
                  <c:v>44453</c:v>
                </c:pt>
                <c:pt idx="602">
                  <c:v>44454</c:v>
                </c:pt>
                <c:pt idx="603">
                  <c:v>44455</c:v>
                </c:pt>
                <c:pt idx="604">
                  <c:v>44456</c:v>
                </c:pt>
                <c:pt idx="605">
                  <c:v>44457</c:v>
                </c:pt>
                <c:pt idx="606">
                  <c:v>44458</c:v>
                </c:pt>
                <c:pt idx="607">
                  <c:v>44459</c:v>
                </c:pt>
                <c:pt idx="608">
                  <c:v>44460</c:v>
                </c:pt>
                <c:pt idx="609">
                  <c:v>44461</c:v>
                </c:pt>
                <c:pt idx="610">
                  <c:v>44462</c:v>
                </c:pt>
                <c:pt idx="611">
                  <c:v>44463</c:v>
                </c:pt>
                <c:pt idx="612">
                  <c:v>44464</c:v>
                </c:pt>
                <c:pt idx="613">
                  <c:v>44465</c:v>
                </c:pt>
                <c:pt idx="614">
                  <c:v>44466</c:v>
                </c:pt>
                <c:pt idx="615">
                  <c:v>44467</c:v>
                </c:pt>
                <c:pt idx="616">
                  <c:v>44468</c:v>
                </c:pt>
                <c:pt idx="617">
                  <c:v>44469</c:v>
                </c:pt>
                <c:pt idx="618">
                  <c:v>44470</c:v>
                </c:pt>
                <c:pt idx="619">
                  <c:v>44471</c:v>
                </c:pt>
                <c:pt idx="620">
                  <c:v>44472</c:v>
                </c:pt>
                <c:pt idx="621">
                  <c:v>44473</c:v>
                </c:pt>
                <c:pt idx="622">
                  <c:v>44474</c:v>
                </c:pt>
                <c:pt idx="623">
                  <c:v>44475</c:v>
                </c:pt>
                <c:pt idx="624">
                  <c:v>44476</c:v>
                </c:pt>
                <c:pt idx="625">
                  <c:v>44477</c:v>
                </c:pt>
                <c:pt idx="626">
                  <c:v>44478</c:v>
                </c:pt>
                <c:pt idx="627">
                  <c:v>44479</c:v>
                </c:pt>
                <c:pt idx="628">
                  <c:v>44480</c:v>
                </c:pt>
                <c:pt idx="629">
                  <c:v>44481</c:v>
                </c:pt>
                <c:pt idx="630">
                  <c:v>44482</c:v>
                </c:pt>
                <c:pt idx="631">
                  <c:v>44483</c:v>
                </c:pt>
                <c:pt idx="632">
                  <c:v>44484</c:v>
                </c:pt>
                <c:pt idx="633">
                  <c:v>44485</c:v>
                </c:pt>
                <c:pt idx="634">
                  <c:v>44486</c:v>
                </c:pt>
                <c:pt idx="635">
                  <c:v>44487</c:v>
                </c:pt>
                <c:pt idx="636">
                  <c:v>44488</c:v>
                </c:pt>
                <c:pt idx="637">
                  <c:v>44489</c:v>
                </c:pt>
                <c:pt idx="638">
                  <c:v>44490</c:v>
                </c:pt>
                <c:pt idx="639">
                  <c:v>44491</c:v>
                </c:pt>
                <c:pt idx="640">
                  <c:v>44492</c:v>
                </c:pt>
                <c:pt idx="641">
                  <c:v>44493</c:v>
                </c:pt>
                <c:pt idx="642">
                  <c:v>44494</c:v>
                </c:pt>
                <c:pt idx="643">
                  <c:v>44495</c:v>
                </c:pt>
                <c:pt idx="644">
                  <c:v>44496</c:v>
                </c:pt>
                <c:pt idx="645">
                  <c:v>44497</c:v>
                </c:pt>
                <c:pt idx="646">
                  <c:v>44498</c:v>
                </c:pt>
                <c:pt idx="647">
                  <c:v>44499</c:v>
                </c:pt>
                <c:pt idx="648">
                  <c:v>44500</c:v>
                </c:pt>
                <c:pt idx="649">
                  <c:v>44501</c:v>
                </c:pt>
                <c:pt idx="650">
                  <c:v>44502</c:v>
                </c:pt>
                <c:pt idx="651">
                  <c:v>44503</c:v>
                </c:pt>
                <c:pt idx="652">
                  <c:v>44504</c:v>
                </c:pt>
                <c:pt idx="653">
                  <c:v>44505</c:v>
                </c:pt>
                <c:pt idx="654">
                  <c:v>44506</c:v>
                </c:pt>
                <c:pt idx="655">
                  <c:v>44507</c:v>
                </c:pt>
                <c:pt idx="656">
                  <c:v>44508</c:v>
                </c:pt>
                <c:pt idx="657">
                  <c:v>44509</c:v>
                </c:pt>
                <c:pt idx="658">
                  <c:v>44510</c:v>
                </c:pt>
                <c:pt idx="659">
                  <c:v>44511</c:v>
                </c:pt>
                <c:pt idx="660">
                  <c:v>44512</c:v>
                </c:pt>
                <c:pt idx="661">
                  <c:v>44513</c:v>
                </c:pt>
                <c:pt idx="662">
                  <c:v>44514</c:v>
                </c:pt>
                <c:pt idx="663">
                  <c:v>44515</c:v>
                </c:pt>
                <c:pt idx="664">
                  <c:v>44516</c:v>
                </c:pt>
                <c:pt idx="665">
                  <c:v>44517</c:v>
                </c:pt>
                <c:pt idx="666">
                  <c:v>44518</c:v>
                </c:pt>
                <c:pt idx="667">
                  <c:v>44519</c:v>
                </c:pt>
                <c:pt idx="668">
                  <c:v>44520</c:v>
                </c:pt>
                <c:pt idx="669">
                  <c:v>44521</c:v>
                </c:pt>
                <c:pt idx="670">
                  <c:v>44522</c:v>
                </c:pt>
                <c:pt idx="671">
                  <c:v>44523</c:v>
                </c:pt>
                <c:pt idx="672">
                  <c:v>44524</c:v>
                </c:pt>
                <c:pt idx="673">
                  <c:v>#N/A</c:v>
                </c:pt>
                <c:pt idx="674">
                  <c:v>#N/A</c:v>
                </c:pt>
                <c:pt idx="675">
                  <c:v>#N/A</c:v>
                </c:pt>
                <c:pt idx="676">
                  <c:v>#N/A</c:v>
                </c:pt>
                <c:pt idx="677">
                  <c:v>#N/A</c:v>
                </c:pt>
                <c:pt idx="678">
                  <c:v>#N/A</c:v>
                </c:pt>
                <c:pt idx="679">
                  <c:v>#N/A</c:v>
                </c:pt>
                <c:pt idx="680">
                  <c:v>#N/A</c:v>
                </c:pt>
                <c:pt idx="681">
                  <c:v>#N/A</c:v>
                </c:pt>
                <c:pt idx="682">
                  <c:v>#N/A</c:v>
                </c:pt>
                <c:pt idx="683">
                  <c:v>#N/A</c:v>
                </c:pt>
                <c:pt idx="684">
                  <c:v>#N/A</c:v>
                </c:pt>
                <c:pt idx="685">
                  <c:v>#N/A</c:v>
                </c:pt>
                <c:pt idx="686">
                  <c:v>#N/A</c:v>
                </c:pt>
                <c:pt idx="687">
                  <c:v>#N/A</c:v>
                </c:pt>
                <c:pt idx="688">
                  <c:v>#N/A</c:v>
                </c:pt>
                <c:pt idx="689">
                  <c:v>#N/A</c:v>
                </c:pt>
                <c:pt idx="690">
                  <c:v>#N/A</c:v>
                </c:pt>
                <c:pt idx="691">
                  <c:v>#N/A</c:v>
                </c:pt>
                <c:pt idx="692">
                  <c:v>#N/A</c:v>
                </c:pt>
                <c:pt idx="693">
                  <c:v>#N/A</c:v>
                </c:pt>
              </c:numCache>
            </c:numRef>
          </c:cat>
          <c:val>
            <c:numRef>
              <c:f>'DATA - Daily COVID cases'!$B$16:$ZS$16</c:f>
              <c:numCache>
                <c:formatCode>General</c:formatCode>
                <c:ptCount val="694"/>
                <c:pt idx="4">
                  <c:v>#N/A</c:v>
                </c:pt>
                <c:pt idx="5">
                  <c:v>#N/A</c:v>
                </c:pt>
                <c:pt idx="6">
                  <c:v>#N/A</c:v>
                </c:pt>
                <c:pt idx="7">
                  <c:v>1</c:v>
                </c:pt>
                <c:pt idx="8">
                  <c:v>1</c:v>
                </c:pt>
                <c:pt idx="9">
                  <c:v>1.4285714285714299</c:v>
                </c:pt>
                <c:pt idx="10">
                  <c:v>1.4285714285714299</c:v>
                </c:pt>
                <c:pt idx="11">
                  <c:v>0.85714285714285698</c:v>
                </c:pt>
                <c:pt idx="12">
                  <c:v>1.28571428571429</c:v>
                </c:pt>
                <c:pt idx="13">
                  <c:v>1.1428571428571399</c:v>
                </c:pt>
                <c:pt idx="14">
                  <c:v>1.1428571428571399</c:v>
                </c:pt>
                <c:pt idx="15">
                  <c:v>1.28571428571429</c:v>
                </c:pt>
                <c:pt idx="16">
                  <c:v>1</c:v>
                </c:pt>
                <c:pt idx="17">
                  <c:v>1</c:v>
                </c:pt>
                <c:pt idx="18">
                  <c:v>1</c:v>
                </c:pt>
                <c:pt idx="19">
                  <c:v>0.57142857142857095</c:v>
                </c:pt>
                <c:pt idx="20">
                  <c:v>0.71428571428571397</c:v>
                </c:pt>
                <c:pt idx="21">
                  <c:v>0.57142857142857095</c:v>
                </c:pt>
                <c:pt idx="22">
                  <c:v>0.57142857142857095</c:v>
                </c:pt>
                <c:pt idx="23">
                  <c:v>0.28571428571428598</c:v>
                </c:pt>
                <c:pt idx="24">
                  <c:v>0.28571428571428598</c:v>
                </c:pt>
                <c:pt idx="25">
                  <c:v>0.28571428571428598</c:v>
                </c:pt>
                <c:pt idx="26">
                  <c:v>0.42857142857142899</c:v>
                </c:pt>
                <c:pt idx="27">
                  <c:v>0.28571428571428598</c:v>
                </c:pt>
                <c:pt idx="28">
                  <c:v>0.28571428571428598</c:v>
                </c:pt>
                <c:pt idx="29">
                  <c:v>0.14285714285714299</c:v>
                </c:pt>
                <c:pt idx="30">
                  <c:v>0.57142857142857095</c:v>
                </c:pt>
                <c:pt idx="31">
                  <c:v>0.57142857142857095</c:v>
                </c:pt>
                <c:pt idx="32">
                  <c:v>0.57142857142857095</c:v>
                </c:pt>
                <c:pt idx="33">
                  <c:v>0.57142857142857095</c:v>
                </c:pt>
                <c:pt idx="34">
                  <c:v>0.85714285714285698</c:v>
                </c:pt>
                <c:pt idx="35">
                  <c:v>0.85714285714285698</c:v>
                </c:pt>
                <c:pt idx="36">
                  <c:v>1.28571428571429</c:v>
                </c:pt>
                <c:pt idx="37">
                  <c:v>1</c:v>
                </c:pt>
                <c:pt idx="38">
                  <c:v>3</c:v>
                </c:pt>
                <c:pt idx="39">
                  <c:v>4.71428571428571</c:v>
                </c:pt>
                <c:pt idx="40">
                  <c:v>8.71428571428571</c:v>
                </c:pt>
                <c:pt idx="41">
                  <c:v>11.8571428571429</c:v>
                </c:pt>
                <c:pt idx="42">
                  <c:v>17.285714285714299</c:v>
                </c:pt>
                <c:pt idx="43">
                  <c:v>28.428571428571399</c:v>
                </c:pt>
                <c:pt idx="44">
                  <c:v>37.857142857142897</c:v>
                </c:pt>
                <c:pt idx="45">
                  <c:v>60.142857142857203</c:v>
                </c:pt>
                <c:pt idx="46">
                  <c:v>76.428571428571402</c:v>
                </c:pt>
                <c:pt idx="47">
                  <c:v>85</c:v>
                </c:pt>
                <c:pt idx="48">
                  <c:v>109</c:v>
                </c:pt>
                <c:pt idx="49">
                  <c:v>160.71428571428601</c:v>
                </c:pt>
                <c:pt idx="50">
                  <c:v>213.857142857143</c:v>
                </c:pt>
                <c:pt idx="51">
                  <c:v>305</c:v>
                </c:pt>
                <c:pt idx="52">
                  <c:v>392.42857142857099</c:v>
                </c:pt>
                <c:pt idx="53">
                  <c:v>416.42857142857099</c:v>
                </c:pt>
                <c:pt idx="54">
                  <c:v>635.28571428571399</c:v>
                </c:pt>
                <c:pt idx="55">
                  <c:v>881.42857142857201</c:v>
                </c:pt>
                <c:pt idx="56">
                  <c:v>1232.42857142857</c:v>
                </c:pt>
                <c:pt idx="57">
                  <c:v>1836.7142857142901</c:v>
                </c:pt>
                <c:pt idx="58">
                  <c:v>2681.8571428571399</c:v>
                </c:pt>
                <c:pt idx="59">
                  <c:v>3494.8571428571399</c:v>
                </c:pt>
                <c:pt idx="60">
                  <c:v>4783</c:v>
                </c:pt>
                <c:pt idx="61">
                  <c:v>6223.8571428571404</c:v>
                </c:pt>
                <c:pt idx="62">
                  <c:v>7550.7142857142899</c:v>
                </c:pt>
                <c:pt idx="63">
                  <c:v>8946.1428571428605</c:v>
                </c:pt>
                <c:pt idx="64">
                  <c:v>10946.857142857099</c:v>
                </c:pt>
                <c:pt idx="65">
                  <c:v>12756.714285714301</c:v>
                </c:pt>
                <c:pt idx="66">
                  <c:v>15117.714285714301</c:v>
                </c:pt>
                <c:pt idx="67">
                  <c:v>16224.285714285699</c:v>
                </c:pt>
                <c:pt idx="68">
                  <c:v>17874.714285714301</c:v>
                </c:pt>
                <c:pt idx="69">
                  <c:v>20203.714285714301</c:v>
                </c:pt>
                <c:pt idx="70">
                  <c:v>23187.857142857101</c:v>
                </c:pt>
                <c:pt idx="71">
                  <c:v>25364.142857142899</c:v>
                </c:pt>
                <c:pt idx="72">
                  <c:v>27440.142857142899</c:v>
                </c:pt>
                <c:pt idx="73">
                  <c:v>28943.428571428602</c:v>
                </c:pt>
                <c:pt idx="74">
                  <c:v>30960</c:v>
                </c:pt>
                <c:pt idx="75">
                  <c:v>32337.714285714301</c:v>
                </c:pt>
                <c:pt idx="76">
                  <c:v>32934</c:v>
                </c:pt>
                <c:pt idx="77">
                  <c:v>32776.571428571398</c:v>
                </c:pt>
                <c:pt idx="78">
                  <c:v>33333.857142857203</c:v>
                </c:pt>
                <c:pt idx="79">
                  <c:v>33591</c:v>
                </c:pt>
                <c:pt idx="80">
                  <c:v>33171.285714285703</c:v>
                </c:pt>
                <c:pt idx="81">
                  <c:v>32731</c:v>
                </c:pt>
                <c:pt idx="82">
                  <c:v>32110.142857142899</c:v>
                </c:pt>
                <c:pt idx="83">
                  <c:v>31873.142857142899</c:v>
                </c:pt>
                <c:pt idx="84">
                  <c:v>31180</c:v>
                </c:pt>
                <c:pt idx="85">
                  <c:v>30422.857142857101</c:v>
                </c:pt>
                <c:pt idx="86">
                  <c:v>30368.714285714301</c:v>
                </c:pt>
                <c:pt idx="87">
                  <c:v>30210.285714285699</c:v>
                </c:pt>
                <c:pt idx="88">
                  <c:v>30138.857142857101</c:v>
                </c:pt>
                <c:pt idx="89">
                  <c:v>30522.714285714301</c:v>
                </c:pt>
                <c:pt idx="90">
                  <c:v>30221.571428571398</c:v>
                </c:pt>
                <c:pt idx="91">
                  <c:v>30816.714285714301</c:v>
                </c:pt>
                <c:pt idx="92">
                  <c:v>31090.285714285699</c:v>
                </c:pt>
                <c:pt idx="93">
                  <c:v>30891</c:v>
                </c:pt>
                <c:pt idx="94">
                  <c:v>31331.142857142899</c:v>
                </c:pt>
                <c:pt idx="95">
                  <c:v>31386.571428571398</c:v>
                </c:pt>
                <c:pt idx="96">
                  <c:v>30547.142857142899</c:v>
                </c:pt>
                <c:pt idx="97">
                  <c:v>30326.142857142899</c:v>
                </c:pt>
                <c:pt idx="98">
                  <c:v>29791.714285714301</c:v>
                </c:pt>
                <c:pt idx="99">
                  <c:v>29285.714285714301</c:v>
                </c:pt>
                <c:pt idx="100">
                  <c:v>29715.142857142899</c:v>
                </c:pt>
                <c:pt idx="101">
                  <c:v>29249.571428571398</c:v>
                </c:pt>
                <c:pt idx="102">
                  <c:v>28917.142857142899</c:v>
                </c:pt>
                <c:pt idx="103">
                  <c:v>28903.428571428602</c:v>
                </c:pt>
                <c:pt idx="104">
                  <c:v>28806.285714285699</c:v>
                </c:pt>
                <c:pt idx="105">
                  <c:v>28503.571428571398</c:v>
                </c:pt>
                <c:pt idx="106">
                  <c:v>28247</c:v>
                </c:pt>
                <c:pt idx="107">
                  <c:v>27069.428571428602</c:v>
                </c:pt>
                <c:pt idx="108">
                  <c:v>26542</c:v>
                </c:pt>
                <c:pt idx="109">
                  <c:v>25768.714285714301</c:v>
                </c:pt>
                <c:pt idx="110">
                  <c:v>25041.714285714301</c:v>
                </c:pt>
                <c:pt idx="111">
                  <c:v>24806.571428571398</c:v>
                </c:pt>
                <c:pt idx="112">
                  <c:v>24225.714285714301</c:v>
                </c:pt>
                <c:pt idx="113">
                  <c:v>24019</c:v>
                </c:pt>
                <c:pt idx="114">
                  <c:v>23658</c:v>
                </c:pt>
                <c:pt idx="115">
                  <c:v>23630.428571428602</c:v>
                </c:pt>
                <c:pt idx="116">
                  <c:v>23584.714285714301</c:v>
                </c:pt>
                <c:pt idx="117">
                  <c:v>24012</c:v>
                </c:pt>
                <c:pt idx="118">
                  <c:v>23707.714285714301</c:v>
                </c:pt>
                <c:pt idx="119">
                  <c:v>24025.8571428572</c:v>
                </c:pt>
                <c:pt idx="120">
                  <c:v>23928</c:v>
                </c:pt>
                <c:pt idx="121">
                  <c:v>23742.142857142899</c:v>
                </c:pt>
                <c:pt idx="122">
                  <c:v>23252.857142857101</c:v>
                </c:pt>
                <c:pt idx="123">
                  <c:v>23481.142857142899</c:v>
                </c:pt>
                <c:pt idx="124">
                  <c:v>22970.571428571398</c:v>
                </c:pt>
                <c:pt idx="125">
                  <c:v>22609.285714285699</c:v>
                </c:pt>
                <c:pt idx="126">
                  <c:v>22074.571428571398</c:v>
                </c:pt>
                <c:pt idx="127">
                  <c:v>21434.142857142899</c:v>
                </c:pt>
                <c:pt idx="128">
                  <c:v>21546.571428571398</c:v>
                </c:pt>
                <c:pt idx="129">
                  <c:v>21953.285714285699</c:v>
                </c:pt>
                <c:pt idx="130">
                  <c:v>21756.142857142899</c:v>
                </c:pt>
                <c:pt idx="131">
                  <c:v>21499.857142857101</c:v>
                </c:pt>
                <c:pt idx="132">
                  <c:v>21866</c:v>
                </c:pt>
                <c:pt idx="133">
                  <c:v>21888</c:v>
                </c:pt>
                <c:pt idx="134">
                  <c:v>21868.428571428602</c:v>
                </c:pt>
                <c:pt idx="135">
                  <c:v>21882.285714285699</c:v>
                </c:pt>
                <c:pt idx="136">
                  <c:v>21455.285714285699</c:v>
                </c:pt>
                <c:pt idx="137">
                  <c:v>21304.285714285699</c:v>
                </c:pt>
                <c:pt idx="138">
                  <c:v>21192.571428571398</c:v>
                </c:pt>
                <c:pt idx="139">
                  <c:v>20712.142857142899</c:v>
                </c:pt>
                <c:pt idx="140">
                  <c:v>20872.857142857101</c:v>
                </c:pt>
                <c:pt idx="141">
                  <c:v>20941.857142857101</c:v>
                </c:pt>
                <c:pt idx="142">
                  <c:v>20954.571428571398</c:v>
                </c:pt>
                <c:pt idx="143">
                  <c:v>21459.857142857101</c:v>
                </c:pt>
                <c:pt idx="144">
                  <c:v>21555.142857142899</c:v>
                </c:pt>
                <c:pt idx="145">
                  <c:v>21821.714285714301</c:v>
                </c:pt>
                <c:pt idx="146">
                  <c:v>22625.142857142899</c:v>
                </c:pt>
                <c:pt idx="147">
                  <c:v>23515.714285714301</c:v>
                </c:pt>
                <c:pt idx="148">
                  <c:v>24356.428571428602</c:v>
                </c:pt>
                <c:pt idx="149">
                  <c:v>25262.714285714301</c:v>
                </c:pt>
                <c:pt idx="150">
                  <c:v>26355.428571428602</c:v>
                </c:pt>
                <c:pt idx="151">
                  <c:v>27319.285714285699</c:v>
                </c:pt>
                <c:pt idx="152">
                  <c:v>29096.142857142899</c:v>
                </c:pt>
                <c:pt idx="153">
                  <c:v>31012</c:v>
                </c:pt>
                <c:pt idx="154">
                  <c:v>32267.714285714301</c:v>
                </c:pt>
                <c:pt idx="155">
                  <c:v>33978.571428571398</c:v>
                </c:pt>
                <c:pt idx="156">
                  <c:v>36030.142857142899</c:v>
                </c:pt>
                <c:pt idx="157">
                  <c:v>37321.857142857203</c:v>
                </c:pt>
                <c:pt idx="158">
                  <c:v>39570.571428571398</c:v>
                </c:pt>
                <c:pt idx="159">
                  <c:v>40812.857142857101</c:v>
                </c:pt>
                <c:pt idx="160">
                  <c:v>42383.285714285703</c:v>
                </c:pt>
                <c:pt idx="161">
                  <c:v>44551.428571428602</c:v>
                </c:pt>
                <c:pt idx="162">
                  <c:v>46838.714285714297</c:v>
                </c:pt>
                <c:pt idx="163">
                  <c:v>47764.285714285703</c:v>
                </c:pt>
                <c:pt idx="164">
                  <c:v>48776.428571428602</c:v>
                </c:pt>
                <c:pt idx="165">
                  <c:v>49974.571428571398</c:v>
                </c:pt>
                <c:pt idx="166">
                  <c:v>50430.428571428602</c:v>
                </c:pt>
                <c:pt idx="167">
                  <c:v>51930.857142857101</c:v>
                </c:pt>
                <c:pt idx="168">
                  <c:v>53114.571428571398</c:v>
                </c:pt>
                <c:pt idx="169">
                  <c:v>53755</c:v>
                </c:pt>
                <c:pt idx="170">
                  <c:v>55922.571428571398</c:v>
                </c:pt>
                <c:pt idx="171">
                  <c:v>57691.857142857101</c:v>
                </c:pt>
                <c:pt idx="172">
                  <c:v>59152</c:v>
                </c:pt>
                <c:pt idx="173">
                  <c:v>61297.142857142899</c:v>
                </c:pt>
                <c:pt idx="174">
                  <c:v>62399</c:v>
                </c:pt>
                <c:pt idx="175">
                  <c:v>63580.142857142899</c:v>
                </c:pt>
                <c:pt idx="176">
                  <c:v>65763.571428571406</c:v>
                </c:pt>
                <c:pt idx="177">
                  <c:v>66420.285714285696</c:v>
                </c:pt>
                <c:pt idx="178">
                  <c:v>66791.571428571406</c:v>
                </c:pt>
                <c:pt idx="179">
                  <c:v>66914.285714285696</c:v>
                </c:pt>
                <c:pt idx="180">
                  <c:v>67303.714285714304</c:v>
                </c:pt>
                <c:pt idx="181">
                  <c:v>67197.857142857203</c:v>
                </c:pt>
                <c:pt idx="182">
                  <c:v>67542.285714285696</c:v>
                </c:pt>
                <c:pt idx="183">
                  <c:v>66462.142857142899</c:v>
                </c:pt>
                <c:pt idx="184">
                  <c:v>66769.428571428594</c:v>
                </c:pt>
                <c:pt idx="185">
                  <c:v>67226.285714285696</c:v>
                </c:pt>
                <c:pt idx="186">
                  <c:v>66476</c:v>
                </c:pt>
                <c:pt idx="187">
                  <c:v>65880.857142857203</c:v>
                </c:pt>
                <c:pt idx="188">
                  <c:v>65589.857142857203</c:v>
                </c:pt>
                <c:pt idx="189">
                  <c:v>65322.714285714297</c:v>
                </c:pt>
                <c:pt idx="190">
                  <c:v>65246.428571428602</c:v>
                </c:pt>
                <c:pt idx="191">
                  <c:v>64412.857142857203</c:v>
                </c:pt>
                <c:pt idx="192">
                  <c:v>63272.428571428602</c:v>
                </c:pt>
                <c:pt idx="193">
                  <c:v>61808.571428571398</c:v>
                </c:pt>
                <c:pt idx="194">
                  <c:v>60196.142857142899</c:v>
                </c:pt>
                <c:pt idx="195">
                  <c:v>59001.428571428602</c:v>
                </c:pt>
                <c:pt idx="196">
                  <c:v>57196.571428571398</c:v>
                </c:pt>
                <c:pt idx="197">
                  <c:v>55649.142857142899</c:v>
                </c:pt>
                <c:pt idx="198">
                  <c:v>54588.142857142899</c:v>
                </c:pt>
                <c:pt idx="199">
                  <c:v>54024</c:v>
                </c:pt>
                <c:pt idx="200">
                  <c:v>54330.571428571398</c:v>
                </c:pt>
                <c:pt idx="201">
                  <c:v>54379.857142857101</c:v>
                </c:pt>
                <c:pt idx="202">
                  <c:v>53988.428571428602</c:v>
                </c:pt>
                <c:pt idx="203">
                  <c:v>53543.571428571398</c:v>
                </c:pt>
                <c:pt idx="204">
                  <c:v>52751.285714285703</c:v>
                </c:pt>
                <c:pt idx="205">
                  <c:v>53306.428571428602</c:v>
                </c:pt>
                <c:pt idx="206">
                  <c:v>52514</c:v>
                </c:pt>
                <c:pt idx="207">
                  <c:v>51358.428571428602</c:v>
                </c:pt>
                <c:pt idx="208">
                  <c:v>49932.857142857101</c:v>
                </c:pt>
                <c:pt idx="209">
                  <c:v>48627.285714285703</c:v>
                </c:pt>
                <c:pt idx="210">
                  <c:v>47410.571428571398</c:v>
                </c:pt>
                <c:pt idx="211">
                  <c:v>46386</c:v>
                </c:pt>
                <c:pt idx="212">
                  <c:v>44101.857142857101</c:v>
                </c:pt>
                <c:pt idx="213">
                  <c:v>43352</c:v>
                </c:pt>
                <c:pt idx="214">
                  <c:v>42575.285714285703</c:v>
                </c:pt>
                <c:pt idx="215">
                  <c:v>42540.428571428602</c:v>
                </c:pt>
                <c:pt idx="216">
                  <c:v>42178.571428571398</c:v>
                </c:pt>
                <c:pt idx="217">
                  <c:v>42153.142857142899</c:v>
                </c:pt>
                <c:pt idx="218">
                  <c:v>42385.714285714297</c:v>
                </c:pt>
                <c:pt idx="219">
                  <c:v>42040.142857142899</c:v>
                </c:pt>
                <c:pt idx="220">
                  <c:v>42033.571428571398</c:v>
                </c:pt>
                <c:pt idx="221">
                  <c:v>42083.857142857203</c:v>
                </c:pt>
                <c:pt idx="222">
                  <c:v>41799</c:v>
                </c:pt>
                <c:pt idx="223">
                  <c:v>42114.285714285703</c:v>
                </c:pt>
                <c:pt idx="224">
                  <c:v>41656.571428571398</c:v>
                </c:pt>
                <c:pt idx="225">
                  <c:v>41445.857142857101</c:v>
                </c:pt>
                <c:pt idx="226">
                  <c:v>42049.571428571398</c:v>
                </c:pt>
                <c:pt idx="227">
                  <c:v>41954</c:v>
                </c:pt>
                <c:pt idx="228">
                  <c:v>41417.285714285703</c:v>
                </c:pt>
                <c:pt idx="229">
                  <c:v>40080.857142857101</c:v>
                </c:pt>
                <c:pt idx="230">
                  <c:v>37752.571428571398</c:v>
                </c:pt>
                <c:pt idx="231">
                  <c:v>36863.142857142899</c:v>
                </c:pt>
                <c:pt idx="232">
                  <c:v>35693.428571428602</c:v>
                </c:pt>
                <c:pt idx="233">
                  <c:v>35339.857142857101</c:v>
                </c:pt>
                <c:pt idx="234">
                  <c:v>35101.142857142899</c:v>
                </c:pt>
                <c:pt idx="235">
                  <c:v>35619.428571428602</c:v>
                </c:pt>
                <c:pt idx="236">
                  <c:v>37097.428571428602</c:v>
                </c:pt>
                <c:pt idx="237">
                  <c:v>38982.142857142899</c:v>
                </c:pt>
                <c:pt idx="238">
                  <c:v>39673.571428571398</c:v>
                </c:pt>
                <c:pt idx="239">
                  <c:v>41007.714285714297</c:v>
                </c:pt>
                <c:pt idx="240">
                  <c:v>41259</c:v>
                </c:pt>
                <c:pt idx="241">
                  <c:v>41421.142857142899</c:v>
                </c:pt>
                <c:pt idx="242">
                  <c:v>42143.285714285703</c:v>
                </c:pt>
                <c:pt idx="243">
                  <c:v>44671.142857142899</c:v>
                </c:pt>
                <c:pt idx="244">
                  <c:v>44827</c:v>
                </c:pt>
                <c:pt idx="245">
                  <c:v>44873.714285714297</c:v>
                </c:pt>
                <c:pt idx="246">
                  <c:v>45250.571428571398</c:v>
                </c:pt>
                <c:pt idx="247">
                  <c:v>45207.142857142899</c:v>
                </c:pt>
                <c:pt idx="248">
                  <c:v>45612.285714285703</c:v>
                </c:pt>
                <c:pt idx="249">
                  <c:v>45564.428571428602</c:v>
                </c:pt>
                <c:pt idx="250">
                  <c:v>43004.428571428602</c:v>
                </c:pt>
                <c:pt idx="251">
                  <c:v>43573</c:v>
                </c:pt>
                <c:pt idx="252">
                  <c:v>43747.428571428602</c:v>
                </c:pt>
                <c:pt idx="253">
                  <c:v>43629.428571428602</c:v>
                </c:pt>
                <c:pt idx="254">
                  <c:v>44642.142857142899</c:v>
                </c:pt>
                <c:pt idx="255">
                  <c:v>45472.857142857203</c:v>
                </c:pt>
                <c:pt idx="256">
                  <c:v>45041</c:v>
                </c:pt>
                <c:pt idx="257">
                  <c:v>45950.571428571398</c:v>
                </c:pt>
                <c:pt idx="258">
                  <c:v>46205.285714285703</c:v>
                </c:pt>
                <c:pt idx="259">
                  <c:v>47854.285714285703</c:v>
                </c:pt>
                <c:pt idx="260">
                  <c:v>49760.428571428602</c:v>
                </c:pt>
                <c:pt idx="261">
                  <c:v>50090.571428571398</c:v>
                </c:pt>
                <c:pt idx="262">
                  <c:v>50902.142857142899</c:v>
                </c:pt>
                <c:pt idx="263">
                  <c:v>52596.714285714297</c:v>
                </c:pt>
                <c:pt idx="264">
                  <c:v>52867.285714285703</c:v>
                </c:pt>
                <c:pt idx="265">
                  <c:v>54025.571428571398</c:v>
                </c:pt>
                <c:pt idx="266">
                  <c:v>55290.428571428602</c:v>
                </c:pt>
                <c:pt idx="267">
                  <c:v>56191.428571428602</c:v>
                </c:pt>
                <c:pt idx="268">
                  <c:v>57917.571428571398</c:v>
                </c:pt>
                <c:pt idx="269">
                  <c:v>58087.857142857101</c:v>
                </c:pt>
                <c:pt idx="270">
                  <c:v>58762.285714285703</c:v>
                </c:pt>
                <c:pt idx="271">
                  <c:v>62647</c:v>
                </c:pt>
                <c:pt idx="272">
                  <c:v>63911</c:v>
                </c:pt>
                <c:pt idx="273">
                  <c:v>64503.285714285703</c:v>
                </c:pt>
                <c:pt idx="274">
                  <c:v>66091</c:v>
                </c:pt>
                <c:pt idx="275">
                  <c:v>68054.571428571406</c:v>
                </c:pt>
                <c:pt idx="276">
                  <c:v>71797.714285714304</c:v>
                </c:pt>
                <c:pt idx="277">
                  <c:v>73527.714285714304</c:v>
                </c:pt>
                <c:pt idx="278">
                  <c:v>73585.285714285696</c:v>
                </c:pt>
                <c:pt idx="279">
                  <c:v>75830.142857142899</c:v>
                </c:pt>
                <c:pt idx="280">
                  <c:v>78126.714285714304</c:v>
                </c:pt>
                <c:pt idx="281">
                  <c:v>80350</c:v>
                </c:pt>
                <c:pt idx="282">
                  <c:v>82918.571428571406</c:v>
                </c:pt>
                <c:pt idx="283">
                  <c:v>84052.857142857101</c:v>
                </c:pt>
                <c:pt idx="284">
                  <c:v>90139.142857142899</c:v>
                </c:pt>
                <c:pt idx="285">
                  <c:v>92491.428571428594</c:v>
                </c:pt>
                <c:pt idx="286">
                  <c:v>100043.857142857</c:v>
                </c:pt>
                <c:pt idx="287">
                  <c:v>103629.714285714</c:v>
                </c:pt>
                <c:pt idx="288">
                  <c:v>109153.428571429</c:v>
                </c:pt>
                <c:pt idx="289">
                  <c:v>113407.285714286</c:v>
                </c:pt>
                <c:pt idx="290">
                  <c:v>119614.142857143</c:v>
                </c:pt>
                <c:pt idx="291">
                  <c:v>121209.285714286</c:v>
                </c:pt>
                <c:pt idx="292">
                  <c:v>126385.714285714</c:v>
                </c:pt>
                <c:pt idx="293">
                  <c:v>128113.285714286</c:v>
                </c:pt>
                <c:pt idx="294">
                  <c:v>134740.285714286</c:v>
                </c:pt>
                <c:pt idx="295">
                  <c:v>139636.42857142899</c:v>
                </c:pt>
                <c:pt idx="296">
                  <c:v>147165.285714286</c:v>
                </c:pt>
                <c:pt idx="297">
                  <c:v>152883.85714285701</c:v>
                </c:pt>
                <c:pt idx="298">
                  <c:v>156156.57142857101</c:v>
                </c:pt>
                <c:pt idx="299">
                  <c:v>162165.42857142899</c:v>
                </c:pt>
                <c:pt idx="300">
                  <c:v>165581.42857142899</c:v>
                </c:pt>
                <c:pt idx="301">
                  <c:v>169077.57142857101</c:v>
                </c:pt>
                <c:pt idx="302">
                  <c:v>173304.42857142899</c:v>
                </c:pt>
                <c:pt idx="303">
                  <c:v>176210.285714286</c:v>
                </c:pt>
                <c:pt idx="304">
                  <c:v>177698</c:v>
                </c:pt>
                <c:pt idx="305">
                  <c:v>179031.57142857101</c:v>
                </c:pt>
                <c:pt idx="306">
                  <c:v>180980</c:v>
                </c:pt>
                <c:pt idx="307">
                  <c:v>182959.14285714299</c:v>
                </c:pt>
                <c:pt idx="308">
                  <c:v>184699</c:v>
                </c:pt>
                <c:pt idx="309">
                  <c:v>174290.714285714</c:v>
                </c:pt>
                <c:pt idx="310">
                  <c:v>174672.285714286</c:v>
                </c:pt>
                <c:pt idx="311">
                  <c:v>171452.714285714</c:v>
                </c:pt>
                <c:pt idx="312">
                  <c:v>170704.714285714</c:v>
                </c:pt>
                <c:pt idx="313">
                  <c:v>168540.85714285701</c:v>
                </c:pt>
                <c:pt idx="314">
                  <c:v>171004.85714285701</c:v>
                </c:pt>
                <c:pt idx="315">
                  <c:v>173983.42857142899</c:v>
                </c:pt>
                <c:pt idx="316">
                  <c:v>189200.57142857101</c:v>
                </c:pt>
                <c:pt idx="317">
                  <c:v>193939.57142857101</c:v>
                </c:pt>
                <c:pt idx="318">
                  <c:v>203010</c:v>
                </c:pt>
                <c:pt idx="319">
                  <c:v>208603.42857142899</c:v>
                </c:pt>
                <c:pt idx="320">
                  <c:v>213519.42857142899</c:v>
                </c:pt>
                <c:pt idx="321">
                  <c:v>218854.14285714299</c:v>
                </c:pt>
                <c:pt idx="322">
                  <c:v>221221.14285714299</c:v>
                </c:pt>
                <c:pt idx="323">
                  <c:v>222767.285714286</c:v>
                </c:pt>
                <c:pt idx="324">
                  <c:v>223483.714285714</c:v>
                </c:pt>
                <c:pt idx="325">
                  <c:v>223536.285714286</c:v>
                </c:pt>
                <c:pt idx="326">
                  <c:v>224539.285714286</c:v>
                </c:pt>
                <c:pt idx="327">
                  <c:v>226161.14285714299</c:v>
                </c:pt>
                <c:pt idx="328">
                  <c:v>224893.714285714</c:v>
                </c:pt>
                <c:pt idx="329">
                  <c:v>227732.285714286</c:v>
                </c:pt>
                <c:pt idx="330">
                  <c:v>228220.285714286</c:v>
                </c:pt>
                <c:pt idx="331">
                  <c:v>229482.57142857101</c:v>
                </c:pt>
                <c:pt idx="332">
                  <c:v>226740.285714286</c:v>
                </c:pt>
                <c:pt idx="333">
                  <c:v>226566.85714285701</c:v>
                </c:pt>
                <c:pt idx="334">
                  <c:v>224855</c:v>
                </c:pt>
                <c:pt idx="335">
                  <c:v>221978</c:v>
                </c:pt>
                <c:pt idx="336">
                  <c:v>219871.714285714</c:v>
                </c:pt>
                <c:pt idx="337">
                  <c:v>215146.57142857101</c:v>
                </c:pt>
                <c:pt idx="338">
                  <c:v>194678.85714285701</c:v>
                </c:pt>
                <c:pt idx="339">
                  <c:v>196842.85714285701</c:v>
                </c:pt>
                <c:pt idx="340">
                  <c:v>192455</c:v>
                </c:pt>
                <c:pt idx="341">
                  <c:v>189012</c:v>
                </c:pt>
                <c:pt idx="342">
                  <c:v>189320.42857142899</c:v>
                </c:pt>
                <c:pt idx="343">
                  <c:v>189177.14285714299</c:v>
                </c:pt>
                <c:pt idx="344">
                  <c:v>196797.85714285701</c:v>
                </c:pt>
                <c:pt idx="345">
                  <c:v>204975.42857142899</c:v>
                </c:pt>
                <c:pt idx="346">
                  <c:v>216208</c:v>
                </c:pt>
                <c:pt idx="347">
                  <c:v>223898.714285714</c:v>
                </c:pt>
                <c:pt idx="348">
                  <c:v>226546.57142857101</c:v>
                </c:pt>
                <c:pt idx="349">
                  <c:v>230578.85714285701</c:v>
                </c:pt>
                <c:pt idx="350">
                  <c:v>235364.14285714299</c:v>
                </c:pt>
                <c:pt idx="351">
                  <c:v>239966.57142857101</c:v>
                </c:pt>
                <c:pt idx="352">
                  <c:v>260382.57142857101</c:v>
                </c:pt>
                <c:pt idx="353">
                  <c:v>255238.714285714</c:v>
                </c:pt>
                <c:pt idx="354">
                  <c:v>256068.85714285701</c:v>
                </c:pt>
                <c:pt idx="355">
                  <c:v>259978.85714285701</c:v>
                </c:pt>
                <c:pt idx="356">
                  <c:v>258080.285714286</c:v>
                </c:pt>
                <c:pt idx="357">
                  <c:v>254045</c:v>
                </c:pt>
                <c:pt idx="358">
                  <c:v>246633.285714286</c:v>
                </c:pt>
                <c:pt idx="359">
                  <c:v>238202.285714286</c:v>
                </c:pt>
                <c:pt idx="360">
                  <c:v>230755.85714285701</c:v>
                </c:pt>
                <c:pt idx="361">
                  <c:v>225403.714285714</c:v>
                </c:pt>
                <c:pt idx="362">
                  <c:v>215132</c:v>
                </c:pt>
                <c:pt idx="363">
                  <c:v>207152.85714285701</c:v>
                </c:pt>
                <c:pt idx="364">
                  <c:v>200615.285714286</c:v>
                </c:pt>
                <c:pt idx="365">
                  <c:v>193945.285714286</c:v>
                </c:pt>
                <c:pt idx="366">
                  <c:v>185572.14285714299</c:v>
                </c:pt>
                <c:pt idx="367">
                  <c:v>180559.42857142899</c:v>
                </c:pt>
                <c:pt idx="368">
                  <c:v>174785</c:v>
                </c:pt>
                <c:pt idx="369">
                  <c:v>174864.285714286</c:v>
                </c:pt>
                <c:pt idx="370">
                  <c:v>171945</c:v>
                </c:pt>
                <c:pt idx="371">
                  <c:v>167407.57142857101</c:v>
                </c:pt>
                <c:pt idx="372">
                  <c:v>163628.85714285701</c:v>
                </c:pt>
                <c:pt idx="373">
                  <c:v>160114.85714285701</c:v>
                </c:pt>
                <c:pt idx="374">
                  <c:v>155837.42857142899</c:v>
                </c:pt>
                <c:pt idx="375">
                  <c:v>152522.714285714</c:v>
                </c:pt>
                <c:pt idx="376">
                  <c:v>150552.14285714299</c:v>
                </c:pt>
                <c:pt idx="377">
                  <c:v>145970</c:v>
                </c:pt>
                <c:pt idx="378">
                  <c:v>141256.714285714</c:v>
                </c:pt>
                <c:pt idx="379">
                  <c:v>134933.57142857101</c:v>
                </c:pt>
                <c:pt idx="380">
                  <c:v>129970.142857143</c:v>
                </c:pt>
                <c:pt idx="381">
                  <c:v>124884.285714286</c:v>
                </c:pt>
                <c:pt idx="382">
                  <c:v>121431.285714286</c:v>
                </c:pt>
                <c:pt idx="383">
                  <c:v>114971.285714286</c:v>
                </c:pt>
                <c:pt idx="384">
                  <c:v>112183.571428571</c:v>
                </c:pt>
                <c:pt idx="385">
                  <c:v>108307</c:v>
                </c:pt>
                <c:pt idx="386">
                  <c:v>105660.857142857</c:v>
                </c:pt>
                <c:pt idx="387">
                  <c:v>100922.428571429</c:v>
                </c:pt>
                <c:pt idx="388">
                  <c:v>97833.142857142899</c:v>
                </c:pt>
                <c:pt idx="389">
                  <c:v>94050.285714285696</c:v>
                </c:pt>
                <c:pt idx="390">
                  <c:v>89423.571428571406</c:v>
                </c:pt>
                <c:pt idx="391">
                  <c:v>84506.285714285696</c:v>
                </c:pt>
                <c:pt idx="392">
                  <c:v>80697.571428571406</c:v>
                </c:pt>
                <c:pt idx="393">
                  <c:v>75751.428571428594</c:v>
                </c:pt>
                <c:pt idx="394">
                  <c:v>72680</c:v>
                </c:pt>
                <c:pt idx="395">
                  <c:v>70334</c:v>
                </c:pt>
                <c:pt idx="396">
                  <c:v>69203.571428571406</c:v>
                </c:pt>
                <c:pt idx="397">
                  <c:v>69456.857142857101</c:v>
                </c:pt>
                <c:pt idx="398">
                  <c:v>71217</c:v>
                </c:pt>
                <c:pt idx="399">
                  <c:v>71987.571428571406</c:v>
                </c:pt>
                <c:pt idx="400">
                  <c:v>72902.857142857203</c:v>
                </c:pt>
                <c:pt idx="401">
                  <c:v>73005</c:v>
                </c:pt>
                <c:pt idx="402">
                  <c:v>71945.428571428594</c:v>
                </c:pt>
                <c:pt idx="403">
                  <c:v>71031</c:v>
                </c:pt>
                <c:pt idx="404">
                  <c:v>71035.714285714304</c:v>
                </c:pt>
                <c:pt idx="405">
                  <c:v>68833.428571428594</c:v>
                </c:pt>
                <c:pt idx="406">
                  <c:v>67673.857142857203</c:v>
                </c:pt>
                <c:pt idx="407">
                  <c:v>66317.571428571406</c:v>
                </c:pt>
                <c:pt idx="408">
                  <c:v>64571.285714285703</c:v>
                </c:pt>
                <c:pt idx="409">
                  <c:v>63637.285714285703</c:v>
                </c:pt>
                <c:pt idx="410">
                  <c:v>62289.571428571398</c:v>
                </c:pt>
                <c:pt idx="411">
                  <c:v>60895.142857142899</c:v>
                </c:pt>
                <c:pt idx="412">
                  <c:v>60748.714285714297</c:v>
                </c:pt>
                <c:pt idx="413">
                  <c:v>59509.714285714297</c:v>
                </c:pt>
                <c:pt idx="414">
                  <c:v>58702.571428571398</c:v>
                </c:pt>
                <c:pt idx="415">
                  <c:v>58118.142857142899</c:v>
                </c:pt>
                <c:pt idx="416">
                  <c:v>57325.142857142899</c:v>
                </c:pt>
                <c:pt idx="417">
                  <c:v>56879.142857142899</c:v>
                </c:pt>
                <c:pt idx="418">
                  <c:v>58331.142857142899</c:v>
                </c:pt>
                <c:pt idx="419">
                  <c:v>58119.428571428602</c:v>
                </c:pt>
                <c:pt idx="420">
                  <c:v>58362.857142857101</c:v>
                </c:pt>
                <c:pt idx="421">
                  <c:v>58103.428571428602</c:v>
                </c:pt>
                <c:pt idx="422">
                  <c:v>58202.285714285703</c:v>
                </c:pt>
                <c:pt idx="423">
                  <c:v>58750.571428571398</c:v>
                </c:pt>
                <c:pt idx="424">
                  <c:v>58268.285714285703</c:v>
                </c:pt>
                <c:pt idx="425">
                  <c:v>57665.714285714297</c:v>
                </c:pt>
                <c:pt idx="426">
                  <c:v>57605.571428571398</c:v>
                </c:pt>
                <c:pt idx="427">
                  <c:v>61662.285714285703</c:v>
                </c:pt>
                <c:pt idx="428">
                  <c:v>62940</c:v>
                </c:pt>
                <c:pt idx="429">
                  <c:v>65267.142857142899</c:v>
                </c:pt>
                <c:pt idx="430">
                  <c:v>66140.714285714304</c:v>
                </c:pt>
                <c:pt idx="431">
                  <c:v>67901.285714285696</c:v>
                </c:pt>
                <c:pt idx="432">
                  <c:v>70654.285714285696</c:v>
                </c:pt>
                <c:pt idx="433">
                  <c:v>71846.571428571406</c:v>
                </c:pt>
                <c:pt idx="434">
                  <c:v>69672.714285714304</c:v>
                </c:pt>
                <c:pt idx="435">
                  <c:v>71358.857142857203</c:v>
                </c:pt>
                <c:pt idx="436">
                  <c:v>70337.857142857203</c:v>
                </c:pt>
                <c:pt idx="437">
                  <c:v>71035.428571428594</c:v>
                </c:pt>
                <c:pt idx="438">
                  <c:v>69521.714285714304</c:v>
                </c:pt>
                <c:pt idx="439">
                  <c:v>70682.571428571406</c:v>
                </c:pt>
                <c:pt idx="440">
                  <c:v>71637.714285714304</c:v>
                </c:pt>
                <c:pt idx="441">
                  <c:v>72587.714285714304</c:v>
                </c:pt>
                <c:pt idx="442">
                  <c:v>73109.857142857203</c:v>
                </c:pt>
                <c:pt idx="443">
                  <c:v>75698.571428571406</c:v>
                </c:pt>
                <c:pt idx="444">
                  <c:v>76458.714285714304</c:v>
                </c:pt>
                <c:pt idx="445">
                  <c:v>78496.857142857203</c:v>
                </c:pt>
                <c:pt idx="446">
                  <c:v>77891.571428571406</c:v>
                </c:pt>
                <c:pt idx="447">
                  <c:v>79977.428571428594</c:v>
                </c:pt>
                <c:pt idx="448">
                  <c:v>80194.285714285696</c:v>
                </c:pt>
                <c:pt idx="449">
                  <c:v>79492.571428571406</c:v>
                </c:pt>
                <c:pt idx="450">
                  <c:v>78925.857142857203</c:v>
                </c:pt>
                <c:pt idx="451">
                  <c:v>76722.714285714304</c:v>
                </c:pt>
                <c:pt idx="452">
                  <c:v>76245.428571428594</c:v>
                </c:pt>
                <c:pt idx="453">
                  <c:v>76101</c:v>
                </c:pt>
                <c:pt idx="454">
                  <c:v>73475.857142857203</c:v>
                </c:pt>
                <c:pt idx="455">
                  <c:v>71729.428571428594</c:v>
                </c:pt>
                <c:pt idx="456">
                  <c:v>70615.571428571406</c:v>
                </c:pt>
                <c:pt idx="457">
                  <c:v>67930.857142857203</c:v>
                </c:pt>
                <c:pt idx="458">
                  <c:v>67989.714285714304</c:v>
                </c:pt>
                <c:pt idx="459">
                  <c:v>66561.571428571406</c:v>
                </c:pt>
                <c:pt idx="460">
                  <c:v>63431.142857142899</c:v>
                </c:pt>
                <c:pt idx="461">
                  <c:v>61935.285714285703</c:v>
                </c:pt>
                <c:pt idx="462">
                  <c:v>60688.571428571398</c:v>
                </c:pt>
                <c:pt idx="463">
                  <c:v>59586.571428571398</c:v>
                </c:pt>
                <c:pt idx="464">
                  <c:v>58973.428571428602</c:v>
                </c:pt>
                <c:pt idx="465">
                  <c:v>57740.571428571398</c:v>
                </c:pt>
                <c:pt idx="466">
                  <c:v>57029.285714285703</c:v>
                </c:pt>
                <c:pt idx="467">
                  <c:v>57769.142857142899</c:v>
                </c:pt>
                <c:pt idx="468">
                  <c:v>56309.571428571398</c:v>
                </c:pt>
                <c:pt idx="469">
                  <c:v>54904.571428571398</c:v>
                </c:pt>
                <c:pt idx="470">
                  <c:v>53028.571428571398</c:v>
                </c:pt>
                <c:pt idx="471">
                  <c:v>51497.714285714297</c:v>
                </c:pt>
                <c:pt idx="472">
                  <c:v>49703</c:v>
                </c:pt>
                <c:pt idx="473">
                  <c:v>48523.857142857203</c:v>
                </c:pt>
                <c:pt idx="474">
                  <c:v>46276.714285714297</c:v>
                </c:pt>
                <c:pt idx="475">
                  <c:v>45143.142857142899</c:v>
                </c:pt>
                <c:pt idx="476">
                  <c:v>43626.285714285703</c:v>
                </c:pt>
                <c:pt idx="477">
                  <c:v>42108.714285714297</c:v>
                </c:pt>
                <c:pt idx="478">
                  <c:v>41075</c:v>
                </c:pt>
                <c:pt idx="479">
                  <c:v>40151.857142857203</c:v>
                </c:pt>
                <c:pt idx="480">
                  <c:v>39300.857142857101</c:v>
                </c:pt>
                <c:pt idx="481">
                  <c:v>37900</c:v>
                </c:pt>
                <c:pt idx="482">
                  <c:v>36771.142857142899</c:v>
                </c:pt>
                <c:pt idx="483">
                  <c:v>35581.714285714297</c:v>
                </c:pt>
                <c:pt idx="484">
                  <c:v>34192</c:v>
                </c:pt>
                <c:pt idx="485">
                  <c:v>31947.142857142899</c:v>
                </c:pt>
                <c:pt idx="486">
                  <c:v>30492.857142857101</c:v>
                </c:pt>
                <c:pt idx="487">
                  <c:v>29737.571428571398</c:v>
                </c:pt>
                <c:pt idx="488">
                  <c:v>28586.142857142899</c:v>
                </c:pt>
                <c:pt idx="489">
                  <c:v>27891</c:v>
                </c:pt>
                <c:pt idx="490">
                  <c:v>26816.714285714301</c:v>
                </c:pt>
                <c:pt idx="491">
                  <c:v>26410</c:v>
                </c:pt>
                <c:pt idx="492">
                  <c:v>25286.142857142899</c:v>
                </c:pt>
                <c:pt idx="493">
                  <c:v>23994.428571428602</c:v>
                </c:pt>
                <c:pt idx="494">
                  <c:v>22939.428571428602</c:v>
                </c:pt>
                <c:pt idx="495">
                  <c:v>20482.142857142899</c:v>
                </c:pt>
                <c:pt idx="496">
                  <c:v>20007.714285714301</c:v>
                </c:pt>
                <c:pt idx="497">
                  <c:v>18917.857142857101</c:v>
                </c:pt>
                <c:pt idx="498">
                  <c:v>17408.571428571398</c:v>
                </c:pt>
                <c:pt idx="499">
                  <c:v>16566.428571428602</c:v>
                </c:pt>
                <c:pt idx="500">
                  <c:v>16732.428571428602</c:v>
                </c:pt>
                <c:pt idx="501">
                  <c:v>16473.142857142899</c:v>
                </c:pt>
                <c:pt idx="502">
                  <c:v>17577.714285714301</c:v>
                </c:pt>
                <c:pt idx="503">
                  <c:v>16246.4285714286</c:v>
                </c:pt>
                <c:pt idx="504">
                  <c:v>16394.714285714301</c:v>
                </c:pt>
                <c:pt idx="505">
                  <c:v>15619.285714285699</c:v>
                </c:pt>
                <c:pt idx="506">
                  <c:v>16632.571428571398</c:v>
                </c:pt>
                <c:pt idx="507">
                  <c:v>15770</c:v>
                </c:pt>
                <c:pt idx="508">
                  <c:v>15646.857142857099</c:v>
                </c:pt>
                <c:pt idx="509">
                  <c:v>15185.857142857099</c:v>
                </c:pt>
                <c:pt idx="510">
                  <c:v>14841.285714285699</c:v>
                </c:pt>
                <c:pt idx="511">
                  <c:v>13874.285714285699</c:v>
                </c:pt>
                <c:pt idx="512">
                  <c:v>13284.285714285699</c:v>
                </c:pt>
                <c:pt idx="513">
                  <c:v>12729.5714285714</c:v>
                </c:pt>
                <c:pt idx="514">
                  <c:v>12635.857142857099</c:v>
                </c:pt>
                <c:pt idx="515">
                  <c:v>12470.714285714301</c:v>
                </c:pt>
                <c:pt idx="516">
                  <c:v>12351.285714285699</c:v>
                </c:pt>
                <c:pt idx="517">
                  <c:v>12291.857142857099</c:v>
                </c:pt>
                <c:pt idx="518">
                  <c:v>12323</c:v>
                </c:pt>
                <c:pt idx="519">
                  <c:v>12702.142857142901</c:v>
                </c:pt>
                <c:pt idx="520">
                  <c:v>13076.857142857099</c:v>
                </c:pt>
                <c:pt idx="521">
                  <c:v>13077</c:v>
                </c:pt>
                <c:pt idx="522">
                  <c:v>13023.857142857099</c:v>
                </c:pt>
                <c:pt idx="523">
                  <c:v>13429.5714285714</c:v>
                </c:pt>
                <c:pt idx="524">
                  <c:v>12854.285714285699</c:v>
                </c:pt>
                <c:pt idx="525">
                  <c:v>13282.857142857099</c:v>
                </c:pt>
                <c:pt idx="526">
                  <c:v>13304.4285714286</c:v>
                </c:pt>
                <c:pt idx="527">
                  <c:v>14056.142857142901</c:v>
                </c:pt>
                <c:pt idx="528">
                  <c:v>13457.4285714286</c:v>
                </c:pt>
                <c:pt idx="529">
                  <c:v>13371.142857142901</c:v>
                </c:pt>
                <c:pt idx="530">
                  <c:v>12539.4285714286</c:v>
                </c:pt>
                <c:pt idx="531">
                  <c:v>14875.5714285714</c:v>
                </c:pt>
                <c:pt idx="532">
                  <c:v>15777</c:v>
                </c:pt>
                <c:pt idx="533">
                  <c:v>16504.428571428602</c:v>
                </c:pt>
                <c:pt idx="534">
                  <c:v>19051</c:v>
                </c:pt>
                <c:pt idx="535">
                  <c:v>19577</c:v>
                </c:pt>
                <c:pt idx="536">
                  <c:v>20621.285714285699</c:v>
                </c:pt>
                <c:pt idx="537">
                  <c:v>24120.857142857101</c:v>
                </c:pt>
                <c:pt idx="538">
                  <c:v>24553.857142857101</c:v>
                </c:pt>
                <c:pt idx="539">
                  <c:v>26028.857142857101</c:v>
                </c:pt>
                <c:pt idx="540">
                  <c:v>27552.285714285699</c:v>
                </c:pt>
                <c:pt idx="541">
                  <c:v>31811.571428571398</c:v>
                </c:pt>
                <c:pt idx="542">
                  <c:v>32305.714285714301</c:v>
                </c:pt>
                <c:pt idx="543">
                  <c:v>33571.714285714297</c:v>
                </c:pt>
                <c:pt idx="544">
                  <c:v>36231.285714285703</c:v>
                </c:pt>
                <c:pt idx="545">
                  <c:v>38253.142857142899</c:v>
                </c:pt>
                <c:pt idx="546">
                  <c:v>40766.285714285703</c:v>
                </c:pt>
                <c:pt idx="547">
                  <c:v>44306.285714285703</c:v>
                </c:pt>
                <c:pt idx="548">
                  <c:v>50325</c:v>
                </c:pt>
                <c:pt idx="549">
                  <c:v>52226.428571428602</c:v>
                </c:pt>
                <c:pt idx="550">
                  <c:v>53029.857142857203</c:v>
                </c:pt>
                <c:pt idx="551">
                  <c:v>58006.714285714297</c:v>
                </c:pt>
                <c:pt idx="552">
                  <c:v>62062.142857142899</c:v>
                </c:pt>
                <c:pt idx="553">
                  <c:v>64794.142857142899</c:v>
                </c:pt>
                <c:pt idx="554">
                  <c:v>68384.714285714304</c:v>
                </c:pt>
                <c:pt idx="555">
                  <c:v>78240.714285714304</c:v>
                </c:pt>
                <c:pt idx="556">
                  <c:v>79325</c:v>
                </c:pt>
                <c:pt idx="557">
                  <c:v>81809.428571428594</c:v>
                </c:pt>
                <c:pt idx="558">
                  <c:v>86500.142857142899</c:v>
                </c:pt>
                <c:pt idx="559">
                  <c:v>91665.857142857101</c:v>
                </c:pt>
                <c:pt idx="560">
                  <c:v>95583.428571428594</c:v>
                </c:pt>
                <c:pt idx="561">
                  <c:v>100188.285714286</c:v>
                </c:pt>
                <c:pt idx="562">
                  <c:v>109882.857142857</c:v>
                </c:pt>
                <c:pt idx="563">
                  <c:v>112250</c:v>
                </c:pt>
                <c:pt idx="564">
                  <c:v>110130.857142857</c:v>
                </c:pt>
                <c:pt idx="565">
                  <c:v>119061.285714286</c:v>
                </c:pt>
                <c:pt idx="566">
                  <c:v>121504.857142857</c:v>
                </c:pt>
                <c:pt idx="567">
                  <c:v>130157.142857143</c:v>
                </c:pt>
                <c:pt idx="568">
                  <c:v>134714.57142857101</c:v>
                </c:pt>
                <c:pt idx="569">
                  <c:v>131188.42857142899</c:v>
                </c:pt>
                <c:pt idx="570">
                  <c:v>131279</c:v>
                </c:pt>
                <c:pt idx="571">
                  <c:v>133329</c:v>
                </c:pt>
                <c:pt idx="572">
                  <c:v>139190.285714286</c:v>
                </c:pt>
                <c:pt idx="573">
                  <c:v>143779.42857142899</c:v>
                </c:pt>
                <c:pt idx="574">
                  <c:v>144170.85714285701</c:v>
                </c:pt>
                <c:pt idx="575">
                  <c:v>146435.14285714299</c:v>
                </c:pt>
                <c:pt idx="576">
                  <c:v>148793</c:v>
                </c:pt>
                <c:pt idx="577">
                  <c:v>151259</c:v>
                </c:pt>
                <c:pt idx="578">
                  <c:v>150503.85714285701</c:v>
                </c:pt>
                <c:pt idx="579">
                  <c:v>153194.57142857101</c:v>
                </c:pt>
                <c:pt idx="580">
                  <c:v>153862.85714285701</c:v>
                </c:pt>
                <c:pt idx="581">
                  <c:v>155576.85714285701</c:v>
                </c:pt>
                <c:pt idx="582">
                  <c:v>159530.14285714299</c:v>
                </c:pt>
                <c:pt idx="583">
                  <c:v>159338.285714286</c:v>
                </c:pt>
                <c:pt idx="584">
                  <c:v>158645.85714285701</c:v>
                </c:pt>
                <c:pt idx="585">
                  <c:v>159533.85714285701</c:v>
                </c:pt>
                <c:pt idx="586">
                  <c:v>162868.57142857101</c:v>
                </c:pt>
                <c:pt idx="587">
                  <c:v>164992.14285714299</c:v>
                </c:pt>
                <c:pt idx="588">
                  <c:v>169742.285714286</c:v>
                </c:pt>
                <c:pt idx="589">
                  <c:v>168487.57142857101</c:v>
                </c:pt>
                <c:pt idx="590">
                  <c:v>167412.714285714</c:v>
                </c:pt>
                <c:pt idx="591">
                  <c:v>168600.42857142899</c:v>
                </c:pt>
                <c:pt idx="592">
                  <c:v>168878.85714285701</c:v>
                </c:pt>
                <c:pt idx="593">
                  <c:v>142157.14285714299</c:v>
                </c:pt>
                <c:pt idx="594">
                  <c:v>156605.57142857101</c:v>
                </c:pt>
                <c:pt idx="595">
                  <c:v>153823.714285714</c:v>
                </c:pt>
                <c:pt idx="596">
                  <c:v>151725.85714285701</c:v>
                </c:pt>
                <c:pt idx="597">
                  <c:v>150729.57142857101</c:v>
                </c:pt>
                <c:pt idx="598">
                  <c:v>150599.57142857101</c:v>
                </c:pt>
                <c:pt idx="599">
                  <c:v>150153.85714285701</c:v>
                </c:pt>
                <c:pt idx="600">
                  <c:v>176189.714285714</c:v>
                </c:pt>
                <c:pt idx="601">
                  <c:v>158313.14285714299</c:v>
                </c:pt>
                <c:pt idx="602">
                  <c:v>156635.85714285701</c:v>
                </c:pt>
                <c:pt idx="603">
                  <c:v>156034.14285714299</c:v>
                </c:pt>
                <c:pt idx="604">
                  <c:v>153341.57142857101</c:v>
                </c:pt>
                <c:pt idx="605">
                  <c:v>152227.285714286</c:v>
                </c:pt>
                <c:pt idx="606">
                  <c:v>152051.85714285701</c:v>
                </c:pt>
                <c:pt idx="607">
                  <c:v>143840.42857142899</c:v>
                </c:pt>
                <c:pt idx="608">
                  <c:v>140287</c:v>
                </c:pt>
                <c:pt idx="609">
                  <c:v>134893.714285714</c:v>
                </c:pt>
                <c:pt idx="610">
                  <c:v>130738.571428571</c:v>
                </c:pt>
                <c:pt idx="611">
                  <c:v>126093.428571429</c:v>
                </c:pt>
                <c:pt idx="612">
                  <c:v>124606.428571429</c:v>
                </c:pt>
                <c:pt idx="613">
                  <c:v>125730</c:v>
                </c:pt>
                <c:pt idx="614">
                  <c:v>122427.571428571</c:v>
                </c:pt>
                <c:pt idx="615">
                  <c:v>120928.714285714</c:v>
                </c:pt>
                <c:pt idx="616">
                  <c:v>119572.428571429</c:v>
                </c:pt>
                <c:pt idx="617">
                  <c:v>117025.857142857</c:v>
                </c:pt>
                <c:pt idx="618">
                  <c:v>113770.142857143</c:v>
                </c:pt>
                <c:pt idx="619">
                  <c:v>112670.714285714</c:v>
                </c:pt>
                <c:pt idx="620">
                  <c:v>111637.142857143</c:v>
                </c:pt>
                <c:pt idx="621">
                  <c:v>109149.571428571</c:v>
                </c:pt>
                <c:pt idx="622">
                  <c:v>107034.571428571</c:v>
                </c:pt>
                <c:pt idx="623">
                  <c:v>105127.428571429</c:v>
                </c:pt>
                <c:pt idx="624">
                  <c:v>103896.571428571</c:v>
                </c:pt>
                <c:pt idx="625">
                  <c:v>99896.571428571406</c:v>
                </c:pt>
                <c:pt idx="626">
                  <c:v>98157.142857142899</c:v>
                </c:pt>
                <c:pt idx="627">
                  <c:v>97561.285714285696</c:v>
                </c:pt>
                <c:pt idx="628">
                  <c:v>89307.428571428594</c:v>
                </c:pt>
                <c:pt idx="629">
                  <c:v>91324.857142857101</c:v>
                </c:pt>
                <c:pt idx="630">
                  <c:v>92737.142857142899</c:v>
                </c:pt>
                <c:pt idx="631">
                  <c:v>90578.285714285696</c:v>
                </c:pt>
                <c:pt idx="632">
                  <c:v>88088.714285714304</c:v>
                </c:pt>
                <c:pt idx="633">
                  <c:v>88673</c:v>
                </c:pt>
                <c:pt idx="634">
                  <c:v>87897.285714285696</c:v>
                </c:pt>
                <c:pt idx="635">
                  <c:v>88566.285714285696</c:v>
                </c:pt>
                <c:pt idx="636">
                  <c:v>84167.714285714304</c:v>
                </c:pt>
                <c:pt idx="637">
                  <c:v>79867.285714285696</c:v>
                </c:pt>
                <c:pt idx="638">
                  <c:v>78753.428571428594</c:v>
                </c:pt>
                <c:pt idx="639">
                  <c:v>76549.571428571406</c:v>
                </c:pt>
                <c:pt idx="640">
                  <c:v>75760.714285714304</c:v>
                </c:pt>
                <c:pt idx="641">
                  <c:v>73843.428571428594</c:v>
                </c:pt>
                <c:pt idx="642">
                  <c:v>75217.285714285696</c:v>
                </c:pt>
                <c:pt idx="643">
                  <c:v>73381.857142857203</c:v>
                </c:pt>
                <c:pt idx="644">
                  <c:v>74705.142857142899</c:v>
                </c:pt>
                <c:pt idx="645">
                  <c:v>74483.428571428594</c:v>
                </c:pt>
                <c:pt idx="646">
                  <c:v>74248.714285714304</c:v>
                </c:pt>
                <c:pt idx="647">
                  <c:v>74632.857142857203</c:v>
                </c:pt>
                <c:pt idx="648">
                  <c:v>76568.571428571406</c:v>
                </c:pt>
                <c:pt idx="649">
                  <c:v>76419.857142857203</c:v>
                </c:pt>
                <c:pt idx="650">
                  <c:v>76758.571428571406</c:v>
                </c:pt>
                <c:pt idx="651">
                  <c:v>74384.714285714304</c:v>
                </c:pt>
                <c:pt idx="652">
                  <c:v>74992.571428571406</c:v>
                </c:pt>
                <c:pt idx="653">
                  <c:v>75338</c:v>
                </c:pt>
                <c:pt idx="654">
                  <c:v>75458.714285714304</c:v>
                </c:pt>
                <c:pt idx="655">
                  <c:v>76037.285714285696</c:v>
                </c:pt>
                <c:pt idx="656">
                  <c:v>75793.571428571406</c:v>
                </c:pt>
                <c:pt idx="657">
                  <c:v>77152.285714285696</c:v>
                </c:pt>
                <c:pt idx="658">
                  <c:v>78656.714285714304</c:v>
                </c:pt>
                <c:pt idx="659">
                  <c:v>74701.142857142899</c:v>
                </c:pt>
                <c:pt idx="660">
                  <c:v>82069.857142857203</c:v>
                </c:pt>
                <c:pt idx="661">
                  <c:v>83219.142857142899</c:v>
                </c:pt>
                <c:pt idx="662">
                  <c:v>82503.571428571406</c:v>
                </c:pt>
                <c:pt idx="663">
                  <c:v>86223.571428571406</c:v>
                </c:pt>
                <c:pt idx="664">
                  <c:v>87223.428571428594</c:v>
                </c:pt>
                <c:pt idx="665">
                  <c:v>89591.571428571406</c:v>
                </c:pt>
                <c:pt idx="666">
                  <c:v>97537.428571428594</c:v>
                </c:pt>
                <c:pt idx="667">
                  <c:v>94923.142857142899</c:v>
                </c:pt>
                <c:pt idx="668">
                  <c:v>95068.428571428594</c:v>
                </c:pt>
                <c:pt idx="669">
                  <c:v>94876.285714285696</c:v>
                </c:pt>
                <c:pt idx="670">
                  <c:v>97574</c:v>
                </c:pt>
                <c:pt idx="671">
                  <c:v>98349.714285714304</c:v>
                </c:pt>
                <c:pt idx="672">
                  <c:v>98352.285714285696</c:v>
                </c:pt>
                <c:pt idx="673">
                  <c:v>#N/A</c:v>
                </c:pt>
                <c:pt idx="674">
                  <c:v>#N/A</c:v>
                </c:pt>
                <c:pt idx="675">
                  <c:v>#N/A</c:v>
                </c:pt>
                <c:pt idx="676">
                  <c:v>#N/A</c:v>
                </c:pt>
                <c:pt idx="677">
                  <c:v>#N/A</c:v>
                </c:pt>
                <c:pt idx="678">
                  <c:v>#N/A</c:v>
                </c:pt>
                <c:pt idx="679">
                  <c:v>#N/A</c:v>
                </c:pt>
                <c:pt idx="680">
                  <c:v>#N/A</c:v>
                </c:pt>
                <c:pt idx="681">
                  <c:v>#N/A</c:v>
                </c:pt>
                <c:pt idx="682">
                  <c:v>#N/A</c:v>
                </c:pt>
                <c:pt idx="683">
                  <c:v>#N/A</c:v>
                </c:pt>
                <c:pt idx="684">
                  <c:v>#N/A</c:v>
                </c:pt>
                <c:pt idx="685">
                  <c:v>#N/A</c:v>
                </c:pt>
                <c:pt idx="686">
                  <c:v>#N/A</c:v>
                </c:pt>
                <c:pt idx="687">
                  <c:v>#N/A</c:v>
                </c:pt>
                <c:pt idx="688">
                  <c:v>#N/A</c:v>
                </c:pt>
                <c:pt idx="689">
                  <c:v>#N/A</c:v>
                </c:pt>
                <c:pt idx="690">
                  <c:v>#N/A</c:v>
                </c:pt>
                <c:pt idx="691">
                  <c:v>#N/A</c:v>
                </c:pt>
                <c:pt idx="692">
                  <c:v>#N/A</c:v>
                </c:pt>
                <c:pt idx="693">
                  <c:v>#N/A</c:v>
                </c:pt>
              </c:numCache>
            </c:numRef>
          </c:val>
          <c:smooth val="0"/>
          <c:extLst>
            <c:ext xmlns:c16="http://schemas.microsoft.com/office/drawing/2014/chart" uri="{C3380CC4-5D6E-409C-BE32-E72D297353CC}">
              <c16:uniqueId val="{00000003-012D-46E6-9D5B-3B840377F977}"/>
            </c:ext>
          </c:extLst>
        </c:ser>
        <c:ser>
          <c:idx val="6"/>
          <c:order val="4"/>
          <c:tx>
            <c:strRef>
              <c:f>'DATA - Daily COVID cases'!$A$18</c:f>
              <c:strCache>
                <c:ptCount val="1"/>
                <c:pt idx="0">
                  <c:v>South/Latin America</c:v>
                </c:pt>
              </c:strCache>
            </c:strRef>
          </c:tx>
          <c:spPr>
            <a:ln w="22225" cap="rnd">
              <a:solidFill>
                <a:srgbClr val="E7E6E6">
                  <a:lumMod val="50000"/>
                </a:srgbClr>
              </a:solidFill>
              <a:round/>
            </a:ln>
            <a:effectLst/>
          </c:spPr>
          <c:marker>
            <c:symbol val="none"/>
          </c:marker>
          <c:cat>
            <c:numRef>
              <c:f>'DATA - Daily COVID cases'!$B$1:$ZS$1</c:f>
              <c:numCache>
                <c:formatCode>mmm\-yy</c:formatCode>
                <c:ptCount val="694"/>
                <c:pt idx="0">
                  <c:v>43852</c:v>
                </c:pt>
                <c:pt idx="1">
                  <c:v>43853</c:v>
                </c:pt>
                <c:pt idx="2">
                  <c:v>43854</c:v>
                </c:pt>
                <c:pt idx="3">
                  <c:v>43855</c:v>
                </c:pt>
                <c:pt idx="4">
                  <c:v>43856</c:v>
                </c:pt>
                <c:pt idx="5">
                  <c:v>43857</c:v>
                </c:pt>
                <c:pt idx="6">
                  <c:v>43858</c:v>
                </c:pt>
                <c:pt idx="7">
                  <c:v>43859</c:v>
                </c:pt>
                <c:pt idx="8">
                  <c:v>43860</c:v>
                </c:pt>
                <c:pt idx="9">
                  <c:v>43861</c:v>
                </c:pt>
                <c:pt idx="10">
                  <c:v>43862</c:v>
                </c:pt>
                <c:pt idx="11">
                  <c:v>43863</c:v>
                </c:pt>
                <c:pt idx="12">
                  <c:v>43864</c:v>
                </c:pt>
                <c:pt idx="13">
                  <c:v>43865</c:v>
                </c:pt>
                <c:pt idx="14">
                  <c:v>43866</c:v>
                </c:pt>
                <c:pt idx="15">
                  <c:v>43867</c:v>
                </c:pt>
                <c:pt idx="16">
                  <c:v>43868</c:v>
                </c:pt>
                <c:pt idx="17">
                  <c:v>43869</c:v>
                </c:pt>
                <c:pt idx="18">
                  <c:v>43870</c:v>
                </c:pt>
                <c:pt idx="19">
                  <c:v>43871</c:v>
                </c:pt>
                <c:pt idx="20">
                  <c:v>43872</c:v>
                </c:pt>
                <c:pt idx="21">
                  <c:v>43873</c:v>
                </c:pt>
                <c:pt idx="22">
                  <c:v>43874</c:v>
                </c:pt>
                <c:pt idx="23">
                  <c:v>43875</c:v>
                </c:pt>
                <c:pt idx="24">
                  <c:v>43876</c:v>
                </c:pt>
                <c:pt idx="25">
                  <c:v>43877</c:v>
                </c:pt>
                <c:pt idx="26">
                  <c:v>43878</c:v>
                </c:pt>
                <c:pt idx="27">
                  <c:v>43879</c:v>
                </c:pt>
                <c:pt idx="28">
                  <c:v>43880</c:v>
                </c:pt>
                <c:pt idx="29">
                  <c:v>43881</c:v>
                </c:pt>
                <c:pt idx="30">
                  <c:v>43882</c:v>
                </c:pt>
                <c:pt idx="31">
                  <c:v>43883</c:v>
                </c:pt>
                <c:pt idx="32">
                  <c:v>43884</c:v>
                </c:pt>
                <c:pt idx="33">
                  <c:v>43885</c:v>
                </c:pt>
                <c:pt idx="34">
                  <c:v>43886</c:v>
                </c:pt>
                <c:pt idx="35">
                  <c:v>43887</c:v>
                </c:pt>
                <c:pt idx="36">
                  <c:v>43888</c:v>
                </c:pt>
                <c:pt idx="37">
                  <c:v>43889</c:v>
                </c:pt>
                <c:pt idx="38">
                  <c:v>43890</c:v>
                </c:pt>
                <c:pt idx="39">
                  <c:v>43891</c:v>
                </c:pt>
                <c:pt idx="40">
                  <c:v>43892</c:v>
                </c:pt>
                <c:pt idx="41">
                  <c:v>43893</c:v>
                </c:pt>
                <c:pt idx="42">
                  <c:v>43894</c:v>
                </c:pt>
                <c:pt idx="43">
                  <c:v>43895</c:v>
                </c:pt>
                <c:pt idx="44">
                  <c:v>43896</c:v>
                </c:pt>
                <c:pt idx="45">
                  <c:v>43897</c:v>
                </c:pt>
                <c:pt idx="46">
                  <c:v>43898</c:v>
                </c:pt>
                <c:pt idx="47">
                  <c:v>43899</c:v>
                </c:pt>
                <c:pt idx="48">
                  <c:v>43900</c:v>
                </c:pt>
                <c:pt idx="49">
                  <c:v>43901</c:v>
                </c:pt>
                <c:pt idx="50">
                  <c:v>43902</c:v>
                </c:pt>
                <c:pt idx="51">
                  <c:v>43903</c:v>
                </c:pt>
                <c:pt idx="52">
                  <c:v>43904</c:v>
                </c:pt>
                <c:pt idx="53">
                  <c:v>43905</c:v>
                </c:pt>
                <c:pt idx="54">
                  <c:v>43906</c:v>
                </c:pt>
                <c:pt idx="55">
                  <c:v>43907</c:v>
                </c:pt>
                <c:pt idx="56">
                  <c:v>43908</c:v>
                </c:pt>
                <c:pt idx="57">
                  <c:v>43909</c:v>
                </c:pt>
                <c:pt idx="58">
                  <c:v>43910</c:v>
                </c:pt>
                <c:pt idx="59">
                  <c:v>43911</c:v>
                </c:pt>
                <c:pt idx="60">
                  <c:v>43912</c:v>
                </c:pt>
                <c:pt idx="61">
                  <c:v>43913</c:v>
                </c:pt>
                <c:pt idx="62">
                  <c:v>43914</c:v>
                </c:pt>
                <c:pt idx="63">
                  <c:v>43915</c:v>
                </c:pt>
                <c:pt idx="64">
                  <c:v>43916</c:v>
                </c:pt>
                <c:pt idx="65">
                  <c:v>43917</c:v>
                </c:pt>
                <c:pt idx="66">
                  <c:v>43918</c:v>
                </c:pt>
                <c:pt idx="67">
                  <c:v>43919</c:v>
                </c:pt>
                <c:pt idx="68">
                  <c:v>43920</c:v>
                </c:pt>
                <c:pt idx="69">
                  <c:v>43921</c:v>
                </c:pt>
                <c:pt idx="70">
                  <c:v>43922</c:v>
                </c:pt>
                <c:pt idx="71">
                  <c:v>43923</c:v>
                </c:pt>
                <c:pt idx="72">
                  <c:v>43924</c:v>
                </c:pt>
                <c:pt idx="73">
                  <c:v>43925</c:v>
                </c:pt>
                <c:pt idx="74">
                  <c:v>43926</c:v>
                </c:pt>
                <c:pt idx="75">
                  <c:v>43927</c:v>
                </c:pt>
                <c:pt idx="76">
                  <c:v>43928</c:v>
                </c:pt>
                <c:pt idx="77">
                  <c:v>43929</c:v>
                </c:pt>
                <c:pt idx="78">
                  <c:v>43930</c:v>
                </c:pt>
                <c:pt idx="79">
                  <c:v>43931</c:v>
                </c:pt>
                <c:pt idx="80">
                  <c:v>43932</c:v>
                </c:pt>
                <c:pt idx="81">
                  <c:v>43933</c:v>
                </c:pt>
                <c:pt idx="82">
                  <c:v>43934</c:v>
                </c:pt>
                <c:pt idx="83">
                  <c:v>43935</c:v>
                </c:pt>
                <c:pt idx="84">
                  <c:v>43936</c:v>
                </c:pt>
                <c:pt idx="85">
                  <c:v>43937</c:v>
                </c:pt>
                <c:pt idx="86">
                  <c:v>43938</c:v>
                </c:pt>
                <c:pt idx="87">
                  <c:v>43939</c:v>
                </c:pt>
                <c:pt idx="88">
                  <c:v>43940</c:v>
                </c:pt>
                <c:pt idx="89">
                  <c:v>43941</c:v>
                </c:pt>
                <c:pt idx="90">
                  <c:v>43942</c:v>
                </c:pt>
                <c:pt idx="91">
                  <c:v>43943</c:v>
                </c:pt>
                <c:pt idx="92">
                  <c:v>43944</c:v>
                </c:pt>
                <c:pt idx="93">
                  <c:v>43945</c:v>
                </c:pt>
                <c:pt idx="94">
                  <c:v>43946</c:v>
                </c:pt>
                <c:pt idx="95">
                  <c:v>43947</c:v>
                </c:pt>
                <c:pt idx="96">
                  <c:v>43948</c:v>
                </c:pt>
                <c:pt idx="97">
                  <c:v>43949</c:v>
                </c:pt>
                <c:pt idx="98">
                  <c:v>43950</c:v>
                </c:pt>
                <c:pt idx="99">
                  <c:v>43951</c:v>
                </c:pt>
                <c:pt idx="100">
                  <c:v>43952</c:v>
                </c:pt>
                <c:pt idx="101">
                  <c:v>43953</c:v>
                </c:pt>
                <c:pt idx="102">
                  <c:v>43954</c:v>
                </c:pt>
                <c:pt idx="103">
                  <c:v>43955</c:v>
                </c:pt>
                <c:pt idx="104">
                  <c:v>43956</c:v>
                </c:pt>
                <c:pt idx="105">
                  <c:v>43957</c:v>
                </c:pt>
                <c:pt idx="106">
                  <c:v>43958</c:v>
                </c:pt>
                <c:pt idx="107">
                  <c:v>43959</c:v>
                </c:pt>
                <c:pt idx="108">
                  <c:v>43960</c:v>
                </c:pt>
                <c:pt idx="109">
                  <c:v>43961</c:v>
                </c:pt>
                <c:pt idx="110">
                  <c:v>43962</c:v>
                </c:pt>
                <c:pt idx="111">
                  <c:v>43963</c:v>
                </c:pt>
                <c:pt idx="112">
                  <c:v>43964</c:v>
                </c:pt>
                <c:pt idx="113">
                  <c:v>43965</c:v>
                </c:pt>
                <c:pt idx="114">
                  <c:v>43966</c:v>
                </c:pt>
                <c:pt idx="115">
                  <c:v>43967</c:v>
                </c:pt>
                <c:pt idx="116">
                  <c:v>43968</c:v>
                </c:pt>
                <c:pt idx="117">
                  <c:v>43969</c:v>
                </c:pt>
                <c:pt idx="118">
                  <c:v>43970</c:v>
                </c:pt>
                <c:pt idx="119">
                  <c:v>43971</c:v>
                </c:pt>
                <c:pt idx="120">
                  <c:v>43972</c:v>
                </c:pt>
                <c:pt idx="121">
                  <c:v>43973</c:v>
                </c:pt>
                <c:pt idx="122">
                  <c:v>43974</c:v>
                </c:pt>
                <c:pt idx="123">
                  <c:v>43975</c:v>
                </c:pt>
                <c:pt idx="124">
                  <c:v>43976</c:v>
                </c:pt>
                <c:pt idx="125">
                  <c:v>43977</c:v>
                </c:pt>
                <c:pt idx="126">
                  <c:v>43978</c:v>
                </c:pt>
                <c:pt idx="127">
                  <c:v>43979</c:v>
                </c:pt>
                <c:pt idx="128">
                  <c:v>43980</c:v>
                </c:pt>
                <c:pt idx="129">
                  <c:v>43981</c:v>
                </c:pt>
                <c:pt idx="130">
                  <c:v>43982</c:v>
                </c:pt>
                <c:pt idx="131">
                  <c:v>43983</c:v>
                </c:pt>
                <c:pt idx="132">
                  <c:v>43984</c:v>
                </c:pt>
                <c:pt idx="133">
                  <c:v>43985</c:v>
                </c:pt>
                <c:pt idx="134">
                  <c:v>43986</c:v>
                </c:pt>
                <c:pt idx="135">
                  <c:v>43987</c:v>
                </c:pt>
                <c:pt idx="136">
                  <c:v>43988</c:v>
                </c:pt>
                <c:pt idx="137">
                  <c:v>43989</c:v>
                </c:pt>
                <c:pt idx="138">
                  <c:v>43990</c:v>
                </c:pt>
                <c:pt idx="139">
                  <c:v>43991</c:v>
                </c:pt>
                <c:pt idx="140">
                  <c:v>43992</c:v>
                </c:pt>
                <c:pt idx="141">
                  <c:v>43993</c:v>
                </c:pt>
                <c:pt idx="142">
                  <c:v>43994</c:v>
                </c:pt>
                <c:pt idx="143">
                  <c:v>43995</c:v>
                </c:pt>
                <c:pt idx="144">
                  <c:v>43996</c:v>
                </c:pt>
                <c:pt idx="145">
                  <c:v>43997</c:v>
                </c:pt>
                <c:pt idx="146">
                  <c:v>43998</c:v>
                </c:pt>
                <c:pt idx="147">
                  <c:v>43999</c:v>
                </c:pt>
                <c:pt idx="148">
                  <c:v>44000</c:v>
                </c:pt>
                <c:pt idx="149">
                  <c:v>44001</c:v>
                </c:pt>
                <c:pt idx="150">
                  <c:v>44002</c:v>
                </c:pt>
                <c:pt idx="151">
                  <c:v>44003</c:v>
                </c:pt>
                <c:pt idx="152">
                  <c:v>44004</c:v>
                </c:pt>
                <c:pt idx="153">
                  <c:v>44005</c:v>
                </c:pt>
                <c:pt idx="154">
                  <c:v>44006</c:v>
                </c:pt>
                <c:pt idx="155">
                  <c:v>44007</c:v>
                </c:pt>
                <c:pt idx="156">
                  <c:v>44008</c:v>
                </c:pt>
                <c:pt idx="157">
                  <c:v>44009</c:v>
                </c:pt>
                <c:pt idx="158">
                  <c:v>44010</c:v>
                </c:pt>
                <c:pt idx="159">
                  <c:v>44011</c:v>
                </c:pt>
                <c:pt idx="160">
                  <c:v>44012</c:v>
                </c:pt>
                <c:pt idx="161">
                  <c:v>44013</c:v>
                </c:pt>
                <c:pt idx="162">
                  <c:v>44014</c:v>
                </c:pt>
                <c:pt idx="163">
                  <c:v>44015</c:v>
                </c:pt>
                <c:pt idx="164">
                  <c:v>44016</c:v>
                </c:pt>
                <c:pt idx="165">
                  <c:v>44017</c:v>
                </c:pt>
                <c:pt idx="166">
                  <c:v>44018</c:v>
                </c:pt>
                <c:pt idx="167">
                  <c:v>44019</c:v>
                </c:pt>
                <c:pt idx="168">
                  <c:v>44020</c:v>
                </c:pt>
                <c:pt idx="169">
                  <c:v>44021</c:v>
                </c:pt>
                <c:pt idx="170">
                  <c:v>44022</c:v>
                </c:pt>
                <c:pt idx="171">
                  <c:v>44023</c:v>
                </c:pt>
                <c:pt idx="172">
                  <c:v>44024</c:v>
                </c:pt>
                <c:pt idx="173">
                  <c:v>44025</c:v>
                </c:pt>
                <c:pt idx="174">
                  <c:v>44026</c:v>
                </c:pt>
                <c:pt idx="175">
                  <c:v>44027</c:v>
                </c:pt>
                <c:pt idx="176">
                  <c:v>44028</c:v>
                </c:pt>
                <c:pt idx="177">
                  <c:v>44029</c:v>
                </c:pt>
                <c:pt idx="178">
                  <c:v>44030</c:v>
                </c:pt>
                <c:pt idx="179">
                  <c:v>44031</c:v>
                </c:pt>
                <c:pt idx="180">
                  <c:v>44032</c:v>
                </c:pt>
                <c:pt idx="181">
                  <c:v>44033</c:v>
                </c:pt>
                <c:pt idx="182">
                  <c:v>44034</c:v>
                </c:pt>
                <c:pt idx="183">
                  <c:v>44035</c:v>
                </c:pt>
                <c:pt idx="184">
                  <c:v>44036</c:v>
                </c:pt>
                <c:pt idx="185">
                  <c:v>44037</c:v>
                </c:pt>
                <c:pt idx="186">
                  <c:v>44038</c:v>
                </c:pt>
                <c:pt idx="187">
                  <c:v>44039</c:v>
                </c:pt>
                <c:pt idx="188">
                  <c:v>44040</c:v>
                </c:pt>
                <c:pt idx="189">
                  <c:v>44041</c:v>
                </c:pt>
                <c:pt idx="190">
                  <c:v>44042</c:v>
                </c:pt>
                <c:pt idx="191">
                  <c:v>44043</c:v>
                </c:pt>
                <c:pt idx="192">
                  <c:v>44044</c:v>
                </c:pt>
                <c:pt idx="193">
                  <c:v>44045</c:v>
                </c:pt>
                <c:pt idx="194">
                  <c:v>44046</c:v>
                </c:pt>
                <c:pt idx="195">
                  <c:v>44047</c:v>
                </c:pt>
                <c:pt idx="196">
                  <c:v>44048</c:v>
                </c:pt>
                <c:pt idx="197">
                  <c:v>44049</c:v>
                </c:pt>
                <c:pt idx="198">
                  <c:v>44050</c:v>
                </c:pt>
                <c:pt idx="199">
                  <c:v>44051</c:v>
                </c:pt>
                <c:pt idx="200">
                  <c:v>44052</c:v>
                </c:pt>
                <c:pt idx="201">
                  <c:v>44053</c:v>
                </c:pt>
                <c:pt idx="202">
                  <c:v>44054</c:v>
                </c:pt>
                <c:pt idx="203">
                  <c:v>44055</c:v>
                </c:pt>
                <c:pt idx="204">
                  <c:v>44056</c:v>
                </c:pt>
                <c:pt idx="205">
                  <c:v>44057</c:v>
                </c:pt>
                <c:pt idx="206">
                  <c:v>44058</c:v>
                </c:pt>
                <c:pt idx="207">
                  <c:v>44059</c:v>
                </c:pt>
                <c:pt idx="208">
                  <c:v>44060</c:v>
                </c:pt>
                <c:pt idx="209">
                  <c:v>44061</c:v>
                </c:pt>
                <c:pt idx="210">
                  <c:v>44062</c:v>
                </c:pt>
                <c:pt idx="211">
                  <c:v>44063</c:v>
                </c:pt>
                <c:pt idx="212">
                  <c:v>44064</c:v>
                </c:pt>
                <c:pt idx="213">
                  <c:v>44065</c:v>
                </c:pt>
                <c:pt idx="214">
                  <c:v>44066</c:v>
                </c:pt>
                <c:pt idx="215">
                  <c:v>44067</c:v>
                </c:pt>
                <c:pt idx="216">
                  <c:v>44068</c:v>
                </c:pt>
                <c:pt idx="217">
                  <c:v>44069</c:v>
                </c:pt>
                <c:pt idx="218">
                  <c:v>44070</c:v>
                </c:pt>
                <c:pt idx="219">
                  <c:v>44071</c:v>
                </c:pt>
                <c:pt idx="220">
                  <c:v>44072</c:v>
                </c:pt>
                <c:pt idx="221">
                  <c:v>44073</c:v>
                </c:pt>
                <c:pt idx="222">
                  <c:v>44074</c:v>
                </c:pt>
                <c:pt idx="223">
                  <c:v>44075</c:v>
                </c:pt>
                <c:pt idx="224">
                  <c:v>44076</c:v>
                </c:pt>
                <c:pt idx="225">
                  <c:v>44077</c:v>
                </c:pt>
                <c:pt idx="226">
                  <c:v>44078</c:v>
                </c:pt>
                <c:pt idx="227">
                  <c:v>44079</c:v>
                </c:pt>
                <c:pt idx="228">
                  <c:v>44080</c:v>
                </c:pt>
                <c:pt idx="229">
                  <c:v>44081</c:v>
                </c:pt>
                <c:pt idx="230">
                  <c:v>44082</c:v>
                </c:pt>
                <c:pt idx="231">
                  <c:v>44083</c:v>
                </c:pt>
                <c:pt idx="232">
                  <c:v>44084</c:v>
                </c:pt>
                <c:pt idx="233">
                  <c:v>44085</c:v>
                </c:pt>
                <c:pt idx="234">
                  <c:v>44086</c:v>
                </c:pt>
                <c:pt idx="235">
                  <c:v>44087</c:v>
                </c:pt>
                <c:pt idx="236">
                  <c:v>44088</c:v>
                </c:pt>
                <c:pt idx="237">
                  <c:v>44089</c:v>
                </c:pt>
                <c:pt idx="238">
                  <c:v>44090</c:v>
                </c:pt>
                <c:pt idx="239">
                  <c:v>44091</c:v>
                </c:pt>
                <c:pt idx="240">
                  <c:v>44092</c:v>
                </c:pt>
                <c:pt idx="241">
                  <c:v>44093</c:v>
                </c:pt>
                <c:pt idx="242">
                  <c:v>44094</c:v>
                </c:pt>
                <c:pt idx="243">
                  <c:v>44095</c:v>
                </c:pt>
                <c:pt idx="244">
                  <c:v>44096</c:v>
                </c:pt>
                <c:pt idx="245">
                  <c:v>44097</c:v>
                </c:pt>
                <c:pt idx="246">
                  <c:v>44098</c:v>
                </c:pt>
                <c:pt idx="247">
                  <c:v>44099</c:v>
                </c:pt>
                <c:pt idx="248">
                  <c:v>44100</c:v>
                </c:pt>
                <c:pt idx="249">
                  <c:v>44101</c:v>
                </c:pt>
                <c:pt idx="250">
                  <c:v>44102</c:v>
                </c:pt>
                <c:pt idx="251">
                  <c:v>44103</c:v>
                </c:pt>
                <c:pt idx="252">
                  <c:v>44104</c:v>
                </c:pt>
                <c:pt idx="253">
                  <c:v>44105</c:v>
                </c:pt>
                <c:pt idx="254">
                  <c:v>44106</c:v>
                </c:pt>
                <c:pt idx="255">
                  <c:v>44107</c:v>
                </c:pt>
                <c:pt idx="256">
                  <c:v>44108</c:v>
                </c:pt>
                <c:pt idx="257">
                  <c:v>44109</c:v>
                </c:pt>
                <c:pt idx="258">
                  <c:v>44110</c:v>
                </c:pt>
                <c:pt idx="259">
                  <c:v>44111</c:v>
                </c:pt>
                <c:pt idx="260">
                  <c:v>44112</c:v>
                </c:pt>
                <c:pt idx="261">
                  <c:v>44113</c:v>
                </c:pt>
                <c:pt idx="262">
                  <c:v>44114</c:v>
                </c:pt>
                <c:pt idx="263">
                  <c:v>44115</c:v>
                </c:pt>
                <c:pt idx="264">
                  <c:v>44116</c:v>
                </c:pt>
                <c:pt idx="265">
                  <c:v>44117</c:v>
                </c:pt>
                <c:pt idx="266">
                  <c:v>44118</c:v>
                </c:pt>
                <c:pt idx="267">
                  <c:v>44119</c:v>
                </c:pt>
                <c:pt idx="268">
                  <c:v>44120</c:v>
                </c:pt>
                <c:pt idx="269">
                  <c:v>44121</c:v>
                </c:pt>
                <c:pt idx="270">
                  <c:v>44122</c:v>
                </c:pt>
                <c:pt idx="271">
                  <c:v>44123</c:v>
                </c:pt>
                <c:pt idx="272">
                  <c:v>44124</c:v>
                </c:pt>
                <c:pt idx="273">
                  <c:v>44125</c:v>
                </c:pt>
                <c:pt idx="274">
                  <c:v>44126</c:v>
                </c:pt>
                <c:pt idx="275">
                  <c:v>44127</c:v>
                </c:pt>
                <c:pt idx="276">
                  <c:v>44128</c:v>
                </c:pt>
                <c:pt idx="277">
                  <c:v>44129</c:v>
                </c:pt>
                <c:pt idx="278">
                  <c:v>44130</c:v>
                </c:pt>
                <c:pt idx="279">
                  <c:v>44131</c:v>
                </c:pt>
                <c:pt idx="280">
                  <c:v>44132</c:v>
                </c:pt>
                <c:pt idx="281">
                  <c:v>44133</c:v>
                </c:pt>
                <c:pt idx="282">
                  <c:v>44134</c:v>
                </c:pt>
                <c:pt idx="283">
                  <c:v>44135</c:v>
                </c:pt>
                <c:pt idx="284">
                  <c:v>44136</c:v>
                </c:pt>
                <c:pt idx="285">
                  <c:v>44137</c:v>
                </c:pt>
                <c:pt idx="286">
                  <c:v>44138</c:v>
                </c:pt>
                <c:pt idx="287">
                  <c:v>44139</c:v>
                </c:pt>
                <c:pt idx="288">
                  <c:v>44140</c:v>
                </c:pt>
                <c:pt idx="289">
                  <c:v>44141</c:v>
                </c:pt>
                <c:pt idx="290">
                  <c:v>44142</c:v>
                </c:pt>
                <c:pt idx="291">
                  <c:v>44143</c:v>
                </c:pt>
                <c:pt idx="292">
                  <c:v>44144</c:v>
                </c:pt>
                <c:pt idx="293">
                  <c:v>44145</c:v>
                </c:pt>
                <c:pt idx="294">
                  <c:v>44146</c:v>
                </c:pt>
                <c:pt idx="295">
                  <c:v>44147</c:v>
                </c:pt>
                <c:pt idx="296">
                  <c:v>44148</c:v>
                </c:pt>
                <c:pt idx="297">
                  <c:v>44149</c:v>
                </c:pt>
                <c:pt idx="298">
                  <c:v>44150</c:v>
                </c:pt>
                <c:pt idx="299">
                  <c:v>44151</c:v>
                </c:pt>
                <c:pt idx="300">
                  <c:v>44152</c:v>
                </c:pt>
                <c:pt idx="301">
                  <c:v>44153</c:v>
                </c:pt>
                <c:pt idx="302">
                  <c:v>44154</c:v>
                </c:pt>
                <c:pt idx="303">
                  <c:v>44155</c:v>
                </c:pt>
                <c:pt idx="304">
                  <c:v>44156</c:v>
                </c:pt>
                <c:pt idx="305">
                  <c:v>44157</c:v>
                </c:pt>
                <c:pt idx="306">
                  <c:v>44158</c:v>
                </c:pt>
                <c:pt idx="307">
                  <c:v>44159</c:v>
                </c:pt>
                <c:pt idx="308">
                  <c:v>44160</c:v>
                </c:pt>
                <c:pt idx="309">
                  <c:v>44161</c:v>
                </c:pt>
                <c:pt idx="310">
                  <c:v>44162</c:v>
                </c:pt>
                <c:pt idx="311">
                  <c:v>44163</c:v>
                </c:pt>
                <c:pt idx="312">
                  <c:v>44164</c:v>
                </c:pt>
                <c:pt idx="313">
                  <c:v>44165</c:v>
                </c:pt>
                <c:pt idx="314">
                  <c:v>44166</c:v>
                </c:pt>
                <c:pt idx="315">
                  <c:v>44167</c:v>
                </c:pt>
                <c:pt idx="316">
                  <c:v>44168</c:v>
                </c:pt>
                <c:pt idx="317">
                  <c:v>44169</c:v>
                </c:pt>
                <c:pt idx="318">
                  <c:v>44170</c:v>
                </c:pt>
                <c:pt idx="319">
                  <c:v>44171</c:v>
                </c:pt>
                <c:pt idx="320">
                  <c:v>44172</c:v>
                </c:pt>
                <c:pt idx="321">
                  <c:v>44173</c:v>
                </c:pt>
                <c:pt idx="322">
                  <c:v>44174</c:v>
                </c:pt>
                <c:pt idx="323">
                  <c:v>44175</c:v>
                </c:pt>
                <c:pt idx="324">
                  <c:v>44176</c:v>
                </c:pt>
                <c:pt idx="325">
                  <c:v>44177</c:v>
                </c:pt>
                <c:pt idx="326">
                  <c:v>44178</c:v>
                </c:pt>
                <c:pt idx="327">
                  <c:v>44179</c:v>
                </c:pt>
                <c:pt idx="328">
                  <c:v>44180</c:v>
                </c:pt>
                <c:pt idx="329">
                  <c:v>44181</c:v>
                </c:pt>
                <c:pt idx="330">
                  <c:v>44182</c:v>
                </c:pt>
                <c:pt idx="331">
                  <c:v>44183</c:v>
                </c:pt>
                <c:pt idx="332">
                  <c:v>44184</c:v>
                </c:pt>
                <c:pt idx="333">
                  <c:v>44185</c:v>
                </c:pt>
                <c:pt idx="334">
                  <c:v>44186</c:v>
                </c:pt>
                <c:pt idx="335">
                  <c:v>44187</c:v>
                </c:pt>
                <c:pt idx="336">
                  <c:v>44188</c:v>
                </c:pt>
                <c:pt idx="337">
                  <c:v>44189</c:v>
                </c:pt>
                <c:pt idx="338">
                  <c:v>44190</c:v>
                </c:pt>
                <c:pt idx="339">
                  <c:v>44191</c:v>
                </c:pt>
                <c:pt idx="340">
                  <c:v>44192</c:v>
                </c:pt>
                <c:pt idx="341">
                  <c:v>44193</c:v>
                </c:pt>
                <c:pt idx="342">
                  <c:v>44194</c:v>
                </c:pt>
                <c:pt idx="343">
                  <c:v>44195</c:v>
                </c:pt>
                <c:pt idx="344">
                  <c:v>44196</c:v>
                </c:pt>
                <c:pt idx="345">
                  <c:v>44197</c:v>
                </c:pt>
                <c:pt idx="346">
                  <c:v>44198</c:v>
                </c:pt>
                <c:pt idx="347">
                  <c:v>44199</c:v>
                </c:pt>
                <c:pt idx="348">
                  <c:v>44200</c:v>
                </c:pt>
                <c:pt idx="349">
                  <c:v>44201</c:v>
                </c:pt>
                <c:pt idx="350">
                  <c:v>44202</c:v>
                </c:pt>
                <c:pt idx="351">
                  <c:v>44203</c:v>
                </c:pt>
                <c:pt idx="352">
                  <c:v>44204</c:v>
                </c:pt>
                <c:pt idx="353">
                  <c:v>44205</c:v>
                </c:pt>
                <c:pt idx="354">
                  <c:v>44206</c:v>
                </c:pt>
                <c:pt idx="355">
                  <c:v>44207</c:v>
                </c:pt>
                <c:pt idx="356">
                  <c:v>44208</c:v>
                </c:pt>
                <c:pt idx="357">
                  <c:v>44209</c:v>
                </c:pt>
                <c:pt idx="358">
                  <c:v>44210</c:v>
                </c:pt>
                <c:pt idx="359">
                  <c:v>44211</c:v>
                </c:pt>
                <c:pt idx="360">
                  <c:v>44212</c:v>
                </c:pt>
                <c:pt idx="361">
                  <c:v>44213</c:v>
                </c:pt>
                <c:pt idx="362">
                  <c:v>44214</c:v>
                </c:pt>
                <c:pt idx="363">
                  <c:v>44215</c:v>
                </c:pt>
                <c:pt idx="364">
                  <c:v>44216</c:v>
                </c:pt>
                <c:pt idx="365">
                  <c:v>44217</c:v>
                </c:pt>
                <c:pt idx="366">
                  <c:v>44218</c:v>
                </c:pt>
                <c:pt idx="367">
                  <c:v>44219</c:v>
                </c:pt>
                <c:pt idx="368">
                  <c:v>44220</c:v>
                </c:pt>
                <c:pt idx="369">
                  <c:v>44221</c:v>
                </c:pt>
                <c:pt idx="370">
                  <c:v>44222</c:v>
                </c:pt>
                <c:pt idx="371">
                  <c:v>44223</c:v>
                </c:pt>
                <c:pt idx="372">
                  <c:v>44224</c:v>
                </c:pt>
                <c:pt idx="373">
                  <c:v>44225</c:v>
                </c:pt>
                <c:pt idx="374">
                  <c:v>44226</c:v>
                </c:pt>
                <c:pt idx="375">
                  <c:v>44227</c:v>
                </c:pt>
                <c:pt idx="376">
                  <c:v>44228</c:v>
                </c:pt>
                <c:pt idx="377">
                  <c:v>44229</c:v>
                </c:pt>
                <c:pt idx="378">
                  <c:v>44230</c:v>
                </c:pt>
                <c:pt idx="379">
                  <c:v>44231</c:v>
                </c:pt>
                <c:pt idx="380">
                  <c:v>44232</c:v>
                </c:pt>
                <c:pt idx="381">
                  <c:v>44233</c:v>
                </c:pt>
                <c:pt idx="382">
                  <c:v>44234</c:v>
                </c:pt>
                <c:pt idx="383">
                  <c:v>44235</c:v>
                </c:pt>
                <c:pt idx="384">
                  <c:v>44236</c:v>
                </c:pt>
                <c:pt idx="385">
                  <c:v>44237</c:v>
                </c:pt>
                <c:pt idx="386">
                  <c:v>44238</c:v>
                </c:pt>
                <c:pt idx="387">
                  <c:v>44239</c:v>
                </c:pt>
                <c:pt idx="388">
                  <c:v>44240</c:v>
                </c:pt>
                <c:pt idx="389">
                  <c:v>44241</c:v>
                </c:pt>
                <c:pt idx="390">
                  <c:v>44242</c:v>
                </c:pt>
                <c:pt idx="391">
                  <c:v>44243</c:v>
                </c:pt>
                <c:pt idx="392">
                  <c:v>44244</c:v>
                </c:pt>
                <c:pt idx="393">
                  <c:v>44245</c:v>
                </c:pt>
                <c:pt idx="394">
                  <c:v>44246</c:v>
                </c:pt>
                <c:pt idx="395">
                  <c:v>44247</c:v>
                </c:pt>
                <c:pt idx="396">
                  <c:v>44248</c:v>
                </c:pt>
                <c:pt idx="397">
                  <c:v>44249</c:v>
                </c:pt>
                <c:pt idx="398">
                  <c:v>44250</c:v>
                </c:pt>
                <c:pt idx="399">
                  <c:v>44251</c:v>
                </c:pt>
                <c:pt idx="400">
                  <c:v>44252</c:v>
                </c:pt>
                <c:pt idx="401">
                  <c:v>44253</c:v>
                </c:pt>
                <c:pt idx="402">
                  <c:v>44254</c:v>
                </c:pt>
                <c:pt idx="403">
                  <c:v>44255</c:v>
                </c:pt>
                <c:pt idx="404">
                  <c:v>44256</c:v>
                </c:pt>
                <c:pt idx="405">
                  <c:v>44257</c:v>
                </c:pt>
                <c:pt idx="406">
                  <c:v>44258</c:v>
                </c:pt>
                <c:pt idx="407">
                  <c:v>44259</c:v>
                </c:pt>
                <c:pt idx="408">
                  <c:v>44260</c:v>
                </c:pt>
                <c:pt idx="409">
                  <c:v>44261</c:v>
                </c:pt>
                <c:pt idx="410">
                  <c:v>44262</c:v>
                </c:pt>
                <c:pt idx="411">
                  <c:v>44263</c:v>
                </c:pt>
                <c:pt idx="412">
                  <c:v>44264</c:v>
                </c:pt>
                <c:pt idx="413">
                  <c:v>44265</c:v>
                </c:pt>
                <c:pt idx="414">
                  <c:v>44266</c:v>
                </c:pt>
                <c:pt idx="415">
                  <c:v>44267</c:v>
                </c:pt>
                <c:pt idx="416">
                  <c:v>44268</c:v>
                </c:pt>
                <c:pt idx="417">
                  <c:v>44269</c:v>
                </c:pt>
                <c:pt idx="418">
                  <c:v>44270</c:v>
                </c:pt>
                <c:pt idx="419">
                  <c:v>44271</c:v>
                </c:pt>
                <c:pt idx="420">
                  <c:v>44272</c:v>
                </c:pt>
                <c:pt idx="421">
                  <c:v>44273</c:v>
                </c:pt>
                <c:pt idx="422">
                  <c:v>44274</c:v>
                </c:pt>
                <c:pt idx="423">
                  <c:v>44275</c:v>
                </c:pt>
                <c:pt idx="424">
                  <c:v>44276</c:v>
                </c:pt>
                <c:pt idx="425">
                  <c:v>44277</c:v>
                </c:pt>
                <c:pt idx="426">
                  <c:v>44278</c:v>
                </c:pt>
                <c:pt idx="427">
                  <c:v>44279</c:v>
                </c:pt>
                <c:pt idx="428">
                  <c:v>44280</c:v>
                </c:pt>
                <c:pt idx="429">
                  <c:v>44281</c:v>
                </c:pt>
                <c:pt idx="430">
                  <c:v>44282</c:v>
                </c:pt>
                <c:pt idx="431">
                  <c:v>44283</c:v>
                </c:pt>
                <c:pt idx="432">
                  <c:v>44284</c:v>
                </c:pt>
                <c:pt idx="433">
                  <c:v>44285</c:v>
                </c:pt>
                <c:pt idx="434">
                  <c:v>44286</c:v>
                </c:pt>
                <c:pt idx="435">
                  <c:v>44287</c:v>
                </c:pt>
                <c:pt idx="436">
                  <c:v>44288</c:v>
                </c:pt>
                <c:pt idx="437">
                  <c:v>44289</c:v>
                </c:pt>
                <c:pt idx="438">
                  <c:v>44290</c:v>
                </c:pt>
                <c:pt idx="439">
                  <c:v>44291</c:v>
                </c:pt>
                <c:pt idx="440">
                  <c:v>44292</c:v>
                </c:pt>
                <c:pt idx="441">
                  <c:v>44293</c:v>
                </c:pt>
                <c:pt idx="442">
                  <c:v>44294</c:v>
                </c:pt>
                <c:pt idx="443">
                  <c:v>44295</c:v>
                </c:pt>
                <c:pt idx="444">
                  <c:v>44296</c:v>
                </c:pt>
                <c:pt idx="445">
                  <c:v>44297</c:v>
                </c:pt>
                <c:pt idx="446">
                  <c:v>44298</c:v>
                </c:pt>
                <c:pt idx="447">
                  <c:v>44299</c:v>
                </c:pt>
                <c:pt idx="448">
                  <c:v>44300</c:v>
                </c:pt>
                <c:pt idx="449">
                  <c:v>44301</c:v>
                </c:pt>
                <c:pt idx="450">
                  <c:v>44302</c:v>
                </c:pt>
                <c:pt idx="451">
                  <c:v>44303</c:v>
                </c:pt>
                <c:pt idx="452">
                  <c:v>44304</c:v>
                </c:pt>
                <c:pt idx="453">
                  <c:v>44305</c:v>
                </c:pt>
                <c:pt idx="454">
                  <c:v>44306</c:v>
                </c:pt>
                <c:pt idx="455">
                  <c:v>44307</c:v>
                </c:pt>
                <c:pt idx="456">
                  <c:v>44308</c:v>
                </c:pt>
                <c:pt idx="457">
                  <c:v>44309</c:v>
                </c:pt>
                <c:pt idx="458">
                  <c:v>44310</c:v>
                </c:pt>
                <c:pt idx="459">
                  <c:v>44311</c:v>
                </c:pt>
                <c:pt idx="460">
                  <c:v>44312</c:v>
                </c:pt>
                <c:pt idx="461">
                  <c:v>44313</c:v>
                </c:pt>
                <c:pt idx="462">
                  <c:v>44314</c:v>
                </c:pt>
                <c:pt idx="463">
                  <c:v>44315</c:v>
                </c:pt>
                <c:pt idx="464">
                  <c:v>44316</c:v>
                </c:pt>
                <c:pt idx="465">
                  <c:v>44317</c:v>
                </c:pt>
                <c:pt idx="466">
                  <c:v>44318</c:v>
                </c:pt>
                <c:pt idx="467">
                  <c:v>44319</c:v>
                </c:pt>
                <c:pt idx="468">
                  <c:v>44320</c:v>
                </c:pt>
                <c:pt idx="469">
                  <c:v>44321</c:v>
                </c:pt>
                <c:pt idx="470">
                  <c:v>44322</c:v>
                </c:pt>
                <c:pt idx="471">
                  <c:v>44323</c:v>
                </c:pt>
                <c:pt idx="472">
                  <c:v>44324</c:v>
                </c:pt>
                <c:pt idx="473">
                  <c:v>44325</c:v>
                </c:pt>
                <c:pt idx="474">
                  <c:v>44326</c:v>
                </c:pt>
                <c:pt idx="475">
                  <c:v>44327</c:v>
                </c:pt>
                <c:pt idx="476">
                  <c:v>44328</c:v>
                </c:pt>
                <c:pt idx="477">
                  <c:v>44329</c:v>
                </c:pt>
                <c:pt idx="478">
                  <c:v>44330</c:v>
                </c:pt>
                <c:pt idx="479">
                  <c:v>44331</c:v>
                </c:pt>
                <c:pt idx="480">
                  <c:v>44332</c:v>
                </c:pt>
                <c:pt idx="481">
                  <c:v>44333</c:v>
                </c:pt>
                <c:pt idx="482">
                  <c:v>44334</c:v>
                </c:pt>
                <c:pt idx="483">
                  <c:v>44335</c:v>
                </c:pt>
                <c:pt idx="484">
                  <c:v>44336</c:v>
                </c:pt>
                <c:pt idx="485">
                  <c:v>44337</c:v>
                </c:pt>
                <c:pt idx="486">
                  <c:v>44338</c:v>
                </c:pt>
                <c:pt idx="487">
                  <c:v>44339</c:v>
                </c:pt>
                <c:pt idx="488">
                  <c:v>44340</c:v>
                </c:pt>
                <c:pt idx="489">
                  <c:v>44341</c:v>
                </c:pt>
                <c:pt idx="490">
                  <c:v>44342</c:v>
                </c:pt>
                <c:pt idx="491">
                  <c:v>44343</c:v>
                </c:pt>
                <c:pt idx="492">
                  <c:v>44344</c:v>
                </c:pt>
                <c:pt idx="493">
                  <c:v>44345</c:v>
                </c:pt>
                <c:pt idx="494">
                  <c:v>44346</c:v>
                </c:pt>
                <c:pt idx="495">
                  <c:v>44347</c:v>
                </c:pt>
                <c:pt idx="496">
                  <c:v>44348</c:v>
                </c:pt>
                <c:pt idx="497">
                  <c:v>44349</c:v>
                </c:pt>
                <c:pt idx="498">
                  <c:v>44350</c:v>
                </c:pt>
                <c:pt idx="499">
                  <c:v>44351</c:v>
                </c:pt>
                <c:pt idx="500">
                  <c:v>44352</c:v>
                </c:pt>
                <c:pt idx="501">
                  <c:v>44353</c:v>
                </c:pt>
                <c:pt idx="502">
                  <c:v>44354</c:v>
                </c:pt>
                <c:pt idx="503">
                  <c:v>44355</c:v>
                </c:pt>
                <c:pt idx="504">
                  <c:v>44356</c:v>
                </c:pt>
                <c:pt idx="505">
                  <c:v>44357</c:v>
                </c:pt>
                <c:pt idx="506">
                  <c:v>44358</c:v>
                </c:pt>
                <c:pt idx="507">
                  <c:v>44359</c:v>
                </c:pt>
                <c:pt idx="508">
                  <c:v>44360</c:v>
                </c:pt>
                <c:pt idx="509">
                  <c:v>44361</c:v>
                </c:pt>
                <c:pt idx="510">
                  <c:v>44362</c:v>
                </c:pt>
                <c:pt idx="511">
                  <c:v>44363</c:v>
                </c:pt>
                <c:pt idx="512">
                  <c:v>44364</c:v>
                </c:pt>
                <c:pt idx="513">
                  <c:v>44365</c:v>
                </c:pt>
                <c:pt idx="514">
                  <c:v>44366</c:v>
                </c:pt>
                <c:pt idx="515">
                  <c:v>44367</c:v>
                </c:pt>
                <c:pt idx="516">
                  <c:v>44368</c:v>
                </c:pt>
                <c:pt idx="517">
                  <c:v>44369</c:v>
                </c:pt>
                <c:pt idx="518">
                  <c:v>44370</c:v>
                </c:pt>
                <c:pt idx="519">
                  <c:v>44371</c:v>
                </c:pt>
                <c:pt idx="520">
                  <c:v>44372</c:v>
                </c:pt>
                <c:pt idx="521">
                  <c:v>44373</c:v>
                </c:pt>
                <c:pt idx="522">
                  <c:v>44374</c:v>
                </c:pt>
                <c:pt idx="523">
                  <c:v>44375</c:v>
                </c:pt>
                <c:pt idx="524">
                  <c:v>44376</c:v>
                </c:pt>
                <c:pt idx="525">
                  <c:v>44377</c:v>
                </c:pt>
                <c:pt idx="526">
                  <c:v>44378</c:v>
                </c:pt>
                <c:pt idx="527">
                  <c:v>44379</c:v>
                </c:pt>
                <c:pt idx="528">
                  <c:v>44380</c:v>
                </c:pt>
                <c:pt idx="529">
                  <c:v>44381</c:v>
                </c:pt>
                <c:pt idx="530">
                  <c:v>44382</c:v>
                </c:pt>
                <c:pt idx="531">
                  <c:v>44383</c:v>
                </c:pt>
                <c:pt idx="532">
                  <c:v>44384</c:v>
                </c:pt>
                <c:pt idx="533">
                  <c:v>44385</c:v>
                </c:pt>
                <c:pt idx="534">
                  <c:v>44386</c:v>
                </c:pt>
                <c:pt idx="535">
                  <c:v>44387</c:v>
                </c:pt>
                <c:pt idx="536">
                  <c:v>44388</c:v>
                </c:pt>
                <c:pt idx="537">
                  <c:v>44389</c:v>
                </c:pt>
                <c:pt idx="538">
                  <c:v>44390</c:v>
                </c:pt>
                <c:pt idx="539">
                  <c:v>44391</c:v>
                </c:pt>
                <c:pt idx="540">
                  <c:v>44392</c:v>
                </c:pt>
                <c:pt idx="541">
                  <c:v>44393</c:v>
                </c:pt>
                <c:pt idx="542">
                  <c:v>44394</c:v>
                </c:pt>
                <c:pt idx="543">
                  <c:v>44395</c:v>
                </c:pt>
                <c:pt idx="544">
                  <c:v>44396</c:v>
                </c:pt>
                <c:pt idx="545">
                  <c:v>44397</c:v>
                </c:pt>
                <c:pt idx="546">
                  <c:v>44398</c:v>
                </c:pt>
                <c:pt idx="547">
                  <c:v>44399</c:v>
                </c:pt>
                <c:pt idx="548">
                  <c:v>44400</c:v>
                </c:pt>
                <c:pt idx="549">
                  <c:v>44401</c:v>
                </c:pt>
                <c:pt idx="550">
                  <c:v>44402</c:v>
                </c:pt>
                <c:pt idx="551">
                  <c:v>44403</c:v>
                </c:pt>
                <c:pt idx="552">
                  <c:v>44404</c:v>
                </c:pt>
                <c:pt idx="553">
                  <c:v>44405</c:v>
                </c:pt>
                <c:pt idx="554">
                  <c:v>44406</c:v>
                </c:pt>
                <c:pt idx="555">
                  <c:v>44407</c:v>
                </c:pt>
                <c:pt idx="556">
                  <c:v>44408</c:v>
                </c:pt>
                <c:pt idx="557">
                  <c:v>44409</c:v>
                </c:pt>
                <c:pt idx="558">
                  <c:v>44410</c:v>
                </c:pt>
                <c:pt idx="559">
                  <c:v>44411</c:v>
                </c:pt>
                <c:pt idx="560">
                  <c:v>44412</c:v>
                </c:pt>
                <c:pt idx="561">
                  <c:v>44413</c:v>
                </c:pt>
                <c:pt idx="562">
                  <c:v>44414</c:v>
                </c:pt>
                <c:pt idx="563">
                  <c:v>44415</c:v>
                </c:pt>
                <c:pt idx="564">
                  <c:v>44416</c:v>
                </c:pt>
                <c:pt idx="565">
                  <c:v>44417</c:v>
                </c:pt>
                <c:pt idx="566">
                  <c:v>44418</c:v>
                </c:pt>
                <c:pt idx="567">
                  <c:v>44419</c:v>
                </c:pt>
                <c:pt idx="568">
                  <c:v>44420</c:v>
                </c:pt>
                <c:pt idx="569">
                  <c:v>44421</c:v>
                </c:pt>
                <c:pt idx="570">
                  <c:v>44422</c:v>
                </c:pt>
                <c:pt idx="571">
                  <c:v>44423</c:v>
                </c:pt>
                <c:pt idx="572">
                  <c:v>44424</c:v>
                </c:pt>
                <c:pt idx="573">
                  <c:v>44425</c:v>
                </c:pt>
                <c:pt idx="574">
                  <c:v>44426</c:v>
                </c:pt>
                <c:pt idx="575">
                  <c:v>44427</c:v>
                </c:pt>
                <c:pt idx="576">
                  <c:v>44428</c:v>
                </c:pt>
                <c:pt idx="577">
                  <c:v>44429</c:v>
                </c:pt>
                <c:pt idx="578">
                  <c:v>44430</c:v>
                </c:pt>
                <c:pt idx="579">
                  <c:v>44431</c:v>
                </c:pt>
                <c:pt idx="580">
                  <c:v>44432</c:v>
                </c:pt>
                <c:pt idx="581">
                  <c:v>44433</c:v>
                </c:pt>
                <c:pt idx="582">
                  <c:v>44434</c:v>
                </c:pt>
                <c:pt idx="583">
                  <c:v>44435</c:v>
                </c:pt>
                <c:pt idx="584">
                  <c:v>44436</c:v>
                </c:pt>
                <c:pt idx="585">
                  <c:v>44437</c:v>
                </c:pt>
                <c:pt idx="586">
                  <c:v>44438</c:v>
                </c:pt>
                <c:pt idx="587">
                  <c:v>44439</c:v>
                </c:pt>
                <c:pt idx="588">
                  <c:v>44440</c:v>
                </c:pt>
                <c:pt idx="589">
                  <c:v>44441</c:v>
                </c:pt>
                <c:pt idx="590">
                  <c:v>44442</c:v>
                </c:pt>
                <c:pt idx="591">
                  <c:v>44443</c:v>
                </c:pt>
                <c:pt idx="592">
                  <c:v>44444</c:v>
                </c:pt>
                <c:pt idx="593">
                  <c:v>44445</c:v>
                </c:pt>
                <c:pt idx="594">
                  <c:v>44446</c:v>
                </c:pt>
                <c:pt idx="595">
                  <c:v>44447</c:v>
                </c:pt>
                <c:pt idx="596">
                  <c:v>44448</c:v>
                </c:pt>
                <c:pt idx="597">
                  <c:v>44449</c:v>
                </c:pt>
                <c:pt idx="598">
                  <c:v>44450</c:v>
                </c:pt>
                <c:pt idx="599">
                  <c:v>44451</c:v>
                </c:pt>
                <c:pt idx="600">
                  <c:v>44452</c:v>
                </c:pt>
                <c:pt idx="601">
                  <c:v>44453</c:v>
                </c:pt>
                <c:pt idx="602">
                  <c:v>44454</c:v>
                </c:pt>
                <c:pt idx="603">
                  <c:v>44455</c:v>
                </c:pt>
                <c:pt idx="604">
                  <c:v>44456</c:v>
                </c:pt>
                <c:pt idx="605">
                  <c:v>44457</c:v>
                </c:pt>
                <c:pt idx="606">
                  <c:v>44458</c:v>
                </c:pt>
                <c:pt idx="607">
                  <c:v>44459</c:v>
                </c:pt>
                <c:pt idx="608">
                  <c:v>44460</c:v>
                </c:pt>
                <c:pt idx="609">
                  <c:v>44461</c:v>
                </c:pt>
                <c:pt idx="610">
                  <c:v>44462</c:v>
                </c:pt>
                <c:pt idx="611">
                  <c:v>44463</c:v>
                </c:pt>
                <c:pt idx="612">
                  <c:v>44464</c:v>
                </c:pt>
                <c:pt idx="613">
                  <c:v>44465</c:v>
                </c:pt>
                <c:pt idx="614">
                  <c:v>44466</c:v>
                </c:pt>
                <c:pt idx="615">
                  <c:v>44467</c:v>
                </c:pt>
                <c:pt idx="616">
                  <c:v>44468</c:v>
                </c:pt>
                <c:pt idx="617">
                  <c:v>44469</c:v>
                </c:pt>
                <c:pt idx="618">
                  <c:v>44470</c:v>
                </c:pt>
                <c:pt idx="619">
                  <c:v>44471</c:v>
                </c:pt>
                <c:pt idx="620">
                  <c:v>44472</c:v>
                </c:pt>
                <c:pt idx="621">
                  <c:v>44473</c:v>
                </c:pt>
                <c:pt idx="622">
                  <c:v>44474</c:v>
                </c:pt>
                <c:pt idx="623">
                  <c:v>44475</c:v>
                </c:pt>
                <c:pt idx="624">
                  <c:v>44476</c:v>
                </c:pt>
                <c:pt idx="625">
                  <c:v>44477</c:v>
                </c:pt>
                <c:pt idx="626">
                  <c:v>44478</c:v>
                </c:pt>
                <c:pt idx="627">
                  <c:v>44479</c:v>
                </c:pt>
                <c:pt idx="628">
                  <c:v>44480</c:v>
                </c:pt>
                <c:pt idx="629">
                  <c:v>44481</c:v>
                </c:pt>
                <c:pt idx="630">
                  <c:v>44482</c:v>
                </c:pt>
                <c:pt idx="631">
                  <c:v>44483</c:v>
                </c:pt>
                <c:pt idx="632">
                  <c:v>44484</c:v>
                </c:pt>
                <c:pt idx="633">
                  <c:v>44485</c:v>
                </c:pt>
                <c:pt idx="634">
                  <c:v>44486</c:v>
                </c:pt>
                <c:pt idx="635">
                  <c:v>44487</c:v>
                </c:pt>
                <c:pt idx="636">
                  <c:v>44488</c:v>
                </c:pt>
                <c:pt idx="637">
                  <c:v>44489</c:v>
                </c:pt>
                <c:pt idx="638">
                  <c:v>44490</c:v>
                </c:pt>
                <c:pt idx="639">
                  <c:v>44491</c:v>
                </c:pt>
                <c:pt idx="640">
                  <c:v>44492</c:v>
                </c:pt>
                <c:pt idx="641">
                  <c:v>44493</c:v>
                </c:pt>
                <c:pt idx="642">
                  <c:v>44494</c:v>
                </c:pt>
                <c:pt idx="643">
                  <c:v>44495</c:v>
                </c:pt>
                <c:pt idx="644">
                  <c:v>44496</c:v>
                </c:pt>
                <c:pt idx="645">
                  <c:v>44497</c:v>
                </c:pt>
                <c:pt idx="646">
                  <c:v>44498</c:v>
                </c:pt>
                <c:pt idx="647">
                  <c:v>44499</c:v>
                </c:pt>
                <c:pt idx="648">
                  <c:v>44500</c:v>
                </c:pt>
                <c:pt idx="649">
                  <c:v>44501</c:v>
                </c:pt>
                <c:pt idx="650">
                  <c:v>44502</c:v>
                </c:pt>
                <c:pt idx="651">
                  <c:v>44503</c:v>
                </c:pt>
                <c:pt idx="652">
                  <c:v>44504</c:v>
                </c:pt>
                <c:pt idx="653">
                  <c:v>44505</c:v>
                </c:pt>
                <c:pt idx="654">
                  <c:v>44506</c:v>
                </c:pt>
                <c:pt idx="655">
                  <c:v>44507</c:v>
                </c:pt>
                <c:pt idx="656">
                  <c:v>44508</c:v>
                </c:pt>
                <c:pt idx="657">
                  <c:v>44509</c:v>
                </c:pt>
                <c:pt idx="658">
                  <c:v>44510</c:v>
                </c:pt>
                <c:pt idx="659">
                  <c:v>44511</c:v>
                </c:pt>
                <c:pt idx="660">
                  <c:v>44512</c:v>
                </c:pt>
                <c:pt idx="661">
                  <c:v>44513</c:v>
                </c:pt>
                <c:pt idx="662">
                  <c:v>44514</c:v>
                </c:pt>
                <c:pt idx="663">
                  <c:v>44515</c:v>
                </c:pt>
                <c:pt idx="664">
                  <c:v>44516</c:v>
                </c:pt>
                <c:pt idx="665">
                  <c:v>44517</c:v>
                </c:pt>
                <c:pt idx="666">
                  <c:v>44518</c:v>
                </c:pt>
                <c:pt idx="667">
                  <c:v>44519</c:v>
                </c:pt>
                <c:pt idx="668">
                  <c:v>44520</c:v>
                </c:pt>
                <c:pt idx="669">
                  <c:v>44521</c:v>
                </c:pt>
                <c:pt idx="670">
                  <c:v>44522</c:v>
                </c:pt>
                <c:pt idx="671">
                  <c:v>44523</c:v>
                </c:pt>
                <c:pt idx="672">
                  <c:v>44524</c:v>
                </c:pt>
                <c:pt idx="673">
                  <c:v>#N/A</c:v>
                </c:pt>
                <c:pt idx="674">
                  <c:v>#N/A</c:v>
                </c:pt>
                <c:pt idx="675">
                  <c:v>#N/A</c:v>
                </c:pt>
                <c:pt idx="676">
                  <c:v>#N/A</c:v>
                </c:pt>
                <c:pt idx="677">
                  <c:v>#N/A</c:v>
                </c:pt>
                <c:pt idx="678">
                  <c:v>#N/A</c:v>
                </c:pt>
                <c:pt idx="679">
                  <c:v>#N/A</c:v>
                </c:pt>
                <c:pt idx="680">
                  <c:v>#N/A</c:v>
                </c:pt>
                <c:pt idx="681">
                  <c:v>#N/A</c:v>
                </c:pt>
                <c:pt idx="682">
                  <c:v>#N/A</c:v>
                </c:pt>
                <c:pt idx="683">
                  <c:v>#N/A</c:v>
                </c:pt>
                <c:pt idx="684">
                  <c:v>#N/A</c:v>
                </c:pt>
                <c:pt idx="685">
                  <c:v>#N/A</c:v>
                </c:pt>
                <c:pt idx="686">
                  <c:v>#N/A</c:v>
                </c:pt>
                <c:pt idx="687">
                  <c:v>#N/A</c:v>
                </c:pt>
                <c:pt idx="688">
                  <c:v>#N/A</c:v>
                </c:pt>
                <c:pt idx="689">
                  <c:v>#N/A</c:v>
                </c:pt>
                <c:pt idx="690">
                  <c:v>#N/A</c:v>
                </c:pt>
                <c:pt idx="691">
                  <c:v>#N/A</c:v>
                </c:pt>
                <c:pt idx="692">
                  <c:v>#N/A</c:v>
                </c:pt>
                <c:pt idx="693">
                  <c:v>#N/A</c:v>
                </c:pt>
              </c:numCache>
            </c:numRef>
          </c:cat>
          <c:val>
            <c:numRef>
              <c:f>'DATA - Daily COVID cases'!$B$18:$ZS$18</c:f>
              <c:numCache>
                <c:formatCode>General</c:formatCode>
                <c:ptCount val="694"/>
                <c:pt idx="4">
                  <c:v>#N/A</c:v>
                </c:pt>
                <c:pt idx="5">
                  <c:v>#N/A</c:v>
                </c:pt>
                <c:pt idx="6">
                  <c:v>#N/A</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0.28571428571428598</c:v>
                </c:pt>
                <c:pt idx="33">
                  <c:v>0.28571428571428598</c:v>
                </c:pt>
                <c:pt idx="34">
                  <c:v>0.28571428571428598</c:v>
                </c:pt>
                <c:pt idx="35">
                  <c:v>0.42857142857142899</c:v>
                </c:pt>
                <c:pt idx="36">
                  <c:v>0.42857142857142899</c:v>
                </c:pt>
                <c:pt idx="37">
                  <c:v>0.57142857142857095</c:v>
                </c:pt>
                <c:pt idx="38">
                  <c:v>1.1428571428571399</c:v>
                </c:pt>
                <c:pt idx="39">
                  <c:v>3</c:v>
                </c:pt>
                <c:pt idx="40">
                  <c:v>3</c:v>
                </c:pt>
                <c:pt idx="41">
                  <c:v>3.4285714285714302</c:v>
                </c:pt>
                <c:pt idx="42">
                  <c:v>4</c:v>
                </c:pt>
                <c:pt idx="43">
                  <c:v>4.8571428571428603</c:v>
                </c:pt>
                <c:pt idx="44">
                  <c:v>6.8571428571428603</c:v>
                </c:pt>
                <c:pt idx="45">
                  <c:v>7.1428571428571397</c:v>
                </c:pt>
                <c:pt idx="46">
                  <c:v>9.71428571428571</c:v>
                </c:pt>
                <c:pt idx="47">
                  <c:v>11.285714285714301</c:v>
                </c:pt>
                <c:pt idx="48">
                  <c:v>14.714285714285699</c:v>
                </c:pt>
                <c:pt idx="49">
                  <c:v>20.285714285714299</c:v>
                </c:pt>
                <c:pt idx="50">
                  <c:v>25.1428571428571</c:v>
                </c:pt>
                <c:pt idx="51">
                  <c:v>50.571428571428598</c:v>
                </c:pt>
                <c:pt idx="52">
                  <c:v>66.285714285714306</c:v>
                </c:pt>
                <c:pt idx="53">
                  <c:v>74.428571428571402</c:v>
                </c:pt>
                <c:pt idx="54">
                  <c:v>114.428571428571</c:v>
                </c:pt>
                <c:pt idx="55">
                  <c:v>159.71428571428601</c:v>
                </c:pt>
                <c:pt idx="56">
                  <c:v>195.857142857143</c:v>
                </c:pt>
                <c:pt idx="57">
                  <c:v>275.142857142857</c:v>
                </c:pt>
                <c:pt idx="58">
                  <c:v>360.71428571428601</c:v>
                </c:pt>
                <c:pt idx="59">
                  <c:v>479.142857142857</c:v>
                </c:pt>
                <c:pt idx="60">
                  <c:v>673.28571428571399</c:v>
                </c:pt>
                <c:pt idx="61">
                  <c:v>772.57142857142901</c:v>
                </c:pt>
                <c:pt idx="62">
                  <c:v>865</c:v>
                </c:pt>
                <c:pt idx="63">
                  <c:v>983.57142857142901</c:v>
                </c:pt>
                <c:pt idx="64">
                  <c:v>1116.57142857143</c:v>
                </c:pt>
                <c:pt idx="65">
                  <c:v>1230.42857142857</c:v>
                </c:pt>
                <c:pt idx="66">
                  <c:v>1358</c:v>
                </c:pt>
                <c:pt idx="67">
                  <c:v>1367</c:v>
                </c:pt>
                <c:pt idx="68">
                  <c:v>1415.1428571428601</c:v>
                </c:pt>
                <c:pt idx="69">
                  <c:v>1669.57142857143</c:v>
                </c:pt>
                <c:pt idx="70">
                  <c:v>1911.8571428571399</c:v>
                </c:pt>
                <c:pt idx="71">
                  <c:v>2094.5714285714298</c:v>
                </c:pt>
                <c:pt idx="72">
                  <c:v>2230.4285714285702</c:v>
                </c:pt>
                <c:pt idx="73">
                  <c:v>2388.7142857142899</c:v>
                </c:pt>
                <c:pt idx="74">
                  <c:v>2547.7142857142899</c:v>
                </c:pt>
                <c:pt idx="75">
                  <c:v>2740.1428571428601</c:v>
                </c:pt>
                <c:pt idx="76">
                  <c:v>2853</c:v>
                </c:pt>
                <c:pt idx="77">
                  <c:v>3292.2857142857101</c:v>
                </c:pt>
                <c:pt idx="78">
                  <c:v>3611.7142857142899</c:v>
                </c:pt>
                <c:pt idx="79">
                  <c:v>4167.7142857142899</c:v>
                </c:pt>
                <c:pt idx="80">
                  <c:v>4306.7142857142899</c:v>
                </c:pt>
                <c:pt idx="81">
                  <c:v>4489.1428571428596</c:v>
                </c:pt>
                <c:pt idx="82">
                  <c:v>4807</c:v>
                </c:pt>
                <c:pt idx="83">
                  <c:v>4829.2857142857201</c:v>
                </c:pt>
                <c:pt idx="84">
                  <c:v>4876.5714285714303</c:v>
                </c:pt>
                <c:pt idx="85">
                  <c:v>4906.1428571428596</c:v>
                </c:pt>
                <c:pt idx="86">
                  <c:v>4930.1428571428596</c:v>
                </c:pt>
                <c:pt idx="87">
                  <c:v>5354.1428571428596</c:v>
                </c:pt>
                <c:pt idx="88">
                  <c:v>5599.1428571428596</c:v>
                </c:pt>
                <c:pt idx="89">
                  <c:v>5665</c:v>
                </c:pt>
                <c:pt idx="90">
                  <c:v>5973.4285714285697</c:v>
                </c:pt>
                <c:pt idx="91">
                  <c:v>6076</c:v>
                </c:pt>
                <c:pt idx="92">
                  <c:v>6651.2857142857101</c:v>
                </c:pt>
                <c:pt idx="93">
                  <c:v>8456.1428571428605</c:v>
                </c:pt>
                <c:pt idx="94">
                  <c:v>9241.5714285714294</c:v>
                </c:pt>
                <c:pt idx="95">
                  <c:v>9624.7142857142899</c:v>
                </c:pt>
                <c:pt idx="96">
                  <c:v>10048.714285714301</c:v>
                </c:pt>
                <c:pt idx="97">
                  <c:v>10901.5714285714</c:v>
                </c:pt>
                <c:pt idx="98">
                  <c:v>11685.285714285699</c:v>
                </c:pt>
                <c:pt idx="99">
                  <c:v>12437.5714285714</c:v>
                </c:pt>
                <c:pt idx="100">
                  <c:v>11661.714285714301</c:v>
                </c:pt>
                <c:pt idx="101">
                  <c:v>11856.5714285714</c:v>
                </c:pt>
                <c:pt idx="102">
                  <c:v>12669.857142857099</c:v>
                </c:pt>
                <c:pt idx="103">
                  <c:v>13502.142857142901</c:v>
                </c:pt>
                <c:pt idx="104">
                  <c:v>13930.142857142901</c:v>
                </c:pt>
                <c:pt idx="105">
                  <c:v>14857.4285714286</c:v>
                </c:pt>
                <c:pt idx="106">
                  <c:v>15134.285714285699</c:v>
                </c:pt>
                <c:pt idx="107">
                  <c:v>15749.857142857099</c:v>
                </c:pt>
                <c:pt idx="108">
                  <c:v>16620</c:v>
                </c:pt>
                <c:pt idx="109">
                  <c:v>16712.428571428602</c:v>
                </c:pt>
                <c:pt idx="110">
                  <c:v>16506.428571428602</c:v>
                </c:pt>
                <c:pt idx="111">
                  <c:v>16974.285714285699</c:v>
                </c:pt>
                <c:pt idx="112">
                  <c:v>17527</c:v>
                </c:pt>
                <c:pt idx="113">
                  <c:v>18641.285714285699</c:v>
                </c:pt>
                <c:pt idx="114">
                  <c:v>20207</c:v>
                </c:pt>
                <c:pt idx="115">
                  <c:v>21434.571428571398</c:v>
                </c:pt>
                <c:pt idx="116">
                  <c:v>21904.857142857101</c:v>
                </c:pt>
                <c:pt idx="117">
                  <c:v>23560.285714285699</c:v>
                </c:pt>
                <c:pt idx="118">
                  <c:v>25370.8571428572</c:v>
                </c:pt>
                <c:pt idx="119">
                  <c:v>26922.714285714301</c:v>
                </c:pt>
                <c:pt idx="120">
                  <c:v>28206</c:v>
                </c:pt>
                <c:pt idx="121">
                  <c:v>29000.571428571398</c:v>
                </c:pt>
                <c:pt idx="122">
                  <c:v>30309</c:v>
                </c:pt>
                <c:pt idx="123">
                  <c:v>32170.714285714301</c:v>
                </c:pt>
                <c:pt idx="124">
                  <c:v>32525.142857142899</c:v>
                </c:pt>
                <c:pt idx="125">
                  <c:v>32867</c:v>
                </c:pt>
                <c:pt idx="126">
                  <c:v>33655</c:v>
                </c:pt>
                <c:pt idx="127">
                  <c:v>35295.714285714297</c:v>
                </c:pt>
                <c:pt idx="128">
                  <c:v>36678</c:v>
                </c:pt>
                <c:pt idx="129">
                  <c:v>40123.714285714297</c:v>
                </c:pt>
                <c:pt idx="130">
                  <c:v>41065.857142857203</c:v>
                </c:pt>
                <c:pt idx="131">
                  <c:v>41425.285714285703</c:v>
                </c:pt>
                <c:pt idx="132">
                  <c:v>43865</c:v>
                </c:pt>
                <c:pt idx="133">
                  <c:v>44480.142857142899</c:v>
                </c:pt>
                <c:pt idx="134">
                  <c:v>45157</c:v>
                </c:pt>
                <c:pt idx="135">
                  <c:v>45762.571428571398</c:v>
                </c:pt>
                <c:pt idx="136">
                  <c:v>44816.142857142899</c:v>
                </c:pt>
                <c:pt idx="137">
                  <c:v>44886.142857142899</c:v>
                </c:pt>
                <c:pt idx="138">
                  <c:v>45174.428571428602</c:v>
                </c:pt>
                <c:pt idx="139">
                  <c:v>45200.714285714297</c:v>
                </c:pt>
                <c:pt idx="140">
                  <c:v>46834</c:v>
                </c:pt>
                <c:pt idx="141">
                  <c:v>47339.285714285703</c:v>
                </c:pt>
                <c:pt idx="142">
                  <c:v>46920.714285714297</c:v>
                </c:pt>
                <c:pt idx="143">
                  <c:v>45745.285714285703</c:v>
                </c:pt>
                <c:pt idx="144">
                  <c:v>46663.857142857203</c:v>
                </c:pt>
                <c:pt idx="145">
                  <c:v>47696.714285714297</c:v>
                </c:pt>
                <c:pt idx="146">
                  <c:v>48494.857142857203</c:v>
                </c:pt>
                <c:pt idx="147">
                  <c:v>47861.714285714297</c:v>
                </c:pt>
                <c:pt idx="148">
                  <c:v>46825.142857142899</c:v>
                </c:pt>
                <c:pt idx="149">
                  <c:v>51652.428571428602</c:v>
                </c:pt>
                <c:pt idx="150">
                  <c:v>53075.714285714297</c:v>
                </c:pt>
                <c:pt idx="151">
                  <c:v>52398.142857142899</c:v>
                </c:pt>
                <c:pt idx="152">
                  <c:v>53144</c:v>
                </c:pt>
                <c:pt idx="153">
                  <c:v>54118.428571428602</c:v>
                </c:pt>
                <c:pt idx="154">
                  <c:v>56332.285714285703</c:v>
                </c:pt>
                <c:pt idx="155">
                  <c:v>59316.571428571398</c:v>
                </c:pt>
                <c:pt idx="156">
                  <c:v>58239.142857142899</c:v>
                </c:pt>
                <c:pt idx="157">
                  <c:v>59265</c:v>
                </c:pt>
                <c:pt idx="158">
                  <c:v>61215.285714285703</c:v>
                </c:pt>
                <c:pt idx="159">
                  <c:v>61378</c:v>
                </c:pt>
                <c:pt idx="160">
                  <c:v>60497</c:v>
                </c:pt>
                <c:pt idx="161">
                  <c:v>61402.428571428602</c:v>
                </c:pt>
                <c:pt idx="162">
                  <c:v>62536.142857142899</c:v>
                </c:pt>
                <c:pt idx="163">
                  <c:v>62229.857142857203</c:v>
                </c:pt>
                <c:pt idx="164">
                  <c:v>62460.428571428602</c:v>
                </c:pt>
                <c:pt idx="165">
                  <c:v>62165</c:v>
                </c:pt>
                <c:pt idx="166">
                  <c:v>61862.142857142899</c:v>
                </c:pt>
                <c:pt idx="167">
                  <c:v>63879.285714285703</c:v>
                </c:pt>
                <c:pt idx="168">
                  <c:v>63664.142857142899</c:v>
                </c:pt>
                <c:pt idx="169">
                  <c:v>63432.714285714297</c:v>
                </c:pt>
                <c:pt idx="170">
                  <c:v>64288.571428571398</c:v>
                </c:pt>
                <c:pt idx="171">
                  <c:v>64640</c:v>
                </c:pt>
                <c:pt idx="172">
                  <c:v>64474.285714285703</c:v>
                </c:pt>
                <c:pt idx="173">
                  <c:v>64719.428571428602</c:v>
                </c:pt>
                <c:pt idx="174">
                  <c:v>64806.285714285703</c:v>
                </c:pt>
                <c:pt idx="175">
                  <c:v>64602.714285714297</c:v>
                </c:pt>
                <c:pt idx="176">
                  <c:v>65367.571428571398</c:v>
                </c:pt>
                <c:pt idx="177">
                  <c:v>64554.571428571398</c:v>
                </c:pt>
                <c:pt idx="178">
                  <c:v>64300.571428571398</c:v>
                </c:pt>
                <c:pt idx="179">
                  <c:v>64796.714285714297</c:v>
                </c:pt>
                <c:pt idx="180">
                  <c:v>65442.142857142899</c:v>
                </c:pt>
                <c:pt idx="181">
                  <c:v>65859.285714285696</c:v>
                </c:pt>
                <c:pt idx="182">
                  <c:v>70432</c:v>
                </c:pt>
                <c:pt idx="183">
                  <c:v>73192.857142857203</c:v>
                </c:pt>
                <c:pt idx="184">
                  <c:v>76321.571428571406</c:v>
                </c:pt>
                <c:pt idx="185">
                  <c:v>78582.571428571406</c:v>
                </c:pt>
                <c:pt idx="186">
                  <c:v>78514.428571428594</c:v>
                </c:pt>
                <c:pt idx="187">
                  <c:v>80704.285714285696</c:v>
                </c:pt>
                <c:pt idx="188">
                  <c:v>81352.142857142899</c:v>
                </c:pt>
                <c:pt idx="189">
                  <c:v>81830.285714285696</c:v>
                </c:pt>
                <c:pt idx="190">
                  <c:v>81182.428571428594</c:v>
                </c:pt>
                <c:pt idx="191">
                  <c:v>81485.571428571406</c:v>
                </c:pt>
                <c:pt idx="192">
                  <c:v>81545.142857142899</c:v>
                </c:pt>
                <c:pt idx="193">
                  <c:v>85006.142857142899</c:v>
                </c:pt>
                <c:pt idx="194">
                  <c:v>82852</c:v>
                </c:pt>
                <c:pt idx="195">
                  <c:v>84150.428571428594</c:v>
                </c:pt>
                <c:pt idx="196">
                  <c:v>83442.571428571406</c:v>
                </c:pt>
                <c:pt idx="197">
                  <c:v>84151.714285714304</c:v>
                </c:pt>
                <c:pt idx="198">
                  <c:v>84151.428571428594</c:v>
                </c:pt>
                <c:pt idx="199">
                  <c:v>84279</c:v>
                </c:pt>
                <c:pt idx="200">
                  <c:v>82598.714285714304</c:v>
                </c:pt>
                <c:pt idx="201">
                  <c:v>84019.857142857203</c:v>
                </c:pt>
                <c:pt idx="202">
                  <c:v>85098.714285714304</c:v>
                </c:pt>
                <c:pt idx="203">
                  <c:v>83968.857142857101</c:v>
                </c:pt>
                <c:pt idx="204">
                  <c:v>85205.142857142899</c:v>
                </c:pt>
                <c:pt idx="205">
                  <c:v>86524.857142857203</c:v>
                </c:pt>
                <c:pt idx="206">
                  <c:v>85652.857142857101</c:v>
                </c:pt>
                <c:pt idx="207">
                  <c:v>85422.714285714304</c:v>
                </c:pt>
                <c:pt idx="208">
                  <c:v>84546.285714285696</c:v>
                </c:pt>
                <c:pt idx="209">
                  <c:v>83400.428571428594</c:v>
                </c:pt>
                <c:pt idx="210">
                  <c:v>83743.714285714304</c:v>
                </c:pt>
                <c:pt idx="211">
                  <c:v>81396.142857142899</c:v>
                </c:pt>
                <c:pt idx="212">
                  <c:v>76903.857142857203</c:v>
                </c:pt>
                <c:pt idx="213">
                  <c:v>79255.285714285696</c:v>
                </c:pt>
                <c:pt idx="214">
                  <c:v>78460</c:v>
                </c:pt>
                <c:pt idx="215">
                  <c:v>79034.857142857203</c:v>
                </c:pt>
                <c:pt idx="216">
                  <c:v>78892.857142857203</c:v>
                </c:pt>
                <c:pt idx="217">
                  <c:v>78279.428571428594</c:v>
                </c:pt>
                <c:pt idx="218">
                  <c:v>77654.285714285696</c:v>
                </c:pt>
                <c:pt idx="219">
                  <c:v>80084.428571428594</c:v>
                </c:pt>
                <c:pt idx="220">
                  <c:v>78667.142857142899</c:v>
                </c:pt>
                <c:pt idx="221">
                  <c:v>77813.428571428594</c:v>
                </c:pt>
                <c:pt idx="222">
                  <c:v>81419.857142857203</c:v>
                </c:pt>
                <c:pt idx="223">
                  <c:v>80731</c:v>
                </c:pt>
                <c:pt idx="224">
                  <c:v>80305</c:v>
                </c:pt>
                <c:pt idx="225">
                  <c:v>79500.428571428594</c:v>
                </c:pt>
                <c:pt idx="226">
                  <c:v>80740.428571428594</c:v>
                </c:pt>
                <c:pt idx="227">
                  <c:v>79368.428571428594</c:v>
                </c:pt>
                <c:pt idx="228">
                  <c:v>78670.285714285696</c:v>
                </c:pt>
                <c:pt idx="229">
                  <c:v>71887.714285714304</c:v>
                </c:pt>
                <c:pt idx="230">
                  <c:v>67342.428571428594</c:v>
                </c:pt>
                <c:pt idx="231">
                  <c:v>65662.571428571406</c:v>
                </c:pt>
                <c:pt idx="232">
                  <c:v>65800.857142857203</c:v>
                </c:pt>
                <c:pt idx="233">
                  <c:v>64155</c:v>
                </c:pt>
                <c:pt idx="234">
                  <c:v>64313</c:v>
                </c:pt>
                <c:pt idx="235">
                  <c:v>64767.714285714297</c:v>
                </c:pt>
                <c:pt idx="236">
                  <c:v>66896.285714285696</c:v>
                </c:pt>
                <c:pt idx="237">
                  <c:v>70099.428571428594</c:v>
                </c:pt>
                <c:pt idx="238">
                  <c:v>70083.714285714304</c:v>
                </c:pt>
                <c:pt idx="239">
                  <c:v>69239.714285714304</c:v>
                </c:pt>
                <c:pt idx="240">
                  <c:v>68338.142857142899</c:v>
                </c:pt>
                <c:pt idx="241">
                  <c:v>67885.285714285696</c:v>
                </c:pt>
                <c:pt idx="242">
                  <c:v>67491.142857142899</c:v>
                </c:pt>
                <c:pt idx="243">
                  <c:v>66706.428571428594</c:v>
                </c:pt>
                <c:pt idx="244">
                  <c:v>65677.714285714304</c:v>
                </c:pt>
                <c:pt idx="245">
                  <c:v>60987.714285714297</c:v>
                </c:pt>
                <c:pt idx="246">
                  <c:v>65590.857142857203</c:v>
                </c:pt>
                <c:pt idx="247">
                  <c:v>65697.428571428594</c:v>
                </c:pt>
                <c:pt idx="248">
                  <c:v>64312.571428571398</c:v>
                </c:pt>
                <c:pt idx="249">
                  <c:v>63980.857142857203</c:v>
                </c:pt>
                <c:pt idx="250">
                  <c:v>64355.142857142899</c:v>
                </c:pt>
                <c:pt idx="251">
                  <c:v>64680.428571428602</c:v>
                </c:pt>
                <c:pt idx="252">
                  <c:v>68795.857142857203</c:v>
                </c:pt>
                <c:pt idx="253">
                  <c:v>63956.285714285703</c:v>
                </c:pt>
                <c:pt idx="254">
                  <c:v>57937.428571428602</c:v>
                </c:pt>
                <c:pt idx="255">
                  <c:v>62518.142857142899</c:v>
                </c:pt>
                <c:pt idx="256">
                  <c:v>60814.714285714297</c:v>
                </c:pt>
                <c:pt idx="257">
                  <c:v>64487.428571428602</c:v>
                </c:pt>
                <c:pt idx="258">
                  <c:v>66170.285714285696</c:v>
                </c:pt>
                <c:pt idx="259">
                  <c:v>66334.428571428594</c:v>
                </c:pt>
                <c:pt idx="260">
                  <c:v>65702</c:v>
                </c:pt>
                <c:pt idx="261">
                  <c:v>69936.571428571406</c:v>
                </c:pt>
                <c:pt idx="262">
                  <c:v>66226.285714285696</c:v>
                </c:pt>
                <c:pt idx="263">
                  <c:v>67685.285714285696</c:v>
                </c:pt>
                <c:pt idx="264">
                  <c:v>62720.285714285703</c:v>
                </c:pt>
                <c:pt idx="265">
                  <c:v>57526.857142857203</c:v>
                </c:pt>
                <c:pt idx="266">
                  <c:v>55873.714285714297</c:v>
                </c:pt>
                <c:pt idx="267">
                  <c:v>56283.714285714297</c:v>
                </c:pt>
                <c:pt idx="268">
                  <c:v>56735.428571428602</c:v>
                </c:pt>
                <c:pt idx="269">
                  <c:v>55632.714285714297</c:v>
                </c:pt>
                <c:pt idx="270">
                  <c:v>53852.428571428602</c:v>
                </c:pt>
                <c:pt idx="271">
                  <c:v>56863</c:v>
                </c:pt>
                <c:pt idx="272">
                  <c:v>59795</c:v>
                </c:pt>
                <c:pt idx="273">
                  <c:v>61000.714285714297</c:v>
                </c:pt>
                <c:pt idx="274">
                  <c:v>60712</c:v>
                </c:pt>
                <c:pt idx="275">
                  <c:v>60400.714285714297</c:v>
                </c:pt>
                <c:pt idx="276">
                  <c:v>61243.428571428602</c:v>
                </c:pt>
                <c:pt idx="277">
                  <c:v>63575.857142857101</c:v>
                </c:pt>
                <c:pt idx="278">
                  <c:v>61924.428571428602</c:v>
                </c:pt>
                <c:pt idx="279">
                  <c:v>62401.142857142899</c:v>
                </c:pt>
                <c:pt idx="280">
                  <c:v>62149.285714285703</c:v>
                </c:pt>
                <c:pt idx="281">
                  <c:v>61742.857142857101</c:v>
                </c:pt>
                <c:pt idx="282">
                  <c:v>60784</c:v>
                </c:pt>
                <c:pt idx="283">
                  <c:v>59245.857142857203</c:v>
                </c:pt>
                <c:pt idx="284">
                  <c:v>58004.428571428602</c:v>
                </c:pt>
                <c:pt idx="285">
                  <c:v>56534.571428571398</c:v>
                </c:pt>
                <c:pt idx="286">
                  <c:v>52871.428571428602</c:v>
                </c:pt>
                <c:pt idx="287">
                  <c:v>52514.285714285703</c:v>
                </c:pt>
                <c:pt idx="288">
                  <c:v>48087.142857142899</c:v>
                </c:pt>
                <c:pt idx="289">
                  <c:v>50123.714285714297</c:v>
                </c:pt>
                <c:pt idx="290">
                  <c:v>50097</c:v>
                </c:pt>
                <c:pt idx="291">
                  <c:v>49914</c:v>
                </c:pt>
                <c:pt idx="292">
                  <c:v>49985.857142857101</c:v>
                </c:pt>
                <c:pt idx="293">
                  <c:v>52091</c:v>
                </c:pt>
                <c:pt idx="294">
                  <c:v>55116.428571428602</c:v>
                </c:pt>
                <c:pt idx="295">
                  <c:v>59880.857142857203</c:v>
                </c:pt>
                <c:pt idx="296">
                  <c:v>58452.142857142899</c:v>
                </c:pt>
                <c:pt idx="297">
                  <c:v>60779.428571428602</c:v>
                </c:pt>
                <c:pt idx="298">
                  <c:v>60901.142857142899</c:v>
                </c:pt>
                <c:pt idx="299">
                  <c:v>61121.142857142899</c:v>
                </c:pt>
                <c:pt idx="300">
                  <c:v>61942.428571428602</c:v>
                </c:pt>
                <c:pt idx="301">
                  <c:v>58831.571428571398</c:v>
                </c:pt>
                <c:pt idx="302">
                  <c:v>58384.428571428602</c:v>
                </c:pt>
                <c:pt idx="303">
                  <c:v>59427</c:v>
                </c:pt>
                <c:pt idx="304">
                  <c:v>58553.571428571398</c:v>
                </c:pt>
                <c:pt idx="305">
                  <c:v>59590.428571428602</c:v>
                </c:pt>
                <c:pt idx="306">
                  <c:v>60330.714285714297</c:v>
                </c:pt>
                <c:pt idx="307">
                  <c:v>60687.857142857203</c:v>
                </c:pt>
                <c:pt idx="308">
                  <c:v>63766.142857142899</c:v>
                </c:pt>
                <c:pt idx="309">
                  <c:v>64878.571428571398</c:v>
                </c:pt>
                <c:pt idx="310">
                  <c:v>65407.857142857203</c:v>
                </c:pt>
                <c:pt idx="311">
                  <c:v>68875.285714285696</c:v>
                </c:pt>
                <c:pt idx="312">
                  <c:v>69963.428571428594</c:v>
                </c:pt>
                <c:pt idx="313">
                  <c:v>70750.857142857203</c:v>
                </c:pt>
                <c:pt idx="314">
                  <c:v>73610.714285714304</c:v>
                </c:pt>
                <c:pt idx="315">
                  <c:v>73931.714285714304</c:v>
                </c:pt>
                <c:pt idx="316">
                  <c:v>76616.571428571406</c:v>
                </c:pt>
                <c:pt idx="317">
                  <c:v>77675.857142857203</c:v>
                </c:pt>
                <c:pt idx="318">
                  <c:v>76500.714285714304</c:v>
                </c:pt>
                <c:pt idx="319">
                  <c:v>76831.857142857203</c:v>
                </c:pt>
                <c:pt idx="320">
                  <c:v>76353.428571428594</c:v>
                </c:pt>
                <c:pt idx="321">
                  <c:v>76098.714285714304</c:v>
                </c:pt>
                <c:pt idx="322">
                  <c:v>76478.285714285696</c:v>
                </c:pt>
                <c:pt idx="323">
                  <c:v>76645.857142857203</c:v>
                </c:pt>
                <c:pt idx="324">
                  <c:v>77814.571428571406</c:v>
                </c:pt>
                <c:pt idx="325">
                  <c:v>77705.142857142899</c:v>
                </c:pt>
                <c:pt idx="326">
                  <c:v>77152.285714285696</c:v>
                </c:pt>
                <c:pt idx="327">
                  <c:v>78761</c:v>
                </c:pt>
                <c:pt idx="328">
                  <c:v>78715.571428571406</c:v>
                </c:pt>
                <c:pt idx="329">
                  <c:v>81615.714285714304</c:v>
                </c:pt>
                <c:pt idx="330">
                  <c:v>84723.142857142899</c:v>
                </c:pt>
                <c:pt idx="331">
                  <c:v>85354.285714285696</c:v>
                </c:pt>
                <c:pt idx="332">
                  <c:v>87067.285714285696</c:v>
                </c:pt>
                <c:pt idx="333">
                  <c:v>88762.714285714304</c:v>
                </c:pt>
                <c:pt idx="334">
                  <c:v>88985.428571428594</c:v>
                </c:pt>
                <c:pt idx="335">
                  <c:v>91567.142857142899</c:v>
                </c:pt>
                <c:pt idx="336">
                  <c:v>89239.571428571406</c:v>
                </c:pt>
                <c:pt idx="337">
                  <c:v>86972</c:v>
                </c:pt>
                <c:pt idx="338">
                  <c:v>83593.857142857203</c:v>
                </c:pt>
                <c:pt idx="339">
                  <c:v>76875.428571428594</c:v>
                </c:pt>
                <c:pt idx="340">
                  <c:v>74457.571428571406</c:v>
                </c:pt>
                <c:pt idx="341">
                  <c:v>74181.142857142899</c:v>
                </c:pt>
                <c:pt idx="342">
                  <c:v>75530.857142857203</c:v>
                </c:pt>
                <c:pt idx="343">
                  <c:v>77553.285714285696</c:v>
                </c:pt>
                <c:pt idx="344">
                  <c:v>79985.714285714304</c:v>
                </c:pt>
                <c:pt idx="345">
                  <c:v>78723.428571428594</c:v>
                </c:pt>
                <c:pt idx="346">
                  <c:v>79144.428571428594</c:v>
                </c:pt>
                <c:pt idx="347">
                  <c:v>79333.428571428594</c:v>
                </c:pt>
                <c:pt idx="348">
                  <c:v>79819.428571428594</c:v>
                </c:pt>
                <c:pt idx="349">
                  <c:v>80290</c:v>
                </c:pt>
                <c:pt idx="350">
                  <c:v>82874.142857142899</c:v>
                </c:pt>
                <c:pt idx="351">
                  <c:v>87638.571428571493</c:v>
                </c:pt>
                <c:pt idx="352">
                  <c:v>95493.571428571406</c:v>
                </c:pt>
                <c:pt idx="353">
                  <c:v>106192.285714286</c:v>
                </c:pt>
                <c:pt idx="354">
                  <c:v>110371.857142857</c:v>
                </c:pt>
                <c:pt idx="355">
                  <c:v>113322.285714286</c:v>
                </c:pt>
                <c:pt idx="356">
                  <c:v>115379</c:v>
                </c:pt>
                <c:pt idx="357">
                  <c:v>115399</c:v>
                </c:pt>
                <c:pt idx="358">
                  <c:v>113043</c:v>
                </c:pt>
                <c:pt idx="359">
                  <c:v>118405.857142857</c:v>
                </c:pt>
                <c:pt idx="360">
                  <c:v>119617.857142857</c:v>
                </c:pt>
                <c:pt idx="361">
                  <c:v>121031.428571429</c:v>
                </c:pt>
                <c:pt idx="362">
                  <c:v>119241.285714286</c:v>
                </c:pt>
                <c:pt idx="363">
                  <c:v>119070.285714286</c:v>
                </c:pt>
                <c:pt idx="364">
                  <c:v>121724.285714286</c:v>
                </c:pt>
                <c:pt idx="365">
                  <c:v>120732.714285714</c:v>
                </c:pt>
                <c:pt idx="366">
                  <c:v>116888.142857143</c:v>
                </c:pt>
                <c:pt idx="367">
                  <c:v>115448.142857143</c:v>
                </c:pt>
                <c:pt idx="368">
                  <c:v>114846.142857143</c:v>
                </c:pt>
                <c:pt idx="369">
                  <c:v>114846</c:v>
                </c:pt>
                <c:pt idx="370">
                  <c:v>115677.714285714</c:v>
                </c:pt>
                <c:pt idx="371">
                  <c:v>112417.428571429</c:v>
                </c:pt>
                <c:pt idx="372">
                  <c:v>112355.428571429</c:v>
                </c:pt>
                <c:pt idx="373">
                  <c:v>110698.428571429</c:v>
                </c:pt>
                <c:pt idx="374">
                  <c:v>110466.428571429</c:v>
                </c:pt>
                <c:pt idx="375">
                  <c:v>108112.857142857</c:v>
                </c:pt>
                <c:pt idx="376">
                  <c:v>106526</c:v>
                </c:pt>
                <c:pt idx="377">
                  <c:v>101431.142857143</c:v>
                </c:pt>
                <c:pt idx="378">
                  <c:v>100868.428571429</c:v>
                </c:pt>
                <c:pt idx="379">
                  <c:v>95674.857142857101</c:v>
                </c:pt>
                <c:pt idx="380">
                  <c:v>95150.142857142899</c:v>
                </c:pt>
                <c:pt idx="381">
                  <c:v>85155</c:v>
                </c:pt>
                <c:pt idx="382">
                  <c:v>92530</c:v>
                </c:pt>
                <c:pt idx="383">
                  <c:v>87842.714285714304</c:v>
                </c:pt>
                <c:pt idx="384">
                  <c:v>91426</c:v>
                </c:pt>
                <c:pt idx="385">
                  <c:v>88271.857142857203</c:v>
                </c:pt>
                <c:pt idx="386">
                  <c:v>89771.571428571406</c:v>
                </c:pt>
                <c:pt idx="387">
                  <c:v>87199</c:v>
                </c:pt>
                <c:pt idx="388">
                  <c:v>92404.142857142899</c:v>
                </c:pt>
                <c:pt idx="389">
                  <c:v>84585.285714285696</c:v>
                </c:pt>
                <c:pt idx="390">
                  <c:v>89004</c:v>
                </c:pt>
                <c:pt idx="391">
                  <c:v>83436.285714285696</c:v>
                </c:pt>
                <c:pt idx="392">
                  <c:v>82894.285714285696</c:v>
                </c:pt>
                <c:pt idx="393">
                  <c:v>82069.571428571406</c:v>
                </c:pt>
                <c:pt idx="394">
                  <c:v>81994.857142857101</c:v>
                </c:pt>
                <c:pt idx="395">
                  <c:v>83108.571428571406</c:v>
                </c:pt>
                <c:pt idx="396">
                  <c:v>83438.428571428594</c:v>
                </c:pt>
                <c:pt idx="397">
                  <c:v>82448.571428571406</c:v>
                </c:pt>
                <c:pt idx="398">
                  <c:v>84589.714285714304</c:v>
                </c:pt>
                <c:pt idx="399">
                  <c:v>86767.428571428594</c:v>
                </c:pt>
                <c:pt idx="400">
                  <c:v>88675.142857142899</c:v>
                </c:pt>
                <c:pt idx="401">
                  <c:v>90696.714285714304</c:v>
                </c:pt>
                <c:pt idx="402">
                  <c:v>91182.571428571406</c:v>
                </c:pt>
                <c:pt idx="403">
                  <c:v>89496</c:v>
                </c:pt>
                <c:pt idx="404">
                  <c:v>91689.142857142899</c:v>
                </c:pt>
                <c:pt idx="405">
                  <c:v>91802.428571428594</c:v>
                </c:pt>
                <c:pt idx="406">
                  <c:v>91202</c:v>
                </c:pt>
                <c:pt idx="407">
                  <c:v>91876.428571428594</c:v>
                </c:pt>
                <c:pt idx="408">
                  <c:v>92112.285714285696</c:v>
                </c:pt>
                <c:pt idx="409">
                  <c:v>93377.857142857203</c:v>
                </c:pt>
                <c:pt idx="410">
                  <c:v>101287.714285714</c:v>
                </c:pt>
                <c:pt idx="411">
                  <c:v>100594.142857143</c:v>
                </c:pt>
                <c:pt idx="412">
                  <c:v>102489.714285714</c:v>
                </c:pt>
                <c:pt idx="413">
                  <c:v>103598.285714286</c:v>
                </c:pt>
                <c:pt idx="414">
                  <c:v>104337</c:v>
                </c:pt>
                <c:pt idx="415">
                  <c:v>106657.428571429</c:v>
                </c:pt>
                <c:pt idx="416">
                  <c:v>107827.142857143</c:v>
                </c:pt>
                <c:pt idx="417">
                  <c:v>102554.285714286</c:v>
                </c:pt>
                <c:pt idx="418">
                  <c:v>103195.142857143</c:v>
                </c:pt>
                <c:pt idx="419">
                  <c:v>104238.571428571</c:v>
                </c:pt>
                <c:pt idx="420">
                  <c:v>108620.857142857</c:v>
                </c:pt>
                <c:pt idx="421">
                  <c:v>109765.714285714</c:v>
                </c:pt>
                <c:pt idx="422">
                  <c:v>112156.142857143</c:v>
                </c:pt>
                <c:pt idx="423">
                  <c:v>112261.714285714</c:v>
                </c:pt>
                <c:pt idx="424">
                  <c:v>114844.142857143</c:v>
                </c:pt>
                <c:pt idx="425">
                  <c:v>116826.714285714</c:v>
                </c:pt>
                <c:pt idx="426">
                  <c:v>119043.714285714</c:v>
                </c:pt>
                <c:pt idx="427">
                  <c:v>117046.714285714</c:v>
                </c:pt>
                <c:pt idx="428">
                  <c:v>121620.571428571</c:v>
                </c:pt>
                <c:pt idx="429">
                  <c:v>121447.857142857</c:v>
                </c:pt>
                <c:pt idx="430">
                  <c:v>124401.428571429</c:v>
                </c:pt>
                <c:pt idx="431">
                  <c:v>123880.142857143</c:v>
                </c:pt>
                <c:pt idx="432">
                  <c:v>124298</c:v>
                </c:pt>
                <c:pt idx="433">
                  <c:v>123312.714285714</c:v>
                </c:pt>
                <c:pt idx="434">
                  <c:v>127084.428571429</c:v>
                </c:pt>
                <c:pt idx="435">
                  <c:v>126676.428571429</c:v>
                </c:pt>
                <c:pt idx="436">
                  <c:v>123112.857142857</c:v>
                </c:pt>
                <c:pt idx="437">
                  <c:v>116203.428571429</c:v>
                </c:pt>
                <c:pt idx="438">
                  <c:v>115274.714285714</c:v>
                </c:pt>
                <c:pt idx="439">
                  <c:v>114701.571428571</c:v>
                </c:pt>
                <c:pt idx="440">
                  <c:v>117482.714285714</c:v>
                </c:pt>
                <c:pt idx="441">
                  <c:v>118103.571428571</c:v>
                </c:pt>
                <c:pt idx="442">
                  <c:v>120374</c:v>
                </c:pt>
                <c:pt idx="443">
                  <c:v>128319.285714286</c:v>
                </c:pt>
                <c:pt idx="444">
                  <c:v>136474.57142857101</c:v>
                </c:pt>
                <c:pt idx="445">
                  <c:v>139220.285714286</c:v>
                </c:pt>
                <c:pt idx="446">
                  <c:v>141830</c:v>
                </c:pt>
                <c:pt idx="447">
                  <c:v>143472.57142857101</c:v>
                </c:pt>
                <c:pt idx="448">
                  <c:v>142045.57142857101</c:v>
                </c:pt>
                <c:pt idx="449">
                  <c:v>138615.714285714</c:v>
                </c:pt>
                <c:pt idx="450">
                  <c:v>138205.714285714</c:v>
                </c:pt>
                <c:pt idx="451">
                  <c:v>138077</c:v>
                </c:pt>
                <c:pt idx="452">
                  <c:v>137835.285714286</c:v>
                </c:pt>
                <c:pt idx="453">
                  <c:v>137998.85714285701</c:v>
                </c:pt>
                <c:pt idx="454">
                  <c:v>136834</c:v>
                </c:pt>
                <c:pt idx="455">
                  <c:v>136723</c:v>
                </c:pt>
                <c:pt idx="456">
                  <c:v>135360.285714286</c:v>
                </c:pt>
                <c:pt idx="457">
                  <c:v>133847.714285714</c:v>
                </c:pt>
                <c:pt idx="458">
                  <c:v>133533.57142857101</c:v>
                </c:pt>
                <c:pt idx="459">
                  <c:v>132600.85714285701</c:v>
                </c:pt>
                <c:pt idx="460">
                  <c:v>131342.714285714</c:v>
                </c:pt>
                <c:pt idx="461">
                  <c:v>129536.857142857</c:v>
                </c:pt>
                <c:pt idx="462">
                  <c:v>131818.57142857101</c:v>
                </c:pt>
                <c:pt idx="463">
                  <c:v>132605.285714286</c:v>
                </c:pt>
                <c:pt idx="464">
                  <c:v>131375.285714286</c:v>
                </c:pt>
                <c:pt idx="465">
                  <c:v>128848.428571429</c:v>
                </c:pt>
                <c:pt idx="466">
                  <c:v>128031.142857143</c:v>
                </c:pt>
                <c:pt idx="467">
                  <c:v>126749.857142857</c:v>
                </c:pt>
                <c:pt idx="468">
                  <c:v>127752.857142857</c:v>
                </c:pt>
                <c:pt idx="469">
                  <c:v>123723</c:v>
                </c:pt>
                <c:pt idx="470">
                  <c:v>124635.714285714</c:v>
                </c:pt>
                <c:pt idx="471">
                  <c:v>123394.714285714</c:v>
                </c:pt>
                <c:pt idx="472">
                  <c:v>126200.428571429</c:v>
                </c:pt>
                <c:pt idx="473">
                  <c:v>126658.428571429</c:v>
                </c:pt>
                <c:pt idx="474">
                  <c:v>126742</c:v>
                </c:pt>
                <c:pt idx="475">
                  <c:v>126168.142857143</c:v>
                </c:pt>
                <c:pt idx="476">
                  <c:v>129169.571428571</c:v>
                </c:pt>
                <c:pt idx="477">
                  <c:v>128981.142857143</c:v>
                </c:pt>
                <c:pt idx="478">
                  <c:v>132939.714285714</c:v>
                </c:pt>
                <c:pt idx="479">
                  <c:v>131428.14285714299</c:v>
                </c:pt>
                <c:pt idx="480">
                  <c:v>133567.14285714299</c:v>
                </c:pt>
                <c:pt idx="481">
                  <c:v>136077.285714286</c:v>
                </c:pt>
                <c:pt idx="482">
                  <c:v>137529.42857142899</c:v>
                </c:pt>
                <c:pt idx="483">
                  <c:v>139735.42857142899</c:v>
                </c:pt>
                <c:pt idx="484">
                  <c:v>142503.57142857101</c:v>
                </c:pt>
                <c:pt idx="485">
                  <c:v>141665</c:v>
                </c:pt>
                <c:pt idx="486">
                  <c:v>146146.42857142899</c:v>
                </c:pt>
                <c:pt idx="487">
                  <c:v>147080.85714285701</c:v>
                </c:pt>
                <c:pt idx="488">
                  <c:v>147506.57142857101</c:v>
                </c:pt>
                <c:pt idx="489">
                  <c:v>148392.85714285701</c:v>
                </c:pt>
                <c:pt idx="490">
                  <c:v>148736.42857142899</c:v>
                </c:pt>
                <c:pt idx="491">
                  <c:v>149190.85714285701</c:v>
                </c:pt>
                <c:pt idx="492">
                  <c:v>145901.42857142899</c:v>
                </c:pt>
                <c:pt idx="493">
                  <c:v>145881.85714285701</c:v>
                </c:pt>
                <c:pt idx="494">
                  <c:v>145564.714285714</c:v>
                </c:pt>
                <c:pt idx="495">
                  <c:v>148126</c:v>
                </c:pt>
                <c:pt idx="496">
                  <c:v>150530.285714286</c:v>
                </c:pt>
                <c:pt idx="497">
                  <c:v>153761.85714285701</c:v>
                </c:pt>
                <c:pt idx="498">
                  <c:v>154442.14285714299</c:v>
                </c:pt>
                <c:pt idx="499">
                  <c:v>154300</c:v>
                </c:pt>
                <c:pt idx="500">
                  <c:v>152340.14285714299</c:v>
                </c:pt>
                <c:pt idx="501">
                  <c:v>151737.42857142899</c:v>
                </c:pt>
                <c:pt idx="502">
                  <c:v>150319.42857142899</c:v>
                </c:pt>
                <c:pt idx="503">
                  <c:v>145135</c:v>
                </c:pt>
                <c:pt idx="504">
                  <c:v>140810.285714286</c:v>
                </c:pt>
                <c:pt idx="505">
                  <c:v>143096</c:v>
                </c:pt>
                <c:pt idx="506">
                  <c:v>147537.714285714</c:v>
                </c:pt>
                <c:pt idx="507">
                  <c:v>148490.85714285701</c:v>
                </c:pt>
                <c:pt idx="508">
                  <c:v>148878.14285714299</c:v>
                </c:pt>
                <c:pt idx="509">
                  <c:v>149101.85714285701</c:v>
                </c:pt>
                <c:pt idx="510">
                  <c:v>152938.42857142899</c:v>
                </c:pt>
                <c:pt idx="511">
                  <c:v>154399.14285714299</c:v>
                </c:pt>
                <c:pt idx="512">
                  <c:v>151124.57142857101</c:v>
                </c:pt>
                <c:pt idx="513">
                  <c:v>152001.57142857101</c:v>
                </c:pt>
                <c:pt idx="514">
                  <c:v>151029.285714286</c:v>
                </c:pt>
                <c:pt idx="515">
                  <c:v>151257.285714286</c:v>
                </c:pt>
                <c:pt idx="516">
                  <c:v>149175.714285714</c:v>
                </c:pt>
                <c:pt idx="517">
                  <c:v>148826.42857142899</c:v>
                </c:pt>
                <c:pt idx="518">
                  <c:v>152118.285714286</c:v>
                </c:pt>
                <c:pt idx="519">
                  <c:v>151015</c:v>
                </c:pt>
                <c:pt idx="520">
                  <c:v>150342</c:v>
                </c:pt>
                <c:pt idx="521">
                  <c:v>148962.42857142899</c:v>
                </c:pt>
                <c:pt idx="522">
                  <c:v>147759.85714285701</c:v>
                </c:pt>
                <c:pt idx="523">
                  <c:v>148158.57142857101</c:v>
                </c:pt>
                <c:pt idx="524">
                  <c:v>145270.85714285701</c:v>
                </c:pt>
                <c:pt idx="525">
                  <c:v>134276.42857142899</c:v>
                </c:pt>
                <c:pt idx="526">
                  <c:v>132262.285714286</c:v>
                </c:pt>
                <c:pt idx="527">
                  <c:v>127685.285714286</c:v>
                </c:pt>
                <c:pt idx="528">
                  <c:v>124876.285714286</c:v>
                </c:pt>
                <c:pt idx="529">
                  <c:v>123081</c:v>
                </c:pt>
                <c:pt idx="530">
                  <c:v>121535.857142857</c:v>
                </c:pt>
                <c:pt idx="531">
                  <c:v>121556.285714286</c:v>
                </c:pt>
                <c:pt idx="532">
                  <c:v>122094.142857143</c:v>
                </c:pt>
                <c:pt idx="533">
                  <c:v>119703.714285714</c:v>
                </c:pt>
                <c:pt idx="534">
                  <c:v>117094.428571429</c:v>
                </c:pt>
                <c:pt idx="535">
                  <c:v>116290.714285714</c:v>
                </c:pt>
                <c:pt idx="536">
                  <c:v>113975.428571429</c:v>
                </c:pt>
                <c:pt idx="537">
                  <c:v>111750.714285714</c:v>
                </c:pt>
                <c:pt idx="538">
                  <c:v>108698.285714286</c:v>
                </c:pt>
                <c:pt idx="539">
                  <c:v>108888.714285714</c:v>
                </c:pt>
                <c:pt idx="540">
                  <c:v>108342</c:v>
                </c:pt>
                <c:pt idx="541">
                  <c:v>107114.857142857</c:v>
                </c:pt>
                <c:pt idx="542">
                  <c:v>104742.142857143</c:v>
                </c:pt>
                <c:pt idx="543">
                  <c:v>105754.571428571</c:v>
                </c:pt>
                <c:pt idx="544">
                  <c:v>105419.714285714</c:v>
                </c:pt>
                <c:pt idx="545">
                  <c:v>100910.857142857</c:v>
                </c:pt>
                <c:pt idx="546">
                  <c:v>99685.571428571406</c:v>
                </c:pt>
                <c:pt idx="547">
                  <c:v>98270.285714285696</c:v>
                </c:pt>
                <c:pt idx="548">
                  <c:v>104579.714285714</c:v>
                </c:pt>
                <c:pt idx="549">
                  <c:v>106322.571428571</c:v>
                </c:pt>
                <c:pt idx="550">
                  <c:v>103729</c:v>
                </c:pt>
                <c:pt idx="551">
                  <c:v>103023.857142857</c:v>
                </c:pt>
                <c:pt idx="552">
                  <c:v>106228.571428571</c:v>
                </c:pt>
                <c:pt idx="553">
                  <c:v>105538.571428571</c:v>
                </c:pt>
                <c:pt idx="554">
                  <c:v>104965.428571429</c:v>
                </c:pt>
                <c:pt idx="555">
                  <c:v>97244.142857142899</c:v>
                </c:pt>
                <c:pt idx="556">
                  <c:v>95215.571428571406</c:v>
                </c:pt>
                <c:pt idx="557">
                  <c:v>95178.428571428594</c:v>
                </c:pt>
                <c:pt idx="558">
                  <c:v>94501.285714285696</c:v>
                </c:pt>
                <c:pt idx="559">
                  <c:v>92541.428571428594</c:v>
                </c:pt>
                <c:pt idx="560">
                  <c:v>91641.571428571406</c:v>
                </c:pt>
                <c:pt idx="561">
                  <c:v>90775</c:v>
                </c:pt>
                <c:pt idx="562">
                  <c:v>90931</c:v>
                </c:pt>
                <c:pt idx="563">
                  <c:v>91161.428571428594</c:v>
                </c:pt>
                <c:pt idx="564">
                  <c:v>89501.285714285696</c:v>
                </c:pt>
                <c:pt idx="565">
                  <c:v>88286.285714285696</c:v>
                </c:pt>
                <c:pt idx="566">
                  <c:v>87801.571428571406</c:v>
                </c:pt>
                <c:pt idx="567">
                  <c:v>86312.285714285696</c:v>
                </c:pt>
                <c:pt idx="568">
                  <c:v>86346.142857142899</c:v>
                </c:pt>
                <c:pt idx="569">
                  <c:v>84590.428571428594</c:v>
                </c:pt>
                <c:pt idx="570">
                  <c:v>82356.428571428594</c:v>
                </c:pt>
                <c:pt idx="571">
                  <c:v>80717</c:v>
                </c:pt>
                <c:pt idx="572">
                  <c:v>81982.428571428594</c:v>
                </c:pt>
                <c:pt idx="573">
                  <c:v>81024.571428571406</c:v>
                </c:pt>
                <c:pt idx="574">
                  <c:v>82487.714285714304</c:v>
                </c:pt>
                <c:pt idx="575">
                  <c:v>81478.428571428594</c:v>
                </c:pt>
                <c:pt idx="576">
                  <c:v>81312.285714285696</c:v>
                </c:pt>
                <c:pt idx="577">
                  <c:v>80686.285714285696</c:v>
                </c:pt>
                <c:pt idx="578">
                  <c:v>81471.571428571406</c:v>
                </c:pt>
                <c:pt idx="579">
                  <c:v>81000.714285714304</c:v>
                </c:pt>
                <c:pt idx="580">
                  <c:v>80753.857142857203</c:v>
                </c:pt>
                <c:pt idx="581">
                  <c:v>77503.142857142899</c:v>
                </c:pt>
                <c:pt idx="582">
                  <c:v>75566.285714285696</c:v>
                </c:pt>
                <c:pt idx="583">
                  <c:v>72858</c:v>
                </c:pt>
                <c:pt idx="584">
                  <c:v>71291</c:v>
                </c:pt>
                <c:pt idx="585">
                  <c:v>70417.857142857203</c:v>
                </c:pt>
                <c:pt idx="586">
                  <c:v>68955</c:v>
                </c:pt>
                <c:pt idx="587">
                  <c:v>65560</c:v>
                </c:pt>
                <c:pt idx="588">
                  <c:v>64003.142857142899</c:v>
                </c:pt>
                <c:pt idx="589">
                  <c:v>62552.142857142899</c:v>
                </c:pt>
                <c:pt idx="590">
                  <c:v>61656.142857142899</c:v>
                </c:pt>
                <c:pt idx="591">
                  <c:v>60438.714285714297</c:v>
                </c:pt>
                <c:pt idx="592">
                  <c:v>61062</c:v>
                </c:pt>
                <c:pt idx="593">
                  <c:v>60152.285714285703</c:v>
                </c:pt>
                <c:pt idx="594">
                  <c:v>59876.714285714297</c:v>
                </c:pt>
                <c:pt idx="595">
                  <c:v>57363</c:v>
                </c:pt>
                <c:pt idx="596">
                  <c:v>57194.142857142899</c:v>
                </c:pt>
                <c:pt idx="597">
                  <c:v>53818</c:v>
                </c:pt>
                <c:pt idx="598">
                  <c:v>54330.857142857203</c:v>
                </c:pt>
                <c:pt idx="599">
                  <c:v>53000.714285714297</c:v>
                </c:pt>
                <c:pt idx="600">
                  <c:v>52000.857142857203</c:v>
                </c:pt>
                <c:pt idx="601">
                  <c:v>51552.142857142899</c:v>
                </c:pt>
                <c:pt idx="602">
                  <c:v>51078.571428571398</c:v>
                </c:pt>
                <c:pt idx="603">
                  <c:v>49507.428571428602</c:v>
                </c:pt>
                <c:pt idx="604">
                  <c:v>49299.285714285703</c:v>
                </c:pt>
                <c:pt idx="605">
                  <c:v>64698.285714285703</c:v>
                </c:pt>
                <c:pt idx="606">
                  <c:v>66397.714285714304</c:v>
                </c:pt>
                <c:pt idx="607">
                  <c:v>67553.571428571406</c:v>
                </c:pt>
                <c:pt idx="608">
                  <c:v>64533</c:v>
                </c:pt>
                <c:pt idx="609">
                  <c:v>67309.285714285696</c:v>
                </c:pt>
                <c:pt idx="610">
                  <c:v>66652.857142857203</c:v>
                </c:pt>
                <c:pt idx="611">
                  <c:v>68459.428571428594</c:v>
                </c:pt>
                <c:pt idx="612">
                  <c:v>49021</c:v>
                </c:pt>
                <c:pt idx="613">
                  <c:v>47941.285714285703</c:v>
                </c:pt>
                <c:pt idx="614">
                  <c:v>47960.714285714297</c:v>
                </c:pt>
                <c:pt idx="615">
                  <c:v>50073.285714285703</c:v>
                </c:pt>
                <c:pt idx="616">
                  <c:v>46650.428571428602</c:v>
                </c:pt>
                <c:pt idx="617">
                  <c:v>46052.857142857101</c:v>
                </c:pt>
                <c:pt idx="618">
                  <c:v>44706.571428571398</c:v>
                </c:pt>
                <c:pt idx="619">
                  <c:v>44842.428571428602</c:v>
                </c:pt>
                <c:pt idx="620">
                  <c:v>43166.714285714297</c:v>
                </c:pt>
                <c:pt idx="621">
                  <c:v>41939.285714285703</c:v>
                </c:pt>
                <c:pt idx="622">
                  <c:v>40593.142857142899</c:v>
                </c:pt>
                <c:pt idx="623">
                  <c:v>40114.714285714297</c:v>
                </c:pt>
                <c:pt idx="624">
                  <c:v>39396.142857142899</c:v>
                </c:pt>
                <c:pt idx="625">
                  <c:v>38557.571428571398</c:v>
                </c:pt>
                <c:pt idx="626">
                  <c:v>37688.142857142899</c:v>
                </c:pt>
                <c:pt idx="627">
                  <c:v>38375.571428571398</c:v>
                </c:pt>
                <c:pt idx="628">
                  <c:v>37044.857142857101</c:v>
                </c:pt>
                <c:pt idx="629">
                  <c:v>35169.571428571398</c:v>
                </c:pt>
                <c:pt idx="630">
                  <c:v>32702.285714285699</c:v>
                </c:pt>
                <c:pt idx="631">
                  <c:v>31229.571428571398</c:v>
                </c:pt>
                <c:pt idx="632">
                  <c:v>30649.857142857101</c:v>
                </c:pt>
                <c:pt idx="633">
                  <c:v>30295.142857142899</c:v>
                </c:pt>
                <c:pt idx="634">
                  <c:v>29027.571428571398</c:v>
                </c:pt>
                <c:pt idx="635">
                  <c:v>28908.285714285699</c:v>
                </c:pt>
                <c:pt idx="636">
                  <c:v>29494.571428571398</c:v>
                </c:pt>
                <c:pt idx="637">
                  <c:v>30271.285714285699</c:v>
                </c:pt>
                <c:pt idx="638">
                  <c:v>29189.571428571398</c:v>
                </c:pt>
                <c:pt idx="639">
                  <c:v>29321.142857142899</c:v>
                </c:pt>
                <c:pt idx="640">
                  <c:v>29582</c:v>
                </c:pt>
                <c:pt idx="641">
                  <c:v>29142.285714285699</c:v>
                </c:pt>
                <c:pt idx="642">
                  <c:v>28770.571428571398</c:v>
                </c:pt>
                <c:pt idx="643">
                  <c:v>27980.142857142899</c:v>
                </c:pt>
                <c:pt idx="644">
                  <c:v>28166.714285714301</c:v>
                </c:pt>
                <c:pt idx="645">
                  <c:v>29065</c:v>
                </c:pt>
                <c:pt idx="646">
                  <c:v>27871.285714285699</c:v>
                </c:pt>
                <c:pt idx="647">
                  <c:v>27509.142857142899</c:v>
                </c:pt>
                <c:pt idx="648">
                  <c:v>27561.285714285699</c:v>
                </c:pt>
                <c:pt idx="649">
                  <c:v>26712.571428571398</c:v>
                </c:pt>
                <c:pt idx="650">
                  <c:v>25351.428571428602</c:v>
                </c:pt>
                <c:pt idx="651">
                  <c:v>24473.428571428602</c:v>
                </c:pt>
                <c:pt idx="652">
                  <c:v>23477.142857142899</c:v>
                </c:pt>
                <c:pt idx="653">
                  <c:v>23829.142857142899</c:v>
                </c:pt>
                <c:pt idx="654">
                  <c:v>24902.571428571398</c:v>
                </c:pt>
                <c:pt idx="655">
                  <c:v>24994.285714285699</c:v>
                </c:pt>
                <c:pt idx="656">
                  <c:v>25554.857142857101</c:v>
                </c:pt>
                <c:pt idx="657">
                  <c:v>26799.571428571398</c:v>
                </c:pt>
                <c:pt idx="658">
                  <c:v>26709.142857142899</c:v>
                </c:pt>
                <c:pt idx="659">
                  <c:v>27537.857142857101</c:v>
                </c:pt>
                <c:pt idx="660">
                  <c:v>27404</c:v>
                </c:pt>
                <c:pt idx="661">
                  <c:v>26779.714285714301</c:v>
                </c:pt>
                <c:pt idx="662">
                  <c:v>27003.714285714301</c:v>
                </c:pt>
                <c:pt idx="663">
                  <c:v>27174.285714285699</c:v>
                </c:pt>
                <c:pt idx="664">
                  <c:v>26015.285714285699</c:v>
                </c:pt>
                <c:pt idx="665">
                  <c:v>26249.571428571398</c:v>
                </c:pt>
                <c:pt idx="666">
                  <c:v>25014.8571428572</c:v>
                </c:pt>
                <c:pt idx="667">
                  <c:v>24560.142857142899</c:v>
                </c:pt>
                <c:pt idx="668">
                  <c:v>24296.285714285699</c:v>
                </c:pt>
                <c:pt idx="669">
                  <c:v>24368</c:v>
                </c:pt>
                <c:pt idx="670">
                  <c:v>24058.857142857101</c:v>
                </c:pt>
                <c:pt idx="671">
                  <c:v>24852.571428571398</c:v>
                </c:pt>
                <c:pt idx="672">
                  <c:v>24423.571428571398</c:v>
                </c:pt>
                <c:pt idx="673">
                  <c:v>#N/A</c:v>
                </c:pt>
                <c:pt idx="674">
                  <c:v>#N/A</c:v>
                </c:pt>
                <c:pt idx="675">
                  <c:v>#N/A</c:v>
                </c:pt>
                <c:pt idx="676">
                  <c:v>#N/A</c:v>
                </c:pt>
                <c:pt idx="677">
                  <c:v>#N/A</c:v>
                </c:pt>
                <c:pt idx="678">
                  <c:v>#N/A</c:v>
                </c:pt>
                <c:pt idx="679">
                  <c:v>#N/A</c:v>
                </c:pt>
                <c:pt idx="680">
                  <c:v>#N/A</c:v>
                </c:pt>
                <c:pt idx="681">
                  <c:v>#N/A</c:v>
                </c:pt>
                <c:pt idx="682">
                  <c:v>#N/A</c:v>
                </c:pt>
                <c:pt idx="683">
                  <c:v>#N/A</c:v>
                </c:pt>
                <c:pt idx="684">
                  <c:v>#N/A</c:v>
                </c:pt>
                <c:pt idx="685">
                  <c:v>#N/A</c:v>
                </c:pt>
                <c:pt idx="686">
                  <c:v>#N/A</c:v>
                </c:pt>
                <c:pt idx="687">
                  <c:v>#N/A</c:v>
                </c:pt>
                <c:pt idx="688">
                  <c:v>#N/A</c:v>
                </c:pt>
                <c:pt idx="689">
                  <c:v>#N/A</c:v>
                </c:pt>
                <c:pt idx="690">
                  <c:v>#N/A</c:v>
                </c:pt>
                <c:pt idx="691">
                  <c:v>#N/A</c:v>
                </c:pt>
                <c:pt idx="692">
                  <c:v>#N/A</c:v>
                </c:pt>
                <c:pt idx="693">
                  <c:v>#N/A</c:v>
                </c:pt>
              </c:numCache>
            </c:numRef>
          </c:val>
          <c:smooth val="0"/>
          <c:extLst>
            <c:ext xmlns:c16="http://schemas.microsoft.com/office/drawing/2014/chart" uri="{C3380CC4-5D6E-409C-BE32-E72D297353CC}">
              <c16:uniqueId val="{00000004-012D-46E6-9D5B-3B840377F977}"/>
            </c:ext>
          </c:extLst>
        </c:ser>
        <c:dLbls>
          <c:showLegendKey val="0"/>
          <c:showVal val="0"/>
          <c:showCatName val="0"/>
          <c:showSerName val="0"/>
          <c:showPercent val="0"/>
          <c:showBubbleSize val="0"/>
        </c:dLbls>
        <c:smooth val="0"/>
        <c:axId val="1508232816"/>
        <c:axId val="1508225928"/>
      </c:lineChart>
      <c:dateAx>
        <c:axId val="1508232816"/>
        <c:scaling>
          <c:orientation val="minMax"/>
          <c:max val="44582"/>
        </c:scaling>
        <c:delete val="0"/>
        <c:axPos val="b"/>
        <c:numFmt formatCode="mmm\ yy" sourceLinked="0"/>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225928"/>
        <c:crosses val="autoZero"/>
        <c:auto val="1"/>
        <c:lblOffset val="100"/>
        <c:baseTimeUnit val="days"/>
        <c:majorUnit val="3"/>
        <c:majorTimeUnit val="months"/>
      </c:dateAx>
      <c:valAx>
        <c:axId val="1508225928"/>
        <c:scaling>
          <c:orientation val="minMax"/>
          <c:max val="450000"/>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r>
                  <a:rPr lang="en-AU" i="1"/>
                  <a:t>Daily cases ('000)</a:t>
                </a:r>
              </a:p>
            </c:rich>
          </c:tx>
          <c:overlay val="0"/>
          <c:spPr>
            <a:noFill/>
            <a:ln>
              <a:noFill/>
            </a:ln>
            <a:effectLst/>
          </c:spPr>
          <c:txPr>
            <a:bodyPr rot="-54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232816"/>
        <c:crosses val="autoZero"/>
        <c:crossBetween val="between"/>
        <c:dispUnits>
          <c:builtInUnit val="thousands"/>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en-US"/>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700227862782047"/>
          <c:y val="6.3373938653675466E-2"/>
          <c:w val="0.66433448618968871"/>
          <c:h val="0.86451987289583165"/>
        </c:manualLayout>
      </c:layout>
      <c:barChart>
        <c:barDir val="bar"/>
        <c:grouping val="clustered"/>
        <c:varyColors val="0"/>
        <c:ser>
          <c:idx val="0"/>
          <c:order val="0"/>
          <c:spPr>
            <a:solidFill>
              <a:schemeClr val="accent4">
                <a:lumMod val="60000"/>
                <a:lumOff val="40000"/>
              </a:schemeClr>
            </a:solidFill>
            <a:ln>
              <a:noFill/>
            </a:ln>
            <a:effectLst/>
          </c:spPr>
          <c:invertIfNegative val="0"/>
          <c:dPt>
            <c:idx val="2"/>
            <c:invertIfNegative val="0"/>
            <c:bubble3D val="0"/>
            <c:spPr>
              <a:solidFill>
                <a:schemeClr val="accent4"/>
              </a:solidFill>
              <a:ln>
                <a:noFill/>
              </a:ln>
              <a:effectLst/>
            </c:spPr>
            <c:extLst>
              <c:ext xmlns:c16="http://schemas.microsoft.com/office/drawing/2014/chart" uri="{C3380CC4-5D6E-409C-BE32-E72D297353CC}">
                <c16:uniqueId val="{00000001-DD2F-4AB5-A7E2-D828267C8DD0}"/>
              </c:ext>
            </c:extLst>
          </c:dPt>
          <c:cat>
            <c:strRef>
              <c:f>'DATA - Vaccine by country'!$A$4:$A$23</c:f>
              <c:strCache>
                <c:ptCount val="20"/>
                <c:pt idx="0">
                  <c:v>France</c:v>
                </c:pt>
                <c:pt idx="1">
                  <c:v>Norway</c:v>
                </c:pt>
                <c:pt idx="2">
                  <c:v>Australia</c:v>
                </c:pt>
                <c:pt idx="3">
                  <c:v>Finland</c:v>
                </c:pt>
                <c:pt idx="4">
                  <c:v>Italy</c:v>
                </c:pt>
                <c:pt idx="5">
                  <c:v>Netherlands</c:v>
                </c:pt>
                <c:pt idx="6">
                  <c:v>China</c:v>
                </c:pt>
                <c:pt idx="7">
                  <c:v>Belgium</c:v>
                </c:pt>
                <c:pt idx="8">
                  <c:v>Canada</c:v>
                </c:pt>
                <c:pt idx="9">
                  <c:v>Malaysia</c:v>
                </c:pt>
                <c:pt idx="10">
                  <c:v>Denmark</c:v>
                </c:pt>
                <c:pt idx="11">
                  <c:v>Japan</c:v>
                </c:pt>
                <c:pt idx="12">
                  <c:v>Cambodia</c:v>
                </c:pt>
                <c:pt idx="13">
                  <c:v>South Korea</c:v>
                </c:pt>
                <c:pt idx="14">
                  <c:v>Cuba</c:v>
                </c:pt>
                <c:pt idx="15">
                  <c:v>Spain</c:v>
                </c:pt>
                <c:pt idx="16">
                  <c:v>Chile</c:v>
                </c:pt>
                <c:pt idx="17">
                  <c:v>Portugal</c:v>
                </c:pt>
                <c:pt idx="18">
                  <c:v>United Arab Emirates</c:v>
                </c:pt>
                <c:pt idx="19">
                  <c:v>Singapore</c:v>
                </c:pt>
              </c:strCache>
            </c:strRef>
          </c:cat>
          <c:val>
            <c:numRef>
              <c:f>'DATA - Vaccine by country'!$B$4:$B$23</c:f>
              <c:numCache>
                <c:formatCode>General</c:formatCode>
                <c:ptCount val="20"/>
                <c:pt idx="0">
                  <c:v>69.23</c:v>
                </c:pt>
                <c:pt idx="1">
                  <c:v>69.540000000000006</c:v>
                </c:pt>
                <c:pt idx="2">
                  <c:v>71.87</c:v>
                </c:pt>
                <c:pt idx="3">
                  <c:v>72.040000000000006</c:v>
                </c:pt>
                <c:pt idx="4">
                  <c:v>72.75</c:v>
                </c:pt>
                <c:pt idx="5">
                  <c:v>73.739999999999995</c:v>
                </c:pt>
                <c:pt idx="6">
                  <c:v>74.53</c:v>
                </c:pt>
                <c:pt idx="7">
                  <c:v>74.540000000000006</c:v>
                </c:pt>
                <c:pt idx="8">
                  <c:v>75.95</c:v>
                </c:pt>
                <c:pt idx="9">
                  <c:v>76.319999999999993</c:v>
                </c:pt>
                <c:pt idx="10">
                  <c:v>76.430000000000007</c:v>
                </c:pt>
                <c:pt idx="11">
                  <c:v>76.81</c:v>
                </c:pt>
                <c:pt idx="12">
                  <c:v>78.260000000000005</c:v>
                </c:pt>
                <c:pt idx="13">
                  <c:v>79.319999999999993</c:v>
                </c:pt>
                <c:pt idx="14">
                  <c:v>80.290000000000006</c:v>
                </c:pt>
                <c:pt idx="15">
                  <c:v>80.37</c:v>
                </c:pt>
                <c:pt idx="16">
                  <c:v>83.26</c:v>
                </c:pt>
                <c:pt idx="17">
                  <c:v>87.78</c:v>
                </c:pt>
                <c:pt idx="18">
                  <c:v>88.4</c:v>
                </c:pt>
                <c:pt idx="19">
                  <c:v>91.91</c:v>
                </c:pt>
              </c:numCache>
            </c:numRef>
          </c:val>
          <c:extLst>
            <c:ext xmlns:c16="http://schemas.microsoft.com/office/drawing/2014/chart" uri="{C3380CC4-5D6E-409C-BE32-E72D297353CC}">
              <c16:uniqueId val="{00000002-DD2F-4AB5-A7E2-D828267C8DD0}"/>
            </c:ext>
          </c:extLst>
        </c:ser>
        <c:dLbls>
          <c:showLegendKey val="0"/>
          <c:showVal val="0"/>
          <c:showCatName val="0"/>
          <c:showSerName val="0"/>
          <c:showPercent val="0"/>
          <c:showBubbleSize val="0"/>
        </c:dLbls>
        <c:gapWidth val="60"/>
        <c:axId val="1138152320"/>
        <c:axId val="1138142808"/>
      </c:barChart>
      <c:scatterChart>
        <c:scatterStyle val="lineMarker"/>
        <c:varyColors val="0"/>
        <c:ser>
          <c:idx val="1"/>
          <c:order val="1"/>
          <c:tx>
            <c:v>World</c:v>
          </c:tx>
          <c:spPr>
            <a:ln w="28575" cap="rnd">
              <a:solidFill>
                <a:schemeClr val="tx1"/>
              </a:solidFill>
              <a:prstDash val="lgDash"/>
              <a:round/>
            </a:ln>
            <a:effectLst/>
          </c:spPr>
          <c:marker>
            <c:symbol val="none"/>
          </c:marker>
          <c:xVal>
            <c:numRef>
              <c:f>'DATA - Vaccine by country'!$F$3:$F$4</c:f>
              <c:numCache>
                <c:formatCode>General</c:formatCode>
                <c:ptCount val="2"/>
                <c:pt idx="0">
                  <c:v>42.33</c:v>
                </c:pt>
                <c:pt idx="1">
                  <c:v>42.33</c:v>
                </c:pt>
              </c:numCache>
            </c:numRef>
          </c:xVal>
          <c:yVal>
            <c:numRef>
              <c:f>'DATA - Vaccine by country'!$G$3:$G$4</c:f>
              <c:numCache>
                <c:formatCode>General</c:formatCode>
                <c:ptCount val="2"/>
                <c:pt idx="0">
                  <c:v>0</c:v>
                </c:pt>
                <c:pt idx="1">
                  <c:v>1</c:v>
                </c:pt>
              </c:numCache>
            </c:numRef>
          </c:yVal>
          <c:smooth val="0"/>
          <c:extLst>
            <c:ext xmlns:c16="http://schemas.microsoft.com/office/drawing/2014/chart" uri="{C3380CC4-5D6E-409C-BE32-E72D297353CC}">
              <c16:uniqueId val="{00000003-DD2F-4AB5-A7E2-D828267C8DD0}"/>
            </c:ext>
          </c:extLst>
        </c:ser>
        <c:dLbls>
          <c:showLegendKey val="0"/>
          <c:showVal val="0"/>
          <c:showCatName val="0"/>
          <c:showSerName val="0"/>
          <c:showPercent val="0"/>
          <c:showBubbleSize val="0"/>
        </c:dLbls>
        <c:axId val="1089850088"/>
        <c:axId val="1089848448"/>
      </c:scatterChart>
      <c:catAx>
        <c:axId val="1138152320"/>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1138142808"/>
        <c:crosses val="autoZero"/>
        <c:auto val="1"/>
        <c:lblAlgn val="ctr"/>
        <c:lblOffset val="100"/>
        <c:noMultiLvlLbl val="0"/>
      </c:catAx>
      <c:valAx>
        <c:axId val="11381428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i="1"/>
                  <a:t>per</a:t>
                </a:r>
                <a:r>
                  <a:rPr lang="en-AU" sz="900" i="1" baseline="0"/>
                  <a:t> cent</a:t>
                </a:r>
                <a:endParaRPr lang="en-AU" sz="900" i="1"/>
              </a:p>
            </c:rich>
          </c:tx>
          <c:layout>
            <c:manualLayout>
              <c:xMode val="edge"/>
              <c:yMode val="edge"/>
              <c:x val="0.86246051374725696"/>
              <c:y val="0.855244375757631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8152320"/>
        <c:crosses val="autoZero"/>
        <c:crossBetween val="between"/>
      </c:valAx>
      <c:valAx>
        <c:axId val="1089848448"/>
        <c:scaling>
          <c:orientation val="minMax"/>
          <c:max val="1"/>
        </c:scaling>
        <c:delete val="1"/>
        <c:axPos val="r"/>
        <c:numFmt formatCode="General" sourceLinked="1"/>
        <c:majorTickMark val="out"/>
        <c:minorTickMark val="none"/>
        <c:tickLblPos val="nextTo"/>
        <c:crossAx val="1089850088"/>
        <c:crosses val="max"/>
        <c:crossBetween val="midCat"/>
      </c:valAx>
      <c:valAx>
        <c:axId val="1089850088"/>
        <c:scaling>
          <c:orientation val="minMax"/>
        </c:scaling>
        <c:delete val="1"/>
        <c:axPos val="b"/>
        <c:numFmt formatCode="General" sourceLinked="1"/>
        <c:majorTickMark val="out"/>
        <c:minorTickMark val="none"/>
        <c:tickLblPos val="nextTo"/>
        <c:crossAx val="108984844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0.16176</cdr:x>
      <cdr:y>0.66809</cdr:y>
    </cdr:from>
    <cdr:to>
      <cdr:x>0.2831</cdr:x>
      <cdr:y>0.74323</cdr:y>
    </cdr:to>
    <cdr:sp macro="" textlink="">
      <cdr:nvSpPr>
        <cdr:cNvPr id="2" name="TextBox 1">
          <a:extLst xmlns:a="http://schemas.openxmlformats.org/drawingml/2006/main">
            <a:ext uri="{FF2B5EF4-FFF2-40B4-BE49-F238E27FC236}">
              <a16:creationId xmlns:a16="http://schemas.microsoft.com/office/drawing/2014/main" id="{FC08461E-D1E6-4026-84FE-7642775DBBC3}"/>
            </a:ext>
          </a:extLst>
        </cdr:cNvPr>
        <cdr:cNvSpPr txBox="1"/>
      </cdr:nvSpPr>
      <cdr:spPr>
        <a:xfrm xmlns:a="http://schemas.openxmlformats.org/drawingml/2006/main">
          <a:off x="792071" y="1904825"/>
          <a:ext cx="594139" cy="2142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i="0">
              <a:solidFill>
                <a:schemeClr val="tx1">
                  <a:lumMod val="75000"/>
                  <a:lumOff val="25000"/>
                </a:schemeClr>
              </a:solidFill>
              <a:latin typeface="+mn-lt"/>
            </a:rPr>
            <a:t>2019-20</a:t>
          </a:r>
        </a:p>
      </cdr:txBody>
    </cdr:sp>
  </cdr:relSizeAnchor>
  <cdr:relSizeAnchor xmlns:cdr="http://schemas.openxmlformats.org/drawingml/2006/chartDrawing">
    <cdr:from>
      <cdr:x>0.70127</cdr:x>
      <cdr:y>0.27116</cdr:y>
    </cdr:from>
    <cdr:to>
      <cdr:x>0.79806</cdr:x>
      <cdr:y>0.3463</cdr:y>
    </cdr:to>
    <cdr:sp macro="" textlink="">
      <cdr:nvSpPr>
        <cdr:cNvPr id="6" name="TextBox 1">
          <a:extLst xmlns:a="http://schemas.openxmlformats.org/drawingml/2006/main">
            <a:ext uri="{FF2B5EF4-FFF2-40B4-BE49-F238E27FC236}">
              <a16:creationId xmlns:a16="http://schemas.microsoft.com/office/drawing/2014/main" id="{700249D3-0AD6-4285-ADE7-A0D67D79E355}"/>
            </a:ext>
          </a:extLst>
        </cdr:cNvPr>
        <cdr:cNvSpPr txBox="1"/>
      </cdr:nvSpPr>
      <cdr:spPr>
        <a:xfrm xmlns:a="http://schemas.openxmlformats.org/drawingml/2006/main">
          <a:off x="3433762" y="773120"/>
          <a:ext cx="473944" cy="2142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i="0">
              <a:solidFill>
                <a:sysClr val="windowText" lastClr="000000"/>
              </a:solidFill>
              <a:latin typeface="+mn-lt"/>
            </a:rPr>
            <a:t>+4.50</a:t>
          </a:r>
        </a:p>
      </cdr:txBody>
    </cdr:sp>
  </cdr:relSizeAnchor>
  <cdr:relSizeAnchor xmlns:cdr="http://schemas.openxmlformats.org/drawingml/2006/chartDrawing">
    <cdr:from>
      <cdr:x>0.53456</cdr:x>
      <cdr:y>0.38841</cdr:y>
    </cdr:from>
    <cdr:to>
      <cdr:x>0.62739</cdr:x>
      <cdr:y>0.46355</cdr:y>
    </cdr:to>
    <cdr:sp macro="" textlink="">
      <cdr:nvSpPr>
        <cdr:cNvPr id="9" name="TextBox 1">
          <a:extLst xmlns:a="http://schemas.openxmlformats.org/drawingml/2006/main">
            <a:ext uri="{FF2B5EF4-FFF2-40B4-BE49-F238E27FC236}">
              <a16:creationId xmlns:a16="http://schemas.microsoft.com/office/drawing/2014/main" id="{1C578809-B1B2-4F5D-B919-DE0D7ADE5CBB}"/>
            </a:ext>
          </a:extLst>
        </cdr:cNvPr>
        <cdr:cNvSpPr txBox="1"/>
      </cdr:nvSpPr>
      <cdr:spPr>
        <a:xfrm xmlns:a="http://schemas.openxmlformats.org/drawingml/2006/main">
          <a:off x="2839599" y="1098717"/>
          <a:ext cx="493109" cy="21255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i="0">
              <a:solidFill>
                <a:sysClr val="windowText" lastClr="000000"/>
              </a:solidFill>
            </a:rPr>
            <a:t>+2.25</a:t>
          </a:r>
        </a:p>
      </cdr:txBody>
    </cdr:sp>
  </cdr:relSizeAnchor>
  <cdr:relSizeAnchor xmlns:cdr="http://schemas.openxmlformats.org/drawingml/2006/chartDrawing">
    <cdr:from>
      <cdr:x>0.63708</cdr:x>
      <cdr:y>0.16923</cdr:y>
    </cdr:from>
    <cdr:to>
      <cdr:x>0.75228</cdr:x>
      <cdr:y>0.23385</cdr:y>
    </cdr:to>
    <cdr:sp macro="" textlink="">
      <cdr:nvSpPr>
        <cdr:cNvPr id="11" name="TextBox 1">
          <a:extLst xmlns:a="http://schemas.openxmlformats.org/drawingml/2006/main">
            <a:ext uri="{FF2B5EF4-FFF2-40B4-BE49-F238E27FC236}">
              <a16:creationId xmlns:a16="http://schemas.microsoft.com/office/drawing/2014/main" id="{6C5B9FF3-FD2F-4A79-9919-1C202C81C751}"/>
            </a:ext>
          </a:extLst>
        </cdr:cNvPr>
        <cdr:cNvSpPr txBox="1"/>
      </cdr:nvSpPr>
      <cdr:spPr>
        <a:xfrm xmlns:a="http://schemas.openxmlformats.org/drawingml/2006/main">
          <a:off x="3119436" y="482500"/>
          <a:ext cx="564107" cy="1842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i="0">
              <a:solidFill>
                <a:schemeClr val="bg1">
                  <a:lumMod val="50000"/>
                </a:schemeClr>
              </a:solidFill>
              <a:latin typeface="+mn-lt"/>
            </a:rPr>
            <a:t>+3.25</a:t>
          </a:r>
        </a:p>
      </cdr:txBody>
    </cdr:sp>
  </cdr:relSizeAnchor>
  <cdr:relSizeAnchor xmlns:cdr="http://schemas.openxmlformats.org/drawingml/2006/chartDrawing">
    <cdr:from>
      <cdr:x>0.46565</cdr:x>
      <cdr:y>0.24677</cdr:y>
    </cdr:from>
    <cdr:to>
      <cdr:x>0.68164</cdr:x>
      <cdr:y>0.32145</cdr:y>
    </cdr:to>
    <cdr:sp macro="" textlink="">
      <cdr:nvSpPr>
        <cdr:cNvPr id="12" name="TextBox 1">
          <a:extLst xmlns:a="http://schemas.openxmlformats.org/drawingml/2006/main">
            <a:ext uri="{FF2B5EF4-FFF2-40B4-BE49-F238E27FC236}">
              <a16:creationId xmlns:a16="http://schemas.microsoft.com/office/drawing/2014/main" id="{2BEE4984-C369-40DB-9DF2-15E6C0276678}"/>
            </a:ext>
          </a:extLst>
        </cdr:cNvPr>
        <cdr:cNvSpPr txBox="1"/>
      </cdr:nvSpPr>
      <cdr:spPr>
        <a:xfrm xmlns:a="http://schemas.openxmlformats.org/drawingml/2006/main">
          <a:off x="2322832" y="723526"/>
          <a:ext cx="1077432" cy="2189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i="0">
              <a:solidFill>
                <a:schemeClr val="bg1">
                  <a:lumMod val="50000"/>
                </a:schemeClr>
              </a:solidFill>
              <a:latin typeface="+mn-lt"/>
            </a:rPr>
            <a:t>+6.50</a:t>
          </a:r>
        </a:p>
      </cdr:txBody>
    </cdr:sp>
  </cdr:relSizeAnchor>
  <cdr:relSizeAnchor xmlns:cdr="http://schemas.openxmlformats.org/drawingml/2006/chartDrawing">
    <cdr:from>
      <cdr:x>0.77024</cdr:x>
      <cdr:y>0.20349</cdr:y>
    </cdr:from>
    <cdr:to>
      <cdr:x>0.98922</cdr:x>
      <cdr:y>0.27863</cdr:y>
    </cdr:to>
    <cdr:sp macro="" textlink="">
      <cdr:nvSpPr>
        <cdr:cNvPr id="10" name="TextBox 1">
          <a:extLst xmlns:a="http://schemas.openxmlformats.org/drawingml/2006/main">
            <a:ext uri="{FF2B5EF4-FFF2-40B4-BE49-F238E27FC236}">
              <a16:creationId xmlns:a16="http://schemas.microsoft.com/office/drawing/2014/main" id="{D81835C3-CBF8-4C4B-8EF9-5935B967267C}"/>
            </a:ext>
          </a:extLst>
        </cdr:cNvPr>
        <cdr:cNvSpPr txBox="1"/>
      </cdr:nvSpPr>
      <cdr:spPr>
        <a:xfrm xmlns:a="http://schemas.openxmlformats.org/drawingml/2006/main">
          <a:off x="3842220" y="596639"/>
          <a:ext cx="1092347" cy="2203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i="0">
              <a:solidFill>
                <a:sysClr val="windowText" lastClr="000000"/>
              </a:solidFill>
              <a:latin typeface="+mn-lt"/>
            </a:rPr>
            <a:t>+2.75</a:t>
          </a:r>
        </a:p>
      </cdr:txBody>
    </cdr:sp>
  </cdr:relSizeAnchor>
  <cdr:relSizeAnchor xmlns:cdr="http://schemas.openxmlformats.org/drawingml/2006/chartDrawing">
    <cdr:from>
      <cdr:x>0.76941</cdr:x>
      <cdr:y>0.0823</cdr:y>
    </cdr:from>
    <cdr:to>
      <cdr:x>0.9854</cdr:x>
      <cdr:y>0.15698</cdr:y>
    </cdr:to>
    <cdr:sp macro="" textlink="">
      <cdr:nvSpPr>
        <cdr:cNvPr id="13" name="TextBox 1">
          <a:extLst xmlns:a="http://schemas.openxmlformats.org/drawingml/2006/main">
            <a:ext uri="{FF2B5EF4-FFF2-40B4-BE49-F238E27FC236}">
              <a16:creationId xmlns:a16="http://schemas.microsoft.com/office/drawing/2014/main" id="{0BB53B38-4711-4E65-B95A-87F51B5F1E7D}"/>
            </a:ext>
          </a:extLst>
        </cdr:cNvPr>
        <cdr:cNvSpPr txBox="1"/>
      </cdr:nvSpPr>
      <cdr:spPr>
        <a:xfrm xmlns:a="http://schemas.openxmlformats.org/drawingml/2006/main">
          <a:off x="3827955" y="241300"/>
          <a:ext cx="1074594" cy="2189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i="0">
              <a:solidFill>
                <a:schemeClr val="bg1">
                  <a:lumMod val="50000"/>
                </a:schemeClr>
              </a:solidFill>
              <a:latin typeface="+mn-lt"/>
            </a:rPr>
            <a:t>+2.75</a:t>
          </a:r>
        </a:p>
      </cdr:txBody>
    </cdr:sp>
  </cdr:relSizeAnchor>
  <cdr:relSizeAnchor xmlns:cdr="http://schemas.openxmlformats.org/drawingml/2006/chartDrawing">
    <cdr:from>
      <cdr:x>0.48814</cdr:x>
      <cdr:y>0.6627</cdr:y>
    </cdr:from>
    <cdr:to>
      <cdr:x>0.60948</cdr:x>
      <cdr:y>0.73784</cdr:y>
    </cdr:to>
    <cdr:sp macro="" textlink="">
      <cdr:nvSpPr>
        <cdr:cNvPr id="16" name="TextBox 1">
          <a:extLst xmlns:a="http://schemas.openxmlformats.org/drawingml/2006/main">
            <a:ext uri="{FF2B5EF4-FFF2-40B4-BE49-F238E27FC236}">
              <a16:creationId xmlns:a16="http://schemas.microsoft.com/office/drawing/2014/main" id="{BE76749A-FF16-466F-835B-4E59CC22851D}"/>
            </a:ext>
          </a:extLst>
        </cdr:cNvPr>
        <cdr:cNvSpPr txBox="1"/>
      </cdr:nvSpPr>
      <cdr:spPr>
        <a:xfrm xmlns:a="http://schemas.openxmlformats.org/drawingml/2006/main">
          <a:off x="2390165" y="1889458"/>
          <a:ext cx="594139" cy="2142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i="0">
              <a:solidFill>
                <a:schemeClr val="tx1">
                  <a:lumMod val="75000"/>
                  <a:lumOff val="25000"/>
                </a:schemeClr>
              </a:solidFill>
              <a:latin typeface="+mn-lt"/>
            </a:rPr>
            <a:t>2021-22</a:t>
          </a:r>
        </a:p>
      </cdr:txBody>
    </cdr:sp>
  </cdr:relSizeAnchor>
  <cdr:relSizeAnchor xmlns:cdr="http://schemas.openxmlformats.org/drawingml/2006/chartDrawing">
    <cdr:from>
      <cdr:x>0.33176</cdr:x>
      <cdr:y>0.664</cdr:y>
    </cdr:from>
    <cdr:to>
      <cdr:x>0.4531</cdr:x>
      <cdr:y>0.73914</cdr:y>
    </cdr:to>
    <cdr:sp macro="" textlink="">
      <cdr:nvSpPr>
        <cdr:cNvPr id="17" name="TextBox 1">
          <a:extLst xmlns:a="http://schemas.openxmlformats.org/drawingml/2006/main">
            <a:ext uri="{FF2B5EF4-FFF2-40B4-BE49-F238E27FC236}">
              <a16:creationId xmlns:a16="http://schemas.microsoft.com/office/drawing/2014/main" id="{BE76749A-FF16-466F-835B-4E59CC22851D}"/>
            </a:ext>
          </a:extLst>
        </cdr:cNvPr>
        <cdr:cNvSpPr txBox="1"/>
      </cdr:nvSpPr>
      <cdr:spPr>
        <a:xfrm xmlns:a="http://schemas.openxmlformats.org/drawingml/2006/main">
          <a:off x="1624476" y="1893164"/>
          <a:ext cx="594139" cy="2142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i="0">
              <a:solidFill>
                <a:schemeClr val="tx1">
                  <a:lumMod val="75000"/>
                  <a:lumOff val="25000"/>
                </a:schemeClr>
              </a:solidFill>
              <a:latin typeface="+mn-lt"/>
            </a:rPr>
            <a:t>2020-21</a:t>
          </a:r>
        </a:p>
      </cdr:txBody>
    </cdr:sp>
  </cdr:relSizeAnchor>
  <cdr:relSizeAnchor xmlns:cdr="http://schemas.openxmlformats.org/drawingml/2006/chartDrawing">
    <cdr:from>
      <cdr:x>0.81511</cdr:x>
      <cdr:y>0.66704</cdr:y>
    </cdr:from>
    <cdr:to>
      <cdr:x>0.93645</cdr:x>
      <cdr:y>0.74218</cdr:y>
    </cdr:to>
    <cdr:sp macro="" textlink="">
      <cdr:nvSpPr>
        <cdr:cNvPr id="18" name="TextBox 1">
          <a:extLst xmlns:a="http://schemas.openxmlformats.org/drawingml/2006/main">
            <a:ext uri="{FF2B5EF4-FFF2-40B4-BE49-F238E27FC236}">
              <a16:creationId xmlns:a16="http://schemas.microsoft.com/office/drawing/2014/main" id="{BE76749A-FF16-466F-835B-4E59CC22851D}"/>
            </a:ext>
          </a:extLst>
        </cdr:cNvPr>
        <cdr:cNvSpPr txBox="1"/>
      </cdr:nvSpPr>
      <cdr:spPr>
        <a:xfrm xmlns:a="http://schemas.openxmlformats.org/drawingml/2006/main">
          <a:off x="4058023" y="1955800"/>
          <a:ext cx="604098" cy="2203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i="0">
              <a:solidFill>
                <a:schemeClr val="tx1">
                  <a:lumMod val="75000"/>
                  <a:lumOff val="25000"/>
                </a:schemeClr>
              </a:solidFill>
              <a:latin typeface="+mn-lt"/>
            </a:rPr>
            <a:t>2023-24</a:t>
          </a:r>
        </a:p>
      </cdr:txBody>
    </cdr:sp>
  </cdr:relSizeAnchor>
  <cdr:relSizeAnchor xmlns:cdr="http://schemas.openxmlformats.org/drawingml/2006/chartDrawing">
    <cdr:from>
      <cdr:x>0.64712</cdr:x>
      <cdr:y>0.66283</cdr:y>
    </cdr:from>
    <cdr:to>
      <cdr:x>0.76846</cdr:x>
      <cdr:y>0.73797</cdr:y>
    </cdr:to>
    <cdr:sp macro="" textlink="">
      <cdr:nvSpPr>
        <cdr:cNvPr id="19" name="TextBox 1">
          <a:extLst xmlns:a="http://schemas.openxmlformats.org/drawingml/2006/main">
            <a:ext uri="{FF2B5EF4-FFF2-40B4-BE49-F238E27FC236}">
              <a16:creationId xmlns:a16="http://schemas.microsoft.com/office/drawing/2014/main" id="{BE76749A-FF16-466F-835B-4E59CC22851D}"/>
            </a:ext>
          </a:extLst>
        </cdr:cNvPr>
        <cdr:cNvSpPr txBox="1"/>
      </cdr:nvSpPr>
      <cdr:spPr>
        <a:xfrm xmlns:a="http://schemas.openxmlformats.org/drawingml/2006/main">
          <a:off x="3168635" y="1889828"/>
          <a:ext cx="594140" cy="2142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i="0">
              <a:solidFill>
                <a:schemeClr val="tx1">
                  <a:lumMod val="75000"/>
                  <a:lumOff val="25000"/>
                </a:schemeClr>
              </a:solidFill>
              <a:latin typeface="+mn-lt"/>
            </a:rPr>
            <a:t>2022-23</a:t>
          </a:r>
        </a:p>
      </cdr:txBody>
    </cdr:sp>
  </cdr:relSizeAnchor>
  <cdr:relSizeAnchor xmlns:cdr="http://schemas.openxmlformats.org/drawingml/2006/chartDrawing">
    <cdr:from>
      <cdr:x>0.38122</cdr:x>
      <cdr:y>0.49866</cdr:y>
    </cdr:from>
    <cdr:to>
      <cdr:x>0.47411</cdr:x>
      <cdr:y>0.57334</cdr:y>
    </cdr:to>
    <cdr:sp macro="" textlink="">
      <cdr:nvSpPr>
        <cdr:cNvPr id="15" name="TextBox 1">
          <a:extLst xmlns:a="http://schemas.openxmlformats.org/drawingml/2006/main">
            <a:ext uri="{FF2B5EF4-FFF2-40B4-BE49-F238E27FC236}">
              <a16:creationId xmlns:a16="http://schemas.microsoft.com/office/drawing/2014/main" id="{F0E2BE4F-47F9-49E5-A014-881A27D95874}"/>
            </a:ext>
          </a:extLst>
        </cdr:cNvPr>
        <cdr:cNvSpPr txBox="1"/>
      </cdr:nvSpPr>
      <cdr:spPr>
        <a:xfrm xmlns:a="http://schemas.openxmlformats.org/drawingml/2006/main">
          <a:off x="2025048" y="1410576"/>
          <a:ext cx="493459" cy="2112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i="0">
              <a:solidFill>
                <a:schemeClr val="bg1">
                  <a:lumMod val="50000"/>
                </a:schemeClr>
              </a:solidFill>
              <a:latin typeface="+mn-lt"/>
            </a:rPr>
            <a:t>–2.00</a:t>
          </a:r>
        </a:p>
      </cdr:txBody>
    </cdr:sp>
  </cdr:relSizeAnchor>
  <cdr:relSizeAnchor xmlns:cdr="http://schemas.openxmlformats.org/drawingml/2006/chartDrawing">
    <cdr:from>
      <cdr:x>0.29828</cdr:x>
      <cdr:y>0.37094</cdr:y>
    </cdr:from>
    <cdr:to>
      <cdr:x>0.40165</cdr:x>
      <cdr:y>0.44608</cdr:y>
    </cdr:to>
    <cdr:sp macro="" textlink="">
      <cdr:nvSpPr>
        <cdr:cNvPr id="20" name="TextBox 1">
          <a:extLst xmlns:a="http://schemas.openxmlformats.org/drawingml/2006/main">
            <a:ext uri="{FF2B5EF4-FFF2-40B4-BE49-F238E27FC236}">
              <a16:creationId xmlns:a16="http://schemas.microsoft.com/office/drawing/2014/main" id="{AF57519C-7993-4929-9080-2ED5C6C5C8A5}"/>
            </a:ext>
          </a:extLst>
        </cdr:cNvPr>
        <cdr:cNvSpPr txBox="1"/>
      </cdr:nvSpPr>
      <cdr:spPr>
        <a:xfrm xmlns:a="http://schemas.openxmlformats.org/drawingml/2006/main">
          <a:off x="1460500" y="1057606"/>
          <a:ext cx="506173" cy="2142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i="0">
              <a:solidFill>
                <a:sysClr val="windowText" lastClr="000000"/>
              </a:solidFill>
            </a:rPr>
            <a:t>–0.4</a:t>
          </a:r>
        </a:p>
      </cdr:txBody>
    </cdr:sp>
  </cdr:relSizeAnchor>
  <cdr:relSizeAnchor xmlns:cdr="http://schemas.openxmlformats.org/drawingml/2006/chartDrawing">
    <cdr:from>
      <cdr:x>0.15117</cdr:x>
      <cdr:y>0.42705</cdr:y>
    </cdr:from>
    <cdr:to>
      <cdr:x>0.25454</cdr:x>
      <cdr:y>0.50219</cdr:y>
    </cdr:to>
    <cdr:sp macro="" textlink="">
      <cdr:nvSpPr>
        <cdr:cNvPr id="21" name="TextBox 1"/>
        <cdr:cNvSpPr txBox="1"/>
      </cdr:nvSpPr>
      <cdr:spPr>
        <a:xfrm xmlns:a="http://schemas.openxmlformats.org/drawingml/2006/main">
          <a:off x="740226" y="1217588"/>
          <a:ext cx="506149" cy="2142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i="0">
              <a:solidFill>
                <a:sysClr val="windowText" lastClr="000000"/>
              </a:solidFill>
            </a:rPr>
            <a:t>+0.1</a:t>
          </a:r>
        </a:p>
      </cdr:txBody>
    </cdr:sp>
  </cdr:relSizeAnchor>
</c:userShapes>
</file>

<file path=word/drawings/drawing2.xml><?xml version="1.0" encoding="utf-8"?>
<c:userShapes xmlns:c="http://schemas.openxmlformats.org/drawingml/2006/chart">
  <cdr:relSizeAnchor xmlns:cdr="http://schemas.openxmlformats.org/drawingml/2006/chartDrawing">
    <cdr:from>
      <cdr:x>0.87122</cdr:x>
      <cdr:y>0.14357</cdr:y>
    </cdr:from>
    <cdr:to>
      <cdr:x>0.99654</cdr:x>
      <cdr:y>0.23131</cdr:y>
    </cdr:to>
    <cdr:sp macro="" textlink="">
      <cdr:nvSpPr>
        <cdr:cNvPr id="2" name="TextBox 1">
          <a:extLst xmlns:a="http://schemas.openxmlformats.org/drawingml/2006/main">
            <a:ext uri="{FF2B5EF4-FFF2-40B4-BE49-F238E27FC236}">
              <a16:creationId xmlns:a16="http://schemas.microsoft.com/office/drawing/2014/main" id="{28431739-75CB-42D9-98BD-361B4DFDDFDD}"/>
            </a:ext>
          </a:extLst>
        </cdr:cNvPr>
        <cdr:cNvSpPr txBox="1"/>
      </cdr:nvSpPr>
      <cdr:spPr>
        <a:xfrm xmlns:a="http://schemas.openxmlformats.org/drawingml/2006/main">
          <a:off x="4265134" y="423952"/>
          <a:ext cx="613518" cy="2590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solidFill>
                <a:schemeClr val="bg2">
                  <a:lumMod val="75000"/>
                </a:schemeClr>
              </a:solidFill>
            </a:rPr>
            <a:t>Europe</a:t>
          </a:r>
        </a:p>
      </cdr:txBody>
    </cdr:sp>
  </cdr:relSizeAnchor>
  <cdr:relSizeAnchor xmlns:cdr="http://schemas.openxmlformats.org/drawingml/2006/chartDrawing">
    <cdr:from>
      <cdr:x>0.86263</cdr:x>
      <cdr:y>0.78346</cdr:y>
    </cdr:from>
    <cdr:to>
      <cdr:x>1</cdr:x>
      <cdr:y>0.84787</cdr:y>
    </cdr:to>
    <cdr:sp macro="" textlink="">
      <cdr:nvSpPr>
        <cdr:cNvPr id="3" name="TextBox 1">
          <a:extLst xmlns:a="http://schemas.openxmlformats.org/drawingml/2006/main">
            <a:ext uri="{FF2B5EF4-FFF2-40B4-BE49-F238E27FC236}">
              <a16:creationId xmlns:a16="http://schemas.microsoft.com/office/drawing/2014/main" id="{C077F50D-CE95-4537-ADDC-BFD39B683A60}"/>
            </a:ext>
          </a:extLst>
        </cdr:cNvPr>
        <cdr:cNvSpPr txBox="1"/>
      </cdr:nvSpPr>
      <cdr:spPr>
        <a:xfrm xmlns:a="http://schemas.openxmlformats.org/drawingml/2006/main">
          <a:off x="4200995" y="2222045"/>
          <a:ext cx="668990" cy="18267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solidFill>
                <a:schemeClr val="bg2">
                  <a:lumMod val="50000"/>
                </a:schemeClr>
              </a:solidFill>
            </a:rPr>
            <a:t>S. America</a:t>
          </a:r>
        </a:p>
      </cdr:txBody>
    </cdr:sp>
  </cdr:relSizeAnchor>
  <cdr:relSizeAnchor xmlns:cdr="http://schemas.openxmlformats.org/drawingml/2006/chartDrawing">
    <cdr:from>
      <cdr:x>0.85287</cdr:x>
      <cdr:y>0.64065</cdr:y>
    </cdr:from>
    <cdr:to>
      <cdr:x>1</cdr:x>
      <cdr:y>0.73325</cdr:y>
    </cdr:to>
    <cdr:sp macro="" textlink="">
      <cdr:nvSpPr>
        <cdr:cNvPr id="4" name="TextBox 1">
          <a:extLst xmlns:a="http://schemas.openxmlformats.org/drawingml/2006/main">
            <a:ext uri="{FF2B5EF4-FFF2-40B4-BE49-F238E27FC236}">
              <a16:creationId xmlns:a16="http://schemas.microsoft.com/office/drawing/2014/main" id="{094FE7CC-74DE-4908-A18A-660F245D8652}"/>
            </a:ext>
          </a:extLst>
        </cdr:cNvPr>
        <cdr:cNvSpPr txBox="1"/>
      </cdr:nvSpPr>
      <cdr:spPr>
        <a:xfrm xmlns:a="http://schemas.openxmlformats.org/drawingml/2006/main">
          <a:off x="4180735" y="1891828"/>
          <a:ext cx="721225" cy="2734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t>N. America</a:t>
          </a:r>
        </a:p>
      </cdr:txBody>
    </cdr:sp>
  </cdr:relSizeAnchor>
  <cdr:relSizeAnchor xmlns:cdr="http://schemas.openxmlformats.org/drawingml/2006/chartDrawing">
    <cdr:from>
      <cdr:x>0.85836</cdr:x>
      <cdr:y>0.82404</cdr:y>
    </cdr:from>
    <cdr:to>
      <cdr:x>1</cdr:x>
      <cdr:y>0.87503</cdr:y>
    </cdr:to>
    <cdr:sp macro="" textlink="">
      <cdr:nvSpPr>
        <cdr:cNvPr id="5" name="TextBox 1">
          <a:extLst xmlns:a="http://schemas.openxmlformats.org/drawingml/2006/main">
            <a:ext uri="{FF2B5EF4-FFF2-40B4-BE49-F238E27FC236}">
              <a16:creationId xmlns:a16="http://schemas.microsoft.com/office/drawing/2014/main" id="{4D49D5A6-57E3-4542-983A-F9FE119730AE}"/>
            </a:ext>
          </a:extLst>
        </cdr:cNvPr>
        <cdr:cNvSpPr txBox="1"/>
      </cdr:nvSpPr>
      <cdr:spPr>
        <a:xfrm xmlns:a="http://schemas.openxmlformats.org/drawingml/2006/main">
          <a:off x="4207644" y="2433388"/>
          <a:ext cx="694315" cy="15057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solidFill>
                <a:schemeClr val="bg1">
                  <a:lumMod val="50000"/>
                </a:schemeClr>
              </a:solidFill>
            </a:rPr>
            <a:t>Middle</a:t>
          </a:r>
          <a:r>
            <a:rPr lang="en-AU" sz="800" baseline="0">
              <a:solidFill>
                <a:schemeClr val="bg1">
                  <a:lumMod val="50000"/>
                </a:schemeClr>
              </a:solidFill>
            </a:rPr>
            <a:t> East</a:t>
          </a:r>
          <a:endParaRPr lang="en-AU" sz="800">
            <a:solidFill>
              <a:schemeClr val="bg1">
                <a:lumMod val="50000"/>
              </a:schemeClr>
            </a:solidFill>
          </a:endParaRPr>
        </a:p>
      </cdr:txBody>
    </cdr:sp>
  </cdr:relSizeAnchor>
  <cdr:relSizeAnchor xmlns:cdr="http://schemas.openxmlformats.org/drawingml/2006/chartDrawing">
    <cdr:from>
      <cdr:x>0.86756</cdr:x>
      <cdr:y>0.74242</cdr:y>
    </cdr:from>
    <cdr:to>
      <cdr:x>0.9765</cdr:x>
      <cdr:y>0.80683</cdr:y>
    </cdr:to>
    <cdr:sp macro="" textlink="">
      <cdr:nvSpPr>
        <cdr:cNvPr id="7" name="TextBox 1">
          <a:extLst xmlns:a="http://schemas.openxmlformats.org/drawingml/2006/main">
            <a:ext uri="{FF2B5EF4-FFF2-40B4-BE49-F238E27FC236}">
              <a16:creationId xmlns:a16="http://schemas.microsoft.com/office/drawing/2014/main" id="{7417B61E-2059-49D3-99A5-53354975167C}"/>
            </a:ext>
          </a:extLst>
        </cdr:cNvPr>
        <cdr:cNvSpPr txBox="1"/>
      </cdr:nvSpPr>
      <cdr:spPr>
        <a:xfrm xmlns:a="http://schemas.openxmlformats.org/drawingml/2006/main">
          <a:off x="4225025" y="2105647"/>
          <a:ext cx="530536" cy="18267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solidFill>
                <a:sysClr val="windowText" lastClr="000000"/>
              </a:solidFill>
            </a:rPr>
            <a:t>Asia</a:t>
          </a:r>
        </a:p>
      </cdr:txBody>
    </cdr:sp>
  </cdr:relSizeAnchor>
</c:userShapes>
</file>

<file path=word/drawings/drawing3.xml><?xml version="1.0" encoding="utf-8"?>
<c:userShapes xmlns:c="http://schemas.openxmlformats.org/drawingml/2006/chart">
  <cdr:relSizeAnchor xmlns:cdr="http://schemas.openxmlformats.org/drawingml/2006/chartDrawing">
    <cdr:from>
      <cdr:x>0.53943</cdr:x>
      <cdr:y>0.00477</cdr:y>
    </cdr:from>
    <cdr:to>
      <cdr:x>0.74007</cdr:x>
      <cdr:y>0.07675</cdr:y>
    </cdr:to>
    <cdr:sp macro="" textlink="">
      <cdr:nvSpPr>
        <cdr:cNvPr id="3" name="TextBox 1">
          <a:extLst xmlns:a="http://schemas.openxmlformats.org/drawingml/2006/main">
            <a:ext uri="{FF2B5EF4-FFF2-40B4-BE49-F238E27FC236}">
              <a16:creationId xmlns:a16="http://schemas.microsoft.com/office/drawing/2014/main" id="{2B290E0C-F90A-42AC-89FC-2C4EF6665DB6}"/>
            </a:ext>
          </a:extLst>
        </cdr:cNvPr>
        <cdr:cNvSpPr txBox="1"/>
      </cdr:nvSpPr>
      <cdr:spPr>
        <a:xfrm xmlns:a="http://schemas.openxmlformats.org/drawingml/2006/main">
          <a:off x="2612046" y="15614"/>
          <a:ext cx="971540" cy="2354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b="0">
              <a:solidFill>
                <a:schemeClr val="tx1"/>
              </a:solidFill>
              <a:latin typeface="+mn-lt"/>
            </a:rPr>
            <a:t>World</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DTF Publication">
      <a:majorFont>
        <a:latin typeface="Calibri"/>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87810AF1-6292-4E35-8565-1B275E5D6A13}">
  <ds:schemaRefs>
    <ds:schemaRef ds:uri="http://schemas.openxmlformats.org/officeDocument/2006/bibliography"/>
  </ds:schemaRefs>
</ds:datastoreItem>
</file>

<file path=customXml/itemProps2.xml><?xml version="1.0" encoding="utf-8"?>
<ds:datastoreItem xmlns:ds="http://schemas.openxmlformats.org/officeDocument/2006/customXml" ds:itemID="{78E108C2-7575-4881-BDD5-754799BB4A80}">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Publication.dotx</Template>
  <TotalTime>1</TotalTime>
  <Pages>174</Pages>
  <Words>47944</Words>
  <Characters>273282</Characters>
  <Application>Microsoft Office Word</Application>
  <DocSecurity>0</DocSecurity>
  <Lines>2277</Lines>
  <Paragraphs>641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Publication Title</dc:subject>
  <dc:creator>Leigh Anlezark</dc:creator>
  <cp:keywords/>
  <dc:description/>
  <cp:lastModifiedBy>Leigh Anlezark (DTF)</cp:lastModifiedBy>
  <cp:revision>2</cp:revision>
  <cp:lastPrinted>2021-12-03T00:37:00Z</cp:lastPrinted>
  <dcterms:created xsi:type="dcterms:W3CDTF">2021-12-08T02:55:00Z</dcterms:created>
  <dcterms:modified xsi:type="dcterms:W3CDTF">2021-12-08T02:55:00Z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2021-12-06T05:18:51Z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25ac3d2f-9ed5-48b2-a7a8-db1e854bc867</vt:lpwstr>
  </property>
  <property fmtid="{D5CDD505-2E9C-101B-9397-08002B2CF9AE}" pid="8" name="MSIP_Label_bb4ee517-5ca4-4fff-98d2-ed4f906edd6d_ContentBits">
    <vt:lpwstr>0</vt:lpwstr>
  </property>
</Properties>
</file>