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1F1" w:rsidRPr="009A37BF" w:rsidRDefault="009A37BF" w:rsidP="009A37BF">
      <w:pPr>
        <w:pStyle w:val="Title"/>
      </w:pPr>
      <w:r w:rsidRPr="00C31888">
        <w:t>Statement of Expectations Framework for Regulators</w:t>
      </w:r>
    </w:p>
    <w:p w:rsidR="00750CBE" w:rsidRDefault="00750CBE">
      <w:r>
        <w:br w:type="page"/>
      </w:r>
    </w:p>
    <w:p w:rsidR="00750CBE" w:rsidRDefault="00750CBE" w:rsidP="008D0281">
      <w:pPr>
        <w:pStyle w:val="NormalTight"/>
      </w:pPr>
    </w:p>
    <w:p w:rsidR="00750CBE" w:rsidRPr="00C92338" w:rsidRDefault="00750CBE" w:rsidP="00E26B32">
      <w:pPr>
        <w:pStyle w:val="Insidecoverspacer"/>
      </w:pPr>
    </w:p>
    <w:p w:rsidR="00750CBE" w:rsidRPr="00C92338" w:rsidRDefault="00750CBE" w:rsidP="008D0281">
      <w:pPr>
        <w:pStyle w:val="NormalTight"/>
      </w:pPr>
      <w:r w:rsidRPr="00C92338">
        <w:t>The Secretary</w:t>
      </w:r>
    </w:p>
    <w:p w:rsidR="00750CBE" w:rsidRPr="00C92338" w:rsidRDefault="00750CBE" w:rsidP="008D0281">
      <w:pPr>
        <w:pStyle w:val="NormalTight"/>
      </w:pPr>
      <w:r w:rsidRPr="00C92338">
        <w:t>Department of Treasury and Finance</w:t>
      </w:r>
    </w:p>
    <w:p w:rsidR="00750CBE" w:rsidRPr="00C92338" w:rsidRDefault="00750CBE" w:rsidP="008D0281">
      <w:pPr>
        <w:pStyle w:val="NormalTight"/>
      </w:pPr>
      <w:r w:rsidRPr="00C92338">
        <w:t>1 Treasury Place</w:t>
      </w:r>
    </w:p>
    <w:p w:rsidR="00750CBE" w:rsidRPr="00C92338" w:rsidRDefault="00750CBE" w:rsidP="008D0281">
      <w:pPr>
        <w:pStyle w:val="NormalTight"/>
      </w:pPr>
      <w:r w:rsidRPr="00C92338">
        <w:t>Melbourne Victoria 3002</w:t>
      </w:r>
    </w:p>
    <w:p w:rsidR="00750CBE" w:rsidRPr="00C92338" w:rsidRDefault="00750CBE" w:rsidP="008D0281">
      <w:pPr>
        <w:pStyle w:val="NormalTight"/>
      </w:pPr>
      <w:r w:rsidRPr="00C92338">
        <w:t>Australia</w:t>
      </w:r>
    </w:p>
    <w:p w:rsidR="00750CBE" w:rsidRPr="00C92338" w:rsidRDefault="00750CBE" w:rsidP="008D0281">
      <w:pPr>
        <w:pStyle w:val="NormalTight"/>
      </w:pPr>
      <w:r w:rsidRPr="00C92338">
        <w:t>Telephone: +61 3 9651 5111</w:t>
      </w:r>
    </w:p>
    <w:p w:rsidR="00750CBE" w:rsidRPr="00C92338" w:rsidRDefault="00750CBE" w:rsidP="008D0281">
      <w:pPr>
        <w:pStyle w:val="NormalTight"/>
      </w:pPr>
      <w:r w:rsidRPr="00C92338">
        <w:t>Facsimile: +61 3 9651 2062</w:t>
      </w:r>
    </w:p>
    <w:p w:rsidR="00750CBE" w:rsidRPr="00C92338" w:rsidRDefault="00750CBE" w:rsidP="008D0281">
      <w:pPr>
        <w:pStyle w:val="NormalTight"/>
      </w:pPr>
      <w:r w:rsidRPr="00C92338">
        <w:t>dtf.vic.gov.au</w:t>
      </w:r>
    </w:p>
    <w:p w:rsidR="00750CBE" w:rsidRPr="00C92338" w:rsidRDefault="00750CBE" w:rsidP="008D0281">
      <w:pPr>
        <w:pStyle w:val="NormalTight"/>
      </w:pPr>
    </w:p>
    <w:p w:rsidR="00750CBE" w:rsidRPr="00C92338" w:rsidRDefault="00750CBE" w:rsidP="008D0281">
      <w:pPr>
        <w:pStyle w:val="NormalTight"/>
      </w:pPr>
      <w:r w:rsidRPr="00C92338">
        <w:t>Authorised by the Victorian Government</w:t>
      </w:r>
    </w:p>
    <w:p w:rsidR="00750CBE" w:rsidRPr="00C92338" w:rsidRDefault="00750CBE" w:rsidP="008D0281">
      <w:pPr>
        <w:pStyle w:val="NormalTight"/>
      </w:pPr>
      <w:r w:rsidRPr="00C92338">
        <w:t>1 Treasury Place, Melbourne, 3002</w:t>
      </w:r>
    </w:p>
    <w:p w:rsidR="00750CBE" w:rsidRPr="00C92338" w:rsidRDefault="00750CBE" w:rsidP="008D0281">
      <w:pPr>
        <w:pStyle w:val="NormalTight"/>
      </w:pPr>
    </w:p>
    <w:p w:rsidR="00750CBE" w:rsidRPr="00C92338" w:rsidRDefault="001E48F9" w:rsidP="006F6693">
      <w:pPr>
        <w:ind w:right="1826"/>
        <w:rPr>
          <w:rFonts w:cstheme="minorHAnsi"/>
          <w:spacing w:val="0"/>
          <w:sz w:val="19"/>
          <w:szCs w:val="19"/>
        </w:rPr>
      </w:pPr>
      <w:r>
        <w:rPr>
          <w:rFonts w:cstheme="minorHAnsi"/>
          <w:spacing w:val="0"/>
          <w:sz w:val="19"/>
          <w:szCs w:val="19"/>
        </w:rPr>
        <w:t>© State of Victoria 2017</w:t>
      </w:r>
      <w:r w:rsidR="00BD1B53">
        <w:rPr>
          <w:rFonts w:cstheme="minorHAnsi"/>
          <w:spacing w:val="0"/>
          <w:sz w:val="19"/>
          <w:szCs w:val="19"/>
        </w:rPr>
        <w:t>-2018</w:t>
      </w:r>
    </w:p>
    <w:p w:rsidR="00750CBE" w:rsidRPr="00C92338" w:rsidRDefault="00750CBE" w:rsidP="006F6693">
      <w:pPr>
        <w:ind w:right="1826"/>
        <w:rPr>
          <w:rFonts w:cstheme="minorHAnsi"/>
          <w:spacing w:val="0"/>
          <w:sz w:val="19"/>
          <w:szCs w:val="19"/>
        </w:rPr>
      </w:pPr>
      <w:r w:rsidRPr="00C92338">
        <w:rPr>
          <w:rFonts w:cstheme="minorHAnsi"/>
          <w:noProof/>
          <w:spacing w:val="0"/>
          <w:sz w:val="19"/>
          <w:szCs w:val="19"/>
        </w:rPr>
        <w:drawing>
          <wp:inline distT="0" distB="0" distL="0" distR="0" wp14:anchorId="07DD6353" wp14:editId="53381D53">
            <wp:extent cx="1117460" cy="393651"/>
            <wp:effectExtent l="0" t="0" r="6985" b="6985"/>
            <wp:docPr id="5" name="Picture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10">
                      <a:extLst>
                        <a:ext uri="{28A0092B-C50C-407E-A947-70E740481C1C}">
                          <a14:useLocalDpi xmlns:a14="http://schemas.microsoft.com/office/drawing/2010/main" val="0"/>
                        </a:ext>
                      </a:extLst>
                    </a:blip>
                    <a:stretch>
                      <a:fillRect/>
                    </a:stretch>
                  </pic:blipFill>
                  <pic:spPr>
                    <a:xfrm>
                      <a:off x="0" y="0"/>
                      <a:ext cx="1117460" cy="393651"/>
                    </a:xfrm>
                    <a:prstGeom prst="rect">
                      <a:avLst/>
                    </a:prstGeom>
                  </pic:spPr>
                </pic:pic>
              </a:graphicData>
            </a:graphic>
          </wp:inline>
        </w:drawing>
      </w:r>
      <w:r w:rsidRPr="00C92338">
        <w:rPr>
          <w:rFonts w:cstheme="minorHAnsi"/>
          <w:spacing w:val="0"/>
          <w:sz w:val="19"/>
          <w:szCs w:val="19"/>
        </w:rPr>
        <w:t xml:space="preserve"> </w:t>
      </w:r>
    </w:p>
    <w:p w:rsidR="00750CBE" w:rsidRPr="00C92338" w:rsidRDefault="00750CBE" w:rsidP="008D0281">
      <w:pPr>
        <w:pStyle w:val="NormalTight"/>
      </w:pPr>
      <w:r w:rsidRPr="00C92338">
        <w:t xml:space="preserve">You are free to re-use this work under a </w:t>
      </w:r>
      <w:hyperlink r:id="rId11" w:history="1">
        <w:r w:rsidRPr="00C92338">
          <w:rPr>
            <w:rStyle w:val="Hyperlink"/>
          </w:rPr>
          <w:t>Creative Commons Attribution 4.0 licence</w:t>
        </w:r>
      </w:hyperlink>
      <w:r w:rsidRPr="00C92338">
        <w:rPr>
          <w:rStyle w:val="Hyperlink"/>
        </w:rPr>
        <w:t>,</w:t>
      </w:r>
      <w:r w:rsidRPr="00C92338">
        <w:t xml:space="preserve"> provided you credit the State of Victoria (Department of Treasury and Finance) as author, indicate if changes were made and comply with the other licence terms. The licence does not apply to any branding, including Government logos.</w:t>
      </w:r>
    </w:p>
    <w:p w:rsidR="006F6693" w:rsidRPr="00C92338" w:rsidRDefault="006F6693" w:rsidP="008D0281">
      <w:pPr>
        <w:pStyle w:val="NormalTight"/>
      </w:pPr>
    </w:p>
    <w:p w:rsidR="00750CBE" w:rsidRPr="00C92338" w:rsidRDefault="00750CBE" w:rsidP="008D0281">
      <w:pPr>
        <w:pStyle w:val="NormalTight"/>
      </w:pPr>
      <w:r w:rsidRPr="00C92338">
        <w:t xml:space="preserve">Copyright queries may be directed to </w:t>
      </w:r>
      <w:hyperlink r:id="rId12" w:history="1">
        <w:r w:rsidRPr="00C92338">
          <w:rPr>
            <w:rStyle w:val="Hyperlink"/>
            <w:rFonts w:cstheme="minorHAnsi"/>
          </w:rPr>
          <w:t>IPpolicy@dtf.vic.gov.au</w:t>
        </w:r>
      </w:hyperlink>
    </w:p>
    <w:p w:rsidR="00750CBE" w:rsidRPr="00C92338" w:rsidRDefault="00750CBE" w:rsidP="008D0281">
      <w:pPr>
        <w:pStyle w:val="NormalTight"/>
      </w:pPr>
    </w:p>
    <w:p w:rsidR="009A37BF" w:rsidRDefault="009A37BF" w:rsidP="009A37BF">
      <w:pPr>
        <w:pStyle w:val="NormalTight"/>
      </w:pPr>
      <w:r>
        <w:t>ISBN 978-1</w:t>
      </w:r>
      <w:bookmarkStart w:id="0" w:name="_GoBack"/>
      <w:bookmarkEnd w:id="0"/>
      <w:r>
        <w:t>-925551-45-7</w:t>
      </w:r>
    </w:p>
    <w:p w:rsidR="00BD1B53" w:rsidRDefault="00BD1B53" w:rsidP="009A37BF">
      <w:pPr>
        <w:pStyle w:val="NormalTight"/>
      </w:pPr>
      <w:r>
        <w:t>Published April 2018</w:t>
      </w:r>
    </w:p>
    <w:p w:rsidR="009A37BF" w:rsidRPr="00C92338" w:rsidRDefault="009A37BF" w:rsidP="009A37BF">
      <w:pPr>
        <w:pStyle w:val="NormalTight"/>
      </w:pPr>
    </w:p>
    <w:p w:rsidR="00750CBE" w:rsidRPr="00C92338" w:rsidRDefault="00750CBE" w:rsidP="008D0281">
      <w:pPr>
        <w:pStyle w:val="NormalTight"/>
      </w:pPr>
      <w:r w:rsidRPr="00C92338">
        <w:t>If you would like to receive this publication in an accessible format please</w:t>
      </w:r>
      <w:r w:rsidR="00842C93">
        <w:t xml:space="preserve"> </w:t>
      </w:r>
      <w:r w:rsidRPr="00C92338">
        <w:t xml:space="preserve">email </w:t>
      </w:r>
      <w:hyperlink r:id="rId13" w:history="1">
        <w:r w:rsidRPr="00C92338">
          <w:t>information@dtf.vic.gov.au</w:t>
        </w:r>
      </w:hyperlink>
      <w:r w:rsidRPr="00C92338">
        <w:t xml:space="preserve"> </w:t>
      </w:r>
    </w:p>
    <w:p w:rsidR="006F6693" w:rsidRPr="00C92338" w:rsidRDefault="006F6693" w:rsidP="008D0281">
      <w:pPr>
        <w:pStyle w:val="NormalTight"/>
      </w:pPr>
    </w:p>
    <w:p w:rsidR="00750CBE" w:rsidRPr="00C92338" w:rsidRDefault="00750CBE" w:rsidP="008D0281">
      <w:pPr>
        <w:pStyle w:val="NormalTight"/>
      </w:pPr>
      <w:r w:rsidRPr="00C92338">
        <w:t xml:space="preserve">This document is also available in Word and PDF format at </w:t>
      </w:r>
      <w:hyperlink r:id="rId14" w:history="1">
        <w:r w:rsidRPr="00C92338">
          <w:rPr>
            <w:rStyle w:val="Hyperlink"/>
          </w:rPr>
          <w:t>dtf.vic.gov.au</w:t>
        </w:r>
      </w:hyperlink>
    </w:p>
    <w:p w:rsidR="00750CBE" w:rsidRPr="00C92338" w:rsidRDefault="00750CBE" w:rsidP="00D2312F">
      <w:pPr>
        <w:rPr>
          <w:spacing w:val="0"/>
          <w:sz w:val="19"/>
          <w:szCs w:val="19"/>
        </w:rPr>
      </w:pPr>
    </w:p>
    <w:p w:rsidR="00750CBE" w:rsidRDefault="00750CBE" w:rsidP="00D2312F">
      <w:pPr>
        <w:sectPr w:rsidR="00750CBE" w:rsidSect="00FF4E99">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706" w:footer="461" w:gutter="0"/>
          <w:pgNumType w:fmt="lowerRoman" w:start="1"/>
          <w:cols w:space="708"/>
          <w:docGrid w:linePitch="360"/>
        </w:sectPr>
      </w:pPr>
    </w:p>
    <w:p w:rsidR="00750CBE" w:rsidRDefault="00D44953" w:rsidP="00986AAC">
      <w:pPr>
        <w:pStyle w:val="TOCHeading"/>
      </w:pPr>
      <w:r>
        <w:lastRenderedPageBreak/>
        <w:t>Contents</w:t>
      </w:r>
    </w:p>
    <w:p w:rsidR="00A36084" w:rsidRDefault="00CD3D1B">
      <w:pPr>
        <w:pStyle w:val="TOC4"/>
        <w:rPr>
          <w:spacing w:val="0"/>
          <w:sz w:val="22"/>
          <w:szCs w:val="22"/>
          <w:lang w:eastAsia="en-AU"/>
        </w:rPr>
      </w:pPr>
      <w:r>
        <w:rPr>
          <w:color w:val="404040"/>
          <w:sz w:val="28"/>
          <w:szCs w:val="28"/>
        </w:rPr>
        <w:fldChar w:fldCharType="begin"/>
      </w:r>
      <w:r>
        <w:rPr>
          <w:color w:val="404040"/>
          <w:sz w:val="28"/>
          <w:szCs w:val="28"/>
        </w:rPr>
        <w:instrText xml:space="preserve"> TOC \h \z \t "Heading 1,1,Heading 2,2,Heading 3,3,Heading 1 numbered,4,Heading 2 numbered,5,Heading 3 numbered,6" </w:instrText>
      </w:r>
      <w:r>
        <w:rPr>
          <w:color w:val="404040"/>
          <w:sz w:val="28"/>
          <w:szCs w:val="28"/>
        </w:rPr>
        <w:fldChar w:fldCharType="separate"/>
      </w:r>
      <w:hyperlink w:anchor="_Toc483905971" w:history="1">
        <w:r w:rsidR="00A36084" w:rsidRPr="001A4BBC">
          <w:rPr>
            <w:rStyle w:val="Hyperlink"/>
          </w:rPr>
          <w:t>1.</w:t>
        </w:r>
        <w:r w:rsidR="00A36084">
          <w:rPr>
            <w:spacing w:val="0"/>
            <w:sz w:val="22"/>
            <w:szCs w:val="22"/>
            <w:lang w:eastAsia="en-AU"/>
          </w:rPr>
          <w:tab/>
        </w:r>
        <w:r w:rsidR="00A36084" w:rsidRPr="001A4BBC">
          <w:rPr>
            <w:rStyle w:val="Hyperlink"/>
          </w:rPr>
          <w:t>Context for the Statement of Expectations Framework</w:t>
        </w:r>
        <w:r w:rsidR="00A36084">
          <w:rPr>
            <w:webHidden/>
          </w:rPr>
          <w:tab/>
        </w:r>
        <w:r w:rsidR="00A36084">
          <w:rPr>
            <w:webHidden/>
          </w:rPr>
          <w:fldChar w:fldCharType="begin"/>
        </w:r>
        <w:r w:rsidR="00A36084">
          <w:rPr>
            <w:webHidden/>
          </w:rPr>
          <w:instrText xml:space="preserve"> PAGEREF _Toc483905971 \h </w:instrText>
        </w:r>
        <w:r w:rsidR="00A36084">
          <w:rPr>
            <w:webHidden/>
          </w:rPr>
        </w:r>
        <w:r w:rsidR="00A36084">
          <w:rPr>
            <w:webHidden/>
          </w:rPr>
          <w:fldChar w:fldCharType="separate"/>
        </w:r>
        <w:r w:rsidR="00A36084">
          <w:rPr>
            <w:webHidden/>
          </w:rPr>
          <w:t>1</w:t>
        </w:r>
        <w:r w:rsidR="00A36084">
          <w:rPr>
            <w:webHidden/>
          </w:rPr>
          <w:fldChar w:fldCharType="end"/>
        </w:r>
      </w:hyperlink>
    </w:p>
    <w:p w:rsidR="00A36084" w:rsidRDefault="00CD175F">
      <w:pPr>
        <w:pStyle w:val="TOC4"/>
        <w:rPr>
          <w:spacing w:val="0"/>
          <w:sz w:val="22"/>
          <w:szCs w:val="22"/>
          <w:lang w:eastAsia="en-AU"/>
        </w:rPr>
      </w:pPr>
      <w:hyperlink w:anchor="_Toc483905972" w:history="1">
        <w:r w:rsidR="00A36084" w:rsidRPr="001A4BBC">
          <w:rPr>
            <w:rStyle w:val="Hyperlink"/>
          </w:rPr>
          <w:t>2.</w:t>
        </w:r>
        <w:r w:rsidR="00A36084">
          <w:rPr>
            <w:spacing w:val="0"/>
            <w:sz w:val="22"/>
            <w:szCs w:val="22"/>
            <w:lang w:eastAsia="en-AU"/>
          </w:rPr>
          <w:tab/>
        </w:r>
        <w:r w:rsidR="00A36084" w:rsidRPr="001A4BBC">
          <w:rPr>
            <w:rStyle w:val="Hyperlink"/>
          </w:rPr>
          <w:t>Overview of the SOE Framework</w:t>
        </w:r>
        <w:r w:rsidR="00A36084">
          <w:rPr>
            <w:webHidden/>
          </w:rPr>
          <w:tab/>
        </w:r>
        <w:r w:rsidR="00A36084">
          <w:rPr>
            <w:webHidden/>
          </w:rPr>
          <w:fldChar w:fldCharType="begin"/>
        </w:r>
        <w:r w:rsidR="00A36084">
          <w:rPr>
            <w:webHidden/>
          </w:rPr>
          <w:instrText xml:space="preserve"> PAGEREF _Toc483905972 \h </w:instrText>
        </w:r>
        <w:r w:rsidR="00A36084">
          <w:rPr>
            <w:webHidden/>
          </w:rPr>
        </w:r>
        <w:r w:rsidR="00A36084">
          <w:rPr>
            <w:webHidden/>
          </w:rPr>
          <w:fldChar w:fldCharType="separate"/>
        </w:r>
        <w:r w:rsidR="00A36084">
          <w:rPr>
            <w:webHidden/>
          </w:rPr>
          <w:t>2</w:t>
        </w:r>
        <w:r w:rsidR="00A36084">
          <w:rPr>
            <w:webHidden/>
          </w:rPr>
          <w:fldChar w:fldCharType="end"/>
        </w:r>
      </w:hyperlink>
    </w:p>
    <w:p w:rsidR="00A36084" w:rsidRDefault="00CD175F">
      <w:pPr>
        <w:pStyle w:val="TOC4"/>
        <w:rPr>
          <w:spacing w:val="0"/>
          <w:sz w:val="22"/>
          <w:szCs w:val="22"/>
          <w:lang w:eastAsia="en-AU"/>
        </w:rPr>
      </w:pPr>
      <w:hyperlink w:anchor="_Toc483905973" w:history="1">
        <w:r w:rsidR="00A36084" w:rsidRPr="001A4BBC">
          <w:rPr>
            <w:rStyle w:val="Hyperlink"/>
          </w:rPr>
          <w:t>3.</w:t>
        </w:r>
        <w:r w:rsidR="00A36084">
          <w:rPr>
            <w:spacing w:val="0"/>
            <w:sz w:val="22"/>
            <w:szCs w:val="22"/>
            <w:lang w:eastAsia="en-AU"/>
          </w:rPr>
          <w:tab/>
        </w:r>
        <w:r w:rsidR="00A36084" w:rsidRPr="001A4BBC">
          <w:rPr>
            <w:rStyle w:val="Hyperlink"/>
          </w:rPr>
          <w:t>SOE Framework policy and process</w:t>
        </w:r>
        <w:r w:rsidR="00A36084">
          <w:rPr>
            <w:webHidden/>
          </w:rPr>
          <w:tab/>
        </w:r>
        <w:r w:rsidR="00A36084">
          <w:rPr>
            <w:webHidden/>
          </w:rPr>
          <w:fldChar w:fldCharType="begin"/>
        </w:r>
        <w:r w:rsidR="00A36084">
          <w:rPr>
            <w:webHidden/>
          </w:rPr>
          <w:instrText xml:space="preserve"> PAGEREF _Toc483905973 \h </w:instrText>
        </w:r>
        <w:r w:rsidR="00A36084">
          <w:rPr>
            <w:webHidden/>
          </w:rPr>
        </w:r>
        <w:r w:rsidR="00A36084">
          <w:rPr>
            <w:webHidden/>
          </w:rPr>
          <w:fldChar w:fldCharType="separate"/>
        </w:r>
        <w:r w:rsidR="00A36084">
          <w:rPr>
            <w:webHidden/>
          </w:rPr>
          <w:t>2</w:t>
        </w:r>
        <w:r w:rsidR="00A36084">
          <w:rPr>
            <w:webHidden/>
          </w:rPr>
          <w:fldChar w:fldCharType="end"/>
        </w:r>
      </w:hyperlink>
    </w:p>
    <w:p w:rsidR="00A36084" w:rsidRDefault="00CD175F">
      <w:pPr>
        <w:pStyle w:val="TOC5"/>
        <w:tabs>
          <w:tab w:val="left" w:pos="1080"/>
        </w:tabs>
        <w:rPr>
          <w:spacing w:val="0"/>
          <w:sz w:val="22"/>
          <w:szCs w:val="22"/>
          <w:lang w:eastAsia="en-AU"/>
        </w:rPr>
      </w:pPr>
      <w:hyperlink w:anchor="_Toc483905974" w:history="1">
        <w:r w:rsidR="00A36084" w:rsidRPr="001A4BBC">
          <w:rPr>
            <w:rStyle w:val="Hyperlink"/>
          </w:rPr>
          <w:t>3.1</w:t>
        </w:r>
        <w:r w:rsidR="00A36084">
          <w:rPr>
            <w:spacing w:val="0"/>
            <w:sz w:val="22"/>
            <w:szCs w:val="22"/>
            <w:lang w:eastAsia="en-AU"/>
          </w:rPr>
          <w:tab/>
        </w:r>
        <w:r w:rsidR="00A36084" w:rsidRPr="001A4BBC">
          <w:rPr>
            <w:rStyle w:val="Hyperlink"/>
          </w:rPr>
          <w:t>Who does the SOE Framework apply to?</w:t>
        </w:r>
        <w:r w:rsidR="00A36084">
          <w:rPr>
            <w:webHidden/>
          </w:rPr>
          <w:tab/>
        </w:r>
        <w:r w:rsidR="00A36084">
          <w:rPr>
            <w:webHidden/>
          </w:rPr>
          <w:fldChar w:fldCharType="begin"/>
        </w:r>
        <w:r w:rsidR="00A36084">
          <w:rPr>
            <w:webHidden/>
          </w:rPr>
          <w:instrText xml:space="preserve"> PAGEREF _Toc483905974 \h </w:instrText>
        </w:r>
        <w:r w:rsidR="00A36084">
          <w:rPr>
            <w:webHidden/>
          </w:rPr>
        </w:r>
        <w:r w:rsidR="00A36084">
          <w:rPr>
            <w:webHidden/>
          </w:rPr>
          <w:fldChar w:fldCharType="separate"/>
        </w:r>
        <w:r w:rsidR="00A36084">
          <w:rPr>
            <w:webHidden/>
          </w:rPr>
          <w:t>2</w:t>
        </w:r>
        <w:r w:rsidR="00A36084">
          <w:rPr>
            <w:webHidden/>
          </w:rPr>
          <w:fldChar w:fldCharType="end"/>
        </w:r>
      </w:hyperlink>
    </w:p>
    <w:p w:rsidR="00A36084" w:rsidRDefault="00CD175F">
      <w:pPr>
        <w:pStyle w:val="TOC5"/>
        <w:tabs>
          <w:tab w:val="left" w:pos="1080"/>
        </w:tabs>
        <w:rPr>
          <w:spacing w:val="0"/>
          <w:sz w:val="22"/>
          <w:szCs w:val="22"/>
          <w:lang w:eastAsia="en-AU"/>
        </w:rPr>
      </w:pPr>
      <w:hyperlink w:anchor="_Toc483905975" w:history="1">
        <w:r w:rsidR="00A36084" w:rsidRPr="001A4BBC">
          <w:rPr>
            <w:rStyle w:val="Hyperlink"/>
          </w:rPr>
          <w:t>3.2</w:t>
        </w:r>
        <w:r w:rsidR="00A36084">
          <w:rPr>
            <w:spacing w:val="0"/>
            <w:sz w:val="22"/>
            <w:szCs w:val="22"/>
            <w:lang w:eastAsia="en-AU"/>
          </w:rPr>
          <w:tab/>
        </w:r>
        <w:r w:rsidR="00A36084" w:rsidRPr="001A4BBC">
          <w:rPr>
            <w:rStyle w:val="Hyperlink"/>
          </w:rPr>
          <w:t>Exempting regulators</w:t>
        </w:r>
        <w:r w:rsidR="00A36084">
          <w:rPr>
            <w:webHidden/>
          </w:rPr>
          <w:tab/>
        </w:r>
        <w:r w:rsidR="00A36084">
          <w:rPr>
            <w:webHidden/>
          </w:rPr>
          <w:fldChar w:fldCharType="begin"/>
        </w:r>
        <w:r w:rsidR="00A36084">
          <w:rPr>
            <w:webHidden/>
          </w:rPr>
          <w:instrText xml:space="preserve"> PAGEREF _Toc483905975 \h </w:instrText>
        </w:r>
        <w:r w:rsidR="00A36084">
          <w:rPr>
            <w:webHidden/>
          </w:rPr>
        </w:r>
        <w:r w:rsidR="00A36084">
          <w:rPr>
            <w:webHidden/>
          </w:rPr>
          <w:fldChar w:fldCharType="separate"/>
        </w:r>
        <w:r w:rsidR="00A36084">
          <w:rPr>
            <w:webHidden/>
          </w:rPr>
          <w:t>3</w:t>
        </w:r>
        <w:r w:rsidR="00A36084">
          <w:rPr>
            <w:webHidden/>
          </w:rPr>
          <w:fldChar w:fldCharType="end"/>
        </w:r>
      </w:hyperlink>
    </w:p>
    <w:p w:rsidR="00A36084" w:rsidRDefault="00CD175F">
      <w:pPr>
        <w:pStyle w:val="TOC5"/>
        <w:tabs>
          <w:tab w:val="left" w:pos="1080"/>
        </w:tabs>
        <w:rPr>
          <w:spacing w:val="0"/>
          <w:sz w:val="22"/>
          <w:szCs w:val="22"/>
          <w:lang w:eastAsia="en-AU"/>
        </w:rPr>
      </w:pPr>
      <w:hyperlink w:anchor="_Toc483905976" w:history="1">
        <w:r w:rsidR="00A36084" w:rsidRPr="001A4BBC">
          <w:rPr>
            <w:rStyle w:val="Hyperlink"/>
          </w:rPr>
          <w:t>3.3</w:t>
        </w:r>
        <w:r w:rsidR="00A36084">
          <w:rPr>
            <w:spacing w:val="0"/>
            <w:sz w:val="22"/>
            <w:szCs w:val="22"/>
            <w:lang w:eastAsia="en-AU"/>
          </w:rPr>
          <w:tab/>
        </w:r>
        <w:r w:rsidR="00A36084" w:rsidRPr="001A4BBC">
          <w:rPr>
            <w:rStyle w:val="Hyperlink"/>
          </w:rPr>
          <w:t>The SOE process</w:t>
        </w:r>
        <w:r w:rsidR="00A36084">
          <w:rPr>
            <w:webHidden/>
          </w:rPr>
          <w:tab/>
        </w:r>
        <w:r w:rsidR="00A36084">
          <w:rPr>
            <w:webHidden/>
          </w:rPr>
          <w:fldChar w:fldCharType="begin"/>
        </w:r>
        <w:r w:rsidR="00A36084">
          <w:rPr>
            <w:webHidden/>
          </w:rPr>
          <w:instrText xml:space="preserve"> PAGEREF _Toc483905976 \h </w:instrText>
        </w:r>
        <w:r w:rsidR="00A36084">
          <w:rPr>
            <w:webHidden/>
          </w:rPr>
        </w:r>
        <w:r w:rsidR="00A36084">
          <w:rPr>
            <w:webHidden/>
          </w:rPr>
          <w:fldChar w:fldCharType="separate"/>
        </w:r>
        <w:r w:rsidR="00A36084">
          <w:rPr>
            <w:webHidden/>
          </w:rPr>
          <w:t>3</w:t>
        </w:r>
        <w:r w:rsidR="00A36084">
          <w:rPr>
            <w:webHidden/>
          </w:rPr>
          <w:fldChar w:fldCharType="end"/>
        </w:r>
      </w:hyperlink>
    </w:p>
    <w:p w:rsidR="00A36084" w:rsidRDefault="00CD175F">
      <w:pPr>
        <w:pStyle w:val="TOC6"/>
        <w:tabs>
          <w:tab w:val="left" w:pos="1800"/>
        </w:tabs>
        <w:rPr>
          <w:spacing w:val="0"/>
          <w:sz w:val="22"/>
          <w:szCs w:val="22"/>
          <w:lang w:eastAsia="en-AU"/>
        </w:rPr>
      </w:pPr>
      <w:hyperlink w:anchor="_Toc483905977" w:history="1">
        <w:r w:rsidR="00A36084" w:rsidRPr="001A4BBC">
          <w:rPr>
            <w:rStyle w:val="Hyperlink"/>
          </w:rPr>
          <w:t>3.3.1</w:t>
        </w:r>
        <w:r w:rsidR="00A36084">
          <w:rPr>
            <w:spacing w:val="0"/>
            <w:sz w:val="22"/>
            <w:szCs w:val="22"/>
            <w:lang w:eastAsia="en-AU"/>
          </w:rPr>
          <w:tab/>
        </w:r>
        <w:r w:rsidR="00A36084" w:rsidRPr="001A4BBC">
          <w:rPr>
            <w:rStyle w:val="Hyperlink"/>
          </w:rPr>
          <w:t>Developing the SOE letter</w:t>
        </w:r>
        <w:r w:rsidR="00A36084">
          <w:rPr>
            <w:webHidden/>
          </w:rPr>
          <w:tab/>
        </w:r>
        <w:r w:rsidR="00A36084">
          <w:rPr>
            <w:webHidden/>
          </w:rPr>
          <w:fldChar w:fldCharType="begin"/>
        </w:r>
        <w:r w:rsidR="00A36084">
          <w:rPr>
            <w:webHidden/>
          </w:rPr>
          <w:instrText xml:space="preserve"> PAGEREF _Toc483905977 \h </w:instrText>
        </w:r>
        <w:r w:rsidR="00A36084">
          <w:rPr>
            <w:webHidden/>
          </w:rPr>
        </w:r>
        <w:r w:rsidR="00A36084">
          <w:rPr>
            <w:webHidden/>
          </w:rPr>
          <w:fldChar w:fldCharType="separate"/>
        </w:r>
        <w:r w:rsidR="00A36084">
          <w:rPr>
            <w:webHidden/>
          </w:rPr>
          <w:t>4</w:t>
        </w:r>
        <w:r w:rsidR="00A36084">
          <w:rPr>
            <w:webHidden/>
          </w:rPr>
          <w:fldChar w:fldCharType="end"/>
        </w:r>
      </w:hyperlink>
    </w:p>
    <w:p w:rsidR="00A36084" w:rsidRDefault="00CD175F">
      <w:pPr>
        <w:pStyle w:val="TOC6"/>
        <w:tabs>
          <w:tab w:val="left" w:pos="1800"/>
        </w:tabs>
        <w:rPr>
          <w:spacing w:val="0"/>
          <w:sz w:val="22"/>
          <w:szCs w:val="22"/>
          <w:lang w:eastAsia="en-AU"/>
        </w:rPr>
      </w:pPr>
      <w:hyperlink w:anchor="_Toc483905978" w:history="1">
        <w:r w:rsidR="00A36084" w:rsidRPr="001A4BBC">
          <w:rPr>
            <w:rStyle w:val="Hyperlink"/>
          </w:rPr>
          <w:t>3.3.2</w:t>
        </w:r>
        <w:r w:rsidR="00A36084">
          <w:rPr>
            <w:spacing w:val="0"/>
            <w:sz w:val="22"/>
            <w:szCs w:val="22"/>
            <w:lang w:eastAsia="en-AU"/>
          </w:rPr>
          <w:tab/>
        </w:r>
        <w:r w:rsidR="00A36084" w:rsidRPr="001A4BBC">
          <w:rPr>
            <w:rStyle w:val="Hyperlink"/>
          </w:rPr>
          <w:t>Evaluating performance</w:t>
        </w:r>
        <w:r w:rsidR="00A36084">
          <w:rPr>
            <w:webHidden/>
          </w:rPr>
          <w:tab/>
        </w:r>
        <w:r w:rsidR="00A36084">
          <w:rPr>
            <w:webHidden/>
          </w:rPr>
          <w:fldChar w:fldCharType="begin"/>
        </w:r>
        <w:r w:rsidR="00A36084">
          <w:rPr>
            <w:webHidden/>
          </w:rPr>
          <w:instrText xml:space="preserve"> PAGEREF _Toc483905978 \h </w:instrText>
        </w:r>
        <w:r w:rsidR="00A36084">
          <w:rPr>
            <w:webHidden/>
          </w:rPr>
        </w:r>
        <w:r w:rsidR="00A36084">
          <w:rPr>
            <w:webHidden/>
          </w:rPr>
          <w:fldChar w:fldCharType="separate"/>
        </w:r>
        <w:r w:rsidR="00A36084">
          <w:rPr>
            <w:webHidden/>
          </w:rPr>
          <w:t>5</w:t>
        </w:r>
        <w:r w:rsidR="00A36084">
          <w:rPr>
            <w:webHidden/>
          </w:rPr>
          <w:fldChar w:fldCharType="end"/>
        </w:r>
      </w:hyperlink>
    </w:p>
    <w:p w:rsidR="00A36084" w:rsidRDefault="00CD175F">
      <w:pPr>
        <w:pStyle w:val="TOC4"/>
        <w:rPr>
          <w:spacing w:val="0"/>
          <w:sz w:val="22"/>
          <w:szCs w:val="22"/>
          <w:lang w:eastAsia="en-AU"/>
        </w:rPr>
      </w:pPr>
      <w:hyperlink w:anchor="_Toc483905979" w:history="1">
        <w:r w:rsidR="00A36084" w:rsidRPr="001A4BBC">
          <w:rPr>
            <w:rStyle w:val="Hyperlink"/>
          </w:rPr>
          <w:t>4.</w:t>
        </w:r>
        <w:r w:rsidR="00A36084">
          <w:rPr>
            <w:spacing w:val="0"/>
            <w:sz w:val="22"/>
            <w:szCs w:val="22"/>
            <w:lang w:eastAsia="en-AU"/>
          </w:rPr>
          <w:tab/>
        </w:r>
        <w:r w:rsidR="00A36084" w:rsidRPr="001A4BBC">
          <w:rPr>
            <w:rStyle w:val="Hyperlink"/>
          </w:rPr>
          <w:t>The elements of good regulatory practice</w:t>
        </w:r>
        <w:r w:rsidR="00A36084">
          <w:rPr>
            <w:webHidden/>
          </w:rPr>
          <w:tab/>
        </w:r>
        <w:r w:rsidR="00A36084">
          <w:rPr>
            <w:webHidden/>
          </w:rPr>
          <w:fldChar w:fldCharType="begin"/>
        </w:r>
        <w:r w:rsidR="00A36084">
          <w:rPr>
            <w:webHidden/>
          </w:rPr>
          <w:instrText xml:space="preserve"> PAGEREF _Toc483905979 \h </w:instrText>
        </w:r>
        <w:r w:rsidR="00A36084">
          <w:rPr>
            <w:webHidden/>
          </w:rPr>
        </w:r>
        <w:r w:rsidR="00A36084">
          <w:rPr>
            <w:webHidden/>
          </w:rPr>
          <w:fldChar w:fldCharType="separate"/>
        </w:r>
        <w:r w:rsidR="00A36084">
          <w:rPr>
            <w:webHidden/>
          </w:rPr>
          <w:t>5</w:t>
        </w:r>
        <w:r w:rsidR="00A36084">
          <w:rPr>
            <w:webHidden/>
          </w:rPr>
          <w:fldChar w:fldCharType="end"/>
        </w:r>
      </w:hyperlink>
    </w:p>
    <w:p w:rsidR="00A36084" w:rsidRDefault="00CD175F">
      <w:pPr>
        <w:pStyle w:val="TOC5"/>
        <w:tabs>
          <w:tab w:val="left" w:pos="1080"/>
        </w:tabs>
        <w:rPr>
          <w:spacing w:val="0"/>
          <w:sz w:val="22"/>
          <w:szCs w:val="22"/>
          <w:lang w:eastAsia="en-AU"/>
        </w:rPr>
      </w:pPr>
      <w:hyperlink w:anchor="_Toc483905980" w:history="1">
        <w:r w:rsidR="00A36084" w:rsidRPr="001A4BBC">
          <w:rPr>
            <w:rStyle w:val="Hyperlink"/>
          </w:rPr>
          <w:t>4.1</w:t>
        </w:r>
        <w:r w:rsidR="00A36084">
          <w:rPr>
            <w:spacing w:val="0"/>
            <w:sz w:val="22"/>
            <w:szCs w:val="22"/>
            <w:lang w:eastAsia="en-AU"/>
          </w:rPr>
          <w:tab/>
        </w:r>
        <w:r w:rsidR="00A36084" w:rsidRPr="001A4BBC">
          <w:rPr>
            <w:rStyle w:val="Hyperlink"/>
          </w:rPr>
          <w:t>Mandatory elements of good regulatory practice</w:t>
        </w:r>
        <w:r w:rsidR="00A36084">
          <w:rPr>
            <w:webHidden/>
          </w:rPr>
          <w:tab/>
        </w:r>
        <w:r w:rsidR="00A36084">
          <w:rPr>
            <w:webHidden/>
          </w:rPr>
          <w:fldChar w:fldCharType="begin"/>
        </w:r>
        <w:r w:rsidR="00A36084">
          <w:rPr>
            <w:webHidden/>
          </w:rPr>
          <w:instrText xml:space="preserve"> PAGEREF _Toc483905980 \h </w:instrText>
        </w:r>
        <w:r w:rsidR="00A36084">
          <w:rPr>
            <w:webHidden/>
          </w:rPr>
        </w:r>
        <w:r w:rsidR="00A36084">
          <w:rPr>
            <w:webHidden/>
          </w:rPr>
          <w:fldChar w:fldCharType="separate"/>
        </w:r>
        <w:r w:rsidR="00A36084">
          <w:rPr>
            <w:webHidden/>
          </w:rPr>
          <w:t>5</w:t>
        </w:r>
        <w:r w:rsidR="00A36084">
          <w:rPr>
            <w:webHidden/>
          </w:rPr>
          <w:fldChar w:fldCharType="end"/>
        </w:r>
      </w:hyperlink>
    </w:p>
    <w:p w:rsidR="00A36084" w:rsidRDefault="00CD175F">
      <w:pPr>
        <w:pStyle w:val="TOC5"/>
        <w:tabs>
          <w:tab w:val="left" w:pos="1080"/>
        </w:tabs>
        <w:rPr>
          <w:spacing w:val="0"/>
          <w:sz w:val="22"/>
          <w:szCs w:val="22"/>
          <w:lang w:eastAsia="en-AU"/>
        </w:rPr>
      </w:pPr>
      <w:hyperlink w:anchor="_Toc483905981" w:history="1">
        <w:r w:rsidR="00A36084" w:rsidRPr="001A4BBC">
          <w:rPr>
            <w:rStyle w:val="Hyperlink"/>
          </w:rPr>
          <w:t>4.2</w:t>
        </w:r>
        <w:r w:rsidR="00A36084">
          <w:rPr>
            <w:spacing w:val="0"/>
            <w:sz w:val="22"/>
            <w:szCs w:val="22"/>
            <w:lang w:eastAsia="en-AU"/>
          </w:rPr>
          <w:tab/>
        </w:r>
        <w:r w:rsidR="00A36084" w:rsidRPr="001A4BBC">
          <w:rPr>
            <w:rStyle w:val="Hyperlink"/>
          </w:rPr>
          <w:t>Recommended element of good regulatory practice</w:t>
        </w:r>
        <w:r w:rsidR="00A36084">
          <w:rPr>
            <w:webHidden/>
          </w:rPr>
          <w:tab/>
        </w:r>
        <w:r w:rsidR="00A36084">
          <w:rPr>
            <w:webHidden/>
          </w:rPr>
          <w:fldChar w:fldCharType="begin"/>
        </w:r>
        <w:r w:rsidR="00A36084">
          <w:rPr>
            <w:webHidden/>
          </w:rPr>
          <w:instrText xml:space="preserve"> PAGEREF _Toc483905981 \h </w:instrText>
        </w:r>
        <w:r w:rsidR="00A36084">
          <w:rPr>
            <w:webHidden/>
          </w:rPr>
        </w:r>
        <w:r w:rsidR="00A36084">
          <w:rPr>
            <w:webHidden/>
          </w:rPr>
          <w:fldChar w:fldCharType="separate"/>
        </w:r>
        <w:r w:rsidR="00A36084">
          <w:rPr>
            <w:webHidden/>
          </w:rPr>
          <w:t>7</w:t>
        </w:r>
        <w:r w:rsidR="00A36084">
          <w:rPr>
            <w:webHidden/>
          </w:rPr>
          <w:fldChar w:fldCharType="end"/>
        </w:r>
      </w:hyperlink>
    </w:p>
    <w:p w:rsidR="00A36084" w:rsidRDefault="00CD175F">
      <w:pPr>
        <w:pStyle w:val="TOC5"/>
        <w:tabs>
          <w:tab w:val="left" w:pos="1080"/>
        </w:tabs>
        <w:rPr>
          <w:spacing w:val="0"/>
          <w:sz w:val="22"/>
          <w:szCs w:val="22"/>
          <w:lang w:eastAsia="en-AU"/>
        </w:rPr>
      </w:pPr>
      <w:hyperlink w:anchor="_Toc483905982" w:history="1">
        <w:r w:rsidR="00A36084" w:rsidRPr="001A4BBC">
          <w:rPr>
            <w:rStyle w:val="Hyperlink"/>
          </w:rPr>
          <w:t>4.3</w:t>
        </w:r>
        <w:r w:rsidR="00A36084">
          <w:rPr>
            <w:spacing w:val="0"/>
            <w:sz w:val="22"/>
            <w:szCs w:val="22"/>
            <w:lang w:eastAsia="en-AU"/>
          </w:rPr>
          <w:tab/>
        </w:r>
        <w:r w:rsidR="00A36084" w:rsidRPr="001A4BBC">
          <w:rPr>
            <w:rStyle w:val="Hyperlink"/>
          </w:rPr>
          <w:t>Other suggested elements of good regulatory practice</w:t>
        </w:r>
        <w:r w:rsidR="00A36084">
          <w:rPr>
            <w:webHidden/>
          </w:rPr>
          <w:tab/>
        </w:r>
        <w:r w:rsidR="00A36084">
          <w:rPr>
            <w:webHidden/>
          </w:rPr>
          <w:fldChar w:fldCharType="begin"/>
        </w:r>
        <w:r w:rsidR="00A36084">
          <w:rPr>
            <w:webHidden/>
          </w:rPr>
          <w:instrText xml:space="preserve"> PAGEREF _Toc483905982 \h </w:instrText>
        </w:r>
        <w:r w:rsidR="00A36084">
          <w:rPr>
            <w:webHidden/>
          </w:rPr>
        </w:r>
        <w:r w:rsidR="00A36084">
          <w:rPr>
            <w:webHidden/>
          </w:rPr>
          <w:fldChar w:fldCharType="separate"/>
        </w:r>
        <w:r w:rsidR="00A36084">
          <w:rPr>
            <w:webHidden/>
          </w:rPr>
          <w:t>8</w:t>
        </w:r>
        <w:r w:rsidR="00A36084">
          <w:rPr>
            <w:webHidden/>
          </w:rPr>
          <w:fldChar w:fldCharType="end"/>
        </w:r>
      </w:hyperlink>
    </w:p>
    <w:p w:rsidR="00A36084" w:rsidRDefault="00CD175F">
      <w:pPr>
        <w:pStyle w:val="TOC4"/>
        <w:rPr>
          <w:spacing w:val="0"/>
          <w:sz w:val="22"/>
          <w:szCs w:val="22"/>
          <w:lang w:eastAsia="en-AU"/>
        </w:rPr>
      </w:pPr>
      <w:hyperlink w:anchor="_Toc483905983" w:history="1">
        <w:r w:rsidR="00A36084" w:rsidRPr="001A4BBC">
          <w:rPr>
            <w:rStyle w:val="Hyperlink"/>
          </w:rPr>
          <w:t>5.</w:t>
        </w:r>
        <w:r w:rsidR="00A36084">
          <w:rPr>
            <w:spacing w:val="0"/>
            <w:sz w:val="22"/>
            <w:szCs w:val="22"/>
            <w:lang w:eastAsia="en-AU"/>
          </w:rPr>
          <w:tab/>
        </w:r>
        <w:r w:rsidR="00A36084" w:rsidRPr="001A4BBC">
          <w:rPr>
            <w:rStyle w:val="Hyperlink"/>
          </w:rPr>
          <w:t>Good regulatory practice self</w:t>
        </w:r>
        <w:r w:rsidR="00A36084" w:rsidRPr="001A4BBC">
          <w:rPr>
            <w:rStyle w:val="Hyperlink"/>
          </w:rPr>
          <w:noBreakHyphen/>
          <w:t>assessment</w:t>
        </w:r>
        <w:r w:rsidR="00A36084">
          <w:rPr>
            <w:webHidden/>
          </w:rPr>
          <w:tab/>
        </w:r>
        <w:r w:rsidR="00A36084">
          <w:rPr>
            <w:webHidden/>
          </w:rPr>
          <w:fldChar w:fldCharType="begin"/>
        </w:r>
        <w:r w:rsidR="00A36084">
          <w:rPr>
            <w:webHidden/>
          </w:rPr>
          <w:instrText xml:space="preserve"> PAGEREF _Toc483905983 \h </w:instrText>
        </w:r>
        <w:r w:rsidR="00A36084">
          <w:rPr>
            <w:webHidden/>
          </w:rPr>
        </w:r>
        <w:r w:rsidR="00A36084">
          <w:rPr>
            <w:webHidden/>
          </w:rPr>
          <w:fldChar w:fldCharType="separate"/>
        </w:r>
        <w:r w:rsidR="00A36084">
          <w:rPr>
            <w:webHidden/>
          </w:rPr>
          <w:t>11</w:t>
        </w:r>
        <w:r w:rsidR="00A36084">
          <w:rPr>
            <w:webHidden/>
          </w:rPr>
          <w:fldChar w:fldCharType="end"/>
        </w:r>
      </w:hyperlink>
    </w:p>
    <w:p w:rsidR="00A36084" w:rsidRDefault="00CD175F">
      <w:pPr>
        <w:pStyle w:val="TOC5"/>
        <w:tabs>
          <w:tab w:val="left" w:pos="1080"/>
        </w:tabs>
        <w:rPr>
          <w:spacing w:val="0"/>
          <w:sz w:val="22"/>
          <w:szCs w:val="22"/>
          <w:lang w:eastAsia="en-AU"/>
        </w:rPr>
      </w:pPr>
      <w:hyperlink w:anchor="_Toc483905984" w:history="1">
        <w:r w:rsidR="00A36084" w:rsidRPr="001A4BBC">
          <w:rPr>
            <w:rStyle w:val="Hyperlink"/>
          </w:rPr>
          <w:t>5.1</w:t>
        </w:r>
        <w:r w:rsidR="00A36084">
          <w:rPr>
            <w:spacing w:val="0"/>
            <w:sz w:val="22"/>
            <w:szCs w:val="22"/>
            <w:lang w:eastAsia="en-AU"/>
          </w:rPr>
          <w:tab/>
        </w:r>
        <w:r w:rsidR="00A36084" w:rsidRPr="001A4BBC">
          <w:rPr>
            <w:rStyle w:val="Hyperlink"/>
          </w:rPr>
          <w:t>Self-assessment for mandatory elements of good regulatory practice</w:t>
        </w:r>
        <w:r w:rsidR="00A36084">
          <w:rPr>
            <w:webHidden/>
          </w:rPr>
          <w:tab/>
        </w:r>
        <w:r w:rsidR="00A36084">
          <w:rPr>
            <w:webHidden/>
          </w:rPr>
          <w:fldChar w:fldCharType="begin"/>
        </w:r>
        <w:r w:rsidR="00A36084">
          <w:rPr>
            <w:webHidden/>
          </w:rPr>
          <w:instrText xml:space="preserve"> PAGEREF _Toc483905984 \h </w:instrText>
        </w:r>
        <w:r w:rsidR="00A36084">
          <w:rPr>
            <w:webHidden/>
          </w:rPr>
        </w:r>
        <w:r w:rsidR="00A36084">
          <w:rPr>
            <w:webHidden/>
          </w:rPr>
          <w:fldChar w:fldCharType="separate"/>
        </w:r>
        <w:r w:rsidR="00A36084">
          <w:rPr>
            <w:webHidden/>
          </w:rPr>
          <w:t>11</w:t>
        </w:r>
        <w:r w:rsidR="00A36084">
          <w:rPr>
            <w:webHidden/>
          </w:rPr>
          <w:fldChar w:fldCharType="end"/>
        </w:r>
      </w:hyperlink>
    </w:p>
    <w:p w:rsidR="00A36084" w:rsidRDefault="00CD175F">
      <w:pPr>
        <w:pStyle w:val="TOC5"/>
        <w:tabs>
          <w:tab w:val="left" w:pos="1080"/>
        </w:tabs>
        <w:rPr>
          <w:spacing w:val="0"/>
          <w:sz w:val="22"/>
          <w:szCs w:val="22"/>
          <w:lang w:eastAsia="en-AU"/>
        </w:rPr>
      </w:pPr>
      <w:hyperlink w:anchor="_Toc483905985" w:history="1">
        <w:r w:rsidR="00A36084" w:rsidRPr="001A4BBC">
          <w:rPr>
            <w:rStyle w:val="Hyperlink"/>
          </w:rPr>
          <w:t>5.2</w:t>
        </w:r>
        <w:r w:rsidR="00A36084">
          <w:rPr>
            <w:spacing w:val="0"/>
            <w:sz w:val="22"/>
            <w:szCs w:val="22"/>
            <w:lang w:eastAsia="en-AU"/>
          </w:rPr>
          <w:tab/>
        </w:r>
        <w:r w:rsidR="00A36084" w:rsidRPr="001A4BBC">
          <w:rPr>
            <w:rStyle w:val="Hyperlink"/>
          </w:rPr>
          <w:t>Self-assessment for the recommended element of good regulatory practice</w:t>
        </w:r>
        <w:r w:rsidR="00A36084">
          <w:rPr>
            <w:webHidden/>
          </w:rPr>
          <w:tab/>
        </w:r>
        <w:r w:rsidR="00A36084">
          <w:rPr>
            <w:webHidden/>
          </w:rPr>
          <w:fldChar w:fldCharType="begin"/>
        </w:r>
        <w:r w:rsidR="00A36084">
          <w:rPr>
            <w:webHidden/>
          </w:rPr>
          <w:instrText xml:space="preserve"> PAGEREF _Toc483905985 \h </w:instrText>
        </w:r>
        <w:r w:rsidR="00A36084">
          <w:rPr>
            <w:webHidden/>
          </w:rPr>
        </w:r>
        <w:r w:rsidR="00A36084">
          <w:rPr>
            <w:webHidden/>
          </w:rPr>
          <w:fldChar w:fldCharType="separate"/>
        </w:r>
        <w:r w:rsidR="00A36084">
          <w:rPr>
            <w:webHidden/>
          </w:rPr>
          <w:t>13</w:t>
        </w:r>
        <w:r w:rsidR="00A36084">
          <w:rPr>
            <w:webHidden/>
          </w:rPr>
          <w:fldChar w:fldCharType="end"/>
        </w:r>
      </w:hyperlink>
    </w:p>
    <w:p w:rsidR="00A36084" w:rsidRDefault="00CD175F">
      <w:pPr>
        <w:pStyle w:val="TOC5"/>
        <w:tabs>
          <w:tab w:val="left" w:pos="1080"/>
        </w:tabs>
        <w:rPr>
          <w:spacing w:val="0"/>
          <w:sz w:val="22"/>
          <w:szCs w:val="22"/>
          <w:lang w:eastAsia="en-AU"/>
        </w:rPr>
      </w:pPr>
      <w:hyperlink w:anchor="_Toc483905986" w:history="1">
        <w:r w:rsidR="00A36084" w:rsidRPr="001A4BBC">
          <w:rPr>
            <w:rStyle w:val="Hyperlink"/>
          </w:rPr>
          <w:t>5.3</w:t>
        </w:r>
        <w:r w:rsidR="00A36084">
          <w:rPr>
            <w:spacing w:val="0"/>
            <w:sz w:val="22"/>
            <w:szCs w:val="22"/>
            <w:lang w:eastAsia="en-AU"/>
          </w:rPr>
          <w:tab/>
        </w:r>
        <w:r w:rsidR="00A36084" w:rsidRPr="001A4BBC">
          <w:rPr>
            <w:rStyle w:val="Hyperlink"/>
          </w:rPr>
          <w:t>Self-assessment for other suggested elements of good regulatory practice</w:t>
        </w:r>
        <w:r w:rsidR="00A36084">
          <w:rPr>
            <w:webHidden/>
          </w:rPr>
          <w:tab/>
        </w:r>
        <w:r w:rsidR="00A36084">
          <w:rPr>
            <w:webHidden/>
          </w:rPr>
          <w:fldChar w:fldCharType="begin"/>
        </w:r>
        <w:r w:rsidR="00A36084">
          <w:rPr>
            <w:webHidden/>
          </w:rPr>
          <w:instrText xml:space="preserve"> PAGEREF _Toc483905986 \h </w:instrText>
        </w:r>
        <w:r w:rsidR="00A36084">
          <w:rPr>
            <w:webHidden/>
          </w:rPr>
        </w:r>
        <w:r w:rsidR="00A36084">
          <w:rPr>
            <w:webHidden/>
          </w:rPr>
          <w:fldChar w:fldCharType="separate"/>
        </w:r>
        <w:r w:rsidR="00A36084">
          <w:rPr>
            <w:webHidden/>
          </w:rPr>
          <w:t>13</w:t>
        </w:r>
        <w:r w:rsidR="00A36084">
          <w:rPr>
            <w:webHidden/>
          </w:rPr>
          <w:fldChar w:fldCharType="end"/>
        </w:r>
      </w:hyperlink>
    </w:p>
    <w:p w:rsidR="00A36084" w:rsidRDefault="00CD175F">
      <w:pPr>
        <w:pStyle w:val="TOC4"/>
        <w:rPr>
          <w:spacing w:val="0"/>
          <w:sz w:val="22"/>
          <w:szCs w:val="22"/>
          <w:lang w:eastAsia="en-AU"/>
        </w:rPr>
      </w:pPr>
      <w:hyperlink w:anchor="_Toc483905987" w:history="1">
        <w:r w:rsidR="00A36084" w:rsidRPr="001A4BBC">
          <w:rPr>
            <w:rStyle w:val="Hyperlink"/>
          </w:rPr>
          <w:t>6.</w:t>
        </w:r>
        <w:r w:rsidR="00A36084">
          <w:rPr>
            <w:spacing w:val="0"/>
            <w:sz w:val="22"/>
            <w:szCs w:val="22"/>
            <w:lang w:eastAsia="en-AU"/>
          </w:rPr>
          <w:tab/>
        </w:r>
        <w:r w:rsidR="00A36084" w:rsidRPr="001A4BBC">
          <w:rPr>
            <w:rStyle w:val="Hyperlink"/>
          </w:rPr>
          <w:t>Good Regulatory Practice Plan</w:t>
        </w:r>
        <w:r w:rsidR="00A36084">
          <w:rPr>
            <w:webHidden/>
          </w:rPr>
          <w:tab/>
        </w:r>
        <w:r w:rsidR="00A36084">
          <w:rPr>
            <w:webHidden/>
          </w:rPr>
          <w:fldChar w:fldCharType="begin"/>
        </w:r>
        <w:r w:rsidR="00A36084">
          <w:rPr>
            <w:webHidden/>
          </w:rPr>
          <w:instrText xml:space="preserve"> PAGEREF _Toc483905987 \h </w:instrText>
        </w:r>
        <w:r w:rsidR="00A36084">
          <w:rPr>
            <w:webHidden/>
          </w:rPr>
        </w:r>
        <w:r w:rsidR="00A36084">
          <w:rPr>
            <w:webHidden/>
          </w:rPr>
          <w:fldChar w:fldCharType="separate"/>
        </w:r>
        <w:r w:rsidR="00A36084">
          <w:rPr>
            <w:webHidden/>
          </w:rPr>
          <w:t>15</w:t>
        </w:r>
        <w:r w:rsidR="00A36084">
          <w:rPr>
            <w:webHidden/>
          </w:rPr>
          <w:fldChar w:fldCharType="end"/>
        </w:r>
      </w:hyperlink>
    </w:p>
    <w:p w:rsidR="00A36084" w:rsidRDefault="00CD175F">
      <w:pPr>
        <w:pStyle w:val="TOC5"/>
        <w:tabs>
          <w:tab w:val="left" w:pos="1080"/>
        </w:tabs>
        <w:rPr>
          <w:spacing w:val="0"/>
          <w:sz w:val="22"/>
          <w:szCs w:val="22"/>
          <w:lang w:eastAsia="en-AU"/>
        </w:rPr>
      </w:pPr>
      <w:hyperlink w:anchor="_Toc483905988" w:history="1">
        <w:r w:rsidR="00A36084" w:rsidRPr="001A4BBC">
          <w:rPr>
            <w:rStyle w:val="Hyperlink"/>
          </w:rPr>
          <w:t>6.1</w:t>
        </w:r>
        <w:r w:rsidR="00A36084">
          <w:rPr>
            <w:spacing w:val="0"/>
            <w:sz w:val="22"/>
            <w:szCs w:val="22"/>
            <w:lang w:eastAsia="en-AU"/>
          </w:rPr>
          <w:tab/>
        </w:r>
        <w:r w:rsidR="00A36084" w:rsidRPr="001A4BBC">
          <w:rPr>
            <w:rStyle w:val="Hyperlink"/>
          </w:rPr>
          <w:t>Strategies and measures for mandatory elements of good regulatory practice</w:t>
        </w:r>
        <w:r w:rsidR="00A36084">
          <w:rPr>
            <w:webHidden/>
          </w:rPr>
          <w:tab/>
        </w:r>
        <w:r w:rsidR="00A36084">
          <w:rPr>
            <w:webHidden/>
          </w:rPr>
          <w:fldChar w:fldCharType="begin"/>
        </w:r>
        <w:r w:rsidR="00A36084">
          <w:rPr>
            <w:webHidden/>
          </w:rPr>
          <w:instrText xml:space="preserve"> PAGEREF _Toc483905988 \h </w:instrText>
        </w:r>
        <w:r w:rsidR="00A36084">
          <w:rPr>
            <w:webHidden/>
          </w:rPr>
        </w:r>
        <w:r w:rsidR="00A36084">
          <w:rPr>
            <w:webHidden/>
          </w:rPr>
          <w:fldChar w:fldCharType="separate"/>
        </w:r>
        <w:r w:rsidR="00A36084">
          <w:rPr>
            <w:webHidden/>
          </w:rPr>
          <w:t>15</w:t>
        </w:r>
        <w:r w:rsidR="00A36084">
          <w:rPr>
            <w:webHidden/>
          </w:rPr>
          <w:fldChar w:fldCharType="end"/>
        </w:r>
      </w:hyperlink>
    </w:p>
    <w:p w:rsidR="00A36084" w:rsidRDefault="00CD175F">
      <w:pPr>
        <w:pStyle w:val="TOC5"/>
        <w:tabs>
          <w:tab w:val="left" w:pos="1080"/>
        </w:tabs>
        <w:rPr>
          <w:spacing w:val="0"/>
          <w:sz w:val="22"/>
          <w:szCs w:val="22"/>
          <w:lang w:eastAsia="en-AU"/>
        </w:rPr>
      </w:pPr>
      <w:hyperlink w:anchor="_Toc483905989" w:history="1">
        <w:r w:rsidR="00A36084" w:rsidRPr="001A4BBC">
          <w:rPr>
            <w:rStyle w:val="Hyperlink"/>
          </w:rPr>
          <w:t>6.2</w:t>
        </w:r>
        <w:r w:rsidR="00A36084">
          <w:rPr>
            <w:spacing w:val="0"/>
            <w:sz w:val="22"/>
            <w:szCs w:val="22"/>
            <w:lang w:eastAsia="en-AU"/>
          </w:rPr>
          <w:tab/>
        </w:r>
        <w:r w:rsidR="00A36084" w:rsidRPr="001A4BBC">
          <w:rPr>
            <w:rStyle w:val="Hyperlink"/>
          </w:rPr>
          <w:t>Strategies and measures for the recommended element of good regulatory practice</w:t>
        </w:r>
        <w:r w:rsidR="00A36084">
          <w:rPr>
            <w:webHidden/>
          </w:rPr>
          <w:tab/>
        </w:r>
        <w:r w:rsidR="00A36084">
          <w:rPr>
            <w:webHidden/>
          </w:rPr>
          <w:fldChar w:fldCharType="begin"/>
        </w:r>
        <w:r w:rsidR="00A36084">
          <w:rPr>
            <w:webHidden/>
          </w:rPr>
          <w:instrText xml:space="preserve"> PAGEREF _Toc483905989 \h </w:instrText>
        </w:r>
        <w:r w:rsidR="00A36084">
          <w:rPr>
            <w:webHidden/>
          </w:rPr>
        </w:r>
        <w:r w:rsidR="00A36084">
          <w:rPr>
            <w:webHidden/>
          </w:rPr>
          <w:fldChar w:fldCharType="separate"/>
        </w:r>
        <w:r w:rsidR="00A36084">
          <w:rPr>
            <w:webHidden/>
          </w:rPr>
          <w:t>16</w:t>
        </w:r>
        <w:r w:rsidR="00A36084">
          <w:rPr>
            <w:webHidden/>
          </w:rPr>
          <w:fldChar w:fldCharType="end"/>
        </w:r>
      </w:hyperlink>
    </w:p>
    <w:p w:rsidR="00A36084" w:rsidRDefault="00CD175F">
      <w:pPr>
        <w:pStyle w:val="TOC5"/>
        <w:tabs>
          <w:tab w:val="left" w:pos="1080"/>
        </w:tabs>
        <w:rPr>
          <w:spacing w:val="0"/>
          <w:sz w:val="22"/>
          <w:szCs w:val="22"/>
          <w:lang w:eastAsia="en-AU"/>
        </w:rPr>
      </w:pPr>
      <w:hyperlink w:anchor="_Toc483905990" w:history="1">
        <w:r w:rsidR="00A36084" w:rsidRPr="001A4BBC">
          <w:rPr>
            <w:rStyle w:val="Hyperlink"/>
          </w:rPr>
          <w:t>6.3</w:t>
        </w:r>
        <w:r w:rsidR="00A36084">
          <w:rPr>
            <w:spacing w:val="0"/>
            <w:sz w:val="22"/>
            <w:szCs w:val="22"/>
            <w:lang w:eastAsia="en-AU"/>
          </w:rPr>
          <w:tab/>
        </w:r>
        <w:r w:rsidR="00A36084" w:rsidRPr="001A4BBC">
          <w:rPr>
            <w:rStyle w:val="Hyperlink"/>
          </w:rPr>
          <w:t>Strategies and measures for other suggested elements of good regulatory practice</w:t>
        </w:r>
        <w:r w:rsidR="00A36084">
          <w:rPr>
            <w:webHidden/>
          </w:rPr>
          <w:tab/>
        </w:r>
        <w:r w:rsidR="00A36084">
          <w:rPr>
            <w:webHidden/>
          </w:rPr>
          <w:fldChar w:fldCharType="begin"/>
        </w:r>
        <w:r w:rsidR="00A36084">
          <w:rPr>
            <w:webHidden/>
          </w:rPr>
          <w:instrText xml:space="preserve"> PAGEREF _Toc483905990 \h </w:instrText>
        </w:r>
        <w:r w:rsidR="00A36084">
          <w:rPr>
            <w:webHidden/>
          </w:rPr>
        </w:r>
        <w:r w:rsidR="00A36084">
          <w:rPr>
            <w:webHidden/>
          </w:rPr>
          <w:fldChar w:fldCharType="separate"/>
        </w:r>
        <w:r w:rsidR="00A36084">
          <w:rPr>
            <w:webHidden/>
          </w:rPr>
          <w:t>16</w:t>
        </w:r>
        <w:r w:rsidR="00A36084">
          <w:rPr>
            <w:webHidden/>
          </w:rPr>
          <w:fldChar w:fldCharType="end"/>
        </w:r>
      </w:hyperlink>
    </w:p>
    <w:p w:rsidR="00A36084" w:rsidRDefault="00CD175F">
      <w:pPr>
        <w:pStyle w:val="TOC4"/>
        <w:rPr>
          <w:spacing w:val="0"/>
          <w:sz w:val="22"/>
          <w:szCs w:val="22"/>
          <w:lang w:eastAsia="en-AU"/>
        </w:rPr>
      </w:pPr>
      <w:hyperlink w:anchor="_Toc483905991" w:history="1">
        <w:r w:rsidR="00A36084" w:rsidRPr="001A4BBC">
          <w:rPr>
            <w:rStyle w:val="Hyperlink"/>
          </w:rPr>
          <w:t>7.</w:t>
        </w:r>
        <w:r w:rsidR="00A36084">
          <w:rPr>
            <w:spacing w:val="0"/>
            <w:sz w:val="22"/>
            <w:szCs w:val="22"/>
            <w:lang w:eastAsia="en-AU"/>
          </w:rPr>
          <w:tab/>
        </w:r>
        <w:r w:rsidR="00A36084" w:rsidRPr="001A4BBC">
          <w:rPr>
            <w:rStyle w:val="Hyperlink"/>
          </w:rPr>
          <w:t>The SOE letter</w:t>
        </w:r>
        <w:r w:rsidR="00A36084">
          <w:rPr>
            <w:webHidden/>
          </w:rPr>
          <w:tab/>
        </w:r>
        <w:r w:rsidR="00A36084">
          <w:rPr>
            <w:webHidden/>
          </w:rPr>
          <w:fldChar w:fldCharType="begin"/>
        </w:r>
        <w:r w:rsidR="00A36084">
          <w:rPr>
            <w:webHidden/>
          </w:rPr>
          <w:instrText xml:space="preserve"> PAGEREF _Toc483905991 \h </w:instrText>
        </w:r>
        <w:r w:rsidR="00A36084">
          <w:rPr>
            <w:webHidden/>
          </w:rPr>
        </w:r>
        <w:r w:rsidR="00A36084">
          <w:rPr>
            <w:webHidden/>
          </w:rPr>
          <w:fldChar w:fldCharType="separate"/>
        </w:r>
        <w:r w:rsidR="00A36084">
          <w:rPr>
            <w:webHidden/>
          </w:rPr>
          <w:t>17</w:t>
        </w:r>
        <w:r w:rsidR="00A36084">
          <w:rPr>
            <w:webHidden/>
          </w:rPr>
          <w:fldChar w:fldCharType="end"/>
        </w:r>
      </w:hyperlink>
    </w:p>
    <w:p w:rsidR="00A36084" w:rsidRDefault="00CD175F">
      <w:pPr>
        <w:pStyle w:val="TOC4"/>
        <w:rPr>
          <w:spacing w:val="0"/>
          <w:sz w:val="22"/>
          <w:szCs w:val="22"/>
          <w:lang w:eastAsia="en-AU"/>
        </w:rPr>
      </w:pPr>
      <w:hyperlink w:anchor="_Toc483905992" w:history="1">
        <w:r w:rsidR="00A36084" w:rsidRPr="001A4BBC">
          <w:rPr>
            <w:rStyle w:val="Hyperlink"/>
          </w:rPr>
          <w:t>8.</w:t>
        </w:r>
        <w:r w:rsidR="00A36084">
          <w:rPr>
            <w:spacing w:val="0"/>
            <w:sz w:val="22"/>
            <w:szCs w:val="22"/>
            <w:lang w:eastAsia="en-AU"/>
          </w:rPr>
          <w:tab/>
        </w:r>
        <w:r w:rsidR="00A36084" w:rsidRPr="001A4BBC">
          <w:rPr>
            <w:rStyle w:val="Hyperlink"/>
          </w:rPr>
          <w:t>Process and timelines for implementing the SOE Framework</w:t>
        </w:r>
        <w:r w:rsidR="00A36084">
          <w:rPr>
            <w:webHidden/>
          </w:rPr>
          <w:tab/>
        </w:r>
        <w:r w:rsidR="00A36084">
          <w:rPr>
            <w:webHidden/>
          </w:rPr>
          <w:fldChar w:fldCharType="begin"/>
        </w:r>
        <w:r w:rsidR="00A36084">
          <w:rPr>
            <w:webHidden/>
          </w:rPr>
          <w:instrText xml:space="preserve"> PAGEREF _Toc483905992 \h </w:instrText>
        </w:r>
        <w:r w:rsidR="00A36084">
          <w:rPr>
            <w:webHidden/>
          </w:rPr>
        </w:r>
        <w:r w:rsidR="00A36084">
          <w:rPr>
            <w:webHidden/>
          </w:rPr>
          <w:fldChar w:fldCharType="separate"/>
        </w:r>
        <w:r w:rsidR="00A36084">
          <w:rPr>
            <w:webHidden/>
          </w:rPr>
          <w:t>17</w:t>
        </w:r>
        <w:r w:rsidR="00A36084">
          <w:rPr>
            <w:webHidden/>
          </w:rPr>
          <w:fldChar w:fldCharType="end"/>
        </w:r>
      </w:hyperlink>
    </w:p>
    <w:p w:rsidR="00A36084" w:rsidRDefault="00CD175F">
      <w:pPr>
        <w:pStyle w:val="TOC4"/>
        <w:rPr>
          <w:spacing w:val="0"/>
          <w:sz w:val="22"/>
          <w:szCs w:val="22"/>
          <w:lang w:eastAsia="en-AU"/>
        </w:rPr>
      </w:pPr>
      <w:hyperlink w:anchor="_Toc483905993" w:history="1">
        <w:r w:rsidR="00A36084" w:rsidRPr="001A4BBC">
          <w:rPr>
            <w:rStyle w:val="Hyperlink"/>
          </w:rPr>
          <w:t>9.</w:t>
        </w:r>
        <w:r w:rsidR="00A36084">
          <w:rPr>
            <w:spacing w:val="0"/>
            <w:sz w:val="22"/>
            <w:szCs w:val="22"/>
            <w:lang w:eastAsia="en-AU"/>
          </w:rPr>
          <w:tab/>
        </w:r>
        <w:r w:rsidR="00A36084" w:rsidRPr="001A4BBC">
          <w:rPr>
            <w:rStyle w:val="Hyperlink"/>
          </w:rPr>
          <w:t>Regulator performance improvement forum</w:t>
        </w:r>
        <w:r w:rsidR="00A36084">
          <w:rPr>
            <w:webHidden/>
          </w:rPr>
          <w:tab/>
        </w:r>
        <w:r w:rsidR="00A36084">
          <w:rPr>
            <w:webHidden/>
          </w:rPr>
          <w:fldChar w:fldCharType="begin"/>
        </w:r>
        <w:r w:rsidR="00A36084">
          <w:rPr>
            <w:webHidden/>
          </w:rPr>
          <w:instrText xml:space="preserve"> PAGEREF _Toc483905993 \h </w:instrText>
        </w:r>
        <w:r w:rsidR="00A36084">
          <w:rPr>
            <w:webHidden/>
          </w:rPr>
        </w:r>
        <w:r w:rsidR="00A36084">
          <w:rPr>
            <w:webHidden/>
          </w:rPr>
          <w:fldChar w:fldCharType="separate"/>
        </w:r>
        <w:r w:rsidR="00A36084">
          <w:rPr>
            <w:webHidden/>
          </w:rPr>
          <w:t>18</w:t>
        </w:r>
        <w:r w:rsidR="00A36084">
          <w:rPr>
            <w:webHidden/>
          </w:rPr>
          <w:fldChar w:fldCharType="end"/>
        </w:r>
      </w:hyperlink>
    </w:p>
    <w:p w:rsidR="00A36084" w:rsidRDefault="00CD175F">
      <w:pPr>
        <w:pStyle w:val="TOC4"/>
        <w:rPr>
          <w:spacing w:val="0"/>
          <w:sz w:val="22"/>
          <w:szCs w:val="22"/>
          <w:lang w:eastAsia="en-AU"/>
        </w:rPr>
      </w:pPr>
      <w:hyperlink w:anchor="_Toc483905994" w:history="1">
        <w:r w:rsidR="00A36084" w:rsidRPr="001A4BBC">
          <w:rPr>
            <w:rStyle w:val="Hyperlink"/>
          </w:rPr>
          <w:t>10.</w:t>
        </w:r>
        <w:r w:rsidR="00A36084">
          <w:rPr>
            <w:spacing w:val="0"/>
            <w:sz w:val="22"/>
            <w:szCs w:val="22"/>
            <w:lang w:eastAsia="en-AU"/>
          </w:rPr>
          <w:tab/>
        </w:r>
        <w:r w:rsidR="00A36084" w:rsidRPr="001A4BBC">
          <w:rPr>
            <w:rStyle w:val="Hyperlink"/>
          </w:rPr>
          <w:t>Roles and responsibilities under the SOE Framework</w:t>
        </w:r>
        <w:r w:rsidR="00A36084">
          <w:rPr>
            <w:webHidden/>
          </w:rPr>
          <w:tab/>
        </w:r>
        <w:r w:rsidR="00A36084">
          <w:rPr>
            <w:webHidden/>
          </w:rPr>
          <w:fldChar w:fldCharType="begin"/>
        </w:r>
        <w:r w:rsidR="00A36084">
          <w:rPr>
            <w:webHidden/>
          </w:rPr>
          <w:instrText xml:space="preserve"> PAGEREF _Toc483905994 \h </w:instrText>
        </w:r>
        <w:r w:rsidR="00A36084">
          <w:rPr>
            <w:webHidden/>
          </w:rPr>
        </w:r>
        <w:r w:rsidR="00A36084">
          <w:rPr>
            <w:webHidden/>
          </w:rPr>
          <w:fldChar w:fldCharType="separate"/>
        </w:r>
        <w:r w:rsidR="00A36084">
          <w:rPr>
            <w:webHidden/>
          </w:rPr>
          <w:t>18</w:t>
        </w:r>
        <w:r w:rsidR="00A36084">
          <w:rPr>
            <w:webHidden/>
          </w:rPr>
          <w:fldChar w:fldCharType="end"/>
        </w:r>
      </w:hyperlink>
    </w:p>
    <w:p w:rsidR="00A36084" w:rsidRDefault="00CD175F">
      <w:pPr>
        <w:pStyle w:val="TOC1"/>
        <w:rPr>
          <w:noProof/>
          <w:spacing w:val="0"/>
          <w:sz w:val="22"/>
          <w:szCs w:val="22"/>
        </w:rPr>
      </w:pPr>
      <w:hyperlink w:anchor="_Toc483905995" w:history="1">
        <w:r w:rsidR="00A36084" w:rsidRPr="001A4BBC">
          <w:rPr>
            <w:rStyle w:val="Hyperlink"/>
            <w:noProof/>
          </w:rPr>
          <w:t>Attachment 1 – List of Victorian business regulators</w:t>
        </w:r>
        <w:r w:rsidR="00A36084">
          <w:rPr>
            <w:noProof/>
            <w:webHidden/>
          </w:rPr>
          <w:tab/>
        </w:r>
        <w:r w:rsidR="00A36084">
          <w:rPr>
            <w:noProof/>
            <w:webHidden/>
          </w:rPr>
          <w:fldChar w:fldCharType="begin"/>
        </w:r>
        <w:r w:rsidR="00A36084">
          <w:rPr>
            <w:noProof/>
            <w:webHidden/>
          </w:rPr>
          <w:instrText xml:space="preserve"> PAGEREF _Toc483905995 \h </w:instrText>
        </w:r>
        <w:r w:rsidR="00A36084">
          <w:rPr>
            <w:noProof/>
            <w:webHidden/>
          </w:rPr>
        </w:r>
        <w:r w:rsidR="00A36084">
          <w:rPr>
            <w:noProof/>
            <w:webHidden/>
          </w:rPr>
          <w:fldChar w:fldCharType="separate"/>
        </w:r>
        <w:r w:rsidR="00A36084">
          <w:rPr>
            <w:noProof/>
            <w:webHidden/>
          </w:rPr>
          <w:t>20</w:t>
        </w:r>
        <w:r w:rsidR="00A36084">
          <w:rPr>
            <w:noProof/>
            <w:webHidden/>
          </w:rPr>
          <w:fldChar w:fldCharType="end"/>
        </w:r>
      </w:hyperlink>
    </w:p>
    <w:p w:rsidR="00A36084" w:rsidRDefault="00CD175F">
      <w:pPr>
        <w:pStyle w:val="TOC1"/>
        <w:rPr>
          <w:noProof/>
          <w:spacing w:val="0"/>
          <w:sz w:val="22"/>
          <w:szCs w:val="22"/>
        </w:rPr>
      </w:pPr>
      <w:hyperlink w:anchor="_Toc483905996" w:history="1">
        <w:r w:rsidR="00A36084" w:rsidRPr="001A4BBC">
          <w:rPr>
            <w:rStyle w:val="Hyperlink"/>
            <w:noProof/>
          </w:rPr>
          <w:t>Attachment 2 – Model SOE letter</w:t>
        </w:r>
        <w:r w:rsidR="00A36084">
          <w:rPr>
            <w:noProof/>
            <w:webHidden/>
          </w:rPr>
          <w:tab/>
        </w:r>
        <w:r w:rsidR="00A36084">
          <w:rPr>
            <w:noProof/>
            <w:webHidden/>
          </w:rPr>
          <w:fldChar w:fldCharType="begin"/>
        </w:r>
        <w:r w:rsidR="00A36084">
          <w:rPr>
            <w:noProof/>
            <w:webHidden/>
          </w:rPr>
          <w:instrText xml:space="preserve"> PAGEREF _Toc483905996 \h </w:instrText>
        </w:r>
        <w:r w:rsidR="00A36084">
          <w:rPr>
            <w:noProof/>
            <w:webHidden/>
          </w:rPr>
        </w:r>
        <w:r w:rsidR="00A36084">
          <w:rPr>
            <w:noProof/>
            <w:webHidden/>
          </w:rPr>
          <w:fldChar w:fldCharType="separate"/>
        </w:r>
        <w:r w:rsidR="00A36084">
          <w:rPr>
            <w:noProof/>
            <w:webHidden/>
          </w:rPr>
          <w:t>23</w:t>
        </w:r>
        <w:r w:rsidR="00A36084">
          <w:rPr>
            <w:noProof/>
            <w:webHidden/>
          </w:rPr>
          <w:fldChar w:fldCharType="end"/>
        </w:r>
      </w:hyperlink>
    </w:p>
    <w:p w:rsidR="00563527" w:rsidRDefault="00CD3D1B" w:rsidP="00D44953">
      <w:pPr>
        <w:rPr>
          <w:lang w:eastAsia="en-US"/>
        </w:rPr>
      </w:pPr>
      <w:r>
        <w:rPr>
          <w:noProof/>
          <w:color w:val="404040"/>
          <w:sz w:val="28"/>
          <w:szCs w:val="28"/>
          <w:lang w:eastAsia="en-US"/>
        </w:rPr>
        <w:fldChar w:fldCharType="end"/>
      </w:r>
    </w:p>
    <w:p w:rsidR="00CD3D1B" w:rsidRDefault="00CD3D1B" w:rsidP="00D2312F"/>
    <w:p w:rsidR="00FF4E99" w:rsidRDefault="00FF4E99" w:rsidP="00D2312F"/>
    <w:p w:rsidR="00FF4E99" w:rsidRDefault="00FF4E99" w:rsidP="00D2312F">
      <w:pPr>
        <w:sectPr w:rsidR="00FF4E99" w:rsidSect="00CD3D1B">
          <w:headerReference w:type="even" r:id="rId21"/>
          <w:headerReference w:type="default" r:id="rId22"/>
          <w:footerReference w:type="even" r:id="rId23"/>
          <w:footerReference w:type="default" r:id="rId24"/>
          <w:type w:val="oddPage"/>
          <w:pgSz w:w="11906" w:h="16838" w:code="9"/>
          <w:pgMar w:top="2160" w:right="1440" w:bottom="1440" w:left="1440" w:header="706" w:footer="461" w:gutter="0"/>
          <w:pgNumType w:fmt="lowerRoman" w:start="1"/>
          <w:cols w:space="708"/>
          <w:docGrid w:linePitch="360"/>
        </w:sectPr>
      </w:pPr>
    </w:p>
    <w:p w:rsidR="00986AAC" w:rsidRPr="00C92338" w:rsidRDefault="009A37BF" w:rsidP="00EE32F6">
      <w:pPr>
        <w:pStyle w:val="Heading1numbered"/>
      </w:pPr>
      <w:bookmarkStart w:id="1" w:name="_Toc481760518"/>
      <w:bookmarkStart w:id="2" w:name="_Toc483905971"/>
      <w:r w:rsidRPr="00C31888">
        <w:lastRenderedPageBreak/>
        <w:t xml:space="preserve">Context for the Statement of Expectations </w:t>
      </w:r>
      <w:r>
        <w:t>F</w:t>
      </w:r>
      <w:r w:rsidRPr="00C31888">
        <w:t>ramework</w:t>
      </w:r>
      <w:bookmarkEnd w:id="1"/>
      <w:bookmarkEnd w:id="2"/>
    </w:p>
    <w:p w:rsidR="009A37BF" w:rsidRPr="00C31888" w:rsidRDefault="009A37BF" w:rsidP="00EE32F6">
      <w:pPr>
        <w:pStyle w:val="NormalIndent"/>
        <w:rPr>
          <w:lang w:eastAsia="en-US"/>
        </w:rPr>
      </w:pPr>
      <w:r w:rsidRPr="00C31888">
        <w:rPr>
          <w:lang w:eastAsia="en-US"/>
        </w:rPr>
        <w:t xml:space="preserve">The Government’s objective is for the Statement of Expectations (SOE) </w:t>
      </w:r>
      <w:r>
        <w:rPr>
          <w:lang w:eastAsia="en-US"/>
        </w:rPr>
        <w:t>F</w:t>
      </w:r>
      <w:r w:rsidRPr="00C31888">
        <w:rPr>
          <w:lang w:eastAsia="en-US"/>
        </w:rPr>
        <w:t xml:space="preserve">ramework to promote greater efficiency and effectiveness in the administration and enforcement of regulation in the context of facilitating increased business investment and economic activity in Victoria. </w:t>
      </w:r>
    </w:p>
    <w:p w:rsidR="009A37BF" w:rsidRPr="00C31888" w:rsidRDefault="009A37BF" w:rsidP="00EE32F6">
      <w:pPr>
        <w:pStyle w:val="NormalIndent"/>
        <w:rPr>
          <w:lang w:eastAsia="en-US"/>
        </w:rPr>
      </w:pPr>
      <w:r w:rsidRPr="00C31888">
        <w:rPr>
          <w:lang w:eastAsia="en-US"/>
        </w:rPr>
        <w:t>The SOE objective is to establish clear expectations of regulator performance and improvement between responsible Ministers and regulators. This will improve regulator outcomes and reduce costs on regulated parties.</w:t>
      </w:r>
    </w:p>
    <w:p w:rsidR="009A37BF" w:rsidRPr="00C31888" w:rsidRDefault="009A37BF" w:rsidP="00EE32F6">
      <w:pPr>
        <w:pStyle w:val="NormalIndent"/>
        <w:rPr>
          <w:lang w:eastAsia="en-US"/>
        </w:rPr>
      </w:pPr>
      <w:r w:rsidRPr="00C31888">
        <w:rPr>
          <w:lang w:eastAsia="en-US"/>
        </w:rPr>
        <w:t>This policy forms part of the Government’s program to reduce red tape affecting businesses, not</w:t>
      </w:r>
      <w:r w:rsidRPr="00C31888">
        <w:rPr>
          <w:lang w:eastAsia="en-US"/>
        </w:rPr>
        <w:noBreakHyphen/>
        <w:t>for</w:t>
      </w:r>
      <w:r w:rsidRPr="00C31888">
        <w:rPr>
          <w:lang w:eastAsia="en-US"/>
        </w:rPr>
        <w:noBreakHyphen/>
        <w:t xml:space="preserve">profit organisations, government service providers and households. </w:t>
      </w:r>
    </w:p>
    <w:p w:rsidR="009A37BF" w:rsidRPr="00C31888" w:rsidRDefault="009A37BF" w:rsidP="00EE32F6">
      <w:pPr>
        <w:pStyle w:val="NormalIndent"/>
        <w:rPr>
          <w:lang w:eastAsia="en-US"/>
        </w:rPr>
      </w:pPr>
      <w:r w:rsidRPr="00C31888">
        <w:rPr>
          <w:lang w:eastAsia="en-US"/>
        </w:rPr>
        <w:t xml:space="preserve">Reforms to the regulatory framework can be grouped under two broad categories. The first involves ensuring the flow of new regulation and the stock of existing regulation are managed effectively to achieve the objectives of better regulation and reducing regulatory burden. The </w:t>
      </w:r>
      <w:r w:rsidRPr="00831419">
        <w:rPr>
          <w:i/>
          <w:lang w:eastAsia="en-US"/>
        </w:rPr>
        <w:t>Victorian Guide to Regulation</w:t>
      </w:r>
      <w:r w:rsidRPr="00C31888">
        <w:rPr>
          <w:lang w:eastAsia="en-US"/>
        </w:rPr>
        <w:t xml:space="preserve">, which guides the development and evaluation of new regulation, the Red Tape Reduction Program and initiatives proposed by the Red Tape Commissioner fall into this category. The second category of regulatory reform involves embedding operational excellence by regulators in the task of administering and enforcing regulation, and in improving their performance. The SOE </w:t>
      </w:r>
      <w:r>
        <w:rPr>
          <w:lang w:eastAsia="en-US"/>
        </w:rPr>
        <w:t>F</w:t>
      </w:r>
      <w:r w:rsidRPr="00C31888">
        <w:rPr>
          <w:lang w:eastAsia="en-US"/>
        </w:rPr>
        <w:t>ramework is a part of this category of reforms. All of these reforms contribute to the delivery of better economic and social outcomes for Victoria.</w:t>
      </w:r>
    </w:p>
    <w:p w:rsidR="009A37BF" w:rsidRPr="00C31888" w:rsidRDefault="009A37BF" w:rsidP="00EE32F6">
      <w:pPr>
        <w:pStyle w:val="NormalIndent"/>
      </w:pPr>
      <w:r w:rsidRPr="00C31888">
        <w:t xml:space="preserve">The SOE </w:t>
      </w:r>
      <w:r>
        <w:t>F</w:t>
      </w:r>
      <w:r w:rsidRPr="00C31888">
        <w:t>ramework is aimed at improving performance along the regulatory cycle (below). It improves design and development by requiring regulators to self-assess their current performance against the key elements of good regulatory practice to establish a ‘baseline’ that can be improved upon. This allows for the creation of Good Regulatory Practice Plans that assist in the implementation, administration and enforcement of regulation. Finally, evaluation of regulators’ performance by departments (which is mandatory under this Framework) ensures that post-implementation evaluation is meaningful and can be used to further improve the design and development of the next SOE.</w:t>
      </w:r>
    </w:p>
    <w:p w:rsidR="009A37BF" w:rsidRDefault="009A37BF" w:rsidP="00E735F3">
      <w:pPr>
        <w:pStyle w:val="Tablechartdiagramheading"/>
        <w:ind w:left="792"/>
        <w:rPr>
          <w:lang w:eastAsia="en-US"/>
        </w:rPr>
      </w:pPr>
      <w:r w:rsidRPr="00C31888">
        <w:t>Stylised regulatory life cycle</w:t>
      </w:r>
    </w:p>
    <w:p w:rsidR="00EE32F6" w:rsidRPr="00C31888" w:rsidRDefault="000E2782" w:rsidP="00EE32F6">
      <w:pPr>
        <w:pStyle w:val="NormalIndent"/>
        <w:rPr>
          <w:lang w:eastAsia="en-US"/>
        </w:rPr>
      </w:pPr>
      <w:r>
        <w:rPr>
          <w:noProof/>
        </w:rPr>
        <mc:AlternateContent>
          <mc:Choice Requires="wpc">
            <w:drawing>
              <wp:inline distT="0" distB="0" distL="0" distR="0" wp14:anchorId="01316AE6" wp14:editId="5FDE9F04">
                <wp:extent cx="5486400" cy="1092200"/>
                <wp:effectExtent l="0" t="0" r="19050" b="0"/>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29" name="Group 29"/>
                        <wpg:cNvGrpSpPr/>
                        <wpg:grpSpPr>
                          <a:xfrm>
                            <a:off x="37504" y="90925"/>
                            <a:ext cx="5436196" cy="900752"/>
                            <a:chOff x="27278" y="1252975"/>
                            <a:chExt cx="5436196" cy="900752"/>
                          </a:xfrm>
                        </wpg:grpSpPr>
                        <wps:wsp>
                          <wps:cNvPr id="13" name="Oval 13"/>
                          <wps:cNvSpPr/>
                          <wps:spPr>
                            <a:xfrm>
                              <a:off x="27278" y="1252975"/>
                              <a:ext cx="900752" cy="900752"/>
                            </a:xfrm>
                            <a:prstGeom prst="ellipse">
                              <a:avLst/>
                            </a:prstGeom>
                            <a:solidFill>
                              <a:schemeClr val="accent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CD175F" w:rsidRPr="00E735F3" w:rsidRDefault="00CD175F" w:rsidP="006659BD">
                                <w:pPr>
                                  <w:spacing w:before="0" w:after="0" w:line="240" w:lineRule="auto"/>
                                  <w:jc w:val="center"/>
                                  <w:rPr>
                                    <w:sz w:val="14"/>
                                    <w:szCs w:val="14"/>
                                  </w:rPr>
                                </w:pPr>
                                <w:r w:rsidRPr="00E735F3">
                                  <w:rPr>
                                    <w:sz w:val="14"/>
                                    <w:szCs w:val="14"/>
                                  </w:rPr>
                                  <w:t>Policy priorities, desired outcomes and options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 name="Chevron 14"/>
                          <wps:cNvSpPr/>
                          <wps:spPr>
                            <a:xfrm>
                              <a:off x="1053301" y="1446662"/>
                              <a:ext cx="1164756" cy="511791"/>
                            </a:xfrm>
                            <a:prstGeom prst="chevron">
                              <a:avLst>
                                <a:gd name="adj" fmla="val 30000"/>
                              </a:avLst>
                            </a:prstGeom>
                            <a:solidFill>
                              <a:schemeClr val="accent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CD175F" w:rsidRPr="00E735F3" w:rsidRDefault="00CD175F" w:rsidP="006659BD">
                                <w:pPr>
                                  <w:spacing w:before="0" w:after="0"/>
                                  <w:ind w:left="-58"/>
                                  <w:jc w:val="center"/>
                                  <w:rPr>
                                    <w:sz w:val="13"/>
                                    <w:szCs w:val="13"/>
                                  </w:rPr>
                                </w:pPr>
                                <w:r w:rsidRPr="00E735F3">
                                  <w:rPr>
                                    <w:sz w:val="14"/>
                                    <w:szCs w:val="14"/>
                                  </w:rPr>
                                  <w:t>Design/</w:t>
                                </w:r>
                                <w:r w:rsidRPr="00E735F3">
                                  <w:rPr>
                                    <w:sz w:val="14"/>
                                    <w:szCs w:val="14"/>
                                  </w:rPr>
                                  <w:br/>
                                  <w:t>development</w:t>
                                </w:r>
                                <w:r w:rsidRPr="00E735F3">
                                  <w:rPr>
                                    <w:sz w:val="13"/>
                                    <w:szCs w:val="13"/>
                                  </w:rPr>
                                  <w:t xml:space="preserve"> (including impact assessment)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2" name="Chevron 22"/>
                          <wps:cNvSpPr/>
                          <wps:spPr>
                            <a:xfrm>
                              <a:off x="2132785" y="1448603"/>
                              <a:ext cx="1164557" cy="511175"/>
                            </a:xfrm>
                            <a:prstGeom prst="chevron">
                              <a:avLst>
                                <a:gd name="adj" fmla="val 30000"/>
                              </a:avLst>
                            </a:prstGeom>
                            <a:solidFill>
                              <a:schemeClr val="accent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CD175F" w:rsidRPr="00E735F3" w:rsidRDefault="00CD175F" w:rsidP="006659BD">
                                <w:pPr>
                                  <w:pStyle w:val="NormalWeb"/>
                                  <w:spacing w:before="0" w:beforeAutospacing="0" w:after="0" w:afterAutospacing="0" w:line="276" w:lineRule="auto"/>
                                  <w:jc w:val="center"/>
                                  <w:rPr>
                                    <w:rFonts w:asciiTheme="majorHAnsi" w:hAnsiTheme="majorHAnsi" w:cstheme="majorHAnsi"/>
                                    <w:sz w:val="14"/>
                                    <w:szCs w:val="14"/>
                                  </w:rPr>
                                </w:pPr>
                                <w:r w:rsidRPr="00E735F3">
                                  <w:rPr>
                                    <w:rFonts w:asciiTheme="majorHAnsi" w:eastAsia="Times New Roman" w:hAnsiTheme="majorHAnsi" w:cstheme="majorHAnsi"/>
                                    <w:bCs/>
                                    <w:spacing w:val="2"/>
                                    <w:sz w:val="14"/>
                                    <w:szCs w:val="14"/>
                                  </w:rPr>
                                  <w:t>Implementation</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3" name="Chevron 23"/>
                          <wps:cNvSpPr/>
                          <wps:spPr>
                            <a:xfrm>
                              <a:off x="3217643" y="1450521"/>
                              <a:ext cx="1164557" cy="511175"/>
                            </a:xfrm>
                            <a:prstGeom prst="chevron">
                              <a:avLst>
                                <a:gd name="adj" fmla="val 30000"/>
                              </a:avLst>
                            </a:prstGeom>
                            <a:solidFill>
                              <a:schemeClr val="accent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CD175F" w:rsidRPr="00E735F3" w:rsidRDefault="00CD175F" w:rsidP="006659BD">
                                <w:pPr>
                                  <w:pStyle w:val="NormalWeb"/>
                                  <w:spacing w:before="0" w:beforeAutospacing="0" w:after="0" w:afterAutospacing="0" w:line="276" w:lineRule="auto"/>
                                  <w:jc w:val="center"/>
                                  <w:rPr>
                                    <w:rFonts w:asciiTheme="majorHAnsi" w:hAnsiTheme="majorHAnsi" w:cstheme="majorHAnsi"/>
                                    <w:sz w:val="14"/>
                                    <w:szCs w:val="14"/>
                                  </w:rPr>
                                </w:pPr>
                                <w:r w:rsidRPr="00E735F3">
                                  <w:rPr>
                                    <w:rFonts w:asciiTheme="majorHAnsi" w:eastAsia="Times New Roman" w:hAnsiTheme="majorHAnsi" w:cstheme="majorHAnsi"/>
                                    <w:bCs/>
                                    <w:spacing w:val="2"/>
                                    <w:sz w:val="14"/>
                                    <w:szCs w:val="14"/>
                                  </w:rPr>
                                  <w:t>Administration and enforcement</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4" name="Chevron 24"/>
                          <wps:cNvSpPr/>
                          <wps:spPr>
                            <a:xfrm>
                              <a:off x="4299169" y="1452582"/>
                              <a:ext cx="1164305" cy="511175"/>
                            </a:xfrm>
                            <a:prstGeom prst="chevron">
                              <a:avLst>
                                <a:gd name="adj" fmla="val 30000"/>
                              </a:avLst>
                            </a:prstGeom>
                            <a:solidFill>
                              <a:schemeClr val="accent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CD175F" w:rsidRPr="00E735F3" w:rsidRDefault="00CD175F" w:rsidP="006659BD">
                                <w:pPr>
                                  <w:pStyle w:val="NormalWeb"/>
                                  <w:spacing w:before="0" w:beforeAutospacing="0" w:after="0" w:afterAutospacing="0" w:line="276" w:lineRule="auto"/>
                                  <w:jc w:val="center"/>
                                  <w:rPr>
                                    <w:rFonts w:asciiTheme="majorHAnsi" w:hAnsiTheme="majorHAnsi" w:cstheme="majorHAnsi"/>
                                    <w:sz w:val="14"/>
                                    <w:szCs w:val="14"/>
                                  </w:rPr>
                                </w:pPr>
                                <w:r w:rsidRPr="00E735F3">
                                  <w:rPr>
                                    <w:rFonts w:asciiTheme="majorHAnsi" w:eastAsia="Times New Roman" w:hAnsiTheme="majorHAnsi" w:cstheme="majorHAnsi"/>
                                    <w:bCs/>
                                    <w:spacing w:val="2"/>
                                    <w:sz w:val="14"/>
                                    <w:szCs w:val="14"/>
                                  </w:rPr>
                                  <w:t>Post-implementation evaluation</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0" name="Straight Connector 20"/>
                          <wps:cNvCnPr>
                            <a:stCxn id="13" idx="6"/>
                            <a:endCxn id="14" idx="1"/>
                          </wps:cNvCnPr>
                          <wps:spPr>
                            <a:xfrm flipV="1">
                              <a:off x="928030" y="1702558"/>
                              <a:ext cx="278808" cy="79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5" name="Elbow Connector 25"/>
                          <wps:cNvCnPr>
                            <a:stCxn id="24" idx="2"/>
                            <a:endCxn id="22" idx="2"/>
                          </wps:cNvCnPr>
                          <wps:spPr>
                            <a:xfrm rot="5400000" flipH="1">
                              <a:off x="3719526" y="878639"/>
                              <a:ext cx="3979" cy="2166258"/>
                            </a:xfrm>
                            <a:prstGeom prst="bentConnector3">
                              <a:avLst>
                                <a:gd name="adj1" fmla="val -5745162"/>
                              </a:avLst>
                            </a:prstGeom>
                            <a:ln>
                              <a:tailEnd type="stealth"/>
                            </a:ln>
                          </wps:spPr>
                          <wps:style>
                            <a:lnRef idx="1">
                              <a:schemeClr val="accent1"/>
                            </a:lnRef>
                            <a:fillRef idx="0">
                              <a:schemeClr val="accent1"/>
                            </a:fillRef>
                            <a:effectRef idx="0">
                              <a:schemeClr val="accent1"/>
                            </a:effectRef>
                            <a:fontRef idx="minor">
                              <a:schemeClr val="tx1"/>
                            </a:fontRef>
                          </wps:style>
                          <wps:bodyPr/>
                        </wps:wsp>
                        <wps:wsp>
                          <wps:cNvPr id="26" name="Elbow Connector 26"/>
                          <wps:cNvCnPr>
                            <a:stCxn id="22" idx="2"/>
                            <a:endCxn id="14" idx="2"/>
                          </wps:cNvCnPr>
                          <wps:spPr>
                            <a:xfrm rot="5400000" flipH="1">
                              <a:off x="2097986" y="1419378"/>
                              <a:ext cx="1325" cy="1079477"/>
                            </a:xfrm>
                            <a:prstGeom prst="bentConnector3">
                              <a:avLst>
                                <a:gd name="adj1" fmla="val -17428000"/>
                              </a:avLst>
                            </a:prstGeom>
                            <a:ln>
                              <a:tailEnd type="stealth"/>
                            </a:ln>
                          </wps:spPr>
                          <wps:style>
                            <a:lnRef idx="1">
                              <a:schemeClr val="accent1"/>
                            </a:lnRef>
                            <a:fillRef idx="0">
                              <a:schemeClr val="accent1"/>
                            </a:fillRef>
                            <a:effectRef idx="0">
                              <a:schemeClr val="accent1"/>
                            </a:effectRef>
                            <a:fontRef idx="minor">
                              <a:schemeClr val="tx1"/>
                            </a:fontRef>
                          </wps:style>
                          <wps:bodyPr/>
                        </wps:wsp>
                        <wps:wsp>
                          <wps:cNvPr id="27" name="Elbow Connector 27"/>
                          <wps:cNvCnPr>
                            <a:stCxn id="24" idx="0"/>
                            <a:endCxn id="23" idx="0"/>
                          </wps:cNvCnPr>
                          <wps:spPr>
                            <a:xfrm rot="16200000" flipV="1">
                              <a:off x="4262915" y="910852"/>
                              <a:ext cx="2061" cy="1081400"/>
                            </a:xfrm>
                            <a:prstGeom prst="bentConnector3">
                              <a:avLst>
                                <a:gd name="adj1" fmla="val 11191703"/>
                              </a:avLst>
                            </a:prstGeom>
                            <a:ln>
                              <a:tailEnd type="stealth"/>
                            </a:ln>
                          </wps:spPr>
                          <wps:style>
                            <a:lnRef idx="1">
                              <a:schemeClr val="accent1"/>
                            </a:lnRef>
                            <a:fillRef idx="0">
                              <a:schemeClr val="accent1"/>
                            </a:fillRef>
                            <a:effectRef idx="0">
                              <a:schemeClr val="accent1"/>
                            </a:effectRef>
                            <a:fontRef idx="minor">
                              <a:schemeClr val="tx1"/>
                            </a:fontRef>
                          </wps:style>
                          <wps:bodyPr/>
                        </wps:wsp>
                        <wps:wsp>
                          <wps:cNvPr id="28" name="Isosceles Triangle 28"/>
                          <wps:cNvSpPr/>
                          <wps:spPr>
                            <a:xfrm rot="5400000">
                              <a:off x="970499" y="1631285"/>
                              <a:ext cx="169192" cy="145855"/>
                            </a:xfrm>
                            <a:prstGeom prst="triangle">
                              <a:avLst/>
                            </a:prstGeom>
                            <a:solidFill>
                              <a:schemeClr val="bg1">
                                <a:lumMod val="75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c:wpc>
                  </a:graphicData>
                </a:graphic>
              </wp:inline>
            </w:drawing>
          </mc:Choice>
          <mc:Fallback>
            <w:pict>
              <v:group id="Canvas 4" o:spid="_x0000_s1026" editas="canvas" style="width:6in;height:86pt;mso-position-horizontal-relative:char;mso-position-vertical-relative:line" coordsize="54864,10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vHymQYAACInAAAOAAAAZHJzL2Uyb0RvYy54bWzsWtuO2zYQfS/QfyD0nljU1TLiBAvn0gJp&#10;EnTT5pmWKVuFRKoUd+3t13c4JOXL2slu0lyaeB+8lEiR1PDM4fCMHj3ZtA255qqvpZgG9GEYEC5K&#10;uajFchr88fb5g3FAes3EgjVS8Glww/vgyeOff3q07iY8kivZLLgi0InoJ+tuGqy07iajUV+ueMv6&#10;h7LjAiorqVqm4VItRwvF1tB724yiMMxGa6kWnZIl73u4+9RWBo+x/6ripX5dVT3XpJkGMDeNvwp/&#10;5+Z39PgRmywV61Z16abBPmIWLasFDDp09ZRpRq5Ufaurti6V7GWlH5ayHcmqqkuO7wBvQ8ODt5kx&#10;cc16fJkSrOMnCKX/sN/5EmwAXU7WsBgcy8vJetkNiwILebAq93qJF0pedfgOy0n56vqNIvViGkRF&#10;QARrARFYT+DaDQ1tXqjusnuj3I2lvTLW3VSqNf/BbmQzDeI8DZOA3EyDIiyi1C4m32hSQmWaxBkt&#10;soCUWB/maWQblCuAhHk8yqMc4AnVNEqjIncdlKtn7+9i5CcyWndLAA9O1tgQINxv7dZ/mt0uV6zj&#10;aLd+x2409nZ7fc0aApdoJWwy2Kyf9GC+IwY78cbeZEWIVjqw2PC6bNKpXr/gsiWmMA1409RdbybJ&#10;Juz6Za9hLtDatzK3e9nUi+d10+CF8Wo+axSBuU8DVpZcaGreAJ7aa9kIsoZlKcIUXRQM7d8JS/qm&#10;4abDRvzOK8CTWUycBfLG7RFw8BVbcDtwGsKfH9bPCSeBHZrWFUx56Ju+r287e9fePMqRdoaHww8/&#10;PDyBI0uhh4fbWkh1rINmsFtl28P0d0xjinoz3zhwzOXiBhxPSct/fVc+r2EFX7Jev2EKCA+oEUhc&#10;v4afqpFgeulKAVlJ9c+x+6Y9IBxqA7IGAp0G/d9XTPGANL8KwL5hW19QvjD3BXHVziRggML20JVY&#10;hAeUbnyxUrJ9B9x+YUaBKiZKGGsalFr5i5m2RA67Q8kvLrAZsGrH9EtxaTjSrpuB49vNO6Y6B1sN&#10;eH8lvX/dgq5ta5ZCyIsrLasacW1Mau3oTA2+/qWcHkjOkuVsxa+VFIQm9/J7GqZxHIKtDdclSZZl&#10;jgu951OaJXnqyDKlNC+8W3rK9U7tbAheYyaC0ETXN/ZaLtw02eKvgFRtA8gyLBXv+JtrfKaJwekt&#10;f31VmsAtGVd8i/IzW9hN7n/HFlF0yBZwx20EEFzdIUqgMQRGqWeLcRZilAE7m4uLDFukaW5DK2AL&#10;akOn04HCmS0q3Nq/j6DCBvAeUneNLc6xguHWz35AiIYDgo8V4M59vD+OaJ4l0AvGCmmYRrgxnL1/&#10;/9Bi/Ln/EY8U6P0DpM7eD4eAb+ekEN06KcCd+3h/EhUFzUCcsd4fpeMjJ4U4hODAyCrnvf9HExTQ&#10;+wdInb3/2/J+0EmsTnCpFauXK01mUggQwaUiESpeJgaBQ8BMWH2w17ONsKc/2PFRSMsMX8BuLxZD&#10;FZAKVllNYK8Lc7ErNpIKJME/vfTidNoiGocxzM1wSh5GaTp2Y7jzBJw2xiEosYZS8gL3ltNniaYW&#10;71Ec76AU3kHNOy4D3uGI/qVlQL3xOs1JGdD6KKwpmubLiVagxzswPmvmcr2LRBTa92AEsdSARLOH&#10;OUn3EInmaLutwhcawHwLiah2ponRngB7Bpe/HOAyzmmRRqB6Ae7G+TiLMQmxjXTjIoed0KAyoiCZ&#10;WdieRuYc1OzB3+LT0hjocFtt7EGaJym1ehx0fVwea4RxSc3q5plYEH3TQd6k15w1emU8CZ4zLc7Y&#10;txaw2QGDh6+GfcCUJeJb2Ed6PY39PYAfZ2EMyD4Z+1EI4B5b7NOEFjGkwqy7eZEnNh5swE/DvEjy&#10;3CHthCD8ceCneQJ7w5CMOaMf3NwxuSW6kwmgb5n5QRk8gX4E0Wn0e+Z3efmdGMTIGsj823zgB5gf&#10;OHWH+g9DkiTKooJajbOg4dgnh73EGYUZ0LRF/5jCJvIZ0A/CaQHxkI93zuD/LsAPcawF/6+97Eve&#10;8J68VTUTy4aTCDnW4f+EEG/zLj5uMfu+j6LzMCncyTyLaQQK/T5hZwUtYP9A0CbpOMX60+GKdrPa&#10;Bio2lPCZPjP0XlL+ILk+X9pIurlqf5MLexCGDzIGVxmaY4Cy15NN70PsZadoDGIPEVg6Z/fvkN2/&#10;69H7WOr+Y1P6BeSOIZS2af0kzeFISWxq39XY9L6r+V5S/BBq4QdRGGDjd1gIaPfRmPnSa/caW20/&#10;bXv8LwAAAP//AwBQSwMEFAAGAAgAAAAhANJECbfbAAAABQEAAA8AAABkcnMvZG93bnJldi54bWxM&#10;j0FLxDAQhe+C/yGM4M1NLKVbatNFBEX0oLsWvGabbBtMJqXJbqu/3tGLXgYe7/Hme/Vm8Y6dzBRt&#10;QAnXKwHMYBe0xV5C+3Z/VQKLSaFWLqCR8GkibJrzs1pVOsy4Nadd6hmVYKyUhCGlseI8doPxKq7C&#10;aJC8Q5i8SiSnnutJzVTuHc+EKLhXFunDoEZzN5juY3f0EvLs4MrXh+L567Ft56f33K7Fi5Xy8mK5&#10;vQGWzJL+wvCDT+jQENM+HFFH5iTQkPR7ySuLnOSeQutMAG9q/p+++QYAAP//AwBQSwECLQAUAAYA&#10;CAAAACEAtoM4kv4AAADhAQAAEwAAAAAAAAAAAAAAAAAAAAAAW0NvbnRlbnRfVHlwZXNdLnhtbFBL&#10;AQItABQABgAIAAAAIQA4/SH/1gAAAJQBAAALAAAAAAAAAAAAAAAAAC8BAABfcmVscy8ucmVsc1BL&#10;AQItABQABgAIAAAAIQBbTvHymQYAACInAAAOAAAAAAAAAAAAAAAAAC4CAABkcnMvZTJvRG9jLnht&#10;bFBLAQItABQABgAIAAAAIQDSRAm32wAAAAUBAAAPAAAAAAAAAAAAAAAAAPMIAABkcnMvZG93bnJl&#10;di54bWxQSwUGAAAAAAQABADzAAAA+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10922;visibility:visible;mso-wrap-style:square">
                  <v:fill o:detectmouseclick="t"/>
                  <v:path o:connecttype="none"/>
                </v:shape>
                <v:group id="Group 29" o:spid="_x0000_s1028" style="position:absolute;left:375;top:909;width:54362;height:9007" coordorigin="272,12529" coordsize="54361,90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oval id="Oval 13" o:spid="_x0000_s1029" style="position:absolute;left:272;top:12529;width:9008;height:90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Iw/8IA&#10;AADbAAAADwAAAGRycy9kb3ducmV2LnhtbERPTWvCQBC9F/wPywi91U0bLRJdJVharCcbBT1Os2M2&#10;mJ0N2a2m/75bELzN433OfNnbRlyo87VjBc+jBARx6XTNlYL97v1pCsIHZI2NY1LwSx6Wi8HDHDPt&#10;rvxFlyJUIoawz1CBCaHNpPSlIYt+5FriyJ1cZzFE2FVSd3iN4baRL0nyKi3WHBsMtrQyVJ6LH6vg&#10;ND5MzXFLJMv0M/9+2230x2Sj1OOwz2cgAvXhLr651zrOT+H/l3i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AjD/wgAAANsAAAAPAAAAAAAAAAAAAAAAAJgCAABkcnMvZG93&#10;bnJldi54bWxQSwUGAAAAAAQABAD1AAAAhwMAAAAA&#10;" fillcolor="#0063a6 [3204]" strokecolor="#003152 [1604]" strokeweight="1.5pt">
                    <v:textbox inset="0,0,0,0">
                      <w:txbxContent>
                        <w:p w:rsidR="00CD175F" w:rsidRPr="00E735F3" w:rsidRDefault="00CD175F" w:rsidP="006659BD">
                          <w:pPr>
                            <w:spacing w:before="0" w:after="0" w:line="240" w:lineRule="auto"/>
                            <w:jc w:val="center"/>
                            <w:rPr>
                              <w:sz w:val="14"/>
                              <w:szCs w:val="14"/>
                            </w:rPr>
                          </w:pPr>
                          <w:r w:rsidRPr="00E735F3">
                            <w:rPr>
                              <w:sz w:val="14"/>
                              <w:szCs w:val="14"/>
                            </w:rPr>
                            <w:t>Policy priorities, desired outcomes and options</w:t>
                          </w:r>
                        </w:p>
                      </w:txbxContent>
                    </v:textbox>
                  </v:oval>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4" o:spid="_x0000_s1030" type="#_x0000_t55" style="position:absolute;left:10533;top:14466;width:11647;height:51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c5vMIA&#10;AADbAAAADwAAAGRycy9kb3ducmV2LnhtbERPS2vCQBC+F/oflin0VjeKLSG6Ca204KGX+ryO2TEb&#10;zc6G7NbEf+8WCt7m43vOvBhsIy7U+dqxgvEoAUFcOl1zpWCz/npJQfiArLFxTAqu5KHIHx/mmGnX&#10;8w9dVqESMYR9hgpMCG0mpS8NWfQj1xJH7ug6iyHCrpK6wz6G20ZOkuRNWqw5NhhsaWGoPK9+rYKP&#10;sSVz2p6q/WH3vU5f+2mCn0ulnp+G9xmIQEO4i//dSx3nT+Hvl3iAz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Jzm8wgAAANsAAAAPAAAAAAAAAAAAAAAAAJgCAABkcnMvZG93&#10;bnJldi54bWxQSwUGAAAAAAQABAD1AAAAhwMAAAAA&#10;" adj="18753" fillcolor="#0063a6 [3204]" strokecolor="#003152 [1604]" strokeweight="1.5pt">
                    <v:textbox inset="0,0,0,0">
                      <w:txbxContent>
                        <w:p w:rsidR="00CD175F" w:rsidRPr="00E735F3" w:rsidRDefault="00CD175F" w:rsidP="006659BD">
                          <w:pPr>
                            <w:spacing w:before="0" w:after="0"/>
                            <w:ind w:left="-58"/>
                            <w:jc w:val="center"/>
                            <w:rPr>
                              <w:sz w:val="13"/>
                              <w:szCs w:val="13"/>
                            </w:rPr>
                          </w:pPr>
                          <w:r w:rsidRPr="00E735F3">
                            <w:rPr>
                              <w:sz w:val="14"/>
                              <w:szCs w:val="14"/>
                            </w:rPr>
                            <w:t>Design/</w:t>
                          </w:r>
                          <w:r w:rsidRPr="00E735F3">
                            <w:rPr>
                              <w:sz w:val="14"/>
                              <w:szCs w:val="14"/>
                            </w:rPr>
                            <w:br/>
                            <w:t>development</w:t>
                          </w:r>
                          <w:r w:rsidRPr="00E735F3">
                            <w:rPr>
                              <w:sz w:val="13"/>
                              <w:szCs w:val="13"/>
                            </w:rPr>
                            <w:t xml:space="preserve"> (including impact assessment)</w:t>
                          </w:r>
                        </w:p>
                      </w:txbxContent>
                    </v:textbox>
                  </v:shape>
                  <v:shape id="Chevron 22" o:spid="_x0000_s1031" type="#_x0000_t55" style="position:absolute;left:21327;top:14486;width:11646;height:51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KZ+sMA&#10;AADbAAAADwAAAGRycy9kb3ducmV2LnhtbESPT2vCQBTE7wW/w/IEb3VjDm1JXUVEoeDF+ufg7ZF9&#10;TaLZtyH7NPHbu4LQ4zAzv2Gm897V6kZtqDwbmIwTUMS5txUXBg779fsXqCDIFmvPZOBOAeazwdsU&#10;M+s7/qXbTgoVIRwyNFCKNJnWIS/JYRj7hjh6f751KFG2hbYtdhHuap0myYd2WHFcKLGhZUn5ZXd1&#10;BpKz2x9PcurXq2v+uTluuoPI1pjRsF98gxLq5T/8av9YA2kKzy/xB+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KZ+sMAAADbAAAADwAAAAAAAAAAAAAAAACYAgAAZHJzL2Rv&#10;d25yZXYueG1sUEsFBgAAAAAEAAQA9QAAAIgDAAAAAA==&#10;" adj="18756" fillcolor="#0063a6 [3204]" strokecolor="#003152 [1604]" strokeweight="1.5pt">
                    <v:textbox inset="0,0,0,0">
                      <w:txbxContent>
                        <w:p w:rsidR="00CD175F" w:rsidRPr="00E735F3" w:rsidRDefault="00CD175F" w:rsidP="006659BD">
                          <w:pPr>
                            <w:pStyle w:val="NormalWeb"/>
                            <w:spacing w:before="0" w:beforeAutospacing="0" w:after="0" w:afterAutospacing="0" w:line="276" w:lineRule="auto"/>
                            <w:jc w:val="center"/>
                            <w:rPr>
                              <w:rFonts w:asciiTheme="majorHAnsi" w:hAnsiTheme="majorHAnsi" w:cstheme="majorHAnsi"/>
                              <w:sz w:val="14"/>
                              <w:szCs w:val="14"/>
                            </w:rPr>
                          </w:pPr>
                          <w:r w:rsidRPr="00E735F3">
                            <w:rPr>
                              <w:rFonts w:asciiTheme="majorHAnsi" w:eastAsia="Times New Roman" w:hAnsiTheme="majorHAnsi" w:cstheme="majorHAnsi"/>
                              <w:bCs/>
                              <w:spacing w:val="2"/>
                              <w:sz w:val="14"/>
                              <w:szCs w:val="14"/>
                            </w:rPr>
                            <w:t>Implementation</w:t>
                          </w:r>
                        </w:p>
                      </w:txbxContent>
                    </v:textbox>
                  </v:shape>
                  <v:shape id="Chevron 23" o:spid="_x0000_s1032" type="#_x0000_t55" style="position:absolute;left:32176;top:14505;width:11646;height:51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48YcQA&#10;AADbAAAADwAAAGRycy9kb3ducmV2LnhtbESPT2vCQBTE74V+h+UVvNVNFayk2UgRBcFL65+Dt0f2&#10;NYlm34bs08Rv3xUKPQ4z8xsmWwyuUTfqQu3ZwNs4AUVceFtzaeCwX7/OQQVBtth4JgN3CrDIn58y&#10;TK3v+ZtuOylVhHBI0UAl0qZah6Iih2HsW+Lo/fjOoUTZldp22Ee4a/QkSWbaYc1xocKWlhUVl93V&#10;GUjObn88yWlYr67F+/a47Q8iX8aMXobPD1BCg/yH/9oba2AyhceX+AN0/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uPGHEAAAA2wAAAA8AAAAAAAAAAAAAAAAAmAIAAGRycy9k&#10;b3ducmV2LnhtbFBLBQYAAAAABAAEAPUAAACJAwAAAAA=&#10;" adj="18756" fillcolor="#0063a6 [3204]" strokecolor="#003152 [1604]" strokeweight="1.5pt">
                    <v:textbox inset="0,0,0,0">
                      <w:txbxContent>
                        <w:p w:rsidR="00CD175F" w:rsidRPr="00E735F3" w:rsidRDefault="00CD175F" w:rsidP="006659BD">
                          <w:pPr>
                            <w:pStyle w:val="NormalWeb"/>
                            <w:spacing w:before="0" w:beforeAutospacing="0" w:after="0" w:afterAutospacing="0" w:line="276" w:lineRule="auto"/>
                            <w:jc w:val="center"/>
                            <w:rPr>
                              <w:rFonts w:asciiTheme="majorHAnsi" w:hAnsiTheme="majorHAnsi" w:cstheme="majorHAnsi"/>
                              <w:sz w:val="14"/>
                              <w:szCs w:val="14"/>
                            </w:rPr>
                          </w:pPr>
                          <w:r w:rsidRPr="00E735F3">
                            <w:rPr>
                              <w:rFonts w:asciiTheme="majorHAnsi" w:eastAsia="Times New Roman" w:hAnsiTheme="majorHAnsi" w:cstheme="majorHAnsi"/>
                              <w:bCs/>
                              <w:spacing w:val="2"/>
                              <w:sz w:val="14"/>
                              <w:szCs w:val="14"/>
                            </w:rPr>
                            <w:t>Administration and enforcement</w:t>
                          </w:r>
                        </w:p>
                      </w:txbxContent>
                    </v:textbox>
                  </v:shape>
                  <v:shape id="Chevron 24" o:spid="_x0000_s1033" type="#_x0000_t55" style="position:absolute;left:42991;top:14525;width:11643;height:51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TxNsYA&#10;AADbAAAADwAAAGRycy9kb3ducmV2LnhtbESPT2vCQBTE74LfYXlCb7pRbJHoKhLU9tDWv4jHR/aZ&#10;BLNvY3bV9Nt3CwWPw8z8hpnMGlOKO9WusKyg34tAEKdWF5wpOOyX3REI55E1lpZJwQ85mE3brQnG&#10;2j54S/edz0SAsItRQe59FUvp0pwMup6tiIN3trVBH2SdSV3jI8BNKQdR9CYNFhwWcqwoySm97G5G&#10;QXN7XybJ8Pu6Wnxuzl/Hy+l1tLZKvXSa+RiEp8Y/w//tD61gMIS/L+EHy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TxNsYAAADbAAAADwAAAAAAAAAAAAAAAACYAgAAZHJz&#10;L2Rvd25yZXYueG1sUEsFBgAAAAAEAAQA9QAAAIsDAAAAAA==&#10;" adj="18755" fillcolor="#0063a6 [3204]" strokecolor="#003152 [1604]" strokeweight="1.5pt">
                    <v:textbox inset="0,0,0,0">
                      <w:txbxContent>
                        <w:p w:rsidR="00CD175F" w:rsidRPr="00E735F3" w:rsidRDefault="00CD175F" w:rsidP="006659BD">
                          <w:pPr>
                            <w:pStyle w:val="NormalWeb"/>
                            <w:spacing w:before="0" w:beforeAutospacing="0" w:after="0" w:afterAutospacing="0" w:line="276" w:lineRule="auto"/>
                            <w:jc w:val="center"/>
                            <w:rPr>
                              <w:rFonts w:asciiTheme="majorHAnsi" w:hAnsiTheme="majorHAnsi" w:cstheme="majorHAnsi"/>
                              <w:sz w:val="14"/>
                              <w:szCs w:val="14"/>
                            </w:rPr>
                          </w:pPr>
                          <w:r w:rsidRPr="00E735F3">
                            <w:rPr>
                              <w:rFonts w:asciiTheme="majorHAnsi" w:eastAsia="Times New Roman" w:hAnsiTheme="majorHAnsi" w:cstheme="majorHAnsi"/>
                              <w:bCs/>
                              <w:spacing w:val="2"/>
                              <w:sz w:val="14"/>
                              <w:szCs w:val="14"/>
                            </w:rPr>
                            <w:t>Post-implementation evaluation</w:t>
                          </w:r>
                        </w:p>
                      </w:txbxContent>
                    </v:textbox>
                  </v:shape>
                  <v:line id="Straight Connector 20" o:spid="_x0000_s1034" style="position:absolute;flip:y;visibility:visible;mso-wrap-style:square" from="9280,17025" to="12068,17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UFQ8MAAADbAAAADwAAAGRycy9kb3ducmV2LnhtbERPTWvCQBC9C/6HZQRvdaMWLdFNEEEa&#10;LKi1PXgcsmMSzM6m2a1J++u7h4LHx/tep72pxZ1aV1lWMJ1EIIhzqysuFHx+7J5eQDiPrLG2TAp+&#10;yEGaDAdrjLXt+J3uZ1+IEMIuRgWl900spctLMugmtiEO3NW2Bn2AbSF1i10IN7WcRdFCGqw4NJTY&#10;0Lak/Hb+NgqyjPf7X94dL9PT16ufV2+H526p1HjUb1YgPPX+If53Z1rBLKwPX8IPkM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VBUPDAAAA2wAAAA8AAAAAAAAAAAAA&#10;AAAAoQIAAGRycy9kb3ducmV2LnhtbFBLBQYAAAAABAAEAPkAAACRAwAAAAA=&#10;" strokecolor="#005d9d [3044]"/>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5" o:spid="_x0000_s1035" type="#_x0000_t34" style="position:absolute;left:37195;top:8785;width:40;height:2166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1rSMIAAADbAAAADwAAAGRycy9kb3ducmV2LnhtbESP3WoCMRSE7wu+QziCdzXrgm1ZjSKC&#10;6IUFf/oAh80xWdycLEnU9e1NodDLYWa+YebL3rXiTiE2nhVMxgUI4trrho2Cn/Pm/QtETMgaW8+k&#10;4EkRlovB2xwr7R98pPspGZEhHCtUYFPqKiljbclhHPuOOHsXHxymLIOROuAjw10ry6L4kA4bzgsW&#10;O1pbqq+nm1NwPkwPn/Zpt6b8dsWxve5NwFqp0bBfzUAk6tN/+K+90wrKKfx+yT9AL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51rSMIAAADbAAAADwAAAAAAAAAAAAAA&#10;AAChAgAAZHJzL2Rvd25yZXYueG1sUEsFBgAAAAAEAAQA+QAAAJADAAAAAA==&#10;" adj="-1240955" strokecolor="#005d9d [3044]">
                    <v:stroke endarrow="classic"/>
                  </v:shape>
                  <v:shape id="Elbow Connector 26" o:spid="_x0000_s1036" type="#_x0000_t34" style="position:absolute;left:20979;top:14194;width:13;height:1079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1LmcQAAADbAAAADwAAAGRycy9kb3ducmV2LnhtbESPzWrDMBCE74W8g9hALiWR64NxnSgh&#10;BEpSaAvNz32xNrKJtTKWYrt9+qpQ6HGYmW+Y1Wa0jeip87VjBU+LBARx6XTNRsH59DLPQfiArLFx&#10;TAq+yMNmPXlYYaHdwJ/UH4MREcK+QAVVCG0hpS8rsugXriWO3tV1FkOUnZG6wyHCbSPTJMmkxZrj&#10;QoUt7Soqb8e7VfD87i7oyw9tz/51MMa+7R+/c6Vm03G7BBFoDP/hv/ZBK0gz+P0Sf4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LUuZxAAAANsAAAAPAAAAAAAAAAAA&#10;AAAAAKECAABkcnMvZG93bnJldi54bWxQSwUGAAAAAAQABAD5AAAAkgMAAAAA&#10;" adj="-3764448" strokecolor="#005d9d [3044]">
                    <v:stroke endarrow="classic"/>
                  </v:shape>
                  <v:shape id="Elbow Connector 27" o:spid="_x0000_s1037" type="#_x0000_t34" style="position:absolute;left:42629;top:9108;width:20;height:10814;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UelcQAAADbAAAADwAAAGRycy9kb3ducmV2LnhtbESPQWsCMRSE74L/ITyhN83qoZWtUUQo&#10;bS8tbivS2+vmdXd18xI2qRv/vREEj8PMfMMsVtG04kSdbywrmE4yEMSl1Q1XCr6/XsZzED4ga2wt&#10;k4IzeVgth4MF5tr2vKVTESqRIOxzVFCH4HIpfVmTQT+xjjh5f7YzGJLsKqk77BPctHKWZY/SYMNp&#10;oUZHm5rKY/FvFHzIfZ8dnP2R77/F6859xu2Go1IPo7h+BhEohnv41n7TCmZPcP2SfoBcX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pR6VxAAAANsAAAAPAAAAAAAAAAAA&#10;AAAAAKECAABkcnMvZG93bnJldi54bWxQSwUGAAAAAAQABAD5AAAAkgMAAAAA&#10;" adj="2417408" strokecolor="#005d9d [3044]">
                    <v:stroke endarrow="classic"/>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8" o:spid="_x0000_s1038" type="#_x0000_t5" style="position:absolute;left:9705;top:16312;width:1692;height:145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82UcAA&#10;AADbAAAADwAAAGRycy9kb3ducmV2LnhtbERPTYvCMBC9C/sfwix4kW2qB3GrUcqCICgF67LnoRmb&#10;YjPpNlHrvzcHwePjfa82g23FjXrfOFYwTVIQxJXTDdcKfk/brwUIH5A1to5JwYM8bNYfoxVm2t35&#10;SLcy1CKGsM9QgQmhy6T0lSGLPnEdceTOrrcYIuxrqXu8x3DbylmazqXFhmODwY5+DFWX8moVXHNr&#10;isn5sJ8v/odJXpR/321hlRp/DvkSRKAhvMUv904rmMWx8Uv8AX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K82UcAAAADbAAAADwAAAAAAAAAAAAAAAACYAgAAZHJzL2Rvd25y&#10;ZXYueG1sUEsFBgAAAAAEAAQA9QAAAIUDAAAAAA==&#10;" fillcolor="#bfbfbf [2412]" strokecolor="#003152 [1604]"/>
                </v:group>
                <w10:anchorlock/>
              </v:group>
            </w:pict>
          </mc:Fallback>
        </mc:AlternateContent>
      </w:r>
    </w:p>
    <w:p w:rsidR="009A37BF" w:rsidRPr="00C31888" w:rsidRDefault="009A37BF" w:rsidP="00EE32F6">
      <w:pPr>
        <w:pStyle w:val="NoteNormalindent"/>
      </w:pPr>
      <w:r w:rsidRPr="00C31888">
        <w:t>Source: V</w:t>
      </w:r>
      <w:r w:rsidR="00831419">
        <w:t xml:space="preserve">ictorian </w:t>
      </w:r>
      <w:r w:rsidRPr="00C31888">
        <w:t>C</w:t>
      </w:r>
      <w:r w:rsidR="00831419">
        <w:t xml:space="preserve">ompetition and </w:t>
      </w:r>
      <w:r w:rsidRPr="00C31888">
        <w:t>E</w:t>
      </w:r>
      <w:r w:rsidR="00831419">
        <w:t xml:space="preserve">fficiency </w:t>
      </w:r>
      <w:r w:rsidRPr="00C31888">
        <w:t>C</w:t>
      </w:r>
      <w:r w:rsidR="00831419">
        <w:t>ommission</w:t>
      </w:r>
      <w:r w:rsidRPr="00C31888">
        <w:t xml:space="preserve"> Inquiry into Victoria’s regulatory framework, </w:t>
      </w:r>
      <w:r w:rsidRPr="002D2A2B">
        <w:rPr>
          <w:i/>
        </w:rPr>
        <w:t>Strengthening Foundations for the Next Decade, Final Report April 2011</w:t>
      </w:r>
      <w:r w:rsidRPr="00C31888">
        <w:t>, p. xxix.</w:t>
      </w:r>
    </w:p>
    <w:p w:rsidR="009A37BF" w:rsidRPr="00C31888" w:rsidRDefault="009A37BF" w:rsidP="00EE32F6">
      <w:pPr>
        <w:pStyle w:val="Heading1numbered"/>
      </w:pPr>
      <w:bookmarkStart w:id="3" w:name="_Toc481760519"/>
      <w:bookmarkStart w:id="4" w:name="_Toc483905972"/>
      <w:r w:rsidRPr="00C31888">
        <w:lastRenderedPageBreak/>
        <w:t xml:space="preserve">Overview of the SOE </w:t>
      </w:r>
      <w:r>
        <w:t>F</w:t>
      </w:r>
      <w:r w:rsidRPr="00C31888">
        <w:t>ramework</w:t>
      </w:r>
      <w:bookmarkEnd w:id="3"/>
      <w:bookmarkEnd w:id="4"/>
    </w:p>
    <w:p w:rsidR="009A37BF" w:rsidRPr="00C31888" w:rsidRDefault="009A37BF" w:rsidP="00EE32F6">
      <w:pPr>
        <w:pStyle w:val="NormalIndent"/>
      </w:pPr>
      <w:r w:rsidRPr="00C31888">
        <w:t xml:space="preserve">Establishing clear expectations of regulator </w:t>
      </w:r>
      <w:r w:rsidRPr="00BE2EDD">
        <w:t xml:space="preserve">performance </w:t>
      </w:r>
      <w:r w:rsidRPr="006B65CC">
        <w:t>across critical elements</w:t>
      </w:r>
      <w:r>
        <w:t xml:space="preserve"> of good regulatory practice</w:t>
      </w:r>
      <w:r w:rsidRPr="00C31888">
        <w:t xml:space="preserve"> can reduce the costs faced by Victorians and Victorian businesses. For this reason, the Government is issuing Ministerial SOEs to all Victorian business regulators. </w:t>
      </w:r>
    </w:p>
    <w:p w:rsidR="009A37BF" w:rsidRPr="00C31888" w:rsidRDefault="009A37BF" w:rsidP="00EE32F6">
      <w:pPr>
        <w:pStyle w:val="NormalIndent"/>
      </w:pPr>
      <w:r w:rsidRPr="00C31888">
        <w:t xml:space="preserve">The </w:t>
      </w:r>
      <w:r>
        <w:t xml:space="preserve">SOE </w:t>
      </w:r>
      <w:r w:rsidRPr="00C31888">
        <w:t>Framework applies to all</w:t>
      </w:r>
      <w:r>
        <w:t xml:space="preserve"> Victorian</w:t>
      </w:r>
      <w:r w:rsidRPr="00C31888">
        <w:t xml:space="preserve"> business regulators on an ongoing basis. Under the </w:t>
      </w:r>
      <w:r>
        <w:t xml:space="preserve">SOE </w:t>
      </w:r>
      <w:r w:rsidRPr="00C31888">
        <w:t>Framework, regulators will be issued a new SOE every two years.</w:t>
      </w:r>
      <w:r>
        <w:t xml:space="preserve"> </w:t>
      </w:r>
      <w:r w:rsidRPr="00C31888">
        <w:t xml:space="preserve">The </w:t>
      </w:r>
      <w:r>
        <w:t xml:space="preserve">SOE </w:t>
      </w:r>
      <w:r w:rsidRPr="00C31888">
        <w:t>Framework follows</w:t>
      </w:r>
      <w:r>
        <w:t xml:space="preserve"> Stage One SOEs (2013-14),</w:t>
      </w:r>
      <w:r w:rsidRPr="00C31888">
        <w:t xml:space="preserve"> Stage Two </w:t>
      </w:r>
      <w:r>
        <w:t xml:space="preserve">SOEs </w:t>
      </w:r>
      <w:r w:rsidRPr="00C31888">
        <w:t xml:space="preserve">(2014-16) and </w:t>
      </w:r>
      <w:r>
        <w:t>the reissue of Stage Two SOEs (2016-17)</w:t>
      </w:r>
      <w:r w:rsidRPr="00C31888">
        <w:t xml:space="preserve">. </w:t>
      </w:r>
    </w:p>
    <w:p w:rsidR="009A37BF" w:rsidRPr="00C31888" w:rsidRDefault="009A37BF" w:rsidP="00EE32F6">
      <w:pPr>
        <w:pStyle w:val="NormalIndent"/>
      </w:pPr>
      <w:r w:rsidRPr="00C31888">
        <w:t xml:space="preserve">The </w:t>
      </w:r>
      <w:r>
        <w:t xml:space="preserve">main features of the SOE </w:t>
      </w:r>
      <w:r w:rsidRPr="00C31888">
        <w:t>Framework are:</w:t>
      </w:r>
    </w:p>
    <w:p w:rsidR="009A37BF" w:rsidRDefault="009A37BF" w:rsidP="00EE32F6">
      <w:pPr>
        <w:pStyle w:val="Bulletindent"/>
      </w:pPr>
      <w:r w:rsidRPr="00C31888">
        <w:t xml:space="preserve">SOEs </w:t>
      </w:r>
      <w:r>
        <w:t>will be issued</w:t>
      </w:r>
      <w:r w:rsidRPr="00C31888">
        <w:t xml:space="preserve"> for </w:t>
      </w:r>
      <w:r>
        <w:t xml:space="preserve">a period of </w:t>
      </w:r>
      <w:r w:rsidRPr="00C31888">
        <w:t>two years;</w:t>
      </w:r>
    </w:p>
    <w:p w:rsidR="009A37BF" w:rsidRPr="00C31888" w:rsidRDefault="009A37BF" w:rsidP="00EE32F6">
      <w:pPr>
        <w:pStyle w:val="Bulletindent"/>
      </w:pPr>
      <w:r w:rsidRPr="00C31888">
        <w:t>departmental evaluation of regulatory performance is mandatory (</w:t>
      </w:r>
      <w:r>
        <w:t xml:space="preserve">section </w:t>
      </w:r>
      <w:r w:rsidRPr="00C31888">
        <w:t xml:space="preserve">3.2.2); </w:t>
      </w:r>
    </w:p>
    <w:p w:rsidR="009A37BF" w:rsidRDefault="009A37BF" w:rsidP="00EE32F6">
      <w:pPr>
        <w:pStyle w:val="Bulletindent"/>
      </w:pPr>
      <w:r>
        <w:t xml:space="preserve">there are </w:t>
      </w:r>
      <w:r w:rsidRPr="00C31888">
        <w:t xml:space="preserve">three </w:t>
      </w:r>
      <w:r>
        <w:t xml:space="preserve">mandatory </w:t>
      </w:r>
      <w:r w:rsidRPr="00C31888">
        <w:t>elements of good regulatory practice (timeliness, risk-based regulation and compliance-related assistance and advice) (</w:t>
      </w:r>
      <w:r>
        <w:t xml:space="preserve">section </w:t>
      </w:r>
      <w:r w:rsidRPr="00C31888">
        <w:t xml:space="preserve">4.1), </w:t>
      </w:r>
      <w:r>
        <w:t>one recommended element of good regulatory practice (</w:t>
      </w:r>
      <w:r w:rsidRPr="00C31888">
        <w:t>incentive</w:t>
      </w:r>
      <w:r w:rsidRPr="00C31888">
        <w:noBreakHyphen/>
        <w:t>based regulation</w:t>
      </w:r>
      <w:r>
        <w:t>)</w:t>
      </w:r>
      <w:r w:rsidRPr="00C31888">
        <w:t xml:space="preserve"> (</w:t>
      </w:r>
      <w:r>
        <w:t>section </w:t>
      </w:r>
      <w:r w:rsidRPr="00C31888">
        <w:t>4.2)</w:t>
      </w:r>
      <w:r>
        <w:t xml:space="preserve"> and other suggested elements of good regulatory practice (section 4.3);</w:t>
      </w:r>
    </w:p>
    <w:p w:rsidR="009A37BF" w:rsidRPr="00C31888" w:rsidRDefault="009A37BF" w:rsidP="00EE32F6">
      <w:pPr>
        <w:pStyle w:val="Bulletindent"/>
      </w:pPr>
      <w:r>
        <w:t>publication of the SOE letter and the regulator response to the Minister is mandatory;</w:t>
      </w:r>
      <w:r w:rsidR="00A27AA9">
        <w:t xml:space="preserve"> and</w:t>
      </w:r>
    </w:p>
    <w:p w:rsidR="009A37BF" w:rsidRPr="00C31888" w:rsidRDefault="009A37BF" w:rsidP="00EE32F6">
      <w:pPr>
        <w:pStyle w:val="Bulletindent"/>
      </w:pPr>
      <w:r>
        <w:t>public reporting against performance targets in the SOE is mandatory.</w:t>
      </w:r>
    </w:p>
    <w:p w:rsidR="009A37BF" w:rsidRPr="00C31888" w:rsidRDefault="009A37BF" w:rsidP="00EE32F6">
      <w:pPr>
        <w:pStyle w:val="Heading1numbered"/>
      </w:pPr>
      <w:bookmarkStart w:id="5" w:name="_Toc481760520"/>
      <w:bookmarkStart w:id="6" w:name="_Toc483905973"/>
      <w:r w:rsidRPr="00C31888">
        <w:t>SOE Framework policy and process</w:t>
      </w:r>
      <w:bookmarkEnd w:id="5"/>
      <w:bookmarkEnd w:id="6"/>
    </w:p>
    <w:p w:rsidR="009A37BF" w:rsidRPr="00C31888" w:rsidRDefault="009A37BF" w:rsidP="002D2A2B">
      <w:pPr>
        <w:pStyle w:val="Heading2numbered"/>
      </w:pPr>
      <w:bookmarkStart w:id="7" w:name="_Toc481673154"/>
      <w:bookmarkStart w:id="8" w:name="_Toc481673182"/>
      <w:bookmarkStart w:id="9" w:name="_Toc481760521"/>
      <w:bookmarkStart w:id="10" w:name="_Toc483905974"/>
      <w:bookmarkEnd w:id="7"/>
      <w:bookmarkEnd w:id="8"/>
      <w:r w:rsidRPr="00C31888">
        <w:t>Who do</w:t>
      </w:r>
      <w:r>
        <w:t>es the SOE Framework</w:t>
      </w:r>
      <w:r w:rsidRPr="00C31888">
        <w:t xml:space="preserve"> apply to?</w:t>
      </w:r>
      <w:bookmarkEnd w:id="9"/>
      <w:bookmarkEnd w:id="10"/>
    </w:p>
    <w:p w:rsidR="009A37BF" w:rsidRPr="00C31888" w:rsidRDefault="009A37BF" w:rsidP="00EE32F6">
      <w:pPr>
        <w:pStyle w:val="NormalIndent"/>
      </w:pPr>
      <w:r w:rsidRPr="00C31888">
        <w:t xml:space="preserve">The SOE </w:t>
      </w:r>
      <w:r>
        <w:t>Framework</w:t>
      </w:r>
      <w:r w:rsidRPr="00C31888">
        <w:t xml:space="preserve"> appl</w:t>
      </w:r>
      <w:r>
        <w:t>ies</w:t>
      </w:r>
      <w:r w:rsidRPr="00C31888">
        <w:t xml:space="preserve"> to all Victorian business regulators, as listed in Attachment 1</w:t>
      </w:r>
      <w:r w:rsidRPr="00C31888">
        <w:rPr>
          <w:rStyle w:val="FootnoteReference"/>
        </w:rPr>
        <w:footnoteReference w:id="1"/>
      </w:r>
      <w:r w:rsidRPr="00C31888">
        <w:t xml:space="preserve">. A business regulator is a State Government entity (either independent or within a department) that derives, from primary or subordinate legislation, one or more of the following powers in relation to businesses and occupations: </w:t>
      </w:r>
    </w:p>
    <w:p w:rsidR="009A37BF" w:rsidRPr="00C31888" w:rsidRDefault="009A37BF" w:rsidP="00EE32F6">
      <w:pPr>
        <w:pStyle w:val="Bulletindent"/>
      </w:pPr>
      <w:r w:rsidRPr="00C31888">
        <w:t xml:space="preserve">inspection; </w:t>
      </w:r>
    </w:p>
    <w:p w:rsidR="009A37BF" w:rsidRPr="00C31888" w:rsidRDefault="009A37BF" w:rsidP="00EE32F6">
      <w:pPr>
        <w:pStyle w:val="Bulletindent"/>
      </w:pPr>
      <w:r w:rsidRPr="00C31888">
        <w:t xml:space="preserve">regulatory advice to a third party; </w:t>
      </w:r>
    </w:p>
    <w:p w:rsidR="009A37BF" w:rsidRPr="00C31888" w:rsidRDefault="009A37BF" w:rsidP="00EE32F6">
      <w:pPr>
        <w:pStyle w:val="Bulletindent"/>
      </w:pPr>
      <w:r w:rsidRPr="00C31888">
        <w:t xml:space="preserve">licensing; </w:t>
      </w:r>
    </w:p>
    <w:p w:rsidR="009A37BF" w:rsidRPr="00C31888" w:rsidRDefault="009A37BF" w:rsidP="00EE32F6">
      <w:pPr>
        <w:pStyle w:val="Bulletindent"/>
      </w:pPr>
      <w:r w:rsidRPr="00C31888">
        <w:t xml:space="preserve">accreditation; and </w:t>
      </w:r>
    </w:p>
    <w:p w:rsidR="009A37BF" w:rsidRPr="00C31888" w:rsidRDefault="009A37BF" w:rsidP="00EE32F6">
      <w:pPr>
        <w:pStyle w:val="Bulletindent"/>
      </w:pPr>
      <w:r w:rsidRPr="00C31888">
        <w:t>standards monitoring and enforcement.</w:t>
      </w:r>
      <w:r w:rsidRPr="00C31888">
        <w:rPr>
          <w:rStyle w:val="FootnoteReference"/>
        </w:rPr>
        <w:footnoteReference w:id="2"/>
      </w:r>
      <w:r w:rsidR="00842C93">
        <w:t xml:space="preserve"> </w:t>
      </w:r>
    </w:p>
    <w:p w:rsidR="009A37BF" w:rsidRPr="00C31888" w:rsidRDefault="009A37BF" w:rsidP="00EE32F6">
      <w:pPr>
        <w:pStyle w:val="NormalIndent"/>
      </w:pPr>
      <w:r w:rsidRPr="00C31888">
        <w:t>SOEs are not intended to cover regulation of non</w:t>
      </w:r>
      <w:r w:rsidRPr="00C31888">
        <w:noBreakHyphen/>
        <w:t>business activities undertaken by individuals.</w:t>
      </w:r>
    </w:p>
    <w:p w:rsidR="009A37BF" w:rsidRPr="00C31888" w:rsidRDefault="009A37BF" w:rsidP="00EE32F6">
      <w:pPr>
        <w:pStyle w:val="NormalIndent"/>
      </w:pPr>
      <w:r w:rsidRPr="00C31888">
        <w:t>The regulatory activities of some bodies that fit this definition of a business regulator are not their sole or primary activities. In these cases, the scope of SOEs should be limited to regulatory functions.</w:t>
      </w:r>
    </w:p>
    <w:p w:rsidR="009A37BF" w:rsidRPr="00C31888" w:rsidRDefault="009A37BF" w:rsidP="00E735F3">
      <w:pPr>
        <w:pStyle w:val="NormalIndent"/>
        <w:keepLines/>
      </w:pPr>
      <w:r w:rsidRPr="00C31888">
        <w:lastRenderedPageBreak/>
        <w:t>Some regulators perform functions to administer national regulations, sometimes on behalf of other jurisdictions. In these cases, SOEs should be limited to issues or standards over which the Minister has direction or the regulator has control or flexibility in meeting outcomes.</w:t>
      </w:r>
    </w:p>
    <w:p w:rsidR="009A37BF" w:rsidRPr="00C31888" w:rsidRDefault="009A37BF" w:rsidP="00EE32F6">
      <w:pPr>
        <w:pStyle w:val="NormalIndent"/>
      </w:pPr>
      <w:r w:rsidRPr="00C31888">
        <w:t xml:space="preserve">SOEs are developed within the context of the existing statutory framework whereby the Government has passed legislation and the regulator has been charged with administering the legislation. </w:t>
      </w:r>
    </w:p>
    <w:p w:rsidR="009A37BF" w:rsidRDefault="009A37BF" w:rsidP="00EE32F6">
      <w:pPr>
        <w:pStyle w:val="NormalIndent"/>
      </w:pPr>
      <w:r w:rsidRPr="00C31888">
        <w:t>SOEs are not intended to override legislative requirements. If the process of developing an SOE identifies legislative barriers to performance improvement, the relevant department should consider pursuing these instances as reform opportunities.</w:t>
      </w:r>
    </w:p>
    <w:p w:rsidR="009A37BF" w:rsidRDefault="009A37BF" w:rsidP="00E735F3">
      <w:pPr>
        <w:pStyle w:val="Heading2numbered"/>
      </w:pPr>
      <w:bookmarkStart w:id="11" w:name="_Toc481760522"/>
      <w:bookmarkStart w:id="12" w:name="_Toc483905975"/>
      <w:r>
        <w:t>Exempting regulators</w:t>
      </w:r>
      <w:bookmarkEnd w:id="11"/>
      <w:bookmarkEnd w:id="12"/>
    </w:p>
    <w:p w:rsidR="009A37BF" w:rsidRPr="00873D0A" w:rsidRDefault="009A37BF" w:rsidP="00EE32F6">
      <w:pPr>
        <w:pStyle w:val="NormalIndent"/>
        <w:rPr>
          <w:lang w:eastAsia="en-US"/>
        </w:rPr>
      </w:pPr>
      <w:r>
        <w:rPr>
          <w:lang w:eastAsia="en-US"/>
        </w:rPr>
        <w:t>In some rare circumstances the SOE Framework may not be applicable to a business regulator. To accommodate this possibility, the Treasurer may choose to remove a business regulator from the scope of the SOE Framework at the request of the responsible Minister.</w:t>
      </w:r>
    </w:p>
    <w:p w:rsidR="009A37BF" w:rsidRPr="00C31888" w:rsidRDefault="009A37BF" w:rsidP="00E735F3">
      <w:pPr>
        <w:pStyle w:val="Heading2numbered"/>
      </w:pPr>
      <w:bookmarkStart w:id="13" w:name="_Toc481760523"/>
      <w:bookmarkStart w:id="14" w:name="_Toc483905976"/>
      <w:r w:rsidRPr="00C31888">
        <w:t>The SOE process</w:t>
      </w:r>
      <w:bookmarkEnd w:id="13"/>
      <w:bookmarkEnd w:id="14"/>
    </w:p>
    <w:p w:rsidR="009A37BF" w:rsidRPr="00C31888" w:rsidRDefault="009A37BF" w:rsidP="00EE32F6">
      <w:pPr>
        <w:pStyle w:val="NormalIndent"/>
      </w:pPr>
      <w:r w:rsidRPr="00C31888">
        <w:t xml:space="preserve">The key stages of the SOE process are outlined below. The mandatory </w:t>
      </w:r>
      <w:r w:rsidRPr="006B65CC">
        <w:t>outputs</w:t>
      </w:r>
      <w:r w:rsidRPr="00C31888">
        <w:t xml:space="preserve"> from the SOE </w:t>
      </w:r>
      <w:r>
        <w:t>F</w:t>
      </w:r>
      <w:r w:rsidRPr="00C31888">
        <w:t>ramework are the SOE letter (issued from the relevant Minister to each regulator)</w:t>
      </w:r>
      <w:r>
        <w:t>, the regulator response</w:t>
      </w:r>
      <w:r w:rsidRPr="00C31888">
        <w:t xml:space="preserve"> and the evaluation report (prepared by departments to evaluate regulators’ progress against their SOEs). These must be updated biennially. </w:t>
      </w:r>
    </w:p>
    <w:p w:rsidR="009A37BF" w:rsidRDefault="009A37BF" w:rsidP="00EE32F6">
      <w:pPr>
        <w:pStyle w:val="NormalIndent"/>
      </w:pPr>
      <w:r w:rsidRPr="00C31888">
        <w:t xml:space="preserve">The other steps of the SOE process make up a recommended pathway for departments and regulators to develop these outputs. </w:t>
      </w:r>
    </w:p>
    <w:p w:rsidR="009A37BF" w:rsidRPr="00C31888" w:rsidRDefault="009A37BF" w:rsidP="00EE32F6">
      <w:pPr>
        <w:pStyle w:val="NormalIndent"/>
      </w:pPr>
      <w:r w:rsidRPr="00856F1D">
        <w:t>Each stage of the SOE process is outlined below.</w:t>
      </w:r>
    </w:p>
    <w:p w:rsidR="009A37BF" w:rsidRPr="00C31888" w:rsidRDefault="009A37BF" w:rsidP="00EE32F6">
      <w:pPr>
        <w:pStyle w:val="NormalIndent"/>
      </w:pPr>
      <w:r w:rsidRPr="00C31888">
        <w:t>The four key steps of the process for developing the SOE letter are:</w:t>
      </w:r>
    </w:p>
    <w:p w:rsidR="009A37BF" w:rsidRPr="00C31888" w:rsidRDefault="009A37BF" w:rsidP="002D2A2B">
      <w:pPr>
        <w:pStyle w:val="Numparaindent"/>
      </w:pPr>
      <w:r w:rsidRPr="00C31888">
        <w:t>Identification of key elements of good regulatory practice;</w:t>
      </w:r>
    </w:p>
    <w:p w:rsidR="009A37BF" w:rsidRPr="00C31888" w:rsidRDefault="009A37BF" w:rsidP="002D2A2B">
      <w:pPr>
        <w:pStyle w:val="Numparaindent"/>
      </w:pPr>
      <w:r w:rsidRPr="00C31888">
        <w:t>A self</w:t>
      </w:r>
      <w:r w:rsidRPr="00C31888">
        <w:noBreakHyphen/>
        <w:t>assessment against the elements of good regulatory practice being undertaken for each regulator in order to establish a ‘baseline’ of current performance;</w:t>
      </w:r>
    </w:p>
    <w:p w:rsidR="009A37BF" w:rsidRPr="00C31888" w:rsidRDefault="009A37BF" w:rsidP="002D2A2B">
      <w:pPr>
        <w:pStyle w:val="Numparaindent"/>
      </w:pPr>
      <w:r w:rsidRPr="00C31888">
        <w:rPr>
          <w:bCs/>
        </w:rPr>
        <w:t xml:space="preserve">A Good Regulatory Practice Plan being developed for each regulator, </w:t>
      </w:r>
      <w:r w:rsidRPr="00C31888">
        <w:t xml:space="preserve">focusing on </w:t>
      </w:r>
      <w:r>
        <w:t>elements</w:t>
      </w:r>
      <w:r w:rsidRPr="00C31888">
        <w:t xml:space="preserve"> identified in the self</w:t>
      </w:r>
      <w:r w:rsidRPr="00C31888">
        <w:noBreakHyphen/>
        <w:t>assessment</w:t>
      </w:r>
      <w:r w:rsidR="00842C93">
        <w:t xml:space="preserve"> </w:t>
      </w:r>
      <w:r w:rsidRPr="00C31888">
        <w:t>as having the greatest opportunity for improvement; and</w:t>
      </w:r>
    </w:p>
    <w:p w:rsidR="009A37BF" w:rsidRPr="00C31888" w:rsidRDefault="009A37BF" w:rsidP="002D2A2B">
      <w:pPr>
        <w:pStyle w:val="Numparaindent"/>
      </w:pPr>
      <w:r w:rsidRPr="00C31888">
        <w:t xml:space="preserve">A Ministerial </w:t>
      </w:r>
      <w:r w:rsidR="00856F1D">
        <w:t xml:space="preserve">SOEs </w:t>
      </w:r>
      <w:r w:rsidRPr="00C31888">
        <w:t>being issued to each regulator, taking into account each regulator’s Good Regulatory Practice Plan.</w:t>
      </w:r>
    </w:p>
    <w:p w:rsidR="009A37BF" w:rsidRDefault="009A37BF" w:rsidP="00EE32F6">
      <w:pPr>
        <w:pStyle w:val="NormalIndent"/>
      </w:pPr>
      <w:r>
        <w:t>The key steps in the process for developing the regulator response are:</w:t>
      </w:r>
    </w:p>
    <w:p w:rsidR="009A37BF" w:rsidRDefault="009A37BF" w:rsidP="002D2A2B">
      <w:pPr>
        <w:pStyle w:val="Numparaindent"/>
        <w:numPr>
          <w:ilvl w:val="8"/>
          <w:numId w:val="29"/>
        </w:numPr>
      </w:pPr>
      <w:r>
        <w:t>Consult with business and the broader community (as appropriate) in developing actions to achieve improvements and targets;</w:t>
      </w:r>
    </w:p>
    <w:p w:rsidR="009A37BF" w:rsidRDefault="009A37BF" w:rsidP="002D2A2B">
      <w:pPr>
        <w:pStyle w:val="Numparaindent"/>
      </w:pPr>
      <w:r>
        <w:t>Publish on the website the actions that will be taken to meet Ministerial expectations and performance targets;</w:t>
      </w:r>
      <w:r w:rsidR="00856F1D">
        <w:t xml:space="preserve"> and</w:t>
      </w:r>
    </w:p>
    <w:p w:rsidR="009A37BF" w:rsidRDefault="009A37BF" w:rsidP="002D2A2B">
      <w:pPr>
        <w:pStyle w:val="Numparaindent"/>
      </w:pPr>
      <w:r>
        <w:t>Commence reporting publicly on progress (predominantly through corporate planning and annual financial reporting cycles).</w:t>
      </w:r>
    </w:p>
    <w:p w:rsidR="009A37BF" w:rsidRPr="00C31888" w:rsidRDefault="009A37BF" w:rsidP="00EE32F6">
      <w:pPr>
        <w:pStyle w:val="NormalIndent"/>
      </w:pPr>
      <w:r w:rsidRPr="00C31888">
        <w:lastRenderedPageBreak/>
        <w:t>The two key steps of the process for evaluating performance are:</w:t>
      </w:r>
    </w:p>
    <w:p w:rsidR="009A37BF" w:rsidRPr="00C31888" w:rsidRDefault="009A37BF" w:rsidP="002D2A2B">
      <w:pPr>
        <w:pStyle w:val="Numparaindent"/>
        <w:numPr>
          <w:ilvl w:val="8"/>
          <w:numId w:val="30"/>
        </w:numPr>
      </w:pPr>
      <w:r w:rsidRPr="00C31888">
        <w:t>Each department preparing</w:t>
      </w:r>
      <w:r w:rsidR="00842C93">
        <w:t xml:space="preserve"> </w:t>
      </w:r>
      <w:r w:rsidRPr="00C31888">
        <w:t xml:space="preserve">evaluation reports on regulators’ performance against the </w:t>
      </w:r>
      <w:r>
        <w:t>elements of good regulatory practice</w:t>
      </w:r>
      <w:r w:rsidRPr="00C31888">
        <w:t xml:space="preserve"> in their respective SOEs;</w:t>
      </w:r>
      <w:r w:rsidR="00856F1D">
        <w:t xml:space="preserve"> and</w:t>
      </w:r>
    </w:p>
    <w:p w:rsidR="009A37BF" w:rsidRPr="00C31888" w:rsidRDefault="009A37BF" w:rsidP="002D2A2B">
      <w:pPr>
        <w:pStyle w:val="Numparaindent"/>
      </w:pPr>
      <w:r w:rsidRPr="00C31888">
        <w:t>Evaluation reports being provided to regulators, who then must publish the reports on their website alongside their SOEs</w:t>
      </w:r>
      <w:r>
        <w:t xml:space="preserve"> and regulator responses</w:t>
      </w:r>
      <w:r w:rsidRPr="00C31888">
        <w:t>.</w:t>
      </w:r>
    </w:p>
    <w:p w:rsidR="009A37BF" w:rsidRPr="00C31888" w:rsidRDefault="009A37BF" w:rsidP="009A37BF">
      <w:pPr>
        <w:spacing w:before="80" w:after="80"/>
        <w:ind w:left="792"/>
      </w:pPr>
      <w:r w:rsidRPr="00C31888">
        <w:t>More details on these steps are provided in 3.2.1 and 3.2.2 below.</w:t>
      </w:r>
    </w:p>
    <w:p w:rsidR="009A37BF" w:rsidRPr="00C31888" w:rsidRDefault="009A37BF" w:rsidP="002D2A2B">
      <w:pPr>
        <w:pStyle w:val="Heading3numbered"/>
      </w:pPr>
      <w:bookmarkStart w:id="15" w:name="_Toc481760524"/>
      <w:bookmarkStart w:id="16" w:name="_Toc483905977"/>
      <w:r w:rsidRPr="00C31888">
        <w:t>Developing the SOE letter</w:t>
      </w:r>
      <w:bookmarkEnd w:id="15"/>
      <w:bookmarkEnd w:id="16"/>
    </w:p>
    <w:p w:rsidR="009A37BF" w:rsidRPr="00C31888" w:rsidRDefault="009A37BF" w:rsidP="00EE32F6">
      <w:pPr>
        <w:pStyle w:val="NormalIndent"/>
      </w:pPr>
      <w:r w:rsidRPr="00C31888">
        <w:t>Th</w:t>
      </w:r>
      <w:r>
        <w:t>e</w:t>
      </w:r>
      <w:r w:rsidRPr="00C31888">
        <w:t xml:space="preserve"> four</w:t>
      </w:r>
      <w:r w:rsidRPr="00C31888">
        <w:noBreakHyphen/>
        <w:t xml:space="preserve">step process </w:t>
      </w:r>
      <w:r>
        <w:t xml:space="preserve">for developing the SOE letter </w:t>
      </w:r>
      <w:r w:rsidRPr="00C31888">
        <w:t xml:space="preserve">is intended to provide a consistent framework for regulators to improve the administration and enforcement of regulation. </w:t>
      </w:r>
    </w:p>
    <w:p w:rsidR="009A37BF" w:rsidRPr="00C31888" w:rsidRDefault="009A37BF" w:rsidP="00EE32F6">
      <w:pPr>
        <w:pStyle w:val="NormalIndent"/>
        <w:rPr>
          <w:color w:val="000000"/>
        </w:rPr>
      </w:pPr>
      <w:r w:rsidRPr="00C31888">
        <w:t xml:space="preserve">The </w:t>
      </w:r>
      <w:r>
        <w:t>SOE F</w:t>
      </w:r>
      <w:r w:rsidRPr="00C31888">
        <w:t xml:space="preserve">ramework is provided as a suggested approach to developing an SOE. It is not intended to replace or duplicate frameworks or processes for continuous improvement that might already be in place. Where departments and regulators believe, and the relevant Minister agrees, that existing processes and tools provide a suitable means of establishing rigorous performance improvement targets for inclusion in an SOE, those existing processes </w:t>
      </w:r>
      <w:r w:rsidRPr="00C31888">
        <w:rPr>
          <w:color w:val="000000"/>
        </w:rPr>
        <w:t xml:space="preserve">can be used to complement or replace one or more of the recommended steps. </w:t>
      </w:r>
    </w:p>
    <w:p w:rsidR="009A37BF" w:rsidRPr="00C31888" w:rsidRDefault="009A37BF" w:rsidP="00EE32F6">
      <w:pPr>
        <w:pStyle w:val="NormalIndent"/>
      </w:pPr>
      <w:r w:rsidRPr="00C31888">
        <w:t>This recognises that:</w:t>
      </w:r>
    </w:p>
    <w:p w:rsidR="009A37BF" w:rsidRPr="00C31888" w:rsidRDefault="009A37BF" w:rsidP="00EE32F6">
      <w:pPr>
        <w:pStyle w:val="Bulletindent"/>
      </w:pPr>
      <w:r w:rsidRPr="00C31888">
        <w:t>many regulators and departments have existing tools and frameworks that can support the development of SOEs; and</w:t>
      </w:r>
    </w:p>
    <w:p w:rsidR="009A37BF" w:rsidRPr="00C31888" w:rsidRDefault="009A37BF" w:rsidP="00EE32F6">
      <w:pPr>
        <w:pStyle w:val="Bulletindent"/>
      </w:pPr>
      <w:r w:rsidRPr="00C31888">
        <w:t xml:space="preserve">prior reviews of regulator performance by relevant agencies (e.g. </w:t>
      </w:r>
      <w:r w:rsidR="00856F1D">
        <w:t xml:space="preserve">the </w:t>
      </w:r>
      <w:r w:rsidRPr="00C31888">
        <w:t>Victorian Auditor</w:t>
      </w:r>
      <w:r w:rsidRPr="00C31888">
        <w:noBreakHyphen/>
        <w:t xml:space="preserve">General’s Office (VAGO), </w:t>
      </w:r>
      <w:r w:rsidR="00856F1D">
        <w:t xml:space="preserve">the </w:t>
      </w:r>
      <w:r w:rsidRPr="00C31888">
        <w:t>Victorian Competition and Efficiency Commission (VCEC), internal departmental or regulator reviews) may be valuable inputs to informing the development and content of SOEs.</w:t>
      </w:r>
    </w:p>
    <w:p w:rsidR="009A37BF" w:rsidRPr="00C31888" w:rsidRDefault="009A37BF" w:rsidP="00EE32F6">
      <w:pPr>
        <w:pStyle w:val="NormalIndent"/>
      </w:pPr>
      <w:r w:rsidRPr="00C31888">
        <w:t>It also allows regulators and departments flexibility in the way they achieve the required output</w:t>
      </w:r>
      <w:r>
        <w:t>s</w:t>
      </w:r>
      <w:r w:rsidRPr="00C31888">
        <w:t xml:space="preserve"> (the SOE letter</w:t>
      </w:r>
      <w:r>
        <w:t>, the regulator response and the evaluation</w:t>
      </w:r>
      <w:r w:rsidRPr="00C31888">
        <w:t>).</w:t>
      </w:r>
    </w:p>
    <w:p w:rsidR="009A37BF" w:rsidRPr="00C31888" w:rsidRDefault="009A37BF" w:rsidP="00EE32F6">
      <w:pPr>
        <w:pStyle w:val="NormalIndent"/>
      </w:pPr>
      <w:r w:rsidRPr="00C31888">
        <w:t>Where the steps outlined in the</w:t>
      </w:r>
      <w:r>
        <w:t xml:space="preserve"> SOE Framework </w:t>
      </w:r>
      <w:r w:rsidRPr="00C31888">
        <w:t>are applied, the outcomes of the self</w:t>
      </w:r>
      <w:r w:rsidRPr="00C31888">
        <w:noBreakHyphen/>
        <w:t>assessment (Step 2) and Good Regulatory Practice Plan (Step 3) are likely to vary between regulators depending on the size, maturity and capability of the regulator and the availability of data to inform baselines and improvement plans. The approach taken in Steps 2 and 3 should be proportional to the scale and reach of the regulator and, where adequate data does not exist, should emphasise data collection as a key component of the SOE, to inform future SOEs. SOEs for new regulators in particular may have a greater emphasis on data collection and establishing baselines for future reference than those for established regulators with sophisticated data sets.</w:t>
      </w:r>
    </w:p>
    <w:p w:rsidR="009A37BF" w:rsidRPr="00C31888" w:rsidRDefault="009A37BF" w:rsidP="00EE32F6">
      <w:pPr>
        <w:pStyle w:val="NormalIndent"/>
      </w:pPr>
      <w:r w:rsidRPr="00C31888">
        <w:t xml:space="preserve">Steps 2 and 3 will require close collaboration between regulators and their respective policy departments, prior to departments developing </w:t>
      </w:r>
      <w:r w:rsidRPr="006B65CC">
        <w:t>Ministerial SOE letters</w:t>
      </w:r>
      <w:r w:rsidRPr="00C31888">
        <w:t xml:space="preserve">. </w:t>
      </w:r>
    </w:p>
    <w:p w:rsidR="009A37BF" w:rsidRPr="00C31888" w:rsidRDefault="009A37BF" w:rsidP="00EE32F6">
      <w:pPr>
        <w:pStyle w:val="NormalIndent"/>
      </w:pPr>
      <w:r w:rsidRPr="00C31888">
        <w:t>The Red Tape Commissioner uses a well</w:t>
      </w:r>
      <w:r w:rsidRPr="00C31888">
        <w:noBreakHyphen/>
        <w:t>developed business engagement network to collect and log business intelligence on the impact of regulation. Given the focus of SOEs on reducing regulatory burden on businesses, departments and regulators are encouraged to engage with the Red Tape Commissioner, as well as DTF’s Regulation, Planning and Local Government team, in developing and refining SOEs.</w:t>
      </w:r>
      <w:r>
        <w:t xml:space="preserve"> There is also an expectation that regulators consult with business and the broader community in developing actions to achieve the improvements and targets included in the SOE.</w:t>
      </w:r>
    </w:p>
    <w:p w:rsidR="009A37BF" w:rsidRPr="00C31888" w:rsidRDefault="009A37BF" w:rsidP="002D2A2B">
      <w:pPr>
        <w:pStyle w:val="Heading3numbered"/>
      </w:pPr>
      <w:bookmarkStart w:id="17" w:name="_Toc481760525"/>
      <w:bookmarkStart w:id="18" w:name="_Toc483905978"/>
      <w:r w:rsidRPr="00C31888">
        <w:lastRenderedPageBreak/>
        <w:t>Evaluating performance</w:t>
      </w:r>
      <w:bookmarkEnd w:id="17"/>
      <w:bookmarkEnd w:id="18"/>
    </w:p>
    <w:p w:rsidR="009A37BF" w:rsidRPr="00C31888" w:rsidRDefault="009A37BF" w:rsidP="00EE32F6">
      <w:pPr>
        <w:pStyle w:val="NormalIndent"/>
      </w:pPr>
      <w:r w:rsidRPr="00C31888">
        <w:t xml:space="preserve">The </w:t>
      </w:r>
      <w:r>
        <w:t xml:space="preserve">SOE </w:t>
      </w:r>
      <w:r w:rsidRPr="00C31888">
        <w:t xml:space="preserve">Framework has an increased focus on evaluation. </w:t>
      </w:r>
      <w:r>
        <w:t xml:space="preserve">It is mandatory for departments to evaluate SOEs. Evaluation findings will be an important input into subsequent SOEs. </w:t>
      </w:r>
      <w:r w:rsidRPr="00C31888">
        <w:t>Baseline data should be established for each regulator, with evaluation and monitoring of the data an ongoing part of regulators’ operations.</w:t>
      </w:r>
    </w:p>
    <w:p w:rsidR="009A37BF" w:rsidRPr="00C31888" w:rsidRDefault="009A37BF" w:rsidP="00EE32F6">
      <w:pPr>
        <w:pStyle w:val="NormalIndent"/>
      </w:pPr>
      <w:r w:rsidRPr="00C31888">
        <w:t xml:space="preserve">At a minimum, </w:t>
      </w:r>
      <w:r>
        <w:t>departmental</w:t>
      </w:r>
      <w:r w:rsidRPr="00C31888">
        <w:t xml:space="preserve"> evaluation report</w:t>
      </w:r>
      <w:r>
        <w:t>s</w:t>
      </w:r>
      <w:r w:rsidRPr="00C31888">
        <w:t xml:space="preserve"> must include: </w:t>
      </w:r>
    </w:p>
    <w:p w:rsidR="009A37BF" w:rsidRPr="00C31888" w:rsidRDefault="009A37BF" w:rsidP="00EE32F6">
      <w:pPr>
        <w:pStyle w:val="Bulletindent"/>
      </w:pPr>
      <w:r w:rsidRPr="00C31888">
        <w:t xml:space="preserve">an assessment of how well the regulator has performed against their intended outcomes; </w:t>
      </w:r>
    </w:p>
    <w:p w:rsidR="009A37BF" w:rsidRPr="00C31888" w:rsidRDefault="009A37BF" w:rsidP="00EE32F6">
      <w:pPr>
        <w:pStyle w:val="Bulletindent"/>
      </w:pPr>
      <w:r w:rsidRPr="00C31888">
        <w:t xml:space="preserve">identification of any key risks or barriers that regulators experienced impacting </w:t>
      </w:r>
      <w:r>
        <w:t>their</w:t>
      </w:r>
      <w:r w:rsidRPr="00C31888">
        <w:t xml:space="preserve"> performance; and </w:t>
      </w:r>
    </w:p>
    <w:p w:rsidR="009A37BF" w:rsidRPr="00C31888" w:rsidRDefault="009A37BF" w:rsidP="00EE32F6">
      <w:pPr>
        <w:pStyle w:val="Bulletindent"/>
      </w:pPr>
      <w:r w:rsidRPr="00C31888">
        <w:t>an outline of any lessons applicable going forward.</w:t>
      </w:r>
    </w:p>
    <w:p w:rsidR="009A37BF" w:rsidRDefault="009A37BF" w:rsidP="00EE32F6">
      <w:pPr>
        <w:pStyle w:val="NormalIndent"/>
      </w:pPr>
      <w:r w:rsidRPr="00C31888">
        <w:t>To conserve resources, departments are encouraged to integrate the evaluation process into existing processes where this is possible and does not diminish the quality of evaluation reports. Furthermore, evaluations should be kept proportionate so that they can be done by VPS staff, without the need for consultants.</w:t>
      </w:r>
    </w:p>
    <w:p w:rsidR="009A37BF" w:rsidRPr="00C31888" w:rsidRDefault="009A37BF" w:rsidP="00EE32F6">
      <w:pPr>
        <w:pStyle w:val="NormalIndent"/>
      </w:pPr>
      <w:r w:rsidRPr="00C31888">
        <w:t>Once evaluation reports have been prepared, the Commissioner for Better Regulation will review each of these evaluation reports. These reviews will focus on the rigo</w:t>
      </w:r>
      <w:r w:rsidR="00AC0785">
        <w:t>u</w:t>
      </w:r>
      <w:r w:rsidRPr="00C31888">
        <w:t>r of analysis and presentation of the evaluation (rather than the findings of the evaluation). The Commissioner will identify and highlight the best characteristics of these reports at the Commissioner’s regulator performance improvement forum each year.</w:t>
      </w:r>
    </w:p>
    <w:p w:rsidR="009A37BF" w:rsidRPr="00C31888" w:rsidRDefault="009A37BF" w:rsidP="00EE32F6">
      <w:pPr>
        <w:pStyle w:val="Heading1numbered"/>
      </w:pPr>
      <w:bookmarkStart w:id="19" w:name="_Toc481760526"/>
      <w:bookmarkStart w:id="20" w:name="_Toc483905979"/>
      <w:r w:rsidRPr="00C31888">
        <w:t>The elements of good regulatory practice</w:t>
      </w:r>
      <w:bookmarkEnd w:id="19"/>
      <w:bookmarkEnd w:id="20"/>
    </w:p>
    <w:p w:rsidR="009A37BF" w:rsidRPr="00C31888" w:rsidRDefault="009A37BF" w:rsidP="00EE32F6">
      <w:pPr>
        <w:pStyle w:val="NormalIndent"/>
      </w:pPr>
      <w:r w:rsidRPr="00C31888">
        <w:t>This section outlines the elements of good regulatory practice using a governance and performance matrix.</w:t>
      </w:r>
    </w:p>
    <w:p w:rsidR="009A37BF" w:rsidRPr="00C31888" w:rsidRDefault="009A37BF" w:rsidP="00E735F3">
      <w:pPr>
        <w:pStyle w:val="Heading2numbered"/>
      </w:pPr>
      <w:bookmarkStart w:id="21" w:name="_Toc481760527"/>
      <w:bookmarkStart w:id="22" w:name="_Toc483905980"/>
      <w:r w:rsidRPr="00C31888">
        <w:t xml:space="preserve">Mandatory </w:t>
      </w:r>
      <w:r>
        <w:t>elements of good regulatory practice</w:t>
      </w:r>
      <w:bookmarkEnd w:id="21"/>
      <w:bookmarkEnd w:id="22"/>
    </w:p>
    <w:p w:rsidR="009A37BF" w:rsidRDefault="009A37BF" w:rsidP="00EE32F6">
      <w:pPr>
        <w:pStyle w:val="NormalIndent"/>
      </w:pPr>
      <w:r w:rsidRPr="00C31888">
        <w:t xml:space="preserve">For the </w:t>
      </w:r>
      <w:r>
        <w:t xml:space="preserve">SOE </w:t>
      </w:r>
      <w:r w:rsidRPr="00C31888">
        <w:t xml:space="preserve">Framework, three </w:t>
      </w:r>
      <w:r>
        <w:t>elements</w:t>
      </w:r>
      <w:r w:rsidRPr="00C31888">
        <w:t xml:space="preserve"> of good </w:t>
      </w:r>
      <w:r>
        <w:t xml:space="preserve">regulatory </w:t>
      </w:r>
      <w:r w:rsidRPr="00C31888">
        <w:t xml:space="preserve">practice have been identified as mandatory for all regulators. These three </w:t>
      </w:r>
      <w:r>
        <w:t>elements</w:t>
      </w:r>
      <w:r w:rsidRPr="00C31888">
        <w:t xml:space="preserve"> are:</w:t>
      </w:r>
      <w:r w:rsidR="00842C93">
        <w:t xml:space="preserve"> </w:t>
      </w:r>
      <w:r w:rsidRPr="00C31888">
        <w:t xml:space="preserve">(1) timeliness, (2) risk-based regulation, and (3) compliance related assistance and advice (particularly as it relates to small business). This approach will afford a degree of commonality and consistency between regulators. The matrix outlines minimum standards expected for all regulators </w:t>
      </w:r>
      <w:r>
        <w:t>for each mandatory element of good regulatory practice</w:t>
      </w:r>
      <w:r w:rsidRPr="00C31888">
        <w:t>, and suggested best practice stretch targets for higher</w:t>
      </w:r>
      <w:r w:rsidRPr="00C31888">
        <w:noBreakHyphen/>
        <w:t>volume and higher</w:t>
      </w:r>
      <w:r w:rsidRPr="00C31888">
        <w:noBreakHyphen/>
        <w:t xml:space="preserve">impact regulators. </w:t>
      </w:r>
    </w:p>
    <w:p w:rsidR="002D5A52" w:rsidRDefault="002D5A52">
      <w:pPr>
        <w:spacing w:before="0" w:after="200"/>
      </w:pPr>
      <w:r>
        <w:br w:type="page"/>
      </w:r>
    </w:p>
    <w:tbl>
      <w:tblPr>
        <w:tblStyle w:val="DTFtexttableindent"/>
        <w:tblW w:w="8344" w:type="dxa"/>
        <w:tblBorders>
          <w:top w:val="single" w:sz="6" w:space="0" w:color="0063A6" w:themeColor="accent1"/>
          <w:insideH w:val="single" w:sz="6" w:space="0" w:color="0063A6" w:themeColor="accent1"/>
        </w:tblBorders>
        <w:tblLook w:val="0620" w:firstRow="1" w:lastRow="0" w:firstColumn="0" w:lastColumn="0" w:noHBand="1" w:noVBand="1"/>
      </w:tblPr>
      <w:tblGrid>
        <w:gridCol w:w="2836"/>
        <w:gridCol w:w="2782"/>
        <w:gridCol w:w="2726"/>
      </w:tblGrid>
      <w:tr w:rsidR="009A37BF" w:rsidRPr="00C31888" w:rsidTr="00D37F44">
        <w:trPr>
          <w:cnfStyle w:val="100000000000" w:firstRow="1" w:lastRow="0" w:firstColumn="0" w:lastColumn="0" w:oddVBand="0" w:evenVBand="0" w:oddHBand="0" w:evenHBand="0" w:firstRowFirstColumn="0" w:firstRowLastColumn="0" w:lastRowFirstColumn="0" w:lastRowLastColumn="0"/>
        </w:trPr>
        <w:tc>
          <w:tcPr>
            <w:tcW w:w="2836" w:type="dxa"/>
          </w:tcPr>
          <w:p w:rsidR="009A37BF" w:rsidRPr="00C31888" w:rsidRDefault="009A37BF" w:rsidP="0025667D">
            <w:r w:rsidRPr="00C31888">
              <w:lastRenderedPageBreak/>
              <w:t>Elements of good regulatory practice</w:t>
            </w:r>
          </w:p>
        </w:tc>
        <w:tc>
          <w:tcPr>
            <w:tcW w:w="2782" w:type="dxa"/>
          </w:tcPr>
          <w:p w:rsidR="009A37BF" w:rsidRPr="00C31888" w:rsidRDefault="009A37BF" w:rsidP="0025667D">
            <w:r w:rsidRPr="00C31888">
              <w:t>Minimum standards</w:t>
            </w:r>
          </w:p>
        </w:tc>
        <w:tc>
          <w:tcPr>
            <w:tcW w:w="2726" w:type="dxa"/>
          </w:tcPr>
          <w:p w:rsidR="009A37BF" w:rsidRPr="00C31888" w:rsidRDefault="009A37BF" w:rsidP="0025667D">
            <w:r w:rsidRPr="00C31888">
              <w:t>Characteristics of best practice</w:t>
            </w:r>
          </w:p>
        </w:tc>
      </w:tr>
      <w:tr w:rsidR="009A37BF" w:rsidRPr="0025667D" w:rsidTr="00D37F44">
        <w:tc>
          <w:tcPr>
            <w:tcW w:w="8344" w:type="dxa"/>
            <w:gridSpan w:val="3"/>
            <w:shd w:val="clear" w:color="auto" w:fill="E3EBF4" w:themeFill="accent3" w:themeFillTint="33"/>
          </w:tcPr>
          <w:p w:rsidR="009A37BF" w:rsidRPr="0025667D" w:rsidRDefault="009A37BF" w:rsidP="00D37F44">
            <w:pPr>
              <w:spacing w:before="100"/>
              <w:rPr>
                <w:b/>
              </w:rPr>
            </w:pPr>
            <w:r w:rsidRPr="0025667D">
              <w:rPr>
                <w:b/>
              </w:rPr>
              <w:t>Performance objectives</w:t>
            </w:r>
          </w:p>
        </w:tc>
      </w:tr>
      <w:tr w:rsidR="009A37BF" w:rsidRPr="00C31888" w:rsidTr="00D37F44">
        <w:tc>
          <w:tcPr>
            <w:tcW w:w="2836" w:type="dxa"/>
          </w:tcPr>
          <w:p w:rsidR="009A37BF" w:rsidRPr="002D5A52" w:rsidRDefault="009A37BF" w:rsidP="00D37F44">
            <w:pPr>
              <w:spacing w:before="60"/>
              <w:rPr>
                <w:b/>
              </w:rPr>
            </w:pPr>
            <w:r w:rsidRPr="002D5A52">
              <w:rPr>
                <w:b/>
              </w:rPr>
              <w:t xml:space="preserve">Timeliness </w:t>
            </w:r>
          </w:p>
          <w:p w:rsidR="009A37BF" w:rsidRPr="00C31888" w:rsidRDefault="009A37BF" w:rsidP="00D37F44">
            <w:pPr>
              <w:spacing w:before="60"/>
            </w:pPr>
            <w:r w:rsidRPr="00C31888">
              <w:t>Regulatory costs can often result from issues around the timeliness of approval processes, unanticipated delays and coordination problems in administrative decisions, rather than from regulatory design.</w:t>
            </w:r>
          </w:p>
        </w:tc>
        <w:tc>
          <w:tcPr>
            <w:tcW w:w="2782" w:type="dxa"/>
          </w:tcPr>
          <w:p w:rsidR="009A37BF" w:rsidRPr="00C31888" w:rsidRDefault="009A37BF" w:rsidP="002D5A52">
            <w:pPr>
              <w:pStyle w:val="Tablenum2"/>
            </w:pPr>
            <w:r w:rsidRPr="00C31888">
              <w:t>Processes/systems are in place to make it as easy as possible for businesses to complete forms.</w:t>
            </w:r>
          </w:p>
          <w:p w:rsidR="009A37BF" w:rsidRPr="00C31888" w:rsidRDefault="009A37BF" w:rsidP="002D5A52">
            <w:pPr>
              <w:pStyle w:val="Tablenum2"/>
            </w:pPr>
            <w:r w:rsidRPr="00C31888">
              <w:t>Regulator provides clarity about the timing and scope of regulatory processes.</w:t>
            </w:r>
          </w:p>
          <w:p w:rsidR="009A37BF" w:rsidRPr="00C31888" w:rsidRDefault="009A37BF" w:rsidP="002D5A52">
            <w:pPr>
              <w:pStyle w:val="Tablenum2"/>
            </w:pPr>
            <w:r w:rsidRPr="00C31888">
              <w:t>Timetables for completing forms take into account all requests for information that a regulated party is dealing with, including requests from other regulators.</w:t>
            </w:r>
          </w:p>
          <w:p w:rsidR="009A37BF" w:rsidRPr="00C31888" w:rsidRDefault="009A37BF" w:rsidP="002D5A52">
            <w:pPr>
              <w:pStyle w:val="Tablenum2"/>
            </w:pPr>
            <w:r w:rsidRPr="00C31888">
              <w:t>Processes/systems are in place to make it easy for businesses to submit required data and to check on the status of any applications.</w:t>
            </w:r>
          </w:p>
        </w:tc>
        <w:tc>
          <w:tcPr>
            <w:tcW w:w="2726" w:type="dxa"/>
          </w:tcPr>
          <w:p w:rsidR="009A37BF" w:rsidRPr="00C31888" w:rsidRDefault="009A37BF" w:rsidP="002D5A52">
            <w:pPr>
              <w:pStyle w:val="Tablenum2"/>
            </w:pPr>
            <w:r w:rsidRPr="00C31888">
              <w:t>Regulator strives for improved e</w:t>
            </w:r>
            <w:r w:rsidRPr="00C31888">
              <w:noBreakHyphen/>
              <w:t>capability.</w:t>
            </w:r>
          </w:p>
        </w:tc>
      </w:tr>
      <w:tr w:rsidR="009A37BF" w:rsidRPr="00C31888" w:rsidTr="00D37F44">
        <w:tc>
          <w:tcPr>
            <w:tcW w:w="2836" w:type="dxa"/>
          </w:tcPr>
          <w:p w:rsidR="009A37BF" w:rsidRPr="002D5A52" w:rsidRDefault="009A37BF" w:rsidP="00D37F44">
            <w:pPr>
              <w:spacing w:before="60"/>
              <w:rPr>
                <w:b/>
              </w:rPr>
            </w:pPr>
            <w:r w:rsidRPr="002D5A52">
              <w:rPr>
                <w:b/>
              </w:rPr>
              <w:t>Risk</w:t>
            </w:r>
            <w:r w:rsidRPr="002D5A52">
              <w:rPr>
                <w:b/>
              </w:rPr>
              <w:noBreakHyphen/>
              <w:t xml:space="preserve">based strategies </w:t>
            </w:r>
          </w:p>
          <w:p w:rsidR="009A37BF" w:rsidRPr="00C31888" w:rsidRDefault="009A37BF" w:rsidP="00D37F44">
            <w:pPr>
              <w:spacing w:before="60"/>
            </w:pPr>
            <w:r w:rsidRPr="00C31888">
              <w:t>Risk</w:t>
            </w:r>
            <w:r w:rsidRPr="00C31888">
              <w:noBreakHyphen/>
              <w:t>based strategies can improve regulatory outcomes by more strategically focusing on activities where the risks are the greatest. Enforcement approaches that are not targeted at or proportionate to risk may be too onerous on compliant businesses and result in insufficient enforcement activity being focused on high-risk businesses. Failure to apply risk</w:t>
            </w:r>
            <w:r w:rsidRPr="00C31888">
              <w:noBreakHyphen/>
              <w:t>based regulation may result in inappropriate priority setting and inefficient allocation of scarce resources.</w:t>
            </w:r>
          </w:p>
        </w:tc>
        <w:tc>
          <w:tcPr>
            <w:tcW w:w="2782" w:type="dxa"/>
          </w:tcPr>
          <w:p w:rsidR="009A37BF" w:rsidRPr="00C31888" w:rsidRDefault="009A37BF" w:rsidP="002D5A52">
            <w:pPr>
              <w:pStyle w:val="Tablenum2"/>
              <w:numPr>
                <w:ilvl w:val="3"/>
                <w:numId w:val="33"/>
              </w:numPr>
            </w:pPr>
            <w:r w:rsidRPr="00C31888">
              <w:t>Regulator has collected relevant data to inform a risk</w:t>
            </w:r>
            <w:r w:rsidRPr="00C31888">
              <w:noBreakHyphen/>
              <w:t>based approach to regulation, and to evaluate outcomes.</w:t>
            </w:r>
          </w:p>
          <w:p w:rsidR="009A37BF" w:rsidRPr="00C31888" w:rsidRDefault="009A37BF" w:rsidP="002D5A52">
            <w:pPr>
              <w:pStyle w:val="Tablenum2"/>
            </w:pPr>
            <w:r w:rsidRPr="00C31888">
              <w:t>Regulator has an established approach to risk assessment.</w:t>
            </w:r>
          </w:p>
          <w:p w:rsidR="009A37BF" w:rsidRPr="00C31888" w:rsidRDefault="009A37BF" w:rsidP="002D5A52">
            <w:pPr>
              <w:pStyle w:val="Tablenum2"/>
            </w:pPr>
            <w:r w:rsidRPr="00C31888">
              <w:t>Requests for data from regulated parties are proportionate to risk.</w:t>
            </w:r>
          </w:p>
          <w:p w:rsidR="009A37BF" w:rsidRPr="00C31888" w:rsidRDefault="009A37BF" w:rsidP="002D5A52">
            <w:pPr>
              <w:pStyle w:val="Tablenum2"/>
            </w:pPr>
            <w:r w:rsidRPr="00C31888">
              <w:t>Risk</w:t>
            </w:r>
            <w:r w:rsidRPr="00C31888">
              <w:noBreakHyphen/>
              <w:t>based approaches to compliance and enforcement are considered and adopted where appropriate (for example, regulator tailors sanctions so that they are proportionate and meaningful).</w:t>
            </w:r>
          </w:p>
        </w:tc>
        <w:tc>
          <w:tcPr>
            <w:tcW w:w="2726" w:type="dxa"/>
          </w:tcPr>
          <w:p w:rsidR="009A37BF" w:rsidRPr="00C31888" w:rsidRDefault="009A37BF" w:rsidP="002D5A52">
            <w:pPr>
              <w:pStyle w:val="Tablenum2"/>
            </w:pPr>
            <w:r w:rsidRPr="00C31888">
              <w:t>Risk assessment is consistently applied across all activities.</w:t>
            </w:r>
          </w:p>
          <w:p w:rsidR="009A37BF" w:rsidRPr="00C31888" w:rsidRDefault="009A37BF" w:rsidP="002D5A52">
            <w:pPr>
              <w:pStyle w:val="Tablenum2"/>
            </w:pPr>
            <w:r w:rsidRPr="00C31888">
              <w:t>Knowledge of risk informs inspection targeting.</w:t>
            </w:r>
          </w:p>
          <w:p w:rsidR="009A37BF" w:rsidRPr="00C31888" w:rsidRDefault="009A37BF" w:rsidP="002D5A52">
            <w:pPr>
              <w:pStyle w:val="Tablenum2"/>
            </w:pPr>
            <w:r w:rsidRPr="00C31888">
              <w:t>Risk assessment processes and methodologies are transparent.</w:t>
            </w:r>
          </w:p>
          <w:p w:rsidR="009A37BF" w:rsidRPr="00C31888" w:rsidRDefault="009A37BF" w:rsidP="002D5A52">
            <w:pPr>
              <w:pStyle w:val="Tablenum2"/>
            </w:pPr>
            <w:r w:rsidRPr="00C31888">
              <w:t>Resources are concentrated in areas of greatest risk to the achievement of outcomes.</w:t>
            </w:r>
          </w:p>
        </w:tc>
      </w:tr>
      <w:tr w:rsidR="009A37BF" w:rsidRPr="00C31888" w:rsidTr="00D37F44">
        <w:tc>
          <w:tcPr>
            <w:tcW w:w="2836" w:type="dxa"/>
          </w:tcPr>
          <w:p w:rsidR="009A37BF" w:rsidRPr="002D5A52" w:rsidRDefault="009A37BF" w:rsidP="00D37F44">
            <w:pPr>
              <w:spacing w:before="60"/>
              <w:rPr>
                <w:b/>
              </w:rPr>
            </w:pPr>
            <w:r w:rsidRPr="002D5A52">
              <w:rPr>
                <w:b/>
              </w:rPr>
              <w:lastRenderedPageBreak/>
              <w:t xml:space="preserve">Compliance related assistance and advice </w:t>
            </w:r>
          </w:p>
          <w:p w:rsidR="009A37BF" w:rsidRPr="00C31888" w:rsidRDefault="009A37BF" w:rsidP="00D37F44">
            <w:pPr>
              <w:spacing w:before="60"/>
            </w:pPr>
            <w:r w:rsidRPr="00C31888">
              <w:t>Effective assistance and advice reduces the risk of non</w:t>
            </w:r>
            <w:r w:rsidRPr="00C31888">
              <w:noBreakHyphen/>
              <w:t>compliance. Poor or inaccessible advice may increase the time spent by regulated parties to understand regulatory requirements. Regulated parties should be able to access advice without fear of enforcement action.</w:t>
            </w:r>
          </w:p>
        </w:tc>
        <w:tc>
          <w:tcPr>
            <w:tcW w:w="2782" w:type="dxa"/>
          </w:tcPr>
          <w:p w:rsidR="009A37BF" w:rsidRPr="00C31888" w:rsidRDefault="009A37BF" w:rsidP="002D5A52">
            <w:pPr>
              <w:pStyle w:val="Tablenum2"/>
              <w:numPr>
                <w:ilvl w:val="3"/>
                <w:numId w:val="34"/>
              </w:numPr>
            </w:pPr>
            <w:r w:rsidRPr="00C31888">
              <w:t xml:space="preserve">Regulator provides assistance and advice in order to secure compliance. </w:t>
            </w:r>
          </w:p>
          <w:p w:rsidR="009A37BF" w:rsidRPr="00C31888" w:rsidRDefault="009A37BF" w:rsidP="002D5A52">
            <w:pPr>
              <w:pStyle w:val="Tablenum2"/>
            </w:pPr>
            <w:r w:rsidRPr="00C31888">
              <w:t>Advice is: easily available (for example, accessible in appropriate formats); accurate; easy to understand (i.e. written in plain English); comprehensive (e.g. include illustrative examples); timely (e.g. provided in time for individuals and businesses to adjust to changes in regulation); and, regularly reviewed and updated in light of feedback.</w:t>
            </w:r>
          </w:p>
          <w:p w:rsidR="009A37BF" w:rsidRPr="00C31888" w:rsidRDefault="009A37BF" w:rsidP="002D5A52">
            <w:pPr>
              <w:pStyle w:val="Tablenum2"/>
            </w:pPr>
            <w:r w:rsidRPr="00C31888">
              <w:t>Administration and enforcement is accompanied by ongoing advice.</w:t>
            </w:r>
          </w:p>
          <w:p w:rsidR="009A37BF" w:rsidRPr="00C31888" w:rsidRDefault="009A37BF" w:rsidP="002D5A52">
            <w:pPr>
              <w:pStyle w:val="Tablenum2"/>
            </w:pPr>
            <w:r w:rsidRPr="00C31888">
              <w:t>Regulator judges the effectiveness of its assistance and advice by monitoring regulated parties’ awareness and understanding of the services.</w:t>
            </w:r>
          </w:p>
          <w:p w:rsidR="009A37BF" w:rsidRPr="00C31888" w:rsidRDefault="009A37BF" w:rsidP="002D5A52">
            <w:pPr>
              <w:pStyle w:val="Tablenum2"/>
            </w:pPr>
            <w:r w:rsidRPr="00C31888">
              <w:t>Regulator provides clarity about the status and objectives of advice (i.e. whether it is statutory or non</w:t>
            </w:r>
            <w:r w:rsidRPr="00C31888">
              <w:noBreakHyphen/>
              <w:t>statutory).</w:t>
            </w:r>
          </w:p>
        </w:tc>
        <w:tc>
          <w:tcPr>
            <w:tcW w:w="2726" w:type="dxa"/>
          </w:tcPr>
          <w:p w:rsidR="009A37BF" w:rsidRPr="00C31888" w:rsidRDefault="009A37BF" w:rsidP="002D5A52">
            <w:pPr>
              <w:pStyle w:val="Tablenum2"/>
            </w:pPr>
            <w:r w:rsidRPr="00C31888">
              <w:t>Assistance and advice services cover the full range of regulated activities and are tailored where appropriate to different groupings of regulated parties.</w:t>
            </w:r>
          </w:p>
        </w:tc>
      </w:tr>
    </w:tbl>
    <w:p w:rsidR="009A37BF" w:rsidRPr="00C31888" w:rsidRDefault="009A37BF" w:rsidP="009A37BF"/>
    <w:p w:rsidR="009A37BF" w:rsidRPr="00C31888" w:rsidRDefault="009A37BF" w:rsidP="00E735F3">
      <w:pPr>
        <w:pStyle w:val="Heading2numbered"/>
      </w:pPr>
      <w:bookmarkStart w:id="23" w:name="_Toc481760528"/>
      <w:bookmarkStart w:id="24" w:name="_Toc483905981"/>
      <w:r>
        <w:t>Recommended element of good regulatory practice</w:t>
      </w:r>
      <w:bookmarkEnd w:id="23"/>
      <w:bookmarkEnd w:id="24"/>
    </w:p>
    <w:p w:rsidR="009A37BF" w:rsidRPr="00C31888" w:rsidRDefault="009A37BF" w:rsidP="00EE32F6">
      <w:pPr>
        <w:pStyle w:val="NormalIndent"/>
      </w:pPr>
      <w:r w:rsidRPr="00C31888">
        <w:t>Incentive-based regulation is an extension beyond risk-based regulation</w:t>
      </w:r>
      <w:r w:rsidRPr="00C31888">
        <w:rPr>
          <w:rStyle w:val="FootnoteReference"/>
        </w:rPr>
        <w:footnoteReference w:id="3"/>
      </w:r>
      <w:r w:rsidRPr="00C31888">
        <w:t>, and requires an understanding of regulated entities’ behaviour and motivations. Developing this understanding can take time.</w:t>
      </w:r>
    </w:p>
    <w:p w:rsidR="009A37BF" w:rsidRPr="00C31888" w:rsidRDefault="009A37BF" w:rsidP="00EE32F6">
      <w:pPr>
        <w:pStyle w:val="NormalIndent"/>
      </w:pPr>
      <w:r w:rsidRPr="00C31888">
        <w:t xml:space="preserve">Under the </w:t>
      </w:r>
      <w:r>
        <w:t xml:space="preserve">SOE </w:t>
      </w:r>
      <w:r w:rsidRPr="00C31888">
        <w:t xml:space="preserve">Framework, regulators that have operated in an area of regulatory continuity for more than three years are encouraged to focus on incentive-based regulation and have moves towards greater incentive-based regulation included in their SOEs. </w:t>
      </w:r>
    </w:p>
    <w:p w:rsidR="009A37BF" w:rsidRPr="00C31888" w:rsidRDefault="009A37BF" w:rsidP="00EE32F6">
      <w:pPr>
        <w:pStyle w:val="NormalIndent"/>
      </w:pPr>
      <w:r w:rsidRPr="00C31888">
        <w:t>The following matrix outlines recommended minimum standards for regulators focusing on incentive-based regulation, and suggested best practice stretch targets for larger and higher</w:t>
      </w:r>
      <w:r w:rsidRPr="00C31888">
        <w:noBreakHyphen/>
        <w:t>impact regulators. Where different minimum standards and stretch targets are considered more appropriate, these can be used instead.</w:t>
      </w:r>
    </w:p>
    <w:tbl>
      <w:tblPr>
        <w:tblStyle w:val="DTFtexttableindent"/>
        <w:tblW w:w="8178" w:type="dxa"/>
        <w:tblBorders>
          <w:top w:val="single" w:sz="6" w:space="0" w:color="0063A6" w:themeColor="accent1"/>
          <w:insideH w:val="single" w:sz="6" w:space="0" w:color="0063A6" w:themeColor="accent1"/>
        </w:tblBorders>
        <w:tblLook w:val="0620" w:firstRow="1" w:lastRow="0" w:firstColumn="0" w:lastColumn="0" w:noHBand="1" w:noVBand="1"/>
      </w:tblPr>
      <w:tblGrid>
        <w:gridCol w:w="2670"/>
        <w:gridCol w:w="2782"/>
        <w:gridCol w:w="2726"/>
      </w:tblGrid>
      <w:tr w:rsidR="009A37BF" w:rsidRPr="00C31888" w:rsidTr="00D37F44">
        <w:trPr>
          <w:cnfStyle w:val="100000000000" w:firstRow="1" w:lastRow="0" w:firstColumn="0" w:lastColumn="0" w:oddVBand="0" w:evenVBand="0" w:oddHBand="0" w:evenHBand="0" w:firstRowFirstColumn="0" w:firstRowLastColumn="0" w:lastRowFirstColumn="0" w:lastRowLastColumn="0"/>
        </w:trPr>
        <w:tc>
          <w:tcPr>
            <w:tcW w:w="2670" w:type="dxa"/>
          </w:tcPr>
          <w:p w:rsidR="009A37BF" w:rsidRPr="00C31888" w:rsidRDefault="009A37BF" w:rsidP="0025667D">
            <w:r w:rsidRPr="00C31888">
              <w:lastRenderedPageBreak/>
              <w:t>Element of good regulatory practice</w:t>
            </w:r>
          </w:p>
        </w:tc>
        <w:tc>
          <w:tcPr>
            <w:tcW w:w="2782" w:type="dxa"/>
          </w:tcPr>
          <w:p w:rsidR="009A37BF" w:rsidRPr="00C31888" w:rsidRDefault="009A37BF" w:rsidP="0025667D">
            <w:r w:rsidRPr="00C31888">
              <w:t>Minimum standards</w:t>
            </w:r>
          </w:p>
        </w:tc>
        <w:tc>
          <w:tcPr>
            <w:tcW w:w="2726" w:type="dxa"/>
          </w:tcPr>
          <w:p w:rsidR="009A37BF" w:rsidRPr="00C31888" w:rsidRDefault="009A37BF" w:rsidP="0025667D">
            <w:r w:rsidRPr="00C31888">
              <w:t>Characteristics of best practice</w:t>
            </w:r>
          </w:p>
        </w:tc>
      </w:tr>
      <w:tr w:rsidR="009A37BF" w:rsidRPr="002D5A52" w:rsidTr="00D37F44">
        <w:tc>
          <w:tcPr>
            <w:tcW w:w="8178" w:type="dxa"/>
            <w:gridSpan w:val="3"/>
            <w:shd w:val="clear" w:color="auto" w:fill="E3EBF4" w:themeFill="accent3" w:themeFillTint="33"/>
          </w:tcPr>
          <w:p w:rsidR="009A37BF" w:rsidRPr="002D5A52" w:rsidRDefault="009A37BF" w:rsidP="0025667D">
            <w:pPr>
              <w:rPr>
                <w:b/>
              </w:rPr>
            </w:pPr>
            <w:r w:rsidRPr="002D5A52">
              <w:rPr>
                <w:b/>
              </w:rPr>
              <w:t>Performance objective</w:t>
            </w:r>
          </w:p>
        </w:tc>
      </w:tr>
      <w:tr w:rsidR="009A37BF" w:rsidRPr="00C31888" w:rsidTr="00D37F44">
        <w:tc>
          <w:tcPr>
            <w:tcW w:w="2670" w:type="dxa"/>
          </w:tcPr>
          <w:p w:rsidR="009A37BF" w:rsidRPr="002D5A52" w:rsidRDefault="009A37BF" w:rsidP="002D5A52">
            <w:pPr>
              <w:spacing w:before="60"/>
              <w:rPr>
                <w:b/>
              </w:rPr>
            </w:pPr>
            <w:r w:rsidRPr="002D5A52">
              <w:rPr>
                <w:b/>
              </w:rPr>
              <w:t>Incentive-based regulation</w:t>
            </w:r>
          </w:p>
          <w:p w:rsidR="009A37BF" w:rsidRPr="00C31888" w:rsidRDefault="009A37BF" w:rsidP="002D5A52">
            <w:r w:rsidRPr="00C31888">
              <w:t xml:space="preserve">Strategies that adopt incentive regulation demonstrate an understanding of regulated entities. </w:t>
            </w:r>
          </w:p>
          <w:p w:rsidR="009A37BF" w:rsidRPr="00C31888" w:rsidRDefault="009A37BF" w:rsidP="002D5A52">
            <w:r w:rsidRPr="00C31888">
              <w:t xml:space="preserve">These strategies use rewards and punishments to induce behaviours consistent with the outcomes that regulators wish to achieve. </w:t>
            </w:r>
          </w:p>
          <w:p w:rsidR="009A37BF" w:rsidRPr="00C31888" w:rsidRDefault="009A37BF" w:rsidP="002D5A52">
            <w:r w:rsidRPr="00C31888">
              <w:t xml:space="preserve">Effective use of such regulation can create opportunities to better target resources elsewhere while still maintaining or improving regulatory outcomes. </w:t>
            </w:r>
          </w:p>
          <w:p w:rsidR="009A37BF" w:rsidRPr="00C31888" w:rsidRDefault="009A37BF" w:rsidP="002D5A52">
            <w:r w:rsidRPr="00C31888">
              <w:t>Failure to apply such regulation may result in inappropriate priority setting and inefficient allocation of scarce resources.</w:t>
            </w:r>
          </w:p>
        </w:tc>
        <w:tc>
          <w:tcPr>
            <w:tcW w:w="2782" w:type="dxa"/>
          </w:tcPr>
          <w:p w:rsidR="009A37BF" w:rsidRPr="00C31888" w:rsidRDefault="009A37BF" w:rsidP="00D37F44">
            <w:pPr>
              <w:pStyle w:val="Tablenum2"/>
              <w:numPr>
                <w:ilvl w:val="3"/>
                <w:numId w:val="35"/>
              </w:numPr>
            </w:pPr>
            <w:r w:rsidRPr="00C31888">
              <w:t>Regulator has collected relevant data to evaluate regulatory outcomes.</w:t>
            </w:r>
          </w:p>
          <w:p w:rsidR="009A37BF" w:rsidRPr="00C31888" w:rsidRDefault="009A37BF" w:rsidP="002D5A52">
            <w:pPr>
              <w:pStyle w:val="Tablenum2"/>
            </w:pPr>
            <w:r w:rsidRPr="00C31888">
              <w:t>An understanding of regulated entities’ behaviour and incentives.</w:t>
            </w:r>
          </w:p>
          <w:p w:rsidR="009A37BF" w:rsidRPr="00C31888" w:rsidRDefault="009A37BF" w:rsidP="002D5A52">
            <w:pPr>
              <w:pStyle w:val="Tablenum2"/>
            </w:pPr>
            <w:r w:rsidRPr="00C31888">
              <w:t xml:space="preserve">Incentive-based approaches to compliance are considered and adopted where appropriate. Examples may include: </w:t>
            </w:r>
          </w:p>
          <w:p w:rsidR="009A37BF" w:rsidRPr="00C31888" w:rsidRDefault="009A37BF" w:rsidP="002D5A52">
            <w:pPr>
              <w:pStyle w:val="Tablebullet"/>
              <w:ind w:left="648"/>
            </w:pPr>
            <w:r w:rsidRPr="00C31888">
              <w:t>rewarding a track record of compliance with a less frequent, and in turn less burdensome, audit inspection cycle</w:t>
            </w:r>
          </w:p>
          <w:p w:rsidR="009A37BF" w:rsidRPr="00C31888" w:rsidRDefault="009A37BF" w:rsidP="002D5A52">
            <w:pPr>
              <w:pStyle w:val="Tablebullet"/>
              <w:ind w:left="648"/>
            </w:pPr>
            <w:r w:rsidRPr="00C31888">
              <w:t>rewarding investment in risk-mitigating processes or equipment</w:t>
            </w:r>
          </w:p>
        </w:tc>
        <w:tc>
          <w:tcPr>
            <w:tcW w:w="2726" w:type="dxa"/>
          </w:tcPr>
          <w:p w:rsidR="009A37BF" w:rsidRPr="00D37F44" w:rsidRDefault="009A37BF" w:rsidP="00D37F44">
            <w:pPr>
              <w:pStyle w:val="Tablenum2"/>
              <w:numPr>
                <w:ilvl w:val="3"/>
                <w:numId w:val="36"/>
              </w:numPr>
            </w:pPr>
            <w:r w:rsidRPr="00C31888">
              <w:t>Incentives and signals are c</w:t>
            </w:r>
            <w:r w:rsidRPr="00D37F44">
              <w:t>lear and meaningful to regulated entities.</w:t>
            </w:r>
          </w:p>
          <w:p w:rsidR="009A37BF" w:rsidRPr="00D37F44" w:rsidRDefault="009A37BF" w:rsidP="00D37F44">
            <w:pPr>
              <w:pStyle w:val="Tablenum2"/>
            </w:pPr>
            <w:r w:rsidRPr="00D37F44">
              <w:t>Incentives and signals are not overly complex, and lead to desired responses from regulated entities.</w:t>
            </w:r>
          </w:p>
          <w:p w:rsidR="009A37BF" w:rsidRPr="00D37F44" w:rsidRDefault="009A37BF" w:rsidP="00D37F44">
            <w:pPr>
              <w:pStyle w:val="Tablenum2"/>
            </w:pPr>
            <w:r w:rsidRPr="00D37F44">
              <w:t>Reduced enforcement activity necessary to achieve particular regulatory outcomes.</w:t>
            </w:r>
            <w:r w:rsidR="00842C93">
              <w:t xml:space="preserve"> </w:t>
            </w:r>
          </w:p>
          <w:p w:rsidR="009A37BF" w:rsidRPr="00C31888" w:rsidRDefault="009A37BF" w:rsidP="00D37F44">
            <w:pPr>
              <w:pStyle w:val="Tablenum2"/>
            </w:pPr>
            <w:r w:rsidRPr="00D37F44">
              <w:t>Redeployment of enforcement activities to target other regulatory outcomes following implementation</w:t>
            </w:r>
            <w:r w:rsidRPr="00C31888">
              <w:t xml:space="preserve"> of incentives. </w:t>
            </w:r>
          </w:p>
        </w:tc>
      </w:tr>
    </w:tbl>
    <w:p w:rsidR="009A37BF" w:rsidRPr="00C31888" w:rsidRDefault="009A37BF" w:rsidP="00D37F44"/>
    <w:p w:rsidR="009A37BF" w:rsidRPr="00C31888" w:rsidRDefault="009A37BF" w:rsidP="00E735F3">
      <w:pPr>
        <w:pStyle w:val="Heading2numbered"/>
      </w:pPr>
      <w:bookmarkStart w:id="25" w:name="_Toc481760529"/>
      <w:bookmarkStart w:id="26" w:name="_Toc483905982"/>
      <w:r w:rsidRPr="00C31888">
        <w:t xml:space="preserve">Other suggested </w:t>
      </w:r>
      <w:r>
        <w:t>elements of good regulatory practice</w:t>
      </w:r>
      <w:bookmarkEnd w:id="25"/>
      <w:bookmarkEnd w:id="26"/>
    </w:p>
    <w:p w:rsidR="00D37F44" w:rsidRDefault="009A37BF" w:rsidP="00EE32F6">
      <w:pPr>
        <w:pStyle w:val="NormalIndent"/>
      </w:pPr>
      <w:r w:rsidRPr="00C31888">
        <w:t>The following matrix outlines recommended minimum standards for all regulators, and suggested best practice stretch targets for higher</w:t>
      </w:r>
      <w:r w:rsidRPr="00C31888">
        <w:noBreakHyphen/>
        <w:t>volume and higher</w:t>
      </w:r>
      <w:r w:rsidRPr="00C31888">
        <w:noBreakHyphen/>
        <w:t>impact regulators. These may not be relevant to all regulators. Consistent with a proportionate approach, when applying the matrix to complete a self</w:t>
      </w:r>
      <w:r w:rsidRPr="00C31888">
        <w:noBreakHyphen/>
        <w:t>assessment and develop their Good Regulatory Practice Plan, departments and regulators should select the most appropriate and highest priority elements for their circumstances. Where different minimum standards and stretch targets are considered more appropriate, these can be used instead.</w:t>
      </w:r>
    </w:p>
    <w:p w:rsidR="00D37F44" w:rsidRDefault="00D37F44">
      <w:pPr>
        <w:spacing w:before="0" w:after="200"/>
      </w:pPr>
      <w:r>
        <w:br w:type="page"/>
      </w:r>
    </w:p>
    <w:tbl>
      <w:tblPr>
        <w:tblStyle w:val="DTFtexttableindent"/>
        <w:tblW w:w="8178" w:type="dxa"/>
        <w:tblBorders>
          <w:top w:val="single" w:sz="6" w:space="0" w:color="0063A6" w:themeColor="accent1"/>
          <w:insideH w:val="single" w:sz="6" w:space="0" w:color="0063A6" w:themeColor="accent1"/>
        </w:tblBorders>
        <w:tblLook w:val="0620" w:firstRow="1" w:lastRow="0" w:firstColumn="0" w:lastColumn="0" w:noHBand="1" w:noVBand="1"/>
      </w:tblPr>
      <w:tblGrid>
        <w:gridCol w:w="2659"/>
        <w:gridCol w:w="2811"/>
        <w:gridCol w:w="2708"/>
      </w:tblGrid>
      <w:tr w:rsidR="009A37BF" w:rsidRPr="00C31888" w:rsidTr="00D37F44">
        <w:trPr>
          <w:cnfStyle w:val="100000000000" w:firstRow="1" w:lastRow="0" w:firstColumn="0" w:lastColumn="0" w:oddVBand="0" w:evenVBand="0" w:oddHBand="0" w:evenHBand="0" w:firstRowFirstColumn="0" w:firstRowLastColumn="0" w:lastRowFirstColumn="0" w:lastRowLastColumn="0"/>
        </w:trPr>
        <w:tc>
          <w:tcPr>
            <w:tcW w:w="2659" w:type="dxa"/>
          </w:tcPr>
          <w:p w:rsidR="009A37BF" w:rsidRPr="00C31888" w:rsidRDefault="009A37BF" w:rsidP="0025667D">
            <w:r w:rsidRPr="00C31888">
              <w:lastRenderedPageBreak/>
              <w:t>Elements of good regulatory practice</w:t>
            </w:r>
          </w:p>
        </w:tc>
        <w:tc>
          <w:tcPr>
            <w:tcW w:w="2811" w:type="dxa"/>
          </w:tcPr>
          <w:p w:rsidR="009A37BF" w:rsidRPr="00C31888" w:rsidRDefault="009A37BF" w:rsidP="0025667D">
            <w:r w:rsidRPr="00C31888">
              <w:t>Minimum standards</w:t>
            </w:r>
          </w:p>
        </w:tc>
        <w:tc>
          <w:tcPr>
            <w:tcW w:w="2708" w:type="dxa"/>
          </w:tcPr>
          <w:p w:rsidR="009A37BF" w:rsidRPr="00C31888" w:rsidRDefault="009A37BF" w:rsidP="0025667D">
            <w:r w:rsidRPr="00C31888">
              <w:t>Characteristics of best practice</w:t>
            </w:r>
          </w:p>
        </w:tc>
      </w:tr>
      <w:tr w:rsidR="009A37BF" w:rsidRPr="00D37F44" w:rsidTr="00D37F44">
        <w:tc>
          <w:tcPr>
            <w:tcW w:w="8178" w:type="dxa"/>
            <w:gridSpan w:val="3"/>
            <w:shd w:val="clear" w:color="auto" w:fill="E3EBF4" w:themeFill="accent3" w:themeFillTint="33"/>
          </w:tcPr>
          <w:p w:rsidR="009A37BF" w:rsidRPr="00D37F44" w:rsidRDefault="009A37BF" w:rsidP="0025667D">
            <w:pPr>
              <w:rPr>
                <w:b/>
              </w:rPr>
            </w:pPr>
            <w:r w:rsidRPr="00D37F44">
              <w:rPr>
                <w:b/>
              </w:rPr>
              <w:t>Governance objectives</w:t>
            </w:r>
          </w:p>
        </w:tc>
      </w:tr>
      <w:tr w:rsidR="009A37BF" w:rsidRPr="00C31888" w:rsidTr="00D37F44">
        <w:tc>
          <w:tcPr>
            <w:tcW w:w="2659" w:type="dxa"/>
          </w:tcPr>
          <w:p w:rsidR="009A37BF" w:rsidRPr="00D37F44" w:rsidRDefault="009A37BF" w:rsidP="00D37F44">
            <w:pPr>
              <w:spacing w:before="60"/>
              <w:rPr>
                <w:b/>
              </w:rPr>
            </w:pPr>
            <w:r w:rsidRPr="00D37F44">
              <w:rPr>
                <w:b/>
              </w:rPr>
              <w:t>Role clarity</w:t>
            </w:r>
          </w:p>
          <w:p w:rsidR="009A37BF" w:rsidRPr="00C31888" w:rsidRDefault="009A37BF" w:rsidP="00D37F44">
            <w:pPr>
              <w:spacing w:before="60"/>
            </w:pPr>
            <w:r w:rsidRPr="00C31888">
              <w:t>Clearly defined roles and responsibilities and a clear understanding of the objectives that regulatory interventions hope to achieve supports improvements in regulatory practices and performance over time, as well as strengthening regulatory outcomes. This is particularly important where there are multiple regulators involved in implementing, administering and enforcing a regulation.</w:t>
            </w:r>
          </w:p>
        </w:tc>
        <w:tc>
          <w:tcPr>
            <w:tcW w:w="2811" w:type="dxa"/>
          </w:tcPr>
          <w:p w:rsidR="009A37BF" w:rsidRPr="00C31888" w:rsidRDefault="009A37BF" w:rsidP="00D37F44">
            <w:pPr>
              <w:pStyle w:val="Tablenum2"/>
              <w:numPr>
                <w:ilvl w:val="3"/>
                <w:numId w:val="37"/>
              </w:numPr>
            </w:pPr>
            <w:r w:rsidRPr="00C31888">
              <w:t>Regulator has in place a monitoring and assurance regime to ensure that their regulatory objectives are being met.</w:t>
            </w:r>
          </w:p>
          <w:p w:rsidR="009A37BF" w:rsidRPr="00C31888" w:rsidRDefault="009A37BF" w:rsidP="00D37F44">
            <w:pPr>
              <w:pStyle w:val="Tablenum2"/>
            </w:pPr>
            <w:r w:rsidRPr="00C31888">
              <w:t>There is a clearly understood and documented chain of accountability and communication between departments/agencies and their regulators.</w:t>
            </w:r>
          </w:p>
          <w:p w:rsidR="009A37BF" w:rsidRPr="00C31888" w:rsidRDefault="009A37BF" w:rsidP="00D37F44">
            <w:pPr>
              <w:pStyle w:val="Tablenum2"/>
            </w:pPr>
            <w:r w:rsidRPr="00C31888">
              <w:t>Formal instruments clarify regulator roles where there are shared accountabilities and promote cooperation amongst regulators (see below).</w:t>
            </w:r>
          </w:p>
        </w:tc>
        <w:tc>
          <w:tcPr>
            <w:tcW w:w="2708" w:type="dxa"/>
          </w:tcPr>
          <w:p w:rsidR="009A37BF" w:rsidRPr="00C31888" w:rsidRDefault="009A37BF" w:rsidP="00D37F44">
            <w:pPr>
              <w:pStyle w:val="Tablenum2"/>
            </w:pPr>
            <w:r w:rsidRPr="00C31888">
              <w:t>Regulator provides assurance to the Victorian community that regulated entities are meeting their mandated requirements.</w:t>
            </w:r>
          </w:p>
        </w:tc>
      </w:tr>
      <w:tr w:rsidR="009A37BF" w:rsidRPr="00C31888" w:rsidTr="00D37F44">
        <w:tc>
          <w:tcPr>
            <w:tcW w:w="2659" w:type="dxa"/>
          </w:tcPr>
          <w:p w:rsidR="009A37BF" w:rsidRPr="00D37F44" w:rsidRDefault="009A37BF" w:rsidP="00D37F44">
            <w:pPr>
              <w:spacing w:before="60"/>
              <w:rPr>
                <w:b/>
              </w:rPr>
            </w:pPr>
            <w:r w:rsidRPr="00D37F44">
              <w:rPr>
                <w:b/>
              </w:rPr>
              <w:t>Cooperation amongst regulators</w:t>
            </w:r>
          </w:p>
          <w:p w:rsidR="009A37BF" w:rsidRPr="00C31888" w:rsidRDefault="009A37BF" w:rsidP="00D37F44">
            <w:pPr>
              <w:spacing w:before="60"/>
            </w:pPr>
            <w:r w:rsidRPr="00C31888">
              <w:t>Sharing information and developing a common understanding of the regulatory context promotes regulatory coherence, capability development and a cooperative compliance culture. Over time, cooperation amongst regulators can strengthen the legitimacy of regulation and improve regulatory outcomes.</w:t>
            </w:r>
          </w:p>
        </w:tc>
        <w:tc>
          <w:tcPr>
            <w:tcW w:w="2811" w:type="dxa"/>
          </w:tcPr>
          <w:p w:rsidR="009A37BF" w:rsidRPr="00C31888" w:rsidRDefault="009A37BF" w:rsidP="00D37F44">
            <w:pPr>
              <w:pStyle w:val="Tablenum2"/>
              <w:numPr>
                <w:ilvl w:val="3"/>
                <w:numId w:val="38"/>
              </w:numPr>
            </w:pPr>
            <w:r w:rsidRPr="00C31888">
              <w:t>Regulators come together to identify good practice and share lessons.</w:t>
            </w:r>
          </w:p>
          <w:p w:rsidR="009A37BF" w:rsidRPr="00C31888" w:rsidRDefault="009A37BF" w:rsidP="00D37F44">
            <w:pPr>
              <w:pStyle w:val="Tablenum2"/>
            </w:pPr>
            <w:r w:rsidRPr="00C31888">
              <w:t>Regulator has considered and explored ways to facilitate data sharing.</w:t>
            </w:r>
          </w:p>
          <w:p w:rsidR="009A37BF" w:rsidRPr="00C31888" w:rsidRDefault="009A37BF" w:rsidP="00D37F44">
            <w:pPr>
              <w:pStyle w:val="Tablenum2"/>
            </w:pPr>
            <w:r w:rsidRPr="00C31888">
              <w:t>Regulator performance is benchmarked.</w:t>
            </w:r>
          </w:p>
        </w:tc>
        <w:tc>
          <w:tcPr>
            <w:tcW w:w="2708" w:type="dxa"/>
          </w:tcPr>
          <w:p w:rsidR="009A37BF" w:rsidRPr="00C31888" w:rsidRDefault="009A37BF" w:rsidP="00D37F44">
            <w:pPr>
              <w:pStyle w:val="Tablenum2"/>
            </w:pPr>
            <w:r w:rsidRPr="00C31888">
              <w:t>The regulator engages and coordinates on a regular basis with other regulators whose regulated parties overlap with their own.</w:t>
            </w:r>
          </w:p>
          <w:p w:rsidR="009A37BF" w:rsidRPr="00C31888" w:rsidRDefault="009A37BF" w:rsidP="00D37F44">
            <w:pPr>
              <w:pStyle w:val="Tablenum2"/>
            </w:pPr>
            <w:r w:rsidRPr="00C31888">
              <w:t>Regulatory practices are streamlined between regulators (for example, information is only required to be provided to government once and that data is shared between regulators).</w:t>
            </w:r>
          </w:p>
        </w:tc>
      </w:tr>
      <w:tr w:rsidR="009A37BF" w:rsidRPr="00C31888" w:rsidTr="00D37F44">
        <w:tc>
          <w:tcPr>
            <w:tcW w:w="2659" w:type="dxa"/>
          </w:tcPr>
          <w:p w:rsidR="009A37BF" w:rsidRPr="00D37F44" w:rsidRDefault="009A37BF" w:rsidP="00D37F44">
            <w:pPr>
              <w:spacing w:before="60"/>
              <w:rPr>
                <w:b/>
              </w:rPr>
            </w:pPr>
            <w:r w:rsidRPr="00D37F44">
              <w:rPr>
                <w:b/>
              </w:rPr>
              <w:t>Stakeholder consultation and engagement</w:t>
            </w:r>
          </w:p>
          <w:p w:rsidR="009A37BF" w:rsidRPr="00C31888" w:rsidRDefault="009A37BF" w:rsidP="00D37F44">
            <w:pPr>
              <w:spacing w:before="60"/>
            </w:pPr>
            <w:r w:rsidRPr="00C31888">
              <w:t>Effective communication and engagement with stakeholders can reduce regulatory burden, facilitate improved regulator performance and lead to better regulatory outcomes. Stakeholder consultation and engagement includes sharing information, providing opportunities to express views and contribute to regulatory design (where appropriate), considering views and advising on the outcome of consultation.</w:t>
            </w:r>
          </w:p>
        </w:tc>
        <w:tc>
          <w:tcPr>
            <w:tcW w:w="2811" w:type="dxa"/>
          </w:tcPr>
          <w:p w:rsidR="009A37BF" w:rsidRPr="00C31888" w:rsidRDefault="009A37BF" w:rsidP="00D37F44">
            <w:pPr>
              <w:pStyle w:val="Tablenum2"/>
              <w:numPr>
                <w:ilvl w:val="3"/>
                <w:numId w:val="39"/>
              </w:numPr>
            </w:pPr>
            <w:r w:rsidRPr="00C31888">
              <w:t>Forms, data requests and other administrative and compliance processes are regularly reviewed with feedback sought from stakeholders (for example, forms include a short feedback section with suggestions for improvement).</w:t>
            </w:r>
          </w:p>
          <w:p w:rsidR="009A37BF" w:rsidRPr="00C31888" w:rsidRDefault="009A37BF" w:rsidP="00D37F44">
            <w:pPr>
              <w:pStyle w:val="Tablenum2"/>
            </w:pPr>
            <w:r w:rsidRPr="00C31888">
              <w:t>Regulator provides feedback on the outcome of consultation exercises to those who took part.</w:t>
            </w:r>
          </w:p>
          <w:p w:rsidR="009A37BF" w:rsidRPr="00C31888" w:rsidRDefault="009A37BF" w:rsidP="00D37F44">
            <w:pPr>
              <w:pStyle w:val="Tablenum2"/>
            </w:pPr>
            <w:r w:rsidRPr="00C31888">
              <w:t>Regulator understands the changing needs of business and the community throughout the regulatory cycle.</w:t>
            </w:r>
          </w:p>
        </w:tc>
        <w:tc>
          <w:tcPr>
            <w:tcW w:w="2708" w:type="dxa"/>
          </w:tcPr>
          <w:p w:rsidR="009A37BF" w:rsidRPr="00C31888" w:rsidRDefault="009A37BF" w:rsidP="00D37F44">
            <w:pPr>
              <w:pStyle w:val="Tablenum2"/>
            </w:pPr>
            <w:r w:rsidRPr="00C31888">
              <w:t>Regulator routinely involves regulated parties and the community in identifying risk, analysis and evaluation.</w:t>
            </w:r>
          </w:p>
          <w:p w:rsidR="009A37BF" w:rsidRPr="00C31888" w:rsidRDefault="009A37BF" w:rsidP="00D37F44">
            <w:pPr>
              <w:pStyle w:val="Tablenum2"/>
            </w:pPr>
            <w:r w:rsidRPr="00C31888">
              <w:t>Consultation has a demonstrable impact on the design and administration of regulatory processes.</w:t>
            </w:r>
          </w:p>
        </w:tc>
      </w:tr>
      <w:tr w:rsidR="009A37BF" w:rsidRPr="00C31888" w:rsidTr="00D37F44">
        <w:tc>
          <w:tcPr>
            <w:tcW w:w="2659" w:type="dxa"/>
          </w:tcPr>
          <w:p w:rsidR="009A37BF" w:rsidRPr="00D37F44" w:rsidRDefault="009A37BF" w:rsidP="00D37F44">
            <w:pPr>
              <w:spacing w:before="60"/>
              <w:rPr>
                <w:b/>
              </w:rPr>
            </w:pPr>
            <w:r w:rsidRPr="00D37F44">
              <w:rPr>
                <w:b/>
              </w:rPr>
              <w:lastRenderedPageBreak/>
              <w:t>Accountability and transparency</w:t>
            </w:r>
          </w:p>
          <w:p w:rsidR="009A37BF" w:rsidRPr="00C31888" w:rsidRDefault="009A37BF" w:rsidP="0025667D">
            <w:r w:rsidRPr="00C31888">
              <w:t>Administration of regulation should be subject to public scrutiny. Performance reporting can provide regulators, their stakeholders, the community and the government with a clearer picture of the strengths of Victorian regulators’ existing practices and processes, and where effort is needed to improve performance. However, unless the right things are measured and reported clearly, it is difficult to know how effective a regulator is in achieving its regulatory outcomes.</w:t>
            </w:r>
          </w:p>
        </w:tc>
        <w:tc>
          <w:tcPr>
            <w:tcW w:w="2811" w:type="dxa"/>
          </w:tcPr>
          <w:p w:rsidR="009A37BF" w:rsidRPr="00C31888" w:rsidRDefault="009A37BF" w:rsidP="00D37F44">
            <w:pPr>
              <w:pStyle w:val="Tablenum2"/>
              <w:numPr>
                <w:ilvl w:val="3"/>
                <w:numId w:val="40"/>
              </w:numPr>
            </w:pPr>
            <w:r w:rsidRPr="00C31888">
              <w:t>Regulator is transparent about how they administer and, where appropriate, how they enforce regulation (for example, transparent complaints and disputes mechanisms and transparency about the reasons for enforcement decisions).</w:t>
            </w:r>
            <w:r w:rsidRPr="00C31888">
              <w:rPr>
                <w:rStyle w:val="FootnoteReference"/>
                <w:sz w:val="22"/>
              </w:rPr>
              <w:footnoteReference w:id="4"/>
            </w:r>
            <w:r w:rsidRPr="00C31888">
              <w:t xml:space="preserve"> </w:t>
            </w:r>
          </w:p>
          <w:p w:rsidR="009A37BF" w:rsidRPr="00C31888" w:rsidRDefault="009A37BF" w:rsidP="00D37F44">
            <w:pPr>
              <w:pStyle w:val="Tablenum2"/>
            </w:pPr>
            <w:r w:rsidRPr="00C31888">
              <w:t>Regulator collects and publishes data that enables it to measure its operational performance.</w:t>
            </w:r>
          </w:p>
          <w:p w:rsidR="009A37BF" w:rsidRPr="00C31888" w:rsidRDefault="009A37BF" w:rsidP="00D37F44">
            <w:pPr>
              <w:pStyle w:val="Tablenum2"/>
            </w:pPr>
            <w:r w:rsidRPr="00C31888">
              <w:t>Government priorities are addressed as part of regulator performance reporting.</w:t>
            </w:r>
            <w:r w:rsidRPr="00C31888">
              <w:rPr>
                <w:rStyle w:val="FootnoteReference"/>
                <w:sz w:val="22"/>
              </w:rPr>
              <w:footnoteReference w:id="5"/>
            </w:r>
          </w:p>
        </w:tc>
        <w:tc>
          <w:tcPr>
            <w:tcW w:w="2708" w:type="dxa"/>
          </w:tcPr>
          <w:p w:rsidR="009A37BF" w:rsidRPr="00C31888" w:rsidRDefault="009A37BF" w:rsidP="00D37F44">
            <w:pPr>
              <w:pStyle w:val="Tablenum2"/>
            </w:pPr>
            <w:r w:rsidRPr="00C31888">
              <w:t>Regulator regularly reviews the efficiency and effectiveness of their regulatory practices and complaint handling processes in order to determine whether regulatory outcomes are being realised.</w:t>
            </w:r>
          </w:p>
          <w:p w:rsidR="009A37BF" w:rsidRPr="00C31888" w:rsidRDefault="009A37BF" w:rsidP="00D37F44">
            <w:pPr>
              <w:pStyle w:val="Tablenum2"/>
            </w:pPr>
            <w:r w:rsidRPr="00C31888">
              <w:t>Regulator publishes outcome</w:t>
            </w:r>
            <w:r w:rsidRPr="00C31888">
              <w:noBreakHyphen/>
              <w:t xml:space="preserve">focused data on operational performance. </w:t>
            </w:r>
          </w:p>
        </w:tc>
      </w:tr>
      <w:tr w:rsidR="009A37BF" w:rsidRPr="00D37F44" w:rsidTr="00D37F44">
        <w:tc>
          <w:tcPr>
            <w:tcW w:w="8178" w:type="dxa"/>
            <w:gridSpan w:val="3"/>
            <w:shd w:val="clear" w:color="auto" w:fill="E3EBF4" w:themeFill="accent3" w:themeFillTint="33"/>
          </w:tcPr>
          <w:p w:rsidR="009A37BF" w:rsidRPr="00D37F44" w:rsidRDefault="009A37BF" w:rsidP="0025667D">
            <w:pPr>
              <w:rPr>
                <w:b/>
              </w:rPr>
            </w:pPr>
            <w:r w:rsidRPr="00D37F44">
              <w:rPr>
                <w:b/>
              </w:rPr>
              <w:t>Performance objective</w:t>
            </w:r>
          </w:p>
        </w:tc>
      </w:tr>
      <w:tr w:rsidR="009A37BF" w:rsidRPr="00C31888" w:rsidTr="00D37F44">
        <w:tc>
          <w:tcPr>
            <w:tcW w:w="2659" w:type="dxa"/>
          </w:tcPr>
          <w:p w:rsidR="009A37BF" w:rsidRPr="00D37F44" w:rsidRDefault="009A37BF" w:rsidP="00D37F44">
            <w:pPr>
              <w:spacing w:before="60"/>
              <w:rPr>
                <w:b/>
              </w:rPr>
            </w:pPr>
            <w:r w:rsidRPr="00D37F44">
              <w:rPr>
                <w:b/>
              </w:rPr>
              <w:t xml:space="preserve">Clear and consistent regulatory activities </w:t>
            </w:r>
          </w:p>
          <w:p w:rsidR="009A37BF" w:rsidRPr="00C31888" w:rsidRDefault="009A37BF" w:rsidP="0025667D">
            <w:r w:rsidRPr="00C31888">
              <w:t>Inefficient practices represent a regulatory burden to regulated parties and the community. Ineffective enforcement practices can distort regulatory outcomes.</w:t>
            </w:r>
          </w:p>
        </w:tc>
        <w:tc>
          <w:tcPr>
            <w:tcW w:w="2811" w:type="dxa"/>
          </w:tcPr>
          <w:p w:rsidR="009A37BF" w:rsidRPr="00C31888" w:rsidRDefault="009A37BF" w:rsidP="00D37F44">
            <w:pPr>
              <w:pStyle w:val="Tablenum2"/>
              <w:numPr>
                <w:ilvl w:val="3"/>
                <w:numId w:val="41"/>
              </w:numPr>
            </w:pPr>
            <w:r w:rsidRPr="00C31888">
              <w:t>Regulator has documented key administrative and compliance processes and activities.</w:t>
            </w:r>
          </w:p>
          <w:p w:rsidR="009A37BF" w:rsidRPr="00C31888" w:rsidRDefault="009A37BF" w:rsidP="00D37F44">
            <w:pPr>
              <w:pStyle w:val="Tablenum2"/>
            </w:pPr>
            <w:r w:rsidRPr="00C31888">
              <w:t>There is a clear purpose for all information that is collected.</w:t>
            </w:r>
            <w:r w:rsidRPr="00C31888">
              <w:rPr>
                <w:rStyle w:val="FootnoteReference"/>
                <w:sz w:val="22"/>
              </w:rPr>
              <w:footnoteReference w:id="6"/>
            </w:r>
          </w:p>
          <w:p w:rsidR="009A37BF" w:rsidRPr="00C31888" w:rsidRDefault="009A37BF" w:rsidP="00D37F44">
            <w:pPr>
              <w:pStyle w:val="Tablenum2"/>
            </w:pPr>
            <w:r w:rsidRPr="00C31888">
              <w:t>Regulator is responsive to lessons learned.</w:t>
            </w:r>
          </w:p>
          <w:p w:rsidR="009A37BF" w:rsidRPr="00C31888" w:rsidRDefault="009A37BF" w:rsidP="00D37F44">
            <w:pPr>
              <w:pStyle w:val="Tablenum2"/>
            </w:pPr>
            <w:r w:rsidRPr="00C31888">
              <w:t>Regulator undertakes appropriate planning and resource management.</w:t>
            </w:r>
          </w:p>
        </w:tc>
        <w:tc>
          <w:tcPr>
            <w:tcW w:w="2708" w:type="dxa"/>
          </w:tcPr>
          <w:p w:rsidR="009A37BF" w:rsidRPr="00C31888" w:rsidRDefault="009A37BF" w:rsidP="00D37F44">
            <w:pPr>
              <w:pStyle w:val="Tablenum2"/>
            </w:pPr>
            <w:r w:rsidRPr="00C31888">
              <w:t>Regulator strives to continuously improve administrative and compliance processes and activities.</w:t>
            </w:r>
          </w:p>
          <w:p w:rsidR="009A37BF" w:rsidRPr="00C31888" w:rsidRDefault="009A37BF" w:rsidP="00D37F44">
            <w:pPr>
              <w:pStyle w:val="Tablenum2"/>
            </w:pPr>
            <w:r w:rsidRPr="00C31888">
              <w:t>Enforcement activities are carried out in a way that minimises the impact on business (for example, joint inspections with other regulators, businesses are notified in advance of inspections</w:t>
            </w:r>
            <w:r>
              <w:t xml:space="preserve"> where appropriate</w:t>
            </w:r>
            <w:r w:rsidRPr="00C31888">
              <w:t>). This can be assisted through greater cooperation with other regulators (see above).</w:t>
            </w:r>
          </w:p>
        </w:tc>
      </w:tr>
    </w:tbl>
    <w:p w:rsidR="009A37BF" w:rsidRDefault="009A37BF">
      <w:pPr>
        <w:spacing w:before="0" w:after="200"/>
      </w:pPr>
    </w:p>
    <w:p w:rsidR="00D37F44" w:rsidRDefault="00D37F44">
      <w:pPr>
        <w:spacing w:before="0" w:after="200"/>
        <w:rPr>
          <w:rFonts w:asciiTheme="majorHAnsi" w:eastAsiaTheme="majorEastAsia" w:hAnsiTheme="majorHAnsi" w:cstheme="majorBidi"/>
          <w:b/>
          <w:bCs/>
          <w:color w:val="201547"/>
          <w:spacing w:val="-1"/>
          <w:sz w:val="36"/>
          <w:szCs w:val="28"/>
        </w:rPr>
      </w:pPr>
      <w:bookmarkStart w:id="27" w:name="_Toc481760530"/>
      <w:r>
        <w:br w:type="page"/>
      </w:r>
    </w:p>
    <w:p w:rsidR="009A37BF" w:rsidRPr="00C31888" w:rsidRDefault="009A37BF" w:rsidP="00EE32F6">
      <w:pPr>
        <w:pStyle w:val="Heading1numbered"/>
      </w:pPr>
      <w:bookmarkStart w:id="28" w:name="_Toc483905983"/>
      <w:r w:rsidRPr="00C31888">
        <w:lastRenderedPageBreak/>
        <w:t>Good regulatory practice self</w:t>
      </w:r>
      <w:r w:rsidRPr="00C31888">
        <w:noBreakHyphen/>
        <w:t>assessment</w:t>
      </w:r>
      <w:bookmarkEnd w:id="27"/>
      <w:bookmarkEnd w:id="28"/>
    </w:p>
    <w:p w:rsidR="009A37BF" w:rsidRPr="00C31888" w:rsidRDefault="009A37BF" w:rsidP="00EE32F6">
      <w:pPr>
        <w:pStyle w:val="NormalIndent"/>
      </w:pPr>
      <w:r w:rsidRPr="00C31888">
        <w:t>This self</w:t>
      </w:r>
      <w:r w:rsidRPr="00C31888">
        <w:noBreakHyphen/>
        <w:t>assessment table has been designed to help regulators assess their current practices against good practice. It is recommended to serve as the basis for the regulator to consider what can be done to improve current practices and move towards best practice.</w:t>
      </w:r>
    </w:p>
    <w:p w:rsidR="009A37BF" w:rsidRPr="00C31888" w:rsidRDefault="009A37BF" w:rsidP="00EE32F6">
      <w:pPr>
        <w:pStyle w:val="NormalIndent"/>
      </w:pPr>
      <w:r w:rsidRPr="00C31888">
        <w:t xml:space="preserve">For each element of good regulatory practice outlined in the governance and performance matrix under section </w:t>
      </w:r>
      <w:r>
        <w:t>four</w:t>
      </w:r>
      <w:r w:rsidRPr="00C31888">
        <w:t xml:space="preserve"> of </w:t>
      </w:r>
      <w:r>
        <w:t>the SOE Framework</w:t>
      </w:r>
      <w:r w:rsidRPr="00C31888">
        <w:t>, the following questions can be used as a guide to help the regulator assess current regulatory practices. Based on the self</w:t>
      </w:r>
      <w:r w:rsidRPr="00C31888">
        <w:noBreakHyphen/>
        <w:t xml:space="preserve">assessment in response to these questions, the regulator should be able to rank their proficiency in each of the identified good regulatory practices. </w:t>
      </w:r>
    </w:p>
    <w:p w:rsidR="009A37BF" w:rsidRPr="00C31888" w:rsidRDefault="009A37BF" w:rsidP="00EE32F6">
      <w:pPr>
        <w:pStyle w:val="NormalIndent"/>
      </w:pPr>
      <w:r w:rsidRPr="00C31888">
        <w:t>Other inputs to the self</w:t>
      </w:r>
      <w:r w:rsidRPr="00C31888">
        <w:noBreakHyphen/>
        <w:t xml:space="preserve">assessment could include reports or recommendations from external review bodies such as the VAGO, VCEC or Parliamentary committees. </w:t>
      </w:r>
    </w:p>
    <w:p w:rsidR="009A37BF" w:rsidRPr="00C31888" w:rsidRDefault="009A37BF" w:rsidP="00EE32F6">
      <w:pPr>
        <w:pStyle w:val="NormalIndent"/>
      </w:pPr>
      <w:r w:rsidRPr="00C31888">
        <w:t>The self</w:t>
      </w:r>
      <w:r w:rsidRPr="00C31888">
        <w:noBreakHyphen/>
        <w:t>assessment is recommended for use in section six of th</w:t>
      </w:r>
      <w:r>
        <w:t xml:space="preserve">e SOE Framework </w:t>
      </w:r>
      <w:r w:rsidRPr="00C31888">
        <w:t>to develop a Good Regulatory Practice Plan that will underpin the SOE.</w:t>
      </w:r>
    </w:p>
    <w:p w:rsidR="009A37BF" w:rsidRDefault="009A37BF" w:rsidP="00E735F3">
      <w:pPr>
        <w:pStyle w:val="Heading2numbered"/>
      </w:pPr>
      <w:bookmarkStart w:id="29" w:name="_Toc481760531"/>
      <w:bookmarkStart w:id="30" w:name="_Toc483905984"/>
      <w:r w:rsidRPr="00C31888">
        <w:t xml:space="preserve">Self-assessment for mandatory </w:t>
      </w:r>
      <w:r>
        <w:t>elements of good regulatory practice</w:t>
      </w:r>
      <w:bookmarkEnd w:id="29"/>
      <w:bookmarkEnd w:id="30"/>
    </w:p>
    <w:tbl>
      <w:tblPr>
        <w:tblStyle w:val="DTFtexttableindent"/>
        <w:tblW w:w="8178" w:type="dxa"/>
        <w:tblBorders>
          <w:top w:val="single" w:sz="6" w:space="0" w:color="0063A6" w:themeColor="accent1"/>
          <w:insideH w:val="single" w:sz="6" w:space="0" w:color="0063A6" w:themeColor="accent1"/>
        </w:tblBorders>
        <w:tblLook w:val="0620" w:firstRow="1" w:lastRow="0" w:firstColumn="0" w:lastColumn="0" w:noHBand="1" w:noVBand="1"/>
      </w:tblPr>
      <w:tblGrid>
        <w:gridCol w:w="3916"/>
        <w:gridCol w:w="2250"/>
        <w:gridCol w:w="2012"/>
      </w:tblGrid>
      <w:tr w:rsidR="009A37BF" w:rsidRPr="00C31888" w:rsidTr="00593AA6">
        <w:trPr>
          <w:cnfStyle w:val="100000000000" w:firstRow="1" w:lastRow="0" w:firstColumn="0" w:lastColumn="0" w:oddVBand="0" w:evenVBand="0" w:oddHBand="0" w:evenHBand="0" w:firstRowFirstColumn="0" w:firstRowLastColumn="0" w:lastRowFirstColumn="0" w:lastRowLastColumn="0"/>
        </w:trPr>
        <w:tc>
          <w:tcPr>
            <w:tcW w:w="3916" w:type="dxa"/>
          </w:tcPr>
          <w:p w:rsidR="009A37BF" w:rsidRPr="00C31888" w:rsidRDefault="009A37BF" w:rsidP="007D2C65">
            <w:pPr>
              <w:spacing w:before="100"/>
            </w:pPr>
            <w:r w:rsidRPr="00C31888">
              <w:br w:type="page"/>
              <w:t>Good regulatory practice minimum standards (high</w:t>
            </w:r>
            <w:r w:rsidRPr="00C31888">
              <w:noBreakHyphen/>
              <w:t>volume/high</w:t>
            </w:r>
            <w:r w:rsidRPr="00C31888">
              <w:noBreakHyphen/>
              <w:t>impact regulators should also include best practice characteristics)</w:t>
            </w:r>
          </w:p>
        </w:tc>
        <w:tc>
          <w:tcPr>
            <w:tcW w:w="2250" w:type="dxa"/>
          </w:tcPr>
          <w:p w:rsidR="009A37BF" w:rsidRPr="00C31888" w:rsidRDefault="009A37BF" w:rsidP="007D2C65">
            <w:pPr>
              <w:spacing w:before="100"/>
            </w:pPr>
            <w:r w:rsidRPr="00C31888">
              <w:t>Outline how current regulatory practices compare to standards, including evidence where possible</w:t>
            </w:r>
          </w:p>
        </w:tc>
        <w:tc>
          <w:tcPr>
            <w:tcW w:w="2012" w:type="dxa"/>
          </w:tcPr>
          <w:p w:rsidR="009A37BF" w:rsidRPr="00C31888" w:rsidRDefault="009A37BF" w:rsidP="007D2C65">
            <w:pPr>
              <w:spacing w:before="100"/>
            </w:pPr>
            <w:r w:rsidRPr="00C31888">
              <w:t>Highlight areas for improvement between standards and current practice</w:t>
            </w:r>
          </w:p>
        </w:tc>
      </w:tr>
      <w:tr w:rsidR="009A37BF" w:rsidRPr="007D2C65" w:rsidTr="00593AA6">
        <w:tc>
          <w:tcPr>
            <w:tcW w:w="3916" w:type="dxa"/>
            <w:shd w:val="clear" w:color="auto" w:fill="E3EBF4" w:themeFill="accent3" w:themeFillTint="33"/>
          </w:tcPr>
          <w:p w:rsidR="009A37BF" w:rsidRPr="007D2C65" w:rsidRDefault="009A37BF" w:rsidP="007D2C65">
            <w:pPr>
              <w:spacing w:before="100"/>
              <w:rPr>
                <w:b/>
              </w:rPr>
            </w:pPr>
            <w:r w:rsidRPr="007D2C65">
              <w:rPr>
                <w:b/>
              </w:rPr>
              <w:t>1. Timeliness</w:t>
            </w:r>
          </w:p>
        </w:tc>
        <w:tc>
          <w:tcPr>
            <w:tcW w:w="2250" w:type="dxa"/>
            <w:shd w:val="clear" w:color="auto" w:fill="E3EBF4" w:themeFill="accent3" w:themeFillTint="33"/>
          </w:tcPr>
          <w:p w:rsidR="009A37BF" w:rsidRPr="007D2C65" w:rsidRDefault="009A37BF" w:rsidP="007D2C65">
            <w:pPr>
              <w:spacing w:before="100"/>
              <w:rPr>
                <w:b/>
              </w:rPr>
            </w:pPr>
          </w:p>
        </w:tc>
        <w:tc>
          <w:tcPr>
            <w:tcW w:w="2012" w:type="dxa"/>
            <w:shd w:val="clear" w:color="auto" w:fill="E3EBF4" w:themeFill="accent3" w:themeFillTint="33"/>
          </w:tcPr>
          <w:p w:rsidR="009A37BF" w:rsidRPr="007D2C65" w:rsidRDefault="009A37BF" w:rsidP="007D2C65">
            <w:pPr>
              <w:spacing w:before="100"/>
              <w:rPr>
                <w:b/>
              </w:rPr>
            </w:pPr>
          </w:p>
        </w:tc>
      </w:tr>
      <w:tr w:rsidR="009A37BF" w:rsidRPr="00C31888" w:rsidTr="00593AA6">
        <w:tc>
          <w:tcPr>
            <w:tcW w:w="3916" w:type="dxa"/>
          </w:tcPr>
          <w:p w:rsidR="009A37BF" w:rsidRPr="00C31888" w:rsidRDefault="009A37BF" w:rsidP="007D2C65">
            <w:pPr>
              <w:spacing w:before="100"/>
            </w:pPr>
            <w:r w:rsidRPr="00C31888">
              <w:t>1a. Processes/systems are in place to make it as easy as possible for businesses to complete forms.</w:t>
            </w:r>
          </w:p>
        </w:tc>
        <w:tc>
          <w:tcPr>
            <w:tcW w:w="2250" w:type="dxa"/>
          </w:tcPr>
          <w:p w:rsidR="009A37BF" w:rsidRPr="00C31888" w:rsidRDefault="009A37BF" w:rsidP="007D2C65">
            <w:pPr>
              <w:spacing w:before="100"/>
            </w:pPr>
          </w:p>
        </w:tc>
        <w:tc>
          <w:tcPr>
            <w:tcW w:w="2012" w:type="dxa"/>
          </w:tcPr>
          <w:p w:rsidR="009A37BF" w:rsidRPr="00C31888" w:rsidRDefault="009A37BF" w:rsidP="007D2C65">
            <w:pPr>
              <w:spacing w:before="100"/>
            </w:pPr>
          </w:p>
        </w:tc>
      </w:tr>
      <w:tr w:rsidR="009A37BF" w:rsidRPr="00C31888" w:rsidTr="00593AA6">
        <w:tc>
          <w:tcPr>
            <w:tcW w:w="3916" w:type="dxa"/>
          </w:tcPr>
          <w:p w:rsidR="009A37BF" w:rsidRPr="00C31888" w:rsidRDefault="009A37BF" w:rsidP="007D2C65">
            <w:pPr>
              <w:spacing w:before="100"/>
            </w:pPr>
            <w:r w:rsidRPr="00C31888">
              <w:t>1b. Regulator provides clarity about the timing and scope of regulatory processes.</w:t>
            </w:r>
          </w:p>
        </w:tc>
        <w:tc>
          <w:tcPr>
            <w:tcW w:w="2250" w:type="dxa"/>
          </w:tcPr>
          <w:p w:rsidR="009A37BF" w:rsidRPr="00C31888" w:rsidRDefault="009A37BF" w:rsidP="007D2C65">
            <w:pPr>
              <w:spacing w:before="100"/>
            </w:pPr>
          </w:p>
        </w:tc>
        <w:tc>
          <w:tcPr>
            <w:tcW w:w="2012" w:type="dxa"/>
          </w:tcPr>
          <w:p w:rsidR="009A37BF" w:rsidRPr="00C31888" w:rsidRDefault="009A37BF" w:rsidP="007D2C65">
            <w:pPr>
              <w:spacing w:before="100"/>
            </w:pPr>
          </w:p>
        </w:tc>
      </w:tr>
      <w:tr w:rsidR="009A37BF" w:rsidRPr="00C31888" w:rsidTr="00593AA6">
        <w:tc>
          <w:tcPr>
            <w:tcW w:w="3916" w:type="dxa"/>
          </w:tcPr>
          <w:p w:rsidR="009A37BF" w:rsidRPr="00C31888" w:rsidRDefault="009A37BF" w:rsidP="007D2C65">
            <w:pPr>
              <w:spacing w:before="100"/>
            </w:pPr>
            <w:r w:rsidRPr="00C31888">
              <w:t>1c. Timetables for completing forms take into account all requests for information that a regulated party is dealing with, including requests from other regulators.</w:t>
            </w:r>
          </w:p>
        </w:tc>
        <w:tc>
          <w:tcPr>
            <w:tcW w:w="2250" w:type="dxa"/>
          </w:tcPr>
          <w:p w:rsidR="009A37BF" w:rsidRPr="00C31888" w:rsidRDefault="009A37BF" w:rsidP="007D2C65">
            <w:pPr>
              <w:spacing w:before="100"/>
            </w:pPr>
          </w:p>
        </w:tc>
        <w:tc>
          <w:tcPr>
            <w:tcW w:w="2012" w:type="dxa"/>
          </w:tcPr>
          <w:p w:rsidR="009A37BF" w:rsidRPr="00C31888" w:rsidRDefault="009A37BF" w:rsidP="007D2C65">
            <w:pPr>
              <w:spacing w:before="100"/>
            </w:pPr>
          </w:p>
        </w:tc>
      </w:tr>
      <w:tr w:rsidR="009A37BF" w:rsidRPr="00C31888" w:rsidTr="00593AA6">
        <w:tc>
          <w:tcPr>
            <w:tcW w:w="3916" w:type="dxa"/>
          </w:tcPr>
          <w:p w:rsidR="009A37BF" w:rsidRPr="00C31888" w:rsidRDefault="009A37BF" w:rsidP="007D2C65">
            <w:pPr>
              <w:spacing w:before="100"/>
            </w:pPr>
            <w:r w:rsidRPr="00C31888">
              <w:t>1d. Processes/systems are in place to make it easy for businesses to submit required data and to check on the status of any applications.</w:t>
            </w:r>
          </w:p>
        </w:tc>
        <w:tc>
          <w:tcPr>
            <w:tcW w:w="2250" w:type="dxa"/>
          </w:tcPr>
          <w:p w:rsidR="009A37BF" w:rsidRPr="00C31888" w:rsidRDefault="009A37BF" w:rsidP="007D2C65">
            <w:pPr>
              <w:spacing w:before="100"/>
            </w:pPr>
          </w:p>
        </w:tc>
        <w:tc>
          <w:tcPr>
            <w:tcW w:w="2012" w:type="dxa"/>
          </w:tcPr>
          <w:p w:rsidR="009A37BF" w:rsidRPr="00C31888" w:rsidRDefault="009A37BF" w:rsidP="007D2C65">
            <w:pPr>
              <w:spacing w:before="100"/>
            </w:pPr>
          </w:p>
        </w:tc>
      </w:tr>
      <w:tr w:rsidR="009A37BF" w:rsidRPr="007D2C65" w:rsidTr="00593AA6">
        <w:tc>
          <w:tcPr>
            <w:tcW w:w="3916" w:type="dxa"/>
            <w:shd w:val="clear" w:color="auto" w:fill="E3EBF4" w:themeFill="accent3" w:themeFillTint="33"/>
          </w:tcPr>
          <w:p w:rsidR="009A37BF" w:rsidRPr="007D2C65" w:rsidRDefault="009A37BF" w:rsidP="007D2C65">
            <w:pPr>
              <w:spacing w:before="100"/>
              <w:rPr>
                <w:b/>
              </w:rPr>
            </w:pPr>
            <w:r w:rsidRPr="007D2C65">
              <w:rPr>
                <w:b/>
              </w:rPr>
              <w:t>2. Risk-based strategies</w:t>
            </w:r>
          </w:p>
        </w:tc>
        <w:tc>
          <w:tcPr>
            <w:tcW w:w="2250" w:type="dxa"/>
            <w:shd w:val="clear" w:color="auto" w:fill="E3EBF4" w:themeFill="accent3" w:themeFillTint="33"/>
          </w:tcPr>
          <w:p w:rsidR="009A37BF" w:rsidRPr="007D2C65" w:rsidRDefault="009A37BF" w:rsidP="007D2C65">
            <w:pPr>
              <w:spacing w:before="100"/>
              <w:rPr>
                <w:b/>
              </w:rPr>
            </w:pPr>
          </w:p>
        </w:tc>
        <w:tc>
          <w:tcPr>
            <w:tcW w:w="2012" w:type="dxa"/>
            <w:shd w:val="clear" w:color="auto" w:fill="E3EBF4" w:themeFill="accent3" w:themeFillTint="33"/>
          </w:tcPr>
          <w:p w:rsidR="009A37BF" w:rsidRPr="007D2C65" w:rsidRDefault="009A37BF" w:rsidP="007D2C65">
            <w:pPr>
              <w:spacing w:before="100"/>
              <w:rPr>
                <w:b/>
              </w:rPr>
            </w:pPr>
          </w:p>
        </w:tc>
      </w:tr>
      <w:tr w:rsidR="009A37BF" w:rsidRPr="00C31888" w:rsidTr="00593AA6">
        <w:tc>
          <w:tcPr>
            <w:tcW w:w="3916" w:type="dxa"/>
          </w:tcPr>
          <w:p w:rsidR="009A37BF" w:rsidRPr="00C31888" w:rsidRDefault="009A37BF" w:rsidP="007D2C65">
            <w:pPr>
              <w:spacing w:before="100"/>
            </w:pPr>
            <w:r w:rsidRPr="00C31888">
              <w:t>2a. Regulator has collected relevant data to inform a risk based approach to regulation, and to evaluate outcomes.</w:t>
            </w:r>
          </w:p>
        </w:tc>
        <w:tc>
          <w:tcPr>
            <w:tcW w:w="2250" w:type="dxa"/>
          </w:tcPr>
          <w:p w:rsidR="009A37BF" w:rsidRPr="00C31888" w:rsidRDefault="009A37BF" w:rsidP="007D2C65">
            <w:pPr>
              <w:spacing w:before="100"/>
            </w:pPr>
          </w:p>
        </w:tc>
        <w:tc>
          <w:tcPr>
            <w:tcW w:w="2012" w:type="dxa"/>
          </w:tcPr>
          <w:p w:rsidR="009A37BF" w:rsidRPr="00C31888" w:rsidRDefault="009A37BF" w:rsidP="007D2C65">
            <w:pPr>
              <w:spacing w:before="100"/>
            </w:pPr>
          </w:p>
        </w:tc>
      </w:tr>
      <w:tr w:rsidR="009A37BF" w:rsidRPr="00C31888" w:rsidTr="00593AA6">
        <w:tc>
          <w:tcPr>
            <w:tcW w:w="3916" w:type="dxa"/>
          </w:tcPr>
          <w:p w:rsidR="009A37BF" w:rsidRPr="00C31888" w:rsidRDefault="009A37BF" w:rsidP="007D2C65">
            <w:pPr>
              <w:spacing w:before="100"/>
            </w:pPr>
            <w:r w:rsidRPr="00C31888">
              <w:t>2b. Regulator has an established approach to risk assessment.</w:t>
            </w:r>
          </w:p>
        </w:tc>
        <w:tc>
          <w:tcPr>
            <w:tcW w:w="2250" w:type="dxa"/>
          </w:tcPr>
          <w:p w:rsidR="009A37BF" w:rsidRPr="00C31888" w:rsidRDefault="009A37BF" w:rsidP="007D2C65">
            <w:pPr>
              <w:spacing w:before="100"/>
            </w:pPr>
          </w:p>
        </w:tc>
        <w:tc>
          <w:tcPr>
            <w:tcW w:w="2012" w:type="dxa"/>
          </w:tcPr>
          <w:p w:rsidR="009A37BF" w:rsidRPr="00C31888" w:rsidRDefault="009A37BF" w:rsidP="007D2C65">
            <w:pPr>
              <w:spacing w:before="100"/>
            </w:pPr>
          </w:p>
        </w:tc>
      </w:tr>
      <w:tr w:rsidR="009A37BF" w:rsidRPr="00C31888" w:rsidTr="00593AA6">
        <w:tc>
          <w:tcPr>
            <w:tcW w:w="3916" w:type="dxa"/>
          </w:tcPr>
          <w:p w:rsidR="009A37BF" w:rsidRPr="00C31888" w:rsidRDefault="009A37BF" w:rsidP="007D2C65">
            <w:pPr>
              <w:spacing w:before="100"/>
            </w:pPr>
            <w:r w:rsidRPr="00C31888">
              <w:lastRenderedPageBreak/>
              <w:t>2c. Requests for data from regulated parties are proportionate to risk.</w:t>
            </w:r>
          </w:p>
        </w:tc>
        <w:tc>
          <w:tcPr>
            <w:tcW w:w="2250" w:type="dxa"/>
          </w:tcPr>
          <w:p w:rsidR="009A37BF" w:rsidRPr="00C31888" w:rsidRDefault="009A37BF" w:rsidP="007D2C65">
            <w:pPr>
              <w:spacing w:before="100"/>
            </w:pPr>
          </w:p>
        </w:tc>
        <w:tc>
          <w:tcPr>
            <w:tcW w:w="2012" w:type="dxa"/>
          </w:tcPr>
          <w:p w:rsidR="009A37BF" w:rsidRPr="00C31888" w:rsidRDefault="009A37BF" w:rsidP="007D2C65">
            <w:pPr>
              <w:spacing w:before="100"/>
            </w:pPr>
          </w:p>
        </w:tc>
      </w:tr>
      <w:tr w:rsidR="009A37BF" w:rsidRPr="00C31888" w:rsidTr="00593AA6">
        <w:tc>
          <w:tcPr>
            <w:tcW w:w="3916" w:type="dxa"/>
          </w:tcPr>
          <w:p w:rsidR="009A37BF" w:rsidRPr="00C31888" w:rsidRDefault="009A37BF" w:rsidP="007D2C65">
            <w:pPr>
              <w:spacing w:before="100"/>
              <w:rPr>
                <w:b/>
              </w:rPr>
            </w:pPr>
            <w:r w:rsidRPr="00C31888">
              <w:t>2d. Risk based approaches to com</w:t>
            </w:r>
            <w:r w:rsidRPr="0025667D">
              <w:t>p</w:t>
            </w:r>
            <w:r w:rsidRPr="00C31888">
              <w:t>liance and enforcement are considered and adopted where appropriate (for example, regulator tailors sanctions so that they are proportionate and meaningful).</w:t>
            </w:r>
          </w:p>
        </w:tc>
        <w:tc>
          <w:tcPr>
            <w:tcW w:w="2250" w:type="dxa"/>
          </w:tcPr>
          <w:p w:rsidR="009A37BF" w:rsidRPr="00C31888" w:rsidRDefault="009A37BF" w:rsidP="007D2C65">
            <w:pPr>
              <w:spacing w:before="100"/>
            </w:pPr>
          </w:p>
        </w:tc>
        <w:tc>
          <w:tcPr>
            <w:tcW w:w="2012" w:type="dxa"/>
          </w:tcPr>
          <w:p w:rsidR="009A37BF" w:rsidRPr="00C31888" w:rsidRDefault="009A37BF" w:rsidP="007D2C65">
            <w:pPr>
              <w:spacing w:before="100"/>
            </w:pPr>
          </w:p>
        </w:tc>
      </w:tr>
      <w:tr w:rsidR="009A37BF" w:rsidRPr="007D2C65" w:rsidTr="00593AA6">
        <w:tc>
          <w:tcPr>
            <w:tcW w:w="6166" w:type="dxa"/>
            <w:gridSpan w:val="2"/>
            <w:shd w:val="clear" w:color="auto" w:fill="E3EBF4" w:themeFill="accent3" w:themeFillTint="33"/>
          </w:tcPr>
          <w:p w:rsidR="009A37BF" w:rsidRPr="007D2C65" w:rsidRDefault="009A37BF" w:rsidP="007D2C65">
            <w:pPr>
              <w:spacing w:before="100"/>
              <w:rPr>
                <w:b/>
              </w:rPr>
            </w:pPr>
            <w:r w:rsidRPr="007D2C65">
              <w:rPr>
                <w:b/>
              </w:rPr>
              <w:t>3. Compliance related assistance and advice</w:t>
            </w:r>
          </w:p>
        </w:tc>
        <w:tc>
          <w:tcPr>
            <w:tcW w:w="2012" w:type="dxa"/>
            <w:shd w:val="clear" w:color="auto" w:fill="E3EBF4" w:themeFill="accent3" w:themeFillTint="33"/>
          </w:tcPr>
          <w:p w:rsidR="009A37BF" w:rsidRPr="007D2C65" w:rsidRDefault="009A37BF" w:rsidP="007D2C65">
            <w:pPr>
              <w:spacing w:before="100"/>
              <w:rPr>
                <w:b/>
              </w:rPr>
            </w:pPr>
          </w:p>
        </w:tc>
      </w:tr>
      <w:tr w:rsidR="009A37BF" w:rsidRPr="00C31888" w:rsidTr="00593AA6">
        <w:tc>
          <w:tcPr>
            <w:tcW w:w="3916" w:type="dxa"/>
          </w:tcPr>
          <w:p w:rsidR="009A37BF" w:rsidRPr="00C31888" w:rsidRDefault="009A37BF" w:rsidP="007D2C65">
            <w:pPr>
              <w:spacing w:before="100"/>
            </w:pPr>
            <w:r w:rsidRPr="00C31888">
              <w:t>3a. The regulator provides assistance and advice in order to secure compliance.</w:t>
            </w:r>
          </w:p>
        </w:tc>
        <w:tc>
          <w:tcPr>
            <w:tcW w:w="2250" w:type="dxa"/>
          </w:tcPr>
          <w:p w:rsidR="009A37BF" w:rsidRPr="00C31888" w:rsidRDefault="009A37BF" w:rsidP="007D2C65">
            <w:pPr>
              <w:spacing w:before="100"/>
            </w:pPr>
          </w:p>
        </w:tc>
        <w:tc>
          <w:tcPr>
            <w:tcW w:w="2012" w:type="dxa"/>
          </w:tcPr>
          <w:p w:rsidR="009A37BF" w:rsidRPr="00C31888" w:rsidRDefault="009A37BF" w:rsidP="007D2C65">
            <w:pPr>
              <w:spacing w:before="100"/>
            </w:pPr>
          </w:p>
        </w:tc>
      </w:tr>
      <w:tr w:rsidR="009A37BF" w:rsidRPr="00C31888" w:rsidTr="00593AA6">
        <w:tc>
          <w:tcPr>
            <w:tcW w:w="3916" w:type="dxa"/>
          </w:tcPr>
          <w:p w:rsidR="009A37BF" w:rsidRPr="00C31888" w:rsidRDefault="009A37BF" w:rsidP="007D2C65">
            <w:pPr>
              <w:spacing w:before="100"/>
            </w:pPr>
            <w:r w:rsidRPr="00C31888">
              <w:t xml:space="preserve">3b. Advice is: </w:t>
            </w:r>
          </w:p>
          <w:p w:rsidR="009A37BF" w:rsidRPr="00C31888" w:rsidRDefault="009A37BF" w:rsidP="007D2C65">
            <w:pPr>
              <w:pStyle w:val="Tablebullet"/>
              <w:ind w:left="576"/>
            </w:pPr>
            <w:r w:rsidRPr="00C31888">
              <w:t>easily available (for example, accessible in appropriate formats);</w:t>
            </w:r>
          </w:p>
          <w:p w:rsidR="009A37BF" w:rsidRPr="00C31888" w:rsidRDefault="009A37BF" w:rsidP="007D2C65">
            <w:pPr>
              <w:pStyle w:val="Tablebullet"/>
              <w:ind w:left="576"/>
            </w:pPr>
            <w:r w:rsidRPr="00C31888">
              <w:t>accurate</w:t>
            </w:r>
            <w:r w:rsidR="00C51847">
              <w:t>;</w:t>
            </w:r>
          </w:p>
          <w:p w:rsidR="009A37BF" w:rsidRPr="00C31888" w:rsidRDefault="009A37BF" w:rsidP="007D2C65">
            <w:pPr>
              <w:pStyle w:val="Tablebullet"/>
              <w:ind w:left="576"/>
            </w:pPr>
            <w:r w:rsidRPr="00C31888">
              <w:t>easy to understand (i.e. written in plain English);</w:t>
            </w:r>
          </w:p>
          <w:p w:rsidR="009A37BF" w:rsidRPr="00C31888" w:rsidRDefault="009A37BF" w:rsidP="007D2C65">
            <w:pPr>
              <w:pStyle w:val="Tablebullet"/>
              <w:ind w:left="576"/>
            </w:pPr>
            <w:r w:rsidRPr="00C31888">
              <w:t xml:space="preserve">comprehensive (e.g. include illustrative examples); </w:t>
            </w:r>
          </w:p>
          <w:p w:rsidR="009A37BF" w:rsidRPr="00C31888" w:rsidRDefault="009A37BF" w:rsidP="007D2C65">
            <w:pPr>
              <w:pStyle w:val="Tablebullet"/>
              <w:ind w:left="576"/>
            </w:pPr>
            <w:r w:rsidRPr="00C31888">
              <w:t>timely (e.g. provided in time for changes to regulation); and</w:t>
            </w:r>
          </w:p>
          <w:p w:rsidR="009A37BF" w:rsidRPr="00C31888" w:rsidRDefault="009A37BF" w:rsidP="007D2C65">
            <w:pPr>
              <w:pStyle w:val="Tablebullet"/>
              <w:ind w:left="576"/>
            </w:pPr>
            <w:r w:rsidRPr="00C31888">
              <w:t>regularly reviewed and updated in light of feedback.</w:t>
            </w:r>
          </w:p>
        </w:tc>
        <w:tc>
          <w:tcPr>
            <w:tcW w:w="2250" w:type="dxa"/>
          </w:tcPr>
          <w:p w:rsidR="009A37BF" w:rsidRPr="00C31888" w:rsidRDefault="009A37BF" w:rsidP="007D2C65">
            <w:pPr>
              <w:spacing w:before="100"/>
            </w:pPr>
          </w:p>
        </w:tc>
        <w:tc>
          <w:tcPr>
            <w:tcW w:w="2012" w:type="dxa"/>
          </w:tcPr>
          <w:p w:rsidR="009A37BF" w:rsidRPr="00C31888" w:rsidRDefault="009A37BF" w:rsidP="007D2C65">
            <w:pPr>
              <w:spacing w:before="100"/>
            </w:pPr>
          </w:p>
        </w:tc>
      </w:tr>
      <w:tr w:rsidR="009A37BF" w:rsidRPr="00C31888" w:rsidTr="00593AA6">
        <w:tc>
          <w:tcPr>
            <w:tcW w:w="3916" w:type="dxa"/>
          </w:tcPr>
          <w:p w:rsidR="009A37BF" w:rsidRPr="00C31888" w:rsidRDefault="009A37BF" w:rsidP="007D2C65">
            <w:pPr>
              <w:spacing w:before="100"/>
            </w:pPr>
            <w:r w:rsidRPr="00C31888">
              <w:t>3c. Administration and enforcement is accompanied by ongoing advice.</w:t>
            </w:r>
          </w:p>
        </w:tc>
        <w:tc>
          <w:tcPr>
            <w:tcW w:w="2250" w:type="dxa"/>
          </w:tcPr>
          <w:p w:rsidR="009A37BF" w:rsidRPr="00C31888" w:rsidRDefault="009A37BF" w:rsidP="007D2C65">
            <w:pPr>
              <w:spacing w:before="100"/>
            </w:pPr>
          </w:p>
        </w:tc>
        <w:tc>
          <w:tcPr>
            <w:tcW w:w="2012" w:type="dxa"/>
          </w:tcPr>
          <w:p w:rsidR="009A37BF" w:rsidRPr="00C31888" w:rsidRDefault="009A37BF" w:rsidP="007D2C65">
            <w:pPr>
              <w:spacing w:before="100"/>
            </w:pPr>
          </w:p>
        </w:tc>
      </w:tr>
      <w:tr w:rsidR="009A37BF" w:rsidRPr="00C31888" w:rsidTr="00593AA6">
        <w:tc>
          <w:tcPr>
            <w:tcW w:w="3916" w:type="dxa"/>
          </w:tcPr>
          <w:p w:rsidR="009A37BF" w:rsidRPr="00C31888" w:rsidRDefault="009A37BF" w:rsidP="007D2C65">
            <w:pPr>
              <w:spacing w:before="100"/>
            </w:pPr>
            <w:r w:rsidRPr="00C31888">
              <w:t>3d. Regulator judges the effectiveness of its assistance and advice by monitoring regulated parties’ awareness and understanding of the services.</w:t>
            </w:r>
          </w:p>
        </w:tc>
        <w:tc>
          <w:tcPr>
            <w:tcW w:w="2250" w:type="dxa"/>
          </w:tcPr>
          <w:p w:rsidR="009A37BF" w:rsidRPr="00C31888" w:rsidRDefault="009A37BF" w:rsidP="007D2C65">
            <w:pPr>
              <w:spacing w:before="100"/>
            </w:pPr>
          </w:p>
        </w:tc>
        <w:tc>
          <w:tcPr>
            <w:tcW w:w="2012" w:type="dxa"/>
          </w:tcPr>
          <w:p w:rsidR="009A37BF" w:rsidRPr="00C31888" w:rsidRDefault="009A37BF" w:rsidP="007D2C65">
            <w:pPr>
              <w:spacing w:before="100"/>
            </w:pPr>
          </w:p>
        </w:tc>
      </w:tr>
      <w:tr w:rsidR="009A37BF" w:rsidRPr="00C31888" w:rsidTr="00593AA6">
        <w:tc>
          <w:tcPr>
            <w:tcW w:w="3916" w:type="dxa"/>
          </w:tcPr>
          <w:p w:rsidR="009A37BF" w:rsidRPr="00C31888" w:rsidRDefault="009A37BF" w:rsidP="007D2C65">
            <w:pPr>
              <w:spacing w:before="100"/>
            </w:pPr>
            <w:r w:rsidRPr="00C31888">
              <w:t>3e. Regulator provides clarity about the status and objectives of advice (i.e. whether it is statutory or non</w:t>
            </w:r>
            <w:r w:rsidRPr="00C31888">
              <w:noBreakHyphen/>
              <w:t>statutory).</w:t>
            </w:r>
          </w:p>
        </w:tc>
        <w:tc>
          <w:tcPr>
            <w:tcW w:w="2250" w:type="dxa"/>
          </w:tcPr>
          <w:p w:rsidR="009A37BF" w:rsidRPr="00C31888" w:rsidRDefault="009A37BF" w:rsidP="007D2C65">
            <w:pPr>
              <w:spacing w:before="100"/>
            </w:pPr>
          </w:p>
        </w:tc>
        <w:tc>
          <w:tcPr>
            <w:tcW w:w="2012" w:type="dxa"/>
          </w:tcPr>
          <w:p w:rsidR="009A37BF" w:rsidRPr="00C31888" w:rsidRDefault="009A37BF" w:rsidP="007D2C65">
            <w:pPr>
              <w:spacing w:before="100"/>
            </w:pPr>
          </w:p>
        </w:tc>
      </w:tr>
    </w:tbl>
    <w:p w:rsidR="009A37BF" w:rsidRDefault="009A37BF">
      <w:pPr>
        <w:spacing w:before="0" w:after="200"/>
      </w:pPr>
    </w:p>
    <w:p w:rsidR="009A37BF" w:rsidRPr="00C31888" w:rsidRDefault="009A37BF" w:rsidP="00E735F3">
      <w:pPr>
        <w:pStyle w:val="Heading2numbered"/>
      </w:pPr>
      <w:bookmarkStart w:id="31" w:name="_Toc481760532"/>
      <w:bookmarkStart w:id="32" w:name="_Toc483905985"/>
      <w:r w:rsidRPr="00C31888">
        <w:lastRenderedPageBreak/>
        <w:t xml:space="preserve">Self-assessment for </w:t>
      </w:r>
      <w:r>
        <w:t>the recommended element of good regulatory practice</w:t>
      </w:r>
      <w:bookmarkEnd w:id="31"/>
      <w:bookmarkEnd w:id="32"/>
    </w:p>
    <w:tbl>
      <w:tblPr>
        <w:tblStyle w:val="DTFtexttableindent"/>
        <w:tblW w:w="8178" w:type="dxa"/>
        <w:tblBorders>
          <w:top w:val="single" w:sz="6" w:space="0" w:color="0063A6" w:themeColor="accent1"/>
          <w:insideH w:val="single" w:sz="6" w:space="0" w:color="0063A6" w:themeColor="accent1"/>
        </w:tblBorders>
        <w:tblLook w:val="0620" w:firstRow="1" w:lastRow="0" w:firstColumn="0" w:lastColumn="0" w:noHBand="1" w:noVBand="1"/>
      </w:tblPr>
      <w:tblGrid>
        <w:gridCol w:w="3916"/>
        <w:gridCol w:w="2160"/>
        <w:gridCol w:w="2102"/>
      </w:tblGrid>
      <w:tr w:rsidR="009A37BF" w:rsidRPr="00C31888" w:rsidTr="00593AA6">
        <w:trPr>
          <w:cnfStyle w:val="100000000000" w:firstRow="1" w:lastRow="0" w:firstColumn="0" w:lastColumn="0" w:oddVBand="0" w:evenVBand="0" w:oddHBand="0" w:evenHBand="0" w:firstRowFirstColumn="0" w:firstRowLastColumn="0" w:lastRowFirstColumn="0" w:lastRowLastColumn="0"/>
        </w:trPr>
        <w:tc>
          <w:tcPr>
            <w:tcW w:w="3916" w:type="dxa"/>
          </w:tcPr>
          <w:p w:rsidR="009A37BF" w:rsidRPr="00C31888" w:rsidRDefault="009A37BF" w:rsidP="007D2C65">
            <w:pPr>
              <w:spacing w:before="100"/>
            </w:pPr>
            <w:r w:rsidRPr="00C31888">
              <w:br w:type="page"/>
              <w:t>Good regulatory practice minimum standards (high</w:t>
            </w:r>
            <w:r w:rsidRPr="00C31888">
              <w:noBreakHyphen/>
              <w:t>volume/high</w:t>
            </w:r>
            <w:r w:rsidRPr="00C31888">
              <w:noBreakHyphen/>
              <w:t>impact regulators should also include best practice characteristics)</w:t>
            </w:r>
          </w:p>
        </w:tc>
        <w:tc>
          <w:tcPr>
            <w:tcW w:w="2160" w:type="dxa"/>
          </w:tcPr>
          <w:p w:rsidR="009A37BF" w:rsidRPr="00C31888" w:rsidRDefault="009A37BF" w:rsidP="007D2C65">
            <w:pPr>
              <w:spacing w:before="100"/>
            </w:pPr>
            <w:r w:rsidRPr="00C31888">
              <w:t>Outline how current regulatory practices compare to standards, including evidence where possible</w:t>
            </w:r>
          </w:p>
        </w:tc>
        <w:tc>
          <w:tcPr>
            <w:tcW w:w="2102" w:type="dxa"/>
          </w:tcPr>
          <w:p w:rsidR="009A37BF" w:rsidRPr="00C31888" w:rsidRDefault="009A37BF" w:rsidP="007D2C65">
            <w:pPr>
              <w:spacing w:before="100"/>
            </w:pPr>
            <w:r w:rsidRPr="00C31888">
              <w:t>Highlight areas for improvement between standards and current practice</w:t>
            </w:r>
          </w:p>
        </w:tc>
      </w:tr>
      <w:tr w:rsidR="009A37BF" w:rsidRPr="007D2C65" w:rsidTr="007D2C65">
        <w:tc>
          <w:tcPr>
            <w:tcW w:w="8178" w:type="dxa"/>
            <w:gridSpan w:val="3"/>
            <w:shd w:val="clear" w:color="auto" w:fill="E3EBF4" w:themeFill="accent3" w:themeFillTint="33"/>
          </w:tcPr>
          <w:p w:rsidR="009A37BF" w:rsidRPr="007D2C65" w:rsidRDefault="009A37BF" w:rsidP="007D2C65">
            <w:pPr>
              <w:spacing w:before="100"/>
              <w:rPr>
                <w:b/>
              </w:rPr>
            </w:pPr>
            <w:r w:rsidRPr="007D2C65">
              <w:rPr>
                <w:b/>
              </w:rPr>
              <w:t>1. Incentive-based regulation</w:t>
            </w:r>
          </w:p>
        </w:tc>
      </w:tr>
      <w:tr w:rsidR="009A37BF" w:rsidRPr="00C31888" w:rsidTr="00593AA6">
        <w:tc>
          <w:tcPr>
            <w:tcW w:w="3916" w:type="dxa"/>
          </w:tcPr>
          <w:p w:rsidR="009A37BF" w:rsidRPr="00C31888" w:rsidRDefault="009A37BF" w:rsidP="007D2C65">
            <w:pPr>
              <w:spacing w:before="100"/>
            </w:pPr>
            <w:r w:rsidRPr="00C31888">
              <w:t>1a. Regulator has collected relevant data to evaluate regulatory outcomes.</w:t>
            </w:r>
          </w:p>
        </w:tc>
        <w:tc>
          <w:tcPr>
            <w:tcW w:w="2160" w:type="dxa"/>
          </w:tcPr>
          <w:p w:rsidR="009A37BF" w:rsidRPr="00C31888" w:rsidRDefault="009A37BF" w:rsidP="007D2C65">
            <w:pPr>
              <w:spacing w:before="100"/>
            </w:pPr>
          </w:p>
        </w:tc>
        <w:tc>
          <w:tcPr>
            <w:tcW w:w="2102" w:type="dxa"/>
          </w:tcPr>
          <w:p w:rsidR="009A37BF" w:rsidRPr="00C31888" w:rsidRDefault="009A37BF" w:rsidP="007D2C65">
            <w:pPr>
              <w:spacing w:before="100"/>
            </w:pPr>
          </w:p>
        </w:tc>
      </w:tr>
      <w:tr w:rsidR="009A37BF" w:rsidRPr="00C31888" w:rsidTr="00593AA6">
        <w:tc>
          <w:tcPr>
            <w:tcW w:w="3916" w:type="dxa"/>
          </w:tcPr>
          <w:p w:rsidR="009A37BF" w:rsidRPr="00C31888" w:rsidRDefault="009A37BF" w:rsidP="007D2C65">
            <w:pPr>
              <w:spacing w:before="100"/>
            </w:pPr>
            <w:r w:rsidRPr="00C31888">
              <w:t>1b. An understanding of regulated entities’ behaviour and incentives.</w:t>
            </w:r>
          </w:p>
        </w:tc>
        <w:tc>
          <w:tcPr>
            <w:tcW w:w="2160" w:type="dxa"/>
          </w:tcPr>
          <w:p w:rsidR="009A37BF" w:rsidRPr="00C31888" w:rsidRDefault="009A37BF" w:rsidP="007D2C65">
            <w:pPr>
              <w:spacing w:before="100"/>
            </w:pPr>
          </w:p>
        </w:tc>
        <w:tc>
          <w:tcPr>
            <w:tcW w:w="2102" w:type="dxa"/>
          </w:tcPr>
          <w:p w:rsidR="009A37BF" w:rsidRPr="00C31888" w:rsidRDefault="009A37BF" w:rsidP="007D2C65">
            <w:pPr>
              <w:spacing w:before="100"/>
            </w:pPr>
          </w:p>
        </w:tc>
      </w:tr>
      <w:tr w:rsidR="009A37BF" w:rsidRPr="00C31888" w:rsidTr="00593AA6">
        <w:tc>
          <w:tcPr>
            <w:tcW w:w="3916" w:type="dxa"/>
          </w:tcPr>
          <w:p w:rsidR="009A37BF" w:rsidRPr="00C31888" w:rsidRDefault="009A37BF" w:rsidP="007D2C65">
            <w:pPr>
              <w:spacing w:before="100"/>
            </w:pPr>
            <w:r w:rsidRPr="00C31888">
              <w:t>1c. Incentive-based approaches to compliance are considered and adopted where appropriate.</w:t>
            </w:r>
          </w:p>
        </w:tc>
        <w:tc>
          <w:tcPr>
            <w:tcW w:w="2160" w:type="dxa"/>
          </w:tcPr>
          <w:p w:rsidR="009A37BF" w:rsidRPr="00C31888" w:rsidRDefault="009A37BF" w:rsidP="007D2C65">
            <w:pPr>
              <w:spacing w:before="100"/>
            </w:pPr>
          </w:p>
        </w:tc>
        <w:tc>
          <w:tcPr>
            <w:tcW w:w="2102" w:type="dxa"/>
          </w:tcPr>
          <w:p w:rsidR="009A37BF" w:rsidRPr="00C31888" w:rsidRDefault="009A37BF" w:rsidP="007D2C65">
            <w:pPr>
              <w:spacing w:before="100"/>
            </w:pPr>
          </w:p>
        </w:tc>
      </w:tr>
    </w:tbl>
    <w:p w:rsidR="00593AA6" w:rsidRDefault="00593AA6" w:rsidP="00593AA6">
      <w:pPr>
        <w:pStyle w:val="Spacer"/>
      </w:pPr>
      <w:bookmarkStart w:id="33" w:name="_Toc481760533"/>
    </w:p>
    <w:p w:rsidR="009A37BF" w:rsidRDefault="009A37BF" w:rsidP="00E735F3">
      <w:pPr>
        <w:pStyle w:val="Heading2numbered"/>
      </w:pPr>
      <w:bookmarkStart w:id="34" w:name="_Toc483905986"/>
      <w:r w:rsidRPr="00C31888">
        <w:t xml:space="preserve">Self-assessment for </w:t>
      </w:r>
      <w:r>
        <w:t xml:space="preserve">other </w:t>
      </w:r>
      <w:r w:rsidRPr="00C31888">
        <w:t xml:space="preserve">suggested </w:t>
      </w:r>
      <w:r>
        <w:t>elements of good regulatory practice</w:t>
      </w:r>
      <w:bookmarkEnd w:id="33"/>
      <w:bookmarkEnd w:id="34"/>
    </w:p>
    <w:tbl>
      <w:tblPr>
        <w:tblStyle w:val="DTFtexttableindent"/>
        <w:tblW w:w="8178" w:type="dxa"/>
        <w:tblBorders>
          <w:top w:val="single" w:sz="6" w:space="0" w:color="0063A6" w:themeColor="accent1"/>
          <w:insideH w:val="single" w:sz="6" w:space="0" w:color="0063A6" w:themeColor="accent1"/>
        </w:tblBorders>
        <w:tblLook w:val="0620" w:firstRow="1" w:lastRow="0" w:firstColumn="0" w:lastColumn="0" w:noHBand="1" w:noVBand="1"/>
      </w:tblPr>
      <w:tblGrid>
        <w:gridCol w:w="3916"/>
        <w:gridCol w:w="2160"/>
        <w:gridCol w:w="2102"/>
      </w:tblGrid>
      <w:tr w:rsidR="00EE32F6" w:rsidRPr="00C31888" w:rsidTr="00593AA6">
        <w:trPr>
          <w:cnfStyle w:val="100000000000" w:firstRow="1" w:lastRow="0" w:firstColumn="0" w:lastColumn="0" w:oddVBand="0" w:evenVBand="0" w:oddHBand="0" w:evenHBand="0" w:firstRowFirstColumn="0" w:firstRowLastColumn="0" w:lastRowFirstColumn="0" w:lastRowLastColumn="0"/>
        </w:trPr>
        <w:tc>
          <w:tcPr>
            <w:tcW w:w="3916" w:type="dxa"/>
          </w:tcPr>
          <w:p w:rsidR="00EE32F6" w:rsidRPr="00C31888" w:rsidRDefault="00EE32F6" w:rsidP="007D2C65">
            <w:pPr>
              <w:spacing w:before="100"/>
            </w:pPr>
            <w:r w:rsidRPr="00C31888">
              <w:br w:type="page"/>
              <w:t>Good regulatory practice minimum standards (high</w:t>
            </w:r>
            <w:r w:rsidRPr="00C31888">
              <w:noBreakHyphen/>
              <w:t>volume/high</w:t>
            </w:r>
            <w:r w:rsidRPr="00C31888">
              <w:noBreakHyphen/>
              <w:t>impact regulators should also include best practice characteristics)</w:t>
            </w:r>
          </w:p>
        </w:tc>
        <w:tc>
          <w:tcPr>
            <w:tcW w:w="2160" w:type="dxa"/>
          </w:tcPr>
          <w:p w:rsidR="00EE32F6" w:rsidRPr="00C31888" w:rsidRDefault="00EE32F6" w:rsidP="007D2C65">
            <w:pPr>
              <w:spacing w:before="100"/>
            </w:pPr>
            <w:r w:rsidRPr="00C31888">
              <w:t>Outline how current regulatory practices compare to standards, including evidence where possible</w:t>
            </w:r>
          </w:p>
        </w:tc>
        <w:tc>
          <w:tcPr>
            <w:tcW w:w="2102" w:type="dxa"/>
          </w:tcPr>
          <w:p w:rsidR="00EE32F6" w:rsidRPr="00C31888" w:rsidRDefault="00EE32F6" w:rsidP="007D2C65">
            <w:pPr>
              <w:spacing w:before="100"/>
            </w:pPr>
            <w:r w:rsidRPr="00C31888">
              <w:t>Highlight areas for improvement between standards and current practice</w:t>
            </w:r>
          </w:p>
        </w:tc>
      </w:tr>
      <w:tr w:rsidR="00EE32F6" w:rsidRPr="00C31888" w:rsidTr="007D2C65">
        <w:tc>
          <w:tcPr>
            <w:tcW w:w="8178" w:type="dxa"/>
            <w:gridSpan w:val="3"/>
            <w:shd w:val="clear" w:color="auto" w:fill="E3EBF4" w:themeFill="accent3" w:themeFillTint="33"/>
          </w:tcPr>
          <w:p w:rsidR="00EE32F6" w:rsidRPr="00C31888" w:rsidRDefault="00EE32F6" w:rsidP="007D2C65">
            <w:pPr>
              <w:spacing w:before="100"/>
              <w:rPr>
                <w:b/>
              </w:rPr>
            </w:pPr>
            <w:r w:rsidRPr="00C31888">
              <w:rPr>
                <w:b/>
              </w:rPr>
              <w:t>1. Role clarity</w:t>
            </w:r>
          </w:p>
        </w:tc>
      </w:tr>
      <w:tr w:rsidR="00EE32F6" w:rsidRPr="00C31888" w:rsidTr="00593AA6">
        <w:tc>
          <w:tcPr>
            <w:tcW w:w="3916" w:type="dxa"/>
          </w:tcPr>
          <w:p w:rsidR="00EE32F6" w:rsidRPr="00C31888" w:rsidRDefault="00EE32F6" w:rsidP="00C51847">
            <w:pPr>
              <w:spacing w:before="100"/>
            </w:pPr>
            <w:r w:rsidRPr="00C31888">
              <w:t>1a. Regulator has in place a monitoring and assurance regime to ensure their regulatory objectives are being met.</w:t>
            </w:r>
          </w:p>
        </w:tc>
        <w:tc>
          <w:tcPr>
            <w:tcW w:w="2160" w:type="dxa"/>
          </w:tcPr>
          <w:p w:rsidR="00EE32F6" w:rsidRPr="00C31888" w:rsidRDefault="00EE32F6" w:rsidP="007D2C65">
            <w:pPr>
              <w:spacing w:before="100"/>
            </w:pPr>
          </w:p>
        </w:tc>
        <w:tc>
          <w:tcPr>
            <w:tcW w:w="2102" w:type="dxa"/>
          </w:tcPr>
          <w:p w:rsidR="00EE32F6" w:rsidRPr="00C31888" w:rsidRDefault="00EE32F6" w:rsidP="007D2C65">
            <w:pPr>
              <w:spacing w:before="100"/>
            </w:pPr>
          </w:p>
        </w:tc>
      </w:tr>
      <w:tr w:rsidR="00EE32F6" w:rsidRPr="00C31888" w:rsidTr="00593AA6">
        <w:tc>
          <w:tcPr>
            <w:tcW w:w="3916" w:type="dxa"/>
          </w:tcPr>
          <w:p w:rsidR="00EE32F6" w:rsidRPr="00C31888" w:rsidRDefault="00EE32F6" w:rsidP="007D2C65">
            <w:pPr>
              <w:spacing w:before="100"/>
            </w:pPr>
            <w:r w:rsidRPr="00C31888">
              <w:t>1b. There is a clearly understood and documented chain of accountability and communication between departments/agencies and their regulators.</w:t>
            </w:r>
          </w:p>
        </w:tc>
        <w:tc>
          <w:tcPr>
            <w:tcW w:w="2160" w:type="dxa"/>
          </w:tcPr>
          <w:p w:rsidR="00EE32F6" w:rsidRPr="00C31888" w:rsidRDefault="00EE32F6" w:rsidP="007D2C65">
            <w:pPr>
              <w:spacing w:before="100"/>
            </w:pPr>
          </w:p>
        </w:tc>
        <w:tc>
          <w:tcPr>
            <w:tcW w:w="2102" w:type="dxa"/>
          </w:tcPr>
          <w:p w:rsidR="00EE32F6" w:rsidRPr="00C31888" w:rsidRDefault="00EE32F6" w:rsidP="007D2C65">
            <w:pPr>
              <w:spacing w:before="100"/>
            </w:pPr>
          </w:p>
        </w:tc>
      </w:tr>
      <w:tr w:rsidR="00EE32F6" w:rsidRPr="00C31888" w:rsidTr="00593AA6">
        <w:tc>
          <w:tcPr>
            <w:tcW w:w="3916" w:type="dxa"/>
          </w:tcPr>
          <w:p w:rsidR="00EE32F6" w:rsidRPr="00C31888" w:rsidRDefault="00EE32F6" w:rsidP="007D2C65">
            <w:pPr>
              <w:spacing w:before="100"/>
            </w:pPr>
            <w:r w:rsidRPr="00C31888">
              <w:t>1c. Formal instruments clarify regulator roles where there are shared accountabilities and promote coordination between regulators (for example, memorandums of understanding, formal agreements or contracts for service provision).</w:t>
            </w:r>
          </w:p>
        </w:tc>
        <w:tc>
          <w:tcPr>
            <w:tcW w:w="2160" w:type="dxa"/>
          </w:tcPr>
          <w:p w:rsidR="00EE32F6" w:rsidRPr="00C31888" w:rsidRDefault="00EE32F6" w:rsidP="007D2C65">
            <w:pPr>
              <w:spacing w:before="100"/>
            </w:pPr>
          </w:p>
        </w:tc>
        <w:tc>
          <w:tcPr>
            <w:tcW w:w="2102" w:type="dxa"/>
          </w:tcPr>
          <w:p w:rsidR="00EE32F6" w:rsidRPr="00C31888" w:rsidRDefault="00EE32F6" w:rsidP="007D2C65">
            <w:pPr>
              <w:spacing w:before="100"/>
            </w:pPr>
          </w:p>
        </w:tc>
      </w:tr>
      <w:tr w:rsidR="00EE32F6" w:rsidRPr="00C31888" w:rsidTr="007D2C65">
        <w:tc>
          <w:tcPr>
            <w:tcW w:w="8178" w:type="dxa"/>
            <w:gridSpan w:val="3"/>
            <w:shd w:val="clear" w:color="auto" w:fill="E3EBF4" w:themeFill="accent3" w:themeFillTint="33"/>
          </w:tcPr>
          <w:p w:rsidR="00EE32F6" w:rsidRPr="00C31888" w:rsidRDefault="00EE32F6" w:rsidP="007D2C65">
            <w:pPr>
              <w:spacing w:before="100"/>
              <w:rPr>
                <w:b/>
              </w:rPr>
            </w:pPr>
            <w:r w:rsidRPr="00C31888">
              <w:rPr>
                <w:b/>
              </w:rPr>
              <w:t>2. Cooperation amongst regulators</w:t>
            </w:r>
          </w:p>
        </w:tc>
      </w:tr>
      <w:tr w:rsidR="00EE32F6" w:rsidRPr="00C31888" w:rsidTr="00593AA6">
        <w:tc>
          <w:tcPr>
            <w:tcW w:w="3916" w:type="dxa"/>
          </w:tcPr>
          <w:p w:rsidR="00EE32F6" w:rsidRPr="00C31888" w:rsidRDefault="00EE32F6" w:rsidP="007D2C65">
            <w:pPr>
              <w:spacing w:before="100"/>
            </w:pPr>
            <w:r w:rsidRPr="00C31888">
              <w:t>2a. Regulators come together to identify good practice and share lessons.</w:t>
            </w:r>
          </w:p>
        </w:tc>
        <w:tc>
          <w:tcPr>
            <w:tcW w:w="2160" w:type="dxa"/>
          </w:tcPr>
          <w:p w:rsidR="00EE32F6" w:rsidRPr="00C31888" w:rsidRDefault="00EE32F6" w:rsidP="007D2C65">
            <w:pPr>
              <w:spacing w:before="100"/>
            </w:pPr>
          </w:p>
        </w:tc>
        <w:tc>
          <w:tcPr>
            <w:tcW w:w="2102" w:type="dxa"/>
          </w:tcPr>
          <w:p w:rsidR="00EE32F6" w:rsidRPr="00C31888" w:rsidRDefault="00EE32F6" w:rsidP="007D2C65">
            <w:pPr>
              <w:spacing w:before="100"/>
            </w:pPr>
          </w:p>
        </w:tc>
      </w:tr>
      <w:tr w:rsidR="00EE32F6" w:rsidRPr="00C31888" w:rsidTr="00593AA6">
        <w:tc>
          <w:tcPr>
            <w:tcW w:w="3916" w:type="dxa"/>
          </w:tcPr>
          <w:p w:rsidR="00EE32F6" w:rsidRPr="00C31888" w:rsidRDefault="00EE32F6" w:rsidP="00593AA6">
            <w:pPr>
              <w:spacing w:before="100"/>
            </w:pPr>
            <w:r w:rsidRPr="00C31888">
              <w:t>2b. Regulator has considered and explored ways to facilitate data sharing.</w:t>
            </w:r>
          </w:p>
        </w:tc>
        <w:tc>
          <w:tcPr>
            <w:tcW w:w="2160" w:type="dxa"/>
          </w:tcPr>
          <w:p w:rsidR="00EE32F6" w:rsidRPr="00C31888" w:rsidRDefault="00EE32F6" w:rsidP="007D2C65">
            <w:pPr>
              <w:spacing w:before="100"/>
            </w:pPr>
          </w:p>
        </w:tc>
        <w:tc>
          <w:tcPr>
            <w:tcW w:w="2102" w:type="dxa"/>
          </w:tcPr>
          <w:p w:rsidR="00EE32F6" w:rsidRPr="00C31888" w:rsidRDefault="00EE32F6" w:rsidP="007D2C65">
            <w:pPr>
              <w:spacing w:before="100"/>
            </w:pPr>
          </w:p>
        </w:tc>
      </w:tr>
      <w:tr w:rsidR="00EE32F6" w:rsidRPr="00C31888" w:rsidTr="00593AA6">
        <w:tc>
          <w:tcPr>
            <w:tcW w:w="3916" w:type="dxa"/>
          </w:tcPr>
          <w:p w:rsidR="00EE32F6" w:rsidRPr="00C31888" w:rsidRDefault="00EE32F6" w:rsidP="007D2C65">
            <w:pPr>
              <w:spacing w:before="100"/>
            </w:pPr>
            <w:r w:rsidRPr="00C31888">
              <w:t>2c. Regulator performance is benchmarked.</w:t>
            </w:r>
          </w:p>
        </w:tc>
        <w:tc>
          <w:tcPr>
            <w:tcW w:w="2160" w:type="dxa"/>
          </w:tcPr>
          <w:p w:rsidR="00EE32F6" w:rsidRPr="00C31888" w:rsidRDefault="00EE32F6" w:rsidP="007D2C65">
            <w:pPr>
              <w:spacing w:before="100"/>
            </w:pPr>
          </w:p>
        </w:tc>
        <w:tc>
          <w:tcPr>
            <w:tcW w:w="2102" w:type="dxa"/>
          </w:tcPr>
          <w:p w:rsidR="00EE32F6" w:rsidRPr="00C31888" w:rsidRDefault="00EE32F6" w:rsidP="007D2C65">
            <w:pPr>
              <w:spacing w:before="100"/>
            </w:pPr>
          </w:p>
        </w:tc>
      </w:tr>
      <w:tr w:rsidR="00EE32F6" w:rsidRPr="00C31888" w:rsidTr="007D2C65">
        <w:tc>
          <w:tcPr>
            <w:tcW w:w="8178" w:type="dxa"/>
            <w:gridSpan w:val="3"/>
            <w:shd w:val="clear" w:color="auto" w:fill="E3EBF4" w:themeFill="accent3" w:themeFillTint="33"/>
          </w:tcPr>
          <w:p w:rsidR="00EE32F6" w:rsidRPr="00C31888" w:rsidRDefault="00EE32F6" w:rsidP="007D2C65">
            <w:pPr>
              <w:spacing w:before="100"/>
              <w:rPr>
                <w:b/>
              </w:rPr>
            </w:pPr>
            <w:r w:rsidRPr="00C31888">
              <w:rPr>
                <w:b/>
              </w:rPr>
              <w:lastRenderedPageBreak/>
              <w:t>3. Stakeholder consultation and engagement</w:t>
            </w:r>
          </w:p>
        </w:tc>
      </w:tr>
      <w:tr w:rsidR="00EE32F6" w:rsidRPr="00C31888" w:rsidTr="00593AA6">
        <w:tc>
          <w:tcPr>
            <w:tcW w:w="3916" w:type="dxa"/>
          </w:tcPr>
          <w:p w:rsidR="00EE32F6" w:rsidRPr="00C31888" w:rsidRDefault="00EE32F6" w:rsidP="007D2C65">
            <w:pPr>
              <w:spacing w:before="100"/>
            </w:pPr>
            <w:r w:rsidRPr="00C31888">
              <w:t>3a. Forms, data requests and other administrative and compliance processes are regularly reviewed with feedback sought from stakeholders (for example, forms include a short feedback section with suggestions for improvement).</w:t>
            </w:r>
          </w:p>
        </w:tc>
        <w:tc>
          <w:tcPr>
            <w:tcW w:w="2160" w:type="dxa"/>
          </w:tcPr>
          <w:p w:rsidR="00EE32F6" w:rsidRPr="00C31888" w:rsidRDefault="00EE32F6" w:rsidP="007D2C65">
            <w:pPr>
              <w:spacing w:before="100"/>
            </w:pPr>
          </w:p>
        </w:tc>
        <w:tc>
          <w:tcPr>
            <w:tcW w:w="2102" w:type="dxa"/>
          </w:tcPr>
          <w:p w:rsidR="00EE32F6" w:rsidRPr="00C31888" w:rsidRDefault="00EE32F6" w:rsidP="007D2C65">
            <w:pPr>
              <w:spacing w:before="100"/>
            </w:pPr>
          </w:p>
        </w:tc>
      </w:tr>
      <w:tr w:rsidR="00EE32F6" w:rsidRPr="00C31888" w:rsidTr="00593AA6">
        <w:tc>
          <w:tcPr>
            <w:tcW w:w="3916" w:type="dxa"/>
          </w:tcPr>
          <w:p w:rsidR="00EE32F6" w:rsidRPr="00C31888" w:rsidRDefault="00EE32F6" w:rsidP="007D2C65">
            <w:pPr>
              <w:spacing w:before="100"/>
            </w:pPr>
            <w:r w:rsidRPr="00C31888">
              <w:t>3b. Regulator provides feedback on the outcome of consultation exercises to those who took part.</w:t>
            </w:r>
          </w:p>
        </w:tc>
        <w:tc>
          <w:tcPr>
            <w:tcW w:w="2160" w:type="dxa"/>
          </w:tcPr>
          <w:p w:rsidR="00EE32F6" w:rsidRPr="00C31888" w:rsidRDefault="00EE32F6" w:rsidP="007D2C65">
            <w:pPr>
              <w:spacing w:before="100"/>
            </w:pPr>
          </w:p>
        </w:tc>
        <w:tc>
          <w:tcPr>
            <w:tcW w:w="2102" w:type="dxa"/>
          </w:tcPr>
          <w:p w:rsidR="00EE32F6" w:rsidRPr="00C31888" w:rsidRDefault="00EE32F6" w:rsidP="007D2C65">
            <w:pPr>
              <w:spacing w:before="100"/>
            </w:pPr>
          </w:p>
        </w:tc>
      </w:tr>
      <w:tr w:rsidR="00EE32F6" w:rsidRPr="00C31888" w:rsidTr="00593AA6">
        <w:tc>
          <w:tcPr>
            <w:tcW w:w="3916" w:type="dxa"/>
          </w:tcPr>
          <w:p w:rsidR="00EE32F6" w:rsidRPr="00C31888" w:rsidRDefault="00EE32F6" w:rsidP="007D2C65">
            <w:pPr>
              <w:spacing w:before="100"/>
            </w:pPr>
            <w:r w:rsidRPr="00C31888">
              <w:t>3c. Regulator understands the changing needs of business and the community throughout the regulatory cycle.</w:t>
            </w:r>
          </w:p>
        </w:tc>
        <w:tc>
          <w:tcPr>
            <w:tcW w:w="2160" w:type="dxa"/>
          </w:tcPr>
          <w:p w:rsidR="00EE32F6" w:rsidRPr="00C31888" w:rsidRDefault="00EE32F6" w:rsidP="007D2C65">
            <w:pPr>
              <w:spacing w:before="100"/>
            </w:pPr>
          </w:p>
        </w:tc>
        <w:tc>
          <w:tcPr>
            <w:tcW w:w="2102" w:type="dxa"/>
          </w:tcPr>
          <w:p w:rsidR="00EE32F6" w:rsidRPr="00C31888" w:rsidRDefault="00EE32F6" w:rsidP="007D2C65">
            <w:pPr>
              <w:spacing w:before="100"/>
            </w:pPr>
          </w:p>
        </w:tc>
      </w:tr>
      <w:tr w:rsidR="00EE32F6" w:rsidRPr="00C31888" w:rsidTr="007D2C65">
        <w:tc>
          <w:tcPr>
            <w:tcW w:w="8178" w:type="dxa"/>
            <w:gridSpan w:val="3"/>
            <w:shd w:val="clear" w:color="auto" w:fill="E3EBF4" w:themeFill="accent3" w:themeFillTint="33"/>
          </w:tcPr>
          <w:p w:rsidR="00EE32F6" w:rsidRPr="00C31888" w:rsidRDefault="00EE32F6" w:rsidP="007D2C65">
            <w:pPr>
              <w:spacing w:before="100"/>
              <w:rPr>
                <w:b/>
              </w:rPr>
            </w:pPr>
            <w:r w:rsidRPr="00C31888">
              <w:rPr>
                <w:b/>
              </w:rPr>
              <w:t>4. Accountability and transparency</w:t>
            </w:r>
          </w:p>
        </w:tc>
      </w:tr>
      <w:tr w:rsidR="00EE32F6" w:rsidRPr="00C31888" w:rsidTr="00593AA6">
        <w:tc>
          <w:tcPr>
            <w:tcW w:w="3916" w:type="dxa"/>
          </w:tcPr>
          <w:p w:rsidR="00EE32F6" w:rsidRPr="00C31888" w:rsidRDefault="00EE32F6" w:rsidP="007D2C65">
            <w:pPr>
              <w:spacing w:before="100"/>
            </w:pPr>
            <w:r w:rsidRPr="00C31888">
              <w:t>4a. Regulator is transparent about how they administer and enforce regulation (for example, transparent complaints and disputes mechanisms and transparency about the reasons for enforcement decisions).</w:t>
            </w:r>
          </w:p>
        </w:tc>
        <w:tc>
          <w:tcPr>
            <w:tcW w:w="2160" w:type="dxa"/>
          </w:tcPr>
          <w:p w:rsidR="00EE32F6" w:rsidRPr="00C31888" w:rsidRDefault="00EE32F6" w:rsidP="007D2C65">
            <w:pPr>
              <w:spacing w:before="100"/>
            </w:pPr>
          </w:p>
        </w:tc>
        <w:tc>
          <w:tcPr>
            <w:tcW w:w="2102" w:type="dxa"/>
          </w:tcPr>
          <w:p w:rsidR="00EE32F6" w:rsidRPr="00C31888" w:rsidRDefault="00EE32F6" w:rsidP="007D2C65">
            <w:pPr>
              <w:spacing w:before="100"/>
            </w:pPr>
          </w:p>
        </w:tc>
      </w:tr>
      <w:tr w:rsidR="00EE32F6" w:rsidRPr="00C31888" w:rsidTr="00593AA6">
        <w:tc>
          <w:tcPr>
            <w:tcW w:w="3916" w:type="dxa"/>
          </w:tcPr>
          <w:p w:rsidR="00EE32F6" w:rsidRPr="00C31888" w:rsidRDefault="00EE32F6" w:rsidP="007D2C65">
            <w:pPr>
              <w:spacing w:before="100"/>
            </w:pPr>
            <w:r w:rsidRPr="00C31888">
              <w:t>4b. Regulator collects and publishes data that enables it to measure its operational performance.</w:t>
            </w:r>
          </w:p>
        </w:tc>
        <w:tc>
          <w:tcPr>
            <w:tcW w:w="2160" w:type="dxa"/>
          </w:tcPr>
          <w:p w:rsidR="00EE32F6" w:rsidRPr="00C31888" w:rsidRDefault="00EE32F6" w:rsidP="007D2C65">
            <w:pPr>
              <w:spacing w:before="100"/>
            </w:pPr>
          </w:p>
        </w:tc>
        <w:tc>
          <w:tcPr>
            <w:tcW w:w="2102" w:type="dxa"/>
          </w:tcPr>
          <w:p w:rsidR="00EE32F6" w:rsidRPr="00C31888" w:rsidRDefault="00EE32F6" w:rsidP="007D2C65">
            <w:pPr>
              <w:spacing w:before="100"/>
            </w:pPr>
          </w:p>
        </w:tc>
      </w:tr>
      <w:tr w:rsidR="00EE32F6" w:rsidRPr="00C31888" w:rsidTr="00593AA6">
        <w:tc>
          <w:tcPr>
            <w:tcW w:w="3916" w:type="dxa"/>
          </w:tcPr>
          <w:p w:rsidR="00EE32F6" w:rsidRPr="00C31888" w:rsidRDefault="00EE32F6" w:rsidP="007D2C65">
            <w:pPr>
              <w:spacing w:before="100"/>
            </w:pPr>
            <w:r w:rsidRPr="00C31888">
              <w:t>4c. Government priorities are addressed as part of regulator performance reporting.</w:t>
            </w:r>
          </w:p>
        </w:tc>
        <w:tc>
          <w:tcPr>
            <w:tcW w:w="2160" w:type="dxa"/>
          </w:tcPr>
          <w:p w:rsidR="00EE32F6" w:rsidRPr="00C31888" w:rsidRDefault="00EE32F6" w:rsidP="007D2C65">
            <w:pPr>
              <w:spacing w:before="100"/>
            </w:pPr>
          </w:p>
        </w:tc>
        <w:tc>
          <w:tcPr>
            <w:tcW w:w="2102" w:type="dxa"/>
          </w:tcPr>
          <w:p w:rsidR="00EE32F6" w:rsidRPr="00C31888" w:rsidRDefault="00EE32F6" w:rsidP="007D2C65">
            <w:pPr>
              <w:spacing w:before="100"/>
            </w:pPr>
          </w:p>
        </w:tc>
      </w:tr>
      <w:tr w:rsidR="00EE32F6" w:rsidRPr="00C31888" w:rsidTr="007D2C65">
        <w:tc>
          <w:tcPr>
            <w:tcW w:w="8178" w:type="dxa"/>
            <w:gridSpan w:val="3"/>
            <w:shd w:val="clear" w:color="auto" w:fill="E3EBF4" w:themeFill="accent3" w:themeFillTint="33"/>
          </w:tcPr>
          <w:p w:rsidR="00EE32F6" w:rsidRPr="00C31888" w:rsidRDefault="00EE32F6" w:rsidP="007D2C65">
            <w:pPr>
              <w:spacing w:before="100"/>
              <w:rPr>
                <w:b/>
              </w:rPr>
            </w:pPr>
            <w:r w:rsidRPr="00C31888">
              <w:rPr>
                <w:b/>
              </w:rPr>
              <w:t>5. Clear and consistent regulatory activities</w:t>
            </w:r>
          </w:p>
        </w:tc>
      </w:tr>
      <w:tr w:rsidR="00EE32F6" w:rsidRPr="00C31888" w:rsidTr="00593AA6">
        <w:tc>
          <w:tcPr>
            <w:tcW w:w="3916" w:type="dxa"/>
          </w:tcPr>
          <w:p w:rsidR="00EE32F6" w:rsidRPr="00C31888" w:rsidRDefault="00EE32F6" w:rsidP="007D2C65">
            <w:pPr>
              <w:spacing w:before="100"/>
            </w:pPr>
            <w:r w:rsidRPr="00C31888">
              <w:t>5a. Regulator has documented all administrative and compliance processes and activities.</w:t>
            </w:r>
          </w:p>
        </w:tc>
        <w:tc>
          <w:tcPr>
            <w:tcW w:w="2160" w:type="dxa"/>
          </w:tcPr>
          <w:p w:rsidR="00EE32F6" w:rsidRPr="00C31888" w:rsidRDefault="00EE32F6" w:rsidP="007D2C65">
            <w:pPr>
              <w:spacing w:before="100"/>
            </w:pPr>
          </w:p>
        </w:tc>
        <w:tc>
          <w:tcPr>
            <w:tcW w:w="2102" w:type="dxa"/>
          </w:tcPr>
          <w:p w:rsidR="00EE32F6" w:rsidRPr="00C31888" w:rsidRDefault="00EE32F6" w:rsidP="007D2C65">
            <w:pPr>
              <w:spacing w:before="100"/>
            </w:pPr>
          </w:p>
        </w:tc>
      </w:tr>
      <w:tr w:rsidR="00EE32F6" w:rsidRPr="00C31888" w:rsidTr="00593AA6">
        <w:tc>
          <w:tcPr>
            <w:tcW w:w="3916" w:type="dxa"/>
          </w:tcPr>
          <w:p w:rsidR="00EE32F6" w:rsidRPr="00C31888" w:rsidRDefault="00EE32F6" w:rsidP="007D2C65">
            <w:pPr>
              <w:spacing w:before="100"/>
            </w:pPr>
            <w:r w:rsidRPr="00C31888">
              <w:t>5b. There is a clear purpose for all information that is collected.</w:t>
            </w:r>
          </w:p>
        </w:tc>
        <w:tc>
          <w:tcPr>
            <w:tcW w:w="2160" w:type="dxa"/>
          </w:tcPr>
          <w:p w:rsidR="00EE32F6" w:rsidRPr="00C31888" w:rsidRDefault="00EE32F6" w:rsidP="007D2C65">
            <w:pPr>
              <w:spacing w:before="100"/>
            </w:pPr>
          </w:p>
        </w:tc>
        <w:tc>
          <w:tcPr>
            <w:tcW w:w="2102" w:type="dxa"/>
          </w:tcPr>
          <w:p w:rsidR="00EE32F6" w:rsidRPr="00C31888" w:rsidRDefault="00EE32F6" w:rsidP="007D2C65">
            <w:pPr>
              <w:spacing w:before="100"/>
            </w:pPr>
          </w:p>
        </w:tc>
      </w:tr>
      <w:tr w:rsidR="00EE32F6" w:rsidRPr="00C31888" w:rsidTr="00593AA6">
        <w:tc>
          <w:tcPr>
            <w:tcW w:w="3916" w:type="dxa"/>
          </w:tcPr>
          <w:p w:rsidR="00EE32F6" w:rsidRPr="00C31888" w:rsidRDefault="00EE32F6" w:rsidP="007D2C65">
            <w:pPr>
              <w:spacing w:before="100"/>
            </w:pPr>
            <w:r w:rsidRPr="00C31888">
              <w:t>5c. Regulator is responsive to lessons learned.</w:t>
            </w:r>
          </w:p>
        </w:tc>
        <w:tc>
          <w:tcPr>
            <w:tcW w:w="2160" w:type="dxa"/>
          </w:tcPr>
          <w:p w:rsidR="00EE32F6" w:rsidRPr="00C31888" w:rsidRDefault="00EE32F6" w:rsidP="007D2C65">
            <w:pPr>
              <w:spacing w:before="100"/>
            </w:pPr>
          </w:p>
        </w:tc>
        <w:tc>
          <w:tcPr>
            <w:tcW w:w="2102" w:type="dxa"/>
          </w:tcPr>
          <w:p w:rsidR="00EE32F6" w:rsidRPr="00C31888" w:rsidRDefault="00EE32F6" w:rsidP="007D2C65">
            <w:pPr>
              <w:spacing w:before="100"/>
            </w:pPr>
          </w:p>
        </w:tc>
      </w:tr>
      <w:tr w:rsidR="00EE32F6" w:rsidRPr="00C31888" w:rsidTr="00593AA6">
        <w:tc>
          <w:tcPr>
            <w:tcW w:w="3916" w:type="dxa"/>
          </w:tcPr>
          <w:p w:rsidR="00EE32F6" w:rsidRPr="00C31888" w:rsidRDefault="00EE32F6" w:rsidP="007D2C65">
            <w:pPr>
              <w:spacing w:before="100"/>
            </w:pPr>
            <w:r w:rsidRPr="00C31888">
              <w:t>5d. Regulator undertakes appropriate planning and resource management.</w:t>
            </w:r>
          </w:p>
        </w:tc>
        <w:tc>
          <w:tcPr>
            <w:tcW w:w="2160" w:type="dxa"/>
          </w:tcPr>
          <w:p w:rsidR="00EE32F6" w:rsidRPr="00C31888" w:rsidRDefault="00EE32F6" w:rsidP="007D2C65">
            <w:pPr>
              <w:spacing w:before="100"/>
            </w:pPr>
          </w:p>
        </w:tc>
        <w:tc>
          <w:tcPr>
            <w:tcW w:w="2102" w:type="dxa"/>
          </w:tcPr>
          <w:p w:rsidR="00EE32F6" w:rsidRPr="00C31888" w:rsidRDefault="00EE32F6" w:rsidP="007D2C65">
            <w:pPr>
              <w:spacing w:before="100"/>
            </w:pPr>
          </w:p>
        </w:tc>
      </w:tr>
    </w:tbl>
    <w:p w:rsidR="00EE32F6" w:rsidRPr="00C31888" w:rsidRDefault="00EE32F6" w:rsidP="00EE32F6">
      <w:pPr>
        <w:pStyle w:val="NormalIndent"/>
      </w:pPr>
      <w:r w:rsidRPr="00C31888">
        <w:t>This document provides an assessment of the regulator’s practices at a particular point in time and will provide a useful point of reference for subsequent self</w:t>
      </w:r>
      <w:r w:rsidRPr="00C31888">
        <w:noBreakHyphen/>
        <w:t>assessments and evaluation reports.</w:t>
      </w:r>
    </w:p>
    <w:p w:rsidR="00EE32F6" w:rsidRPr="00C31888" w:rsidRDefault="00EE32F6" w:rsidP="00EE32F6">
      <w:pPr>
        <w:pStyle w:val="Heading1numbered"/>
      </w:pPr>
      <w:bookmarkStart w:id="35" w:name="_Toc481760534"/>
      <w:bookmarkStart w:id="36" w:name="_Toc483905987"/>
      <w:r w:rsidRPr="00C31888">
        <w:lastRenderedPageBreak/>
        <w:t>Good Regulatory Practice Plan</w:t>
      </w:r>
      <w:bookmarkEnd w:id="35"/>
      <w:bookmarkEnd w:id="36"/>
    </w:p>
    <w:p w:rsidR="00EE32F6" w:rsidRPr="00C31888" w:rsidRDefault="00EE32F6" w:rsidP="00EE32F6">
      <w:pPr>
        <w:pStyle w:val="NormalIndent"/>
      </w:pPr>
      <w:r w:rsidRPr="00C31888">
        <w:t>Undertaking a Good Regulatory Practice Plan is recommended to help regulators articulate how better practice can be achieved and measured. The plan is based on the outcome of the self</w:t>
      </w:r>
      <w:r w:rsidRPr="00C31888">
        <w:noBreakHyphen/>
        <w:t xml:space="preserve">assessment conducted under section five of </w:t>
      </w:r>
      <w:r>
        <w:t>the SOE Framework</w:t>
      </w:r>
      <w:r w:rsidRPr="00C31888">
        <w:t xml:space="preserve">. The content of </w:t>
      </w:r>
      <w:r w:rsidR="008044F0">
        <w:t>p</w:t>
      </w:r>
      <w:r w:rsidRPr="00C31888">
        <w:t>lans will be specific to each business regulator, reflecting the capacity, capability, opportunities and challenges they face.</w:t>
      </w:r>
    </w:p>
    <w:p w:rsidR="00EE32F6" w:rsidRPr="00C31888" w:rsidRDefault="00EE32F6" w:rsidP="00EE32F6">
      <w:pPr>
        <w:pStyle w:val="NormalIndent"/>
      </w:pPr>
      <w:r w:rsidRPr="00C31888">
        <w:t xml:space="preserve">It is recommended that a Good Regulatory Practice Plan be developed to support the regulator in ranking and prioritising areas where there is </w:t>
      </w:r>
      <w:r w:rsidR="008044F0">
        <w:t xml:space="preserve">the </w:t>
      </w:r>
      <w:r w:rsidRPr="00C31888">
        <w:t>greatest opportunity for improvement.</w:t>
      </w:r>
    </w:p>
    <w:p w:rsidR="00EE32F6" w:rsidRPr="00C31888" w:rsidRDefault="00EE32F6" w:rsidP="00EE32F6">
      <w:pPr>
        <w:pStyle w:val="NormalIndent"/>
      </w:pPr>
      <w:r w:rsidRPr="00C31888">
        <w:t>The section below provides some examples of improvement strategies and measures to serve as a guide. The Good Regulatory Practice Plan is intended to be a helpful way to build on the findings of the self</w:t>
      </w:r>
      <w:r w:rsidRPr="00C31888">
        <w:noBreakHyphen/>
        <w:t>assessment to identify improvements for inclusion in the SOE letter. It is not intended to form part of the SOE, or be published.</w:t>
      </w:r>
    </w:p>
    <w:p w:rsidR="00EE32F6" w:rsidRDefault="00EE32F6" w:rsidP="00E735F3">
      <w:pPr>
        <w:pStyle w:val="Heading2numbered"/>
      </w:pPr>
      <w:bookmarkStart w:id="37" w:name="_Toc481760535"/>
      <w:bookmarkStart w:id="38" w:name="_Toc483905988"/>
      <w:r w:rsidRPr="00C31888">
        <w:t xml:space="preserve">Strategies and measures for mandatory </w:t>
      </w:r>
      <w:r>
        <w:t>elements of good regulatory practice</w:t>
      </w:r>
      <w:bookmarkEnd w:id="37"/>
      <w:bookmarkEnd w:id="38"/>
    </w:p>
    <w:tbl>
      <w:tblPr>
        <w:tblStyle w:val="DTFtexttableindent"/>
        <w:tblW w:w="8178" w:type="dxa"/>
        <w:tblBorders>
          <w:top w:val="single" w:sz="6" w:space="0" w:color="0063A6" w:themeColor="accent1"/>
          <w:insideH w:val="single" w:sz="6" w:space="0" w:color="0063A6" w:themeColor="accent1"/>
        </w:tblBorders>
        <w:tblLook w:val="0620" w:firstRow="1" w:lastRow="0" w:firstColumn="0" w:lastColumn="0" w:noHBand="1" w:noVBand="1"/>
      </w:tblPr>
      <w:tblGrid>
        <w:gridCol w:w="4034"/>
        <w:gridCol w:w="4144"/>
      </w:tblGrid>
      <w:tr w:rsidR="00EE32F6" w:rsidRPr="00C31888" w:rsidTr="007D2C65">
        <w:trPr>
          <w:cnfStyle w:val="100000000000" w:firstRow="1" w:lastRow="0" w:firstColumn="0" w:lastColumn="0" w:oddVBand="0" w:evenVBand="0" w:oddHBand="0" w:evenHBand="0" w:firstRowFirstColumn="0" w:firstRowLastColumn="0" w:lastRowFirstColumn="0" w:lastRowLastColumn="0"/>
        </w:trPr>
        <w:tc>
          <w:tcPr>
            <w:tcW w:w="4034" w:type="dxa"/>
          </w:tcPr>
          <w:p w:rsidR="00EE32F6" w:rsidRPr="00C31888" w:rsidRDefault="00EE32F6" w:rsidP="007D2C65">
            <w:pPr>
              <w:spacing w:before="100"/>
            </w:pPr>
            <w:r w:rsidRPr="00C31888">
              <w:t>Improvement strategies</w:t>
            </w:r>
          </w:p>
        </w:tc>
        <w:tc>
          <w:tcPr>
            <w:tcW w:w="4144" w:type="dxa"/>
          </w:tcPr>
          <w:p w:rsidR="00EE32F6" w:rsidRPr="00C31888" w:rsidRDefault="00EE32F6" w:rsidP="007D2C65">
            <w:pPr>
              <w:spacing w:before="100"/>
            </w:pPr>
            <w:r w:rsidRPr="00C31888">
              <w:t>Improvement measures/evidence</w:t>
            </w:r>
          </w:p>
        </w:tc>
      </w:tr>
      <w:tr w:rsidR="00593AA6" w:rsidRPr="00C31888" w:rsidTr="00593AA6">
        <w:tc>
          <w:tcPr>
            <w:tcW w:w="4034" w:type="dxa"/>
            <w:shd w:val="clear" w:color="auto" w:fill="E3EBF4" w:themeFill="accent3" w:themeFillTint="33"/>
          </w:tcPr>
          <w:p w:rsidR="00593AA6" w:rsidRPr="00C31888" w:rsidRDefault="00593AA6" w:rsidP="00593AA6">
            <w:pPr>
              <w:spacing w:before="100"/>
              <w:rPr>
                <w:b/>
              </w:rPr>
            </w:pPr>
            <w:r w:rsidRPr="00C31888">
              <w:rPr>
                <w:b/>
              </w:rPr>
              <w:t xml:space="preserve">Timeliness </w:t>
            </w:r>
          </w:p>
        </w:tc>
        <w:tc>
          <w:tcPr>
            <w:tcW w:w="4144" w:type="dxa"/>
            <w:shd w:val="clear" w:color="auto" w:fill="E3EBF4" w:themeFill="accent3" w:themeFillTint="33"/>
          </w:tcPr>
          <w:p w:rsidR="00593AA6" w:rsidRPr="00C31888" w:rsidRDefault="00593AA6" w:rsidP="008D5488">
            <w:pPr>
              <w:spacing w:before="100"/>
            </w:pPr>
          </w:p>
        </w:tc>
      </w:tr>
      <w:tr w:rsidR="00EE32F6" w:rsidRPr="00C31888" w:rsidTr="007D2C65">
        <w:tc>
          <w:tcPr>
            <w:tcW w:w="4034" w:type="dxa"/>
          </w:tcPr>
          <w:p w:rsidR="00EE32F6" w:rsidRPr="00C31888" w:rsidRDefault="00EE32F6" w:rsidP="007D2C65">
            <w:pPr>
              <w:spacing w:before="100"/>
            </w:pPr>
            <w:r w:rsidRPr="00C31888">
              <w:t>Develop a strategy to establish, document, publish and improve administrative processes.</w:t>
            </w:r>
          </w:p>
        </w:tc>
        <w:tc>
          <w:tcPr>
            <w:tcW w:w="4144" w:type="dxa"/>
          </w:tcPr>
          <w:p w:rsidR="00EE32F6" w:rsidRPr="00C31888" w:rsidRDefault="00EE32F6" w:rsidP="007D2C65">
            <w:pPr>
              <w:spacing w:before="100"/>
            </w:pPr>
            <w:r w:rsidRPr="00C31888">
              <w:t>Set and publish targets for reducing key approval processes.</w:t>
            </w:r>
          </w:p>
          <w:p w:rsidR="00EE32F6" w:rsidRPr="00C31888" w:rsidRDefault="00EE32F6" w:rsidP="007D2C65">
            <w:pPr>
              <w:spacing w:before="100"/>
            </w:pPr>
            <w:r w:rsidRPr="00C31888">
              <w:t>Collect timeliness measures relating to administrative and compliance processes and report against them in annual report.</w:t>
            </w:r>
          </w:p>
          <w:p w:rsidR="00EE32F6" w:rsidRPr="00C31888" w:rsidRDefault="00EE32F6" w:rsidP="007D2C65">
            <w:pPr>
              <w:spacing w:before="100"/>
            </w:pPr>
            <w:r w:rsidRPr="00C31888">
              <w:t>Measure take</w:t>
            </w:r>
            <w:r w:rsidRPr="00C31888">
              <w:noBreakHyphen/>
              <w:t>up of e</w:t>
            </w:r>
            <w:r w:rsidRPr="00C31888">
              <w:noBreakHyphen/>
              <w:t>enabled systems.</w:t>
            </w:r>
          </w:p>
          <w:p w:rsidR="00EE32F6" w:rsidRPr="00C31888" w:rsidRDefault="00EE32F6" w:rsidP="007D2C65">
            <w:pPr>
              <w:spacing w:before="100"/>
            </w:pPr>
            <w:r w:rsidRPr="00C31888">
              <w:t>Ratio of e</w:t>
            </w:r>
            <w:r w:rsidRPr="00C31888">
              <w:noBreakHyphen/>
              <w:t>enabled data collection to manual completion/paper</w:t>
            </w:r>
            <w:r w:rsidRPr="00C31888">
              <w:noBreakHyphen/>
              <w:t>based forms.</w:t>
            </w:r>
          </w:p>
        </w:tc>
      </w:tr>
      <w:tr w:rsidR="00593AA6" w:rsidRPr="00C31888" w:rsidTr="00593AA6">
        <w:tc>
          <w:tcPr>
            <w:tcW w:w="4034" w:type="dxa"/>
            <w:shd w:val="clear" w:color="auto" w:fill="E3EBF4" w:themeFill="accent3" w:themeFillTint="33"/>
          </w:tcPr>
          <w:p w:rsidR="00593AA6" w:rsidRPr="00C31888" w:rsidRDefault="00593AA6" w:rsidP="00593AA6">
            <w:pPr>
              <w:spacing w:before="100"/>
              <w:rPr>
                <w:b/>
              </w:rPr>
            </w:pPr>
            <w:r w:rsidRPr="00C31888">
              <w:rPr>
                <w:b/>
              </w:rPr>
              <w:t>Risk</w:t>
            </w:r>
            <w:r w:rsidRPr="00C31888">
              <w:rPr>
                <w:b/>
              </w:rPr>
              <w:noBreakHyphen/>
              <w:t xml:space="preserve">based strategies </w:t>
            </w:r>
          </w:p>
        </w:tc>
        <w:tc>
          <w:tcPr>
            <w:tcW w:w="4144" w:type="dxa"/>
            <w:shd w:val="clear" w:color="auto" w:fill="E3EBF4" w:themeFill="accent3" w:themeFillTint="33"/>
          </w:tcPr>
          <w:p w:rsidR="00593AA6" w:rsidRPr="00C31888" w:rsidRDefault="00593AA6" w:rsidP="007D2C65">
            <w:pPr>
              <w:spacing w:before="100"/>
            </w:pPr>
          </w:p>
        </w:tc>
      </w:tr>
      <w:tr w:rsidR="00EE32F6" w:rsidRPr="00C31888" w:rsidTr="007D2C65">
        <w:tc>
          <w:tcPr>
            <w:tcW w:w="4034" w:type="dxa"/>
          </w:tcPr>
          <w:p w:rsidR="00EE32F6" w:rsidRPr="00C31888" w:rsidRDefault="00EE32F6" w:rsidP="007D2C65">
            <w:pPr>
              <w:spacing w:before="100"/>
            </w:pPr>
            <w:r w:rsidRPr="00C31888">
              <w:t>Develop a risk management framework.</w:t>
            </w:r>
          </w:p>
          <w:p w:rsidR="00EE32F6" w:rsidRPr="00C31888" w:rsidRDefault="00EE32F6" w:rsidP="007D2C65">
            <w:pPr>
              <w:spacing w:before="100"/>
            </w:pPr>
            <w:r w:rsidRPr="00C31888">
              <w:t>Undertake a comprehensive risk assessment of regulated businesses.</w:t>
            </w:r>
          </w:p>
          <w:p w:rsidR="00EE32F6" w:rsidRPr="00C31888" w:rsidRDefault="00EE32F6" w:rsidP="007D2C65">
            <w:pPr>
              <w:spacing w:before="100"/>
            </w:pPr>
            <w:r w:rsidRPr="00C31888">
              <w:t>Develop a strategy for targeted enforcement and compliance activities that are proportionate to risk category.</w:t>
            </w:r>
          </w:p>
        </w:tc>
        <w:tc>
          <w:tcPr>
            <w:tcW w:w="4144" w:type="dxa"/>
          </w:tcPr>
          <w:p w:rsidR="00EE32F6" w:rsidRPr="00C31888" w:rsidRDefault="00EE32F6" w:rsidP="007D2C65">
            <w:pPr>
              <w:spacing w:before="100"/>
            </w:pPr>
            <w:r w:rsidRPr="00C31888">
              <w:t>Demonstrate in annual reports how risk</w:t>
            </w:r>
            <w:r w:rsidRPr="00C31888">
              <w:noBreakHyphen/>
              <w:t>based strategies have been applied to high impact inspection and enforcement activities.</w:t>
            </w:r>
          </w:p>
        </w:tc>
      </w:tr>
      <w:tr w:rsidR="00593AA6" w:rsidRPr="00C31888" w:rsidTr="00593AA6">
        <w:tc>
          <w:tcPr>
            <w:tcW w:w="4034" w:type="dxa"/>
            <w:shd w:val="clear" w:color="auto" w:fill="E3EBF4" w:themeFill="accent3" w:themeFillTint="33"/>
          </w:tcPr>
          <w:p w:rsidR="00593AA6" w:rsidRPr="00C31888" w:rsidRDefault="00593AA6" w:rsidP="00593AA6">
            <w:pPr>
              <w:spacing w:before="100"/>
              <w:rPr>
                <w:b/>
              </w:rPr>
            </w:pPr>
            <w:r w:rsidRPr="00C31888">
              <w:rPr>
                <w:b/>
              </w:rPr>
              <w:t xml:space="preserve">Compliance related assistance and advice </w:t>
            </w:r>
          </w:p>
        </w:tc>
        <w:tc>
          <w:tcPr>
            <w:tcW w:w="4144" w:type="dxa"/>
            <w:shd w:val="clear" w:color="auto" w:fill="E3EBF4" w:themeFill="accent3" w:themeFillTint="33"/>
          </w:tcPr>
          <w:p w:rsidR="00593AA6" w:rsidRPr="00C31888" w:rsidRDefault="00593AA6" w:rsidP="007D2C65">
            <w:pPr>
              <w:spacing w:before="100"/>
            </w:pPr>
          </w:p>
        </w:tc>
      </w:tr>
      <w:tr w:rsidR="00EE32F6" w:rsidRPr="00C31888" w:rsidTr="007D2C65">
        <w:tc>
          <w:tcPr>
            <w:tcW w:w="4034" w:type="dxa"/>
          </w:tcPr>
          <w:p w:rsidR="00EE32F6" w:rsidRPr="00C31888" w:rsidRDefault="00EE32F6" w:rsidP="007D2C65">
            <w:pPr>
              <w:spacing w:before="100"/>
            </w:pPr>
            <w:r w:rsidRPr="00C31888">
              <w:t>Undertake stakeholder consultation on existing guidance and developing new guidance to ensure it is easy to understand and comprehensive.</w:t>
            </w:r>
          </w:p>
        </w:tc>
        <w:tc>
          <w:tcPr>
            <w:tcW w:w="4144" w:type="dxa"/>
          </w:tcPr>
          <w:p w:rsidR="00EE32F6" w:rsidRPr="00C31888" w:rsidRDefault="00EE32F6" w:rsidP="007D2C65">
            <w:pPr>
              <w:spacing w:before="100"/>
            </w:pPr>
            <w:r w:rsidRPr="00C31888">
              <w:t>Publish measures relating to the quality of information (for example, timely, reliable and comprehensive).</w:t>
            </w:r>
          </w:p>
          <w:p w:rsidR="00EE32F6" w:rsidRPr="00C31888" w:rsidRDefault="00EE32F6" w:rsidP="007D2C65">
            <w:pPr>
              <w:spacing w:before="100"/>
            </w:pPr>
            <w:r w:rsidRPr="00C31888">
              <w:t>Monitor impact of assistance and advice on regulated parties. For example, majority of businesses benefit from advice and guidance.</w:t>
            </w:r>
          </w:p>
        </w:tc>
      </w:tr>
    </w:tbl>
    <w:p w:rsidR="00EE32F6" w:rsidRDefault="00EE32F6" w:rsidP="00E735F3">
      <w:pPr>
        <w:pStyle w:val="Heading2numbered"/>
      </w:pPr>
      <w:bookmarkStart w:id="39" w:name="_Toc481760536"/>
      <w:bookmarkStart w:id="40" w:name="_Toc483905989"/>
      <w:r w:rsidRPr="00C31888">
        <w:lastRenderedPageBreak/>
        <w:t xml:space="preserve">Strategies and measures for </w:t>
      </w:r>
      <w:r>
        <w:t>the recommended element of good regulatory practice</w:t>
      </w:r>
      <w:bookmarkEnd w:id="39"/>
      <w:bookmarkEnd w:id="40"/>
    </w:p>
    <w:tbl>
      <w:tblPr>
        <w:tblStyle w:val="DTFtexttableindent"/>
        <w:tblW w:w="8240" w:type="dxa"/>
        <w:tblBorders>
          <w:top w:val="single" w:sz="6" w:space="0" w:color="0063A6" w:themeColor="accent1"/>
          <w:insideH w:val="single" w:sz="6" w:space="0" w:color="0063A6" w:themeColor="accent1"/>
        </w:tblBorders>
        <w:tblLook w:val="0620" w:firstRow="1" w:lastRow="0" w:firstColumn="0" w:lastColumn="0" w:noHBand="1" w:noVBand="1"/>
      </w:tblPr>
      <w:tblGrid>
        <w:gridCol w:w="4096"/>
        <w:gridCol w:w="4144"/>
      </w:tblGrid>
      <w:tr w:rsidR="00EE32F6" w:rsidRPr="00C31888" w:rsidTr="00593AA6">
        <w:trPr>
          <w:cnfStyle w:val="100000000000" w:firstRow="1" w:lastRow="0" w:firstColumn="0" w:lastColumn="0" w:oddVBand="0" w:evenVBand="0" w:oddHBand="0" w:evenHBand="0" w:firstRowFirstColumn="0" w:firstRowLastColumn="0" w:lastRowFirstColumn="0" w:lastRowLastColumn="0"/>
        </w:trPr>
        <w:tc>
          <w:tcPr>
            <w:tcW w:w="4096" w:type="dxa"/>
          </w:tcPr>
          <w:p w:rsidR="00EE32F6" w:rsidRPr="00C31888" w:rsidRDefault="00EE32F6" w:rsidP="007D2C65">
            <w:pPr>
              <w:spacing w:before="100"/>
            </w:pPr>
            <w:r w:rsidRPr="00C31888">
              <w:t>Improvement strategies</w:t>
            </w:r>
          </w:p>
        </w:tc>
        <w:tc>
          <w:tcPr>
            <w:tcW w:w="4144" w:type="dxa"/>
          </w:tcPr>
          <w:p w:rsidR="00EE32F6" w:rsidRPr="00C31888" w:rsidRDefault="00EE32F6" w:rsidP="007D2C65">
            <w:pPr>
              <w:spacing w:before="100"/>
            </w:pPr>
            <w:r w:rsidRPr="00C31888">
              <w:t>Improvement measures/evidence</w:t>
            </w:r>
          </w:p>
        </w:tc>
      </w:tr>
      <w:tr w:rsidR="00593AA6" w:rsidRPr="00C31888" w:rsidTr="00593AA6">
        <w:tc>
          <w:tcPr>
            <w:tcW w:w="4096" w:type="dxa"/>
            <w:shd w:val="clear" w:color="auto" w:fill="E3EBF4" w:themeFill="accent3" w:themeFillTint="33"/>
          </w:tcPr>
          <w:p w:rsidR="00593AA6" w:rsidRPr="00F3274A" w:rsidRDefault="00593AA6" w:rsidP="00593AA6">
            <w:pPr>
              <w:spacing w:before="100"/>
              <w:rPr>
                <w:b/>
              </w:rPr>
            </w:pPr>
            <w:r w:rsidRPr="00F3274A">
              <w:rPr>
                <w:b/>
              </w:rPr>
              <w:t>Incentive-based regulation</w:t>
            </w:r>
          </w:p>
        </w:tc>
        <w:tc>
          <w:tcPr>
            <w:tcW w:w="4144" w:type="dxa"/>
            <w:shd w:val="clear" w:color="auto" w:fill="E3EBF4" w:themeFill="accent3" w:themeFillTint="33"/>
          </w:tcPr>
          <w:p w:rsidR="00593AA6" w:rsidRDefault="00593AA6" w:rsidP="008D5488">
            <w:pPr>
              <w:spacing w:before="100"/>
            </w:pPr>
          </w:p>
        </w:tc>
      </w:tr>
      <w:tr w:rsidR="00EE32F6" w:rsidRPr="00C31888" w:rsidTr="00593AA6">
        <w:tc>
          <w:tcPr>
            <w:tcW w:w="4096" w:type="dxa"/>
          </w:tcPr>
          <w:p w:rsidR="00EE32F6" w:rsidRPr="00C31888" w:rsidRDefault="00EE32F6" w:rsidP="007D2C65">
            <w:pPr>
              <w:spacing w:before="100"/>
            </w:pPr>
            <w:r w:rsidRPr="00C31888">
              <w:t>Collect relevant data to evaluate regulatory outcomes.</w:t>
            </w:r>
          </w:p>
          <w:p w:rsidR="00EE32F6" w:rsidRPr="00C31888" w:rsidRDefault="00EE32F6" w:rsidP="007D2C65">
            <w:pPr>
              <w:spacing w:before="100"/>
            </w:pPr>
            <w:r w:rsidRPr="00C31888">
              <w:t>Develop understanding of regulated entities’ behaviour and incentives</w:t>
            </w:r>
          </w:p>
        </w:tc>
        <w:tc>
          <w:tcPr>
            <w:tcW w:w="4144" w:type="dxa"/>
          </w:tcPr>
          <w:p w:rsidR="00EE32F6" w:rsidRPr="00C31888" w:rsidRDefault="00EE32F6" w:rsidP="007D2C65">
            <w:pPr>
              <w:spacing w:before="100"/>
            </w:pPr>
            <w:r w:rsidRPr="00C31888">
              <w:t>Data sets on interactions between regulator and regulated entities, including but not limited to:</w:t>
            </w:r>
          </w:p>
          <w:p w:rsidR="00EE32F6" w:rsidRPr="00C31888" w:rsidRDefault="00EE32F6" w:rsidP="007D2C65">
            <w:pPr>
              <w:spacing w:before="100"/>
            </w:pPr>
            <w:r w:rsidRPr="00C31888">
              <w:t>number and frequency of audits/inspections;</w:t>
            </w:r>
          </w:p>
          <w:p w:rsidR="00EE32F6" w:rsidRPr="00C31888" w:rsidRDefault="00EE32F6" w:rsidP="007D2C65">
            <w:pPr>
              <w:spacing w:before="100"/>
            </w:pPr>
            <w:r w:rsidRPr="00C31888">
              <w:t>number and frequency of requests made by regulated entities; and</w:t>
            </w:r>
          </w:p>
          <w:p w:rsidR="00EE32F6" w:rsidRPr="00C31888" w:rsidRDefault="00EE32F6" w:rsidP="007D2C65">
            <w:pPr>
              <w:spacing w:before="100"/>
            </w:pPr>
            <w:r w:rsidRPr="00C31888">
              <w:t>rates of non-compliance.</w:t>
            </w:r>
          </w:p>
        </w:tc>
      </w:tr>
    </w:tbl>
    <w:p w:rsidR="00EE32F6" w:rsidRDefault="00EE32F6" w:rsidP="0025667D">
      <w:pPr>
        <w:pStyle w:val="Spacer"/>
      </w:pPr>
    </w:p>
    <w:p w:rsidR="00EE32F6" w:rsidRDefault="00EE32F6" w:rsidP="00E735F3">
      <w:pPr>
        <w:pStyle w:val="Heading2numbered"/>
      </w:pPr>
      <w:bookmarkStart w:id="41" w:name="_Toc481760537"/>
      <w:bookmarkStart w:id="42" w:name="_Toc483905990"/>
      <w:r w:rsidRPr="00C31888">
        <w:t xml:space="preserve">Strategies and measures for </w:t>
      </w:r>
      <w:r>
        <w:t xml:space="preserve">other </w:t>
      </w:r>
      <w:r w:rsidRPr="00C31888">
        <w:t xml:space="preserve">suggested </w:t>
      </w:r>
      <w:r>
        <w:t>elements of good regulatory practice</w:t>
      </w:r>
      <w:bookmarkEnd w:id="41"/>
      <w:bookmarkEnd w:id="42"/>
    </w:p>
    <w:tbl>
      <w:tblPr>
        <w:tblStyle w:val="DTFtexttableindent"/>
        <w:tblW w:w="8240" w:type="dxa"/>
        <w:tblBorders>
          <w:top w:val="single" w:sz="6" w:space="0" w:color="0063A6" w:themeColor="accent1"/>
          <w:insideH w:val="single" w:sz="6" w:space="0" w:color="0063A6" w:themeColor="accent1"/>
        </w:tblBorders>
        <w:tblLook w:val="0620" w:firstRow="1" w:lastRow="0" w:firstColumn="0" w:lastColumn="0" w:noHBand="1" w:noVBand="1"/>
      </w:tblPr>
      <w:tblGrid>
        <w:gridCol w:w="4096"/>
        <w:gridCol w:w="4144"/>
      </w:tblGrid>
      <w:tr w:rsidR="00EE32F6" w:rsidRPr="00C31888" w:rsidTr="00593AA6">
        <w:trPr>
          <w:cnfStyle w:val="100000000000" w:firstRow="1" w:lastRow="0" w:firstColumn="0" w:lastColumn="0" w:oddVBand="0" w:evenVBand="0" w:oddHBand="0" w:evenHBand="0" w:firstRowFirstColumn="0" w:firstRowLastColumn="0" w:lastRowFirstColumn="0" w:lastRowLastColumn="0"/>
        </w:trPr>
        <w:tc>
          <w:tcPr>
            <w:tcW w:w="4096" w:type="dxa"/>
          </w:tcPr>
          <w:p w:rsidR="00EE32F6" w:rsidRPr="00C31888" w:rsidRDefault="00EE32F6" w:rsidP="007D2C65">
            <w:pPr>
              <w:spacing w:before="100"/>
            </w:pPr>
            <w:r w:rsidRPr="00C31888">
              <w:t>Improvement strategies</w:t>
            </w:r>
          </w:p>
        </w:tc>
        <w:tc>
          <w:tcPr>
            <w:tcW w:w="4144" w:type="dxa"/>
          </w:tcPr>
          <w:p w:rsidR="00EE32F6" w:rsidRPr="00C31888" w:rsidRDefault="00EE32F6" w:rsidP="007D2C65">
            <w:pPr>
              <w:spacing w:before="100"/>
            </w:pPr>
            <w:r w:rsidRPr="00C31888">
              <w:t>Improvement measures/evidence</w:t>
            </w:r>
          </w:p>
        </w:tc>
      </w:tr>
      <w:tr w:rsidR="00593AA6" w:rsidRPr="00C31888" w:rsidTr="00593AA6">
        <w:tc>
          <w:tcPr>
            <w:tcW w:w="4096" w:type="dxa"/>
            <w:shd w:val="clear" w:color="auto" w:fill="E3EBF4" w:themeFill="accent3" w:themeFillTint="33"/>
          </w:tcPr>
          <w:p w:rsidR="00593AA6" w:rsidRPr="00C31888" w:rsidRDefault="00593AA6" w:rsidP="00593AA6">
            <w:pPr>
              <w:spacing w:before="100"/>
              <w:rPr>
                <w:b/>
              </w:rPr>
            </w:pPr>
            <w:r w:rsidRPr="00C31888">
              <w:rPr>
                <w:b/>
              </w:rPr>
              <w:t>Role clarity</w:t>
            </w:r>
          </w:p>
        </w:tc>
        <w:tc>
          <w:tcPr>
            <w:tcW w:w="4144" w:type="dxa"/>
            <w:shd w:val="clear" w:color="auto" w:fill="E3EBF4" w:themeFill="accent3" w:themeFillTint="33"/>
          </w:tcPr>
          <w:p w:rsidR="00593AA6" w:rsidRPr="00C31888" w:rsidRDefault="00593AA6" w:rsidP="008D5488">
            <w:pPr>
              <w:spacing w:before="100"/>
            </w:pPr>
          </w:p>
        </w:tc>
      </w:tr>
      <w:tr w:rsidR="00EE32F6" w:rsidRPr="00C31888" w:rsidTr="00593AA6">
        <w:tc>
          <w:tcPr>
            <w:tcW w:w="4096" w:type="dxa"/>
          </w:tcPr>
          <w:p w:rsidR="00EE32F6" w:rsidRPr="00C31888" w:rsidRDefault="00EE32F6" w:rsidP="007D2C65">
            <w:pPr>
              <w:spacing w:before="100"/>
            </w:pPr>
            <w:r w:rsidRPr="00C31888">
              <w:t>Develop or document coordination of regulatory activities.</w:t>
            </w:r>
          </w:p>
          <w:p w:rsidR="00EE32F6" w:rsidRPr="00C31888" w:rsidRDefault="00EE32F6" w:rsidP="007D2C65">
            <w:pPr>
              <w:spacing w:before="100"/>
            </w:pPr>
            <w:r w:rsidRPr="00C31888">
              <w:t>Establish or document a clear chain of accountability between regulators and departments involved in the regulatory regime.</w:t>
            </w:r>
          </w:p>
          <w:p w:rsidR="00EE32F6" w:rsidRPr="00C31888" w:rsidRDefault="00EE32F6" w:rsidP="007D2C65">
            <w:pPr>
              <w:spacing w:before="100"/>
            </w:pPr>
            <w:r w:rsidRPr="00C31888">
              <w:t>Develop or review monitoring and assurance regimes to ensure that regulatory objectives are being met.</w:t>
            </w:r>
          </w:p>
        </w:tc>
        <w:tc>
          <w:tcPr>
            <w:tcW w:w="4144" w:type="dxa"/>
          </w:tcPr>
          <w:p w:rsidR="00EE32F6" w:rsidRPr="00C31888" w:rsidRDefault="00EE32F6" w:rsidP="00693EA7">
            <w:pPr>
              <w:spacing w:before="100"/>
            </w:pPr>
            <w:r w:rsidRPr="00C31888">
              <w:t xml:space="preserve">Up to date arrangements on regulator’s website and in </w:t>
            </w:r>
            <w:r w:rsidR="00693EA7">
              <w:t>a</w:t>
            </w:r>
            <w:r w:rsidRPr="00C31888">
              <w:t xml:space="preserve">nnual </w:t>
            </w:r>
            <w:r w:rsidR="00693EA7">
              <w:t>r</w:t>
            </w:r>
            <w:r w:rsidRPr="00C31888">
              <w:t>eport.</w:t>
            </w:r>
          </w:p>
        </w:tc>
      </w:tr>
      <w:tr w:rsidR="00593AA6" w:rsidRPr="00593AA6" w:rsidTr="00593AA6">
        <w:tc>
          <w:tcPr>
            <w:tcW w:w="4096" w:type="dxa"/>
            <w:shd w:val="clear" w:color="auto" w:fill="E3EBF4" w:themeFill="accent3" w:themeFillTint="33"/>
          </w:tcPr>
          <w:p w:rsidR="00593AA6" w:rsidRPr="00593AA6" w:rsidRDefault="00593AA6" w:rsidP="00593AA6">
            <w:pPr>
              <w:spacing w:before="100"/>
              <w:rPr>
                <w:b/>
              </w:rPr>
            </w:pPr>
            <w:r w:rsidRPr="00593AA6">
              <w:rPr>
                <w:b/>
              </w:rPr>
              <w:t>Cooperation among regulators</w:t>
            </w:r>
          </w:p>
        </w:tc>
        <w:tc>
          <w:tcPr>
            <w:tcW w:w="4144" w:type="dxa"/>
            <w:shd w:val="clear" w:color="auto" w:fill="E3EBF4" w:themeFill="accent3" w:themeFillTint="33"/>
          </w:tcPr>
          <w:p w:rsidR="00593AA6" w:rsidRPr="00593AA6" w:rsidRDefault="00593AA6" w:rsidP="007D2C65">
            <w:pPr>
              <w:spacing w:before="100"/>
              <w:rPr>
                <w:b/>
              </w:rPr>
            </w:pPr>
          </w:p>
        </w:tc>
      </w:tr>
      <w:tr w:rsidR="00EE32F6" w:rsidRPr="00C31888" w:rsidTr="00593AA6">
        <w:tc>
          <w:tcPr>
            <w:tcW w:w="4096" w:type="dxa"/>
          </w:tcPr>
          <w:p w:rsidR="00EE32F6" w:rsidRPr="00C31888" w:rsidRDefault="00EE32F6" w:rsidP="007D2C65">
            <w:pPr>
              <w:spacing w:before="100"/>
            </w:pPr>
            <w:r w:rsidRPr="00C31888">
              <w:t>Develop strategies to enhance information exchange and capability development between regulators.</w:t>
            </w:r>
          </w:p>
        </w:tc>
        <w:tc>
          <w:tcPr>
            <w:tcW w:w="4144" w:type="dxa"/>
          </w:tcPr>
          <w:p w:rsidR="00EE32F6" w:rsidRPr="00C31888" w:rsidRDefault="00EE32F6" w:rsidP="007D2C65">
            <w:pPr>
              <w:spacing w:before="100"/>
            </w:pPr>
            <w:r w:rsidRPr="00C31888">
              <w:t>Report against participation in relevant portfolio</w:t>
            </w:r>
            <w:r w:rsidRPr="00C31888">
              <w:noBreakHyphen/>
              <w:t>based for</w:t>
            </w:r>
            <w:r w:rsidR="001E515A">
              <w:t>ums</w:t>
            </w:r>
            <w:r w:rsidRPr="00C31888">
              <w:t xml:space="preserve"> or communities of practice. </w:t>
            </w:r>
          </w:p>
          <w:p w:rsidR="00EE32F6" w:rsidRPr="00C31888" w:rsidRDefault="00EE32F6" w:rsidP="007D2C65">
            <w:pPr>
              <w:spacing w:before="100"/>
            </w:pPr>
            <w:r w:rsidRPr="00C31888">
              <w:t>Provide examples of data</w:t>
            </w:r>
            <w:r w:rsidRPr="00C31888">
              <w:noBreakHyphen/>
              <w:t>sharing initiatives.</w:t>
            </w:r>
          </w:p>
        </w:tc>
      </w:tr>
      <w:tr w:rsidR="00593AA6" w:rsidRPr="00593AA6" w:rsidTr="00593AA6">
        <w:tc>
          <w:tcPr>
            <w:tcW w:w="4096" w:type="dxa"/>
            <w:shd w:val="clear" w:color="auto" w:fill="E3EBF4" w:themeFill="accent3" w:themeFillTint="33"/>
          </w:tcPr>
          <w:p w:rsidR="00593AA6" w:rsidRPr="00593AA6" w:rsidRDefault="00593AA6" w:rsidP="00593AA6">
            <w:pPr>
              <w:spacing w:before="100"/>
              <w:rPr>
                <w:b/>
              </w:rPr>
            </w:pPr>
            <w:r w:rsidRPr="00593AA6">
              <w:rPr>
                <w:b/>
              </w:rPr>
              <w:t>Stakeholder consultation and engagement</w:t>
            </w:r>
          </w:p>
        </w:tc>
        <w:tc>
          <w:tcPr>
            <w:tcW w:w="4144" w:type="dxa"/>
            <w:shd w:val="clear" w:color="auto" w:fill="E3EBF4" w:themeFill="accent3" w:themeFillTint="33"/>
          </w:tcPr>
          <w:p w:rsidR="00593AA6" w:rsidRPr="00593AA6" w:rsidRDefault="00593AA6" w:rsidP="007D2C65">
            <w:pPr>
              <w:spacing w:before="100"/>
              <w:rPr>
                <w:b/>
              </w:rPr>
            </w:pPr>
          </w:p>
        </w:tc>
      </w:tr>
      <w:tr w:rsidR="00EE32F6" w:rsidRPr="00C31888" w:rsidTr="00593AA6">
        <w:tc>
          <w:tcPr>
            <w:tcW w:w="4096" w:type="dxa"/>
          </w:tcPr>
          <w:p w:rsidR="00EE32F6" w:rsidRPr="00C31888" w:rsidRDefault="00EE32F6" w:rsidP="007D2C65">
            <w:pPr>
              <w:spacing w:before="100"/>
            </w:pPr>
            <w:r w:rsidRPr="00C31888">
              <w:t>Establish and publish stakeholder consultation and engagement strategies. Strategies may include developing websites, newsletters with sector specific or personalised information, on</w:t>
            </w:r>
            <w:r w:rsidRPr="00C31888">
              <w:noBreakHyphen/>
              <w:t>site visits and ‘on the ground’ learning networks and seminars.</w:t>
            </w:r>
          </w:p>
          <w:p w:rsidR="00EE32F6" w:rsidRPr="00C31888" w:rsidRDefault="00EE32F6" w:rsidP="007D2C65">
            <w:pPr>
              <w:spacing w:before="100"/>
            </w:pPr>
            <w:r w:rsidRPr="00C31888">
              <w:t>Conduct interviews and focus groups with representatives from regulated parties.</w:t>
            </w:r>
          </w:p>
        </w:tc>
        <w:tc>
          <w:tcPr>
            <w:tcW w:w="4144" w:type="dxa"/>
          </w:tcPr>
          <w:p w:rsidR="00EE32F6" w:rsidRPr="00C31888" w:rsidRDefault="00EE32F6" w:rsidP="007D2C65">
            <w:pPr>
              <w:spacing w:before="100"/>
            </w:pPr>
            <w:r w:rsidRPr="00C31888">
              <w:t>Document communication activity undertaken by:</w:t>
            </w:r>
          </w:p>
          <w:p w:rsidR="00EE32F6" w:rsidRPr="00C31888" w:rsidRDefault="001E515A" w:rsidP="00831419">
            <w:pPr>
              <w:pStyle w:val="Bulletindent"/>
            </w:pPr>
            <w:r>
              <w:t>b</w:t>
            </w:r>
            <w:r w:rsidR="00EE32F6" w:rsidRPr="00C31888">
              <w:t>usiness category</w:t>
            </w:r>
            <w:r>
              <w:t>;</w:t>
            </w:r>
          </w:p>
          <w:p w:rsidR="00EE32F6" w:rsidRPr="00C31888" w:rsidRDefault="001E515A" w:rsidP="00831419">
            <w:pPr>
              <w:pStyle w:val="Bulletindent"/>
            </w:pPr>
            <w:r>
              <w:t>c</w:t>
            </w:r>
            <w:r w:rsidRPr="00C31888">
              <w:t xml:space="preserve">ommunication </w:t>
            </w:r>
            <w:r w:rsidR="00EE32F6" w:rsidRPr="00C31888">
              <w:t>tool</w:t>
            </w:r>
            <w:r w:rsidR="00831419">
              <w:t xml:space="preserve"> used;</w:t>
            </w:r>
          </w:p>
          <w:p w:rsidR="00EE32F6" w:rsidRPr="00C31888" w:rsidRDefault="001E515A" w:rsidP="00831419">
            <w:pPr>
              <w:pStyle w:val="Bulletindent"/>
            </w:pPr>
            <w:r>
              <w:t>l</w:t>
            </w:r>
            <w:r w:rsidR="00EE32F6" w:rsidRPr="00C31888">
              <w:t>ist consultation documents and stakeholder surveys undertaken by the regulator.</w:t>
            </w:r>
          </w:p>
        </w:tc>
      </w:tr>
      <w:tr w:rsidR="00593AA6" w:rsidRPr="00593AA6" w:rsidTr="00593AA6">
        <w:tc>
          <w:tcPr>
            <w:tcW w:w="4096" w:type="dxa"/>
            <w:shd w:val="clear" w:color="auto" w:fill="E3EBF4" w:themeFill="accent3" w:themeFillTint="33"/>
          </w:tcPr>
          <w:p w:rsidR="00593AA6" w:rsidRPr="00593AA6" w:rsidRDefault="00593AA6" w:rsidP="00593AA6">
            <w:pPr>
              <w:keepNext/>
              <w:spacing w:before="100"/>
              <w:rPr>
                <w:b/>
              </w:rPr>
            </w:pPr>
            <w:r w:rsidRPr="00593AA6">
              <w:rPr>
                <w:b/>
              </w:rPr>
              <w:lastRenderedPageBreak/>
              <w:t>Accountability and transparency</w:t>
            </w:r>
          </w:p>
        </w:tc>
        <w:tc>
          <w:tcPr>
            <w:tcW w:w="4144" w:type="dxa"/>
            <w:shd w:val="clear" w:color="auto" w:fill="E3EBF4" w:themeFill="accent3" w:themeFillTint="33"/>
          </w:tcPr>
          <w:p w:rsidR="00593AA6" w:rsidRPr="00593AA6" w:rsidRDefault="00593AA6" w:rsidP="007D2C65">
            <w:pPr>
              <w:spacing w:before="100"/>
              <w:rPr>
                <w:b/>
              </w:rPr>
            </w:pPr>
          </w:p>
        </w:tc>
      </w:tr>
      <w:tr w:rsidR="00EE32F6" w:rsidRPr="00C31888" w:rsidTr="00593AA6">
        <w:tc>
          <w:tcPr>
            <w:tcW w:w="4096" w:type="dxa"/>
          </w:tcPr>
          <w:p w:rsidR="00EE32F6" w:rsidRPr="00C31888" w:rsidRDefault="00EE32F6" w:rsidP="00593AA6">
            <w:pPr>
              <w:keepNext/>
              <w:spacing w:before="100"/>
            </w:pPr>
            <w:r w:rsidRPr="00C31888">
              <w:t>Establish or improve operational performance reporting systems and processes.</w:t>
            </w:r>
          </w:p>
        </w:tc>
        <w:tc>
          <w:tcPr>
            <w:tcW w:w="4144" w:type="dxa"/>
          </w:tcPr>
          <w:p w:rsidR="00EE32F6" w:rsidRPr="00C31888" w:rsidRDefault="00EE32F6" w:rsidP="007D2C65">
            <w:pPr>
              <w:spacing w:before="100"/>
            </w:pPr>
            <w:r w:rsidRPr="00C31888">
              <w:t>Expectations around the publication of targets, results and outcomes of regulator operational performance.</w:t>
            </w:r>
          </w:p>
        </w:tc>
      </w:tr>
      <w:tr w:rsidR="00593AA6" w:rsidRPr="00593AA6" w:rsidTr="00593AA6">
        <w:tc>
          <w:tcPr>
            <w:tcW w:w="4096" w:type="dxa"/>
            <w:shd w:val="clear" w:color="auto" w:fill="E3EBF4" w:themeFill="accent3" w:themeFillTint="33"/>
          </w:tcPr>
          <w:p w:rsidR="00593AA6" w:rsidRPr="00593AA6" w:rsidRDefault="00593AA6" w:rsidP="00593AA6">
            <w:pPr>
              <w:spacing w:before="100"/>
              <w:rPr>
                <w:b/>
              </w:rPr>
            </w:pPr>
            <w:r w:rsidRPr="00593AA6">
              <w:rPr>
                <w:b/>
              </w:rPr>
              <w:t>Clear and consistent regulatory activities</w:t>
            </w:r>
          </w:p>
        </w:tc>
        <w:tc>
          <w:tcPr>
            <w:tcW w:w="4144" w:type="dxa"/>
            <w:shd w:val="clear" w:color="auto" w:fill="E3EBF4" w:themeFill="accent3" w:themeFillTint="33"/>
          </w:tcPr>
          <w:p w:rsidR="00593AA6" w:rsidRPr="00593AA6" w:rsidRDefault="00593AA6" w:rsidP="007D2C65">
            <w:pPr>
              <w:spacing w:before="100"/>
              <w:rPr>
                <w:b/>
              </w:rPr>
            </w:pPr>
          </w:p>
        </w:tc>
      </w:tr>
      <w:tr w:rsidR="00EE32F6" w:rsidRPr="00C31888" w:rsidTr="00593AA6">
        <w:tc>
          <w:tcPr>
            <w:tcW w:w="4096" w:type="dxa"/>
          </w:tcPr>
          <w:p w:rsidR="00EE32F6" w:rsidRPr="00C31888" w:rsidRDefault="00EE32F6" w:rsidP="007D2C65">
            <w:pPr>
              <w:spacing w:before="100"/>
            </w:pPr>
            <w:r w:rsidRPr="00C31888">
              <w:t>Review of quality control in regulatory practice development and improvement processes.</w:t>
            </w:r>
          </w:p>
        </w:tc>
        <w:tc>
          <w:tcPr>
            <w:tcW w:w="4144" w:type="dxa"/>
          </w:tcPr>
          <w:p w:rsidR="00EE32F6" w:rsidRPr="00C31888" w:rsidRDefault="00EE32F6" w:rsidP="007D2C65">
            <w:pPr>
              <w:spacing w:before="100"/>
            </w:pPr>
            <w:r w:rsidRPr="00C31888">
              <w:t>Review administrative processes associated with regulation and develop process performance indicators to use in conjunction with efficiency and effectiveness performance indicators.</w:t>
            </w:r>
          </w:p>
        </w:tc>
      </w:tr>
    </w:tbl>
    <w:p w:rsidR="00EE32F6" w:rsidRDefault="00EE32F6">
      <w:pPr>
        <w:spacing w:before="0" w:after="200"/>
      </w:pPr>
    </w:p>
    <w:p w:rsidR="00EE32F6" w:rsidRPr="00C31888" w:rsidRDefault="00EE32F6" w:rsidP="00EE32F6">
      <w:pPr>
        <w:pStyle w:val="Heading1numbered"/>
      </w:pPr>
      <w:bookmarkStart w:id="43" w:name="_Toc481760538"/>
      <w:bookmarkStart w:id="44" w:name="_Toc483905991"/>
      <w:r w:rsidRPr="00C31888">
        <w:t>The SOE letter</w:t>
      </w:r>
      <w:bookmarkEnd w:id="43"/>
      <w:bookmarkEnd w:id="44"/>
    </w:p>
    <w:p w:rsidR="00EE32F6" w:rsidRPr="00C31888" w:rsidRDefault="00EE32F6" w:rsidP="00EE32F6">
      <w:pPr>
        <w:pStyle w:val="NormalIndent"/>
      </w:pPr>
      <w:r w:rsidRPr="00C31888">
        <w:t xml:space="preserve">SOEs under the </w:t>
      </w:r>
      <w:r>
        <w:t xml:space="preserve">SOE </w:t>
      </w:r>
      <w:r w:rsidRPr="00C31888">
        <w:t xml:space="preserve">Framework will be developed by departments, taking into account the key opportunities identified in </w:t>
      </w:r>
      <w:r w:rsidRPr="00876B3A">
        <w:t>Good Regulatory Practice Plans (where these have been undertaken)</w:t>
      </w:r>
      <w:r w:rsidRPr="00C31888">
        <w:t xml:space="preserve">, and will be issued by Ministers to regulators. A </w:t>
      </w:r>
      <w:r w:rsidRPr="00831419">
        <w:t>pro forma</w:t>
      </w:r>
      <w:r w:rsidRPr="00C31888">
        <w:t xml:space="preserve"> SOE letter is provided at </w:t>
      </w:r>
      <w:r w:rsidRPr="00C31888">
        <w:rPr>
          <w:b/>
        </w:rPr>
        <w:t>Attachment 2</w:t>
      </w:r>
      <w:r w:rsidRPr="00C31888">
        <w:t>.</w:t>
      </w:r>
    </w:p>
    <w:p w:rsidR="00EE32F6" w:rsidRPr="00C31888" w:rsidRDefault="00EE32F6" w:rsidP="00EE32F6">
      <w:pPr>
        <w:pStyle w:val="NormalIndent"/>
      </w:pPr>
      <w:r w:rsidRPr="00C31888">
        <w:t>To the maximum extent possible, performance improvements and targets contained in the SOE should be quantified and expressed in terms of outcomes rather than inputs or activities. Where applicable, performance improvements or targets can include data collection to inform future SOEs. As a guide, it is recommended that an SOE contain between five and 10 improvement measures and performance targets.</w:t>
      </w:r>
    </w:p>
    <w:p w:rsidR="00EE32F6" w:rsidRPr="00C31888" w:rsidRDefault="00EE32F6" w:rsidP="00EE32F6">
      <w:pPr>
        <w:pStyle w:val="NormalIndent"/>
      </w:pPr>
      <w:r w:rsidRPr="00C31888">
        <w:t>The content of SOE letters will vary across regulators. Improvements and targets will be informed by the results of the self</w:t>
      </w:r>
      <w:r w:rsidRPr="00C31888">
        <w:noBreakHyphen/>
        <w:t>assessment and improvement plan (or similar tools), which will be unique to each regulator. SOEs will reflect this diversity.</w:t>
      </w:r>
    </w:p>
    <w:p w:rsidR="00EE32F6" w:rsidRPr="00C31888" w:rsidRDefault="00EE32F6" w:rsidP="00EE32F6">
      <w:pPr>
        <w:pStyle w:val="Heading1numbered"/>
      </w:pPr>
      <w:bookmarkStart w:id="45" w:name="_Toc481760539"/>
      <w:bookmarkStart w:id="46" w:name="_Toc483905992"/>
      <w:r w:rsidRPr="00C31888">
        <w:t>Process and timelines for implementing the SOE Framework</w:t>
      </w:r>
      <w:bookmarkEnd w:id="45"/>
      <w:bookmarkEnd w:id="46"/>
    </w:p>
    <w:p w:rsidR="00EE32F6" w:rsidRPr="00C31888" w:rsidRDefault="00EE32F6" w:rsidP="00EE32F6">
      <w:pPr>
        <w:pStyle w:val="NormalIndent"/>
      </w:pPr>
      <w:r w:rsidRPr="00C31888">
        <w:t xml:space="preserve">Under the SOE Framework, SOEs will be issued every two years. However, it is intended that SOEs be living documents that can be updated and amended at any time. </w:t>
      </w:r>
    </w:p>
    <w:p w:rsidR="00EE32F6" w:rsidRDefault="00EE32F6" w:rsidP="00EE32F6">
      <w:pPr>
        <w:pStyle w:val="NormalIndent"/>
      </w:pPr>
      <w:r>
        <w:t>P</w:t>
      </w:r>
      <w:r w:rsidRPr="00C31888">
        <w:t xml:space="preserve">roducing </w:t>
      </w:r>
      <w:r>
        <w:t xml:space="preserve">quality </w:t>
      </w:r>
      <w:r w:rsidRPr="00C31888">
        <w:t>SOEs can be time</w:t>
      </w:r>
      <w:r w:rsidRPr="00C31888">
        <w:noBreakHyphen/>
        <w:t xml:space="preserve">consuming for departments. Therefore, under the </w:t>
      </w:r>
      <w:r>
        <w:t xml:space="preserve">SOE </w:t>
      </w:r>
      <w:r w:rsidRPr="00C31888">
        <w:t>Framework, departments may stagger the expiry of SOEs to smooth peak demands on their resources from their regulators.</w:t>
      </w:r>
      <w:r>
        <w:t xml:space="preserve"> The SOE Framework will be implemented in two tranches that will lead to a rolling schedule of biennial SOEs. </w:t>
      </w:r>
    </w:p>
    <w:p w:rsidR="00EE32F6" w:rsidRDefault="00EE32F6" w:rsidP="00EE32F6">
      <w:pPr>
        <w:pStyle w:val="NormalIndent"/>
      </w:pPr>
      <w:r>
        <w:t xml:space="preserve">In order to determine which regulators will be included in each tranche, Ministers will nominate in writing to the Treasurer up to half of their regulators to be included in the second tranche of SOEs. </w:t>
      </w:r>
    </w:p>
    <w:p w:rsidR="00EE32F6" w:rsidRPr="00C31888" w:rsidRDefault="00EE32F6" w:rsidP="00EE32F6">
      <w:pPr>
        <w:pStyle w:val="NormalIndent"/>
      </w:pPr>
      <w:r>
        <w:lastRenderedPageBreak/>
        <w:t xml:space="preserve">Existing Stage Two SOEs can be carried over (or reissued if necessary) until regulators have been issued with an SOE under the SOE Framework. </w:t>
      </w:r>
      <w:r w:rsidRPr="00C31888">
        <w:t>Thereafter, all SOEs expire after two years. Furthermore, there will be no further opportunities to carryover existing SOEs.</w:t>
      </w:r>
      <w:r w:rsidRPr="00F840B3">
        <w:t xml:space="preserve"> </w:t>
      </w:r>
    </w:p>
    <w:p w:rsidR="00EE32F6" w:rsidRDefault="00EE32F6" w:rsidP="00593AA6">
      <w:pPr>
        <w:pStyle w:val="Tablechartdiagramheading"/>
        <w:ind w:left="792"/>
      </w:pPr>
      <w:r w:rsidRPr="009F18C7">
        <w:t>Implementation of the SOE Framework</w:t>
      </w:r>
    </w:p>
    <w:p w:rsidR="00115B44" w:rsidRPr="009F18C7" w:rsidRDefault="00115B44" w:rsidP="00115B44">
      <w:pPr>
        <w:pStyle w:val="NormalIndent"/>
      </w:pPr>
      <w:r>
        <w:rPr>
          <w:noProof/>
        </w:rPr>
        <mc:AlternateContent>
          <mc:Choice Requires="wpc">
            <w:drawing>
              <wp:inline distT="0" distB="0" distL="0" distR="0" wp14:anchorId="5C5C38AF" wp14:editId="58F784E3">
                <wp:extent cx="5486400" cy="958293"/>
                <wp:effectExtent l="0" t="0" r="0" b="0"/>
                <wp:docPr id="30" name="Canvas 3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2" name="Rectangle 32"/>
                        <wps:cNvSpPr/>
                        <wps:spPr>
                          <a:xfrm>
                            <a:off x="1154996" y="492884"/>
                            <a:ext cx="1979875" cy="413468"/>
                          </a:xfrm>
                          <a:prstGeom prst="rect">
                            <a:avLst/>
                          </a:prstGeom>
                          <a:solidFill>
                            <a:schemeClr val="accent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CD175F" w:rsidRPr="00115B44" w:rsidRDefault="00CD175F" w:rsidP="00115B44">
                              <w:pPr>
                                <w:spacing w:before="0" w:after="0"/>
                                <w:jc w:val="center"/>
                                <w:rPr>
                                  <w:b/>
                                  <w:sz w:val="17"/>
                                  <w:szCs w:val="17"/>
                                </w:rPr>
                              </w:pPr>
                              <w:r w:rsidRPr="00115B44">
                                <w:rPr>
                                  <w:b/>
                                  <w:sz w:val="17"/>
                                  <w:szCs w:val="17"/>
                                </w:rPr>
                                <w:t xml:space="preserve">SOE Framework Tranche </w:t>
                              </w:r>
                              <w:r>
                                <w:rPr>
                                  <w:b/>
                                  <w:sz w:val="17"/>
                                  <w:szCs w:val="17"/>
                                </w:rPr>
                                <w:t>2</w:t>
                              </w:r>
                              <w:r>
                                <w:rPr>
                                  <w:b/>
                                  <w:sz w:val="17"/>
                                  <w:szCs w:val="17"/>
                                </w:rPr>
                                <w:br/>
                                <w:t>2018–2020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3203124" y="493272"/>
                            <a:ext cx="1979295" cy="413385"/>
                          </a:xfrm>
                          <a:prstGeom prst="rect">
                            <a:avLst/>
                          </a:prstGeom>
                          <a:solidFill>
                            <a:schemeClr val="accent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CD175F" w:rsidRPr="00115B44" w:rsidRDefault="00CD175F" w:rsidP="00115B44">
                              <w:pPr>
                                <w:pStyle w:val="NormalWeb"/>
                                <w:spacing w:before="0" w:beforeAutospacing="0" w:after="0" w:afterAutospacing="0" w:line="276" w:lineRule="auto"/>
                                <w:jc w:val="center"/>
                                <w:rPr>
                                  <w:rFonts w:asciiTheme="majorHAnsi" w:hAnsiTheme="majorHAnsi" w:cstheme="majorHAnsi"/>
                                </w:rPr>
                              </w:pPr>
                              <w:r w:rsidRPr="00115B44">
                                <w:rPr>
                                  <w:rFonts w:asciiTheme="majorHAnsi" w:eastAsia="Times New Roman" w:hAnsiTheme="majorHAnsi" w:cstheme="majorHAnsi"/>
                                  <w:b/>
                                  <w:bCs/>
                                  <w:spacing w:val="2"/>
                                  <w:sz w:val="17"/>
                                  <w:szCs w:val="17"/>
                                </w:rPr>
                                <w:t xml:space="preserve">SOE Framework Tranche </w:t>
                              </w:r>
                              <w:r>
                                <w:rPr>
                                  <w:rFonts w:asciiTheme="majorHAnsi" w:eastAsia="Times New Roman" w:hAnsiTheme="majorHAnsi" w:cstheme="majorHAnsi"/>
                                  <w:b/>
                                  <w:bCs/>
                                  <w:spacing w:val="2"/>
                                  <w:sz w:val="17"/>
                                  <w:szCs w:val="17"/>
                                </w:rPr>
                                <w:t>2</w:t>
                              </w:r>
                              <w:r w:rsidRPr="00115B44">
                                <w:rPr>
                                  <w:rFonts w:asciiTheme="majorHAnsi" w:eastAsia="Times New Roman" w:hAnsiTheme="majorHAnsi" w:cstheme="majorHAnsi"/>
                                  <w:b/>
                                  <w:bCs/>
                                  <w:spacing w:val="2"/>
                                  <w:sz w:val="17"/>
                                  <w:szCs w:val="17"/>
                                </w:rPr>
                                <w:br/>
                                <w:t>20</w:t>
                              </w:r>
                              <w:r>
                                <w:rPr>
                                  <w:rFonts w:asciiTheme="majorHAnsi" w:eastAsia="Times New Roman" w:hAnsiTheme="majorHAnsi" w:cstheme="majorHAnsi"/>
                                  <w:b/>
                                  <w:bCs/>
                                  <w:spacing w:val="2"/>
                                  <w:sz w:val="17"/>
                                  <w:szCs w:val="17"/>
                                </w:rPr>
                                <w:t>20–2022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 name="Rectangle 34"/>
                        <wps:cNvSpPr/>
                        <wps:spPr>
                          <a:xfrm>
                            <a:off x="4440" y="11755"/>
                            <a:ext cx="1979295" cy="413385"/>
                          </a:xfrm>
                          <a:prstGeom prst="rect">
                            <a:avLst/>
                          </a:prstGeom>
                          <a:solidFill>
                            <a:schemeClr val="accent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CD175F" w:rsidRPr="00115B44" w:rsidRDefault="00CD175F" w:rsidP="00115B44">
                              <w:pPr>
                                <w:pStyle w:val="NormalWeb"/>
                                <w:spacing w:before="0" w:beforeAutospacing="0" w:after="0" w:afterAutospacing="0" w:line="276" w:lineRule="auto"/>
                                <w:jc w:val="center"/>
                                <w:rPr>
                                  <w:rFonts w:asciiTheme="majorHAnsi" w:hAnsiTheme="majorHAnsi" w:cstheme="majorHAnsi"/>
                                </w:rPr>
                              </w:pPr>
                              <w:r w:rsidRPr="00115B44">
                                <w:rPr>
                                  <w:rFonts w:asciiTheme="majorHAnsi" w:eastAsia="Times New Roman" w:hAnsiTheme="majorHAnsi" w:cstheme="majorHAnsi"/>
                                  <w:b/>
                                  <w:bCs/>
                                  <w:spacing w:val="2"/>
                                  <w:sz w:val="17"/>
                                  <w:szCs w:val="17"/>
                                </w:rPr>
                                <w:t>SOE Framework Tranche 1</w:t>
                              </w:r>
                              <w:r w:rsidRPr="00115B44">
                                <w:rPr>
                                  <w:rFonts w:asciiTheme="majorHAnsi" w:eastAsia="Times New Roman" w:hAnsiTheme="majorHAnsi" w:cstheme="majorHAnsi"/>
                                  <w:b/>
                                  <w:bCs/>
                                  <w:spacing w:val="2"/>
                                  <w:sz w:val="17"/>
                                  <w:szCs w:val="17"/>
                                </w:rPr>
                                <w:br/>
                                <w:t>2017–2019</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2063745" y="12390"/>
                            <a:ext cx="1979295" cy="413385"/>
                          </a:xfrm>
                          <a:prstGeom prst="rect">
                            <a:avLst/>
                          </a:prstGeom>
                          <a:solidFill>
                            <a:schemeClr val="accent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CD175F" w:rsidRPr="00115B44" w:rsidRDefault="00CD175F" w:rsidP="00115B44">
                              <w:pPr>
                                <w:pStyle w:val="NormalWeb"/>
                                <w:spacing w:before="0" w:beforeAutospacing="0" w:after="0" w:afterAutospacing="0" w:line="276" w:lineRule="auto"/>
                                <w:jc w:val="center"/>
                                <w:rPr>
                                  <w:rFonts w:asciiTheme="majorHAnsi" w:hAnsiTheme="majorHAnsi" w:cstheme="majorHAnsi"/>
                                </w:rPr>
                              </w:pPr>
                              <w:r w:rsidRPr="00115B44">
                                <w:rPr>
                                  <w:rFonts w:asciiTheme="majorHAnsi" w:eastAsia="Times New Roman" w:hAnsiTheme="majorHAnsi" w:cstheme="majorHAnsi"/>
                                  <w:b/>
                                  <w:bCs/>
                                  <w:spacing w:val="2"/>
                                  <w:sz w:val="17"/>
                                  <w:szCs w:val="17"/>
                                </w:rPr>
                                <w:t>SOE Framework Tranche 1</w:t>
                              </w:r>
                              <w:r w:rsidRPr="00115B44">
                                <w:rPr>
                                  <w:rFonts w:asciiTheme="majorHAnsi" w:eastAsia="Times New Roman" w:hAnsiTheme="majorHAnsi" w:cstheme="majorHAnsi"/>
                                  <w:b/>
                                  <w:bCs/>
                                  <w:spacing w:val="2"/>
                                  <w:sz w:val="17"/>
                                  <w:szCs w:val="17"/>
                                </w:rPr>
                                <w:br/>
                                <w:t>2019–2021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5372" y="495135"/>
                            <a:ext cx="1075667" cy="413385"/>
                          </a:xfrm>
                          <a:prstGeom prst="rect">
                            <a:avLst/>
                          </a:prstGeom>
                          <a:solidFill>
                            <a:schemeClr val="accent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CD175F" w:rsidRPr="00115B44" w:rsidRDefault="00CD175F" w:rsidP="00115B44">
                              <w:pPr>
                                <w:pStyle w:val="NormalWeb"/>
                                <w:spacing w:before="0" w:beforeAutospacing="0" w:after="0" w:afterAutospacing="0" w:line="276" w:lineRule="auto"/>
                                <w:jc w:val="center"/>
                                <w:rPr>
                                  <w:rFonts w:asciiTheme="majorHAnsi" w:hAnsiTheme="majorHAnsi" w:cstheme="majorHAnsi"/>
                                </w:rPr>
                              </w:pPr>
                              <w:r>
                                <w:rPr>
                                  <w:rFonts w:asciiTheme="majorHAnsi" w:eastAsia="Times New Roman" w:hAnsiTheme="majorHAnsi" w:cstheme="majorHAnsi"/>
                                  <w:b/>
                                  <w:bCs/>
                                  <w:spacing w:val="2"/>
                                  <w:sz w:val="17"/>
                                  <w:szCs w:val="17"/>
                                </w:rPr>
                                <w:t xml:space="preserve">Stage Two </w:t>
                              </w:r>
                              <w:r w:rsidRPr="00115B44">
                                <w:rPr>
                                  <w:rFonts w:asciiTheme="majorHAnsi" w:eastAsia="Times New Roman" w:hAnsiTheme="majorHAnsi" w:cstheme="majorHAnsi"/>
                                  <w:b/>
                                  <w:bCs/>
                                  <w:spacing w:val="2"/>
                                  <w:sz w:val="17"/>
                                  <w:szCs w:val="17"/>
                                </w:rPr>
                                <w:t>SOE</w:t>
                              </w:r>
                              <w:r>
                                <w:rPr>
                                  <w:rFonts w:asciiTheme="majorHAnsi" w:eastAsia="Times New Roman" w:hAnsiTheme="majorHAnsi" w:cstheme="majorHAnsi"/>
                                  <w:b/>
                                  <w:bCs/>
                                  <w:spacing w:val="2"/>
                                  <w:sz w:val="17"/>
                                  <w:szCs w:val="17"/>
                                </w:rPr>
                                <w:t xml:space="preserve"> carried over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Canvas 30" o:spid="_x0000_s1039" editas="canvas" style="width:6in;height:75.45pt;mso-position-horizontal-relative:char;mso-position-vertical-relative:line" coordsize="54864,9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ppmiwMAAJAVAAAOAAAAZHJzL2Uyb0RvYy54bWzsWG1v2yAQ/j5p/wHxffV7HEd1qqpVp0lV&#10;W7Wd+plgnFjC4AFN0v36HfglWdNt0d43JR8cMOe7g7vnOeD4ZF1ztGRKV1LkODjyMWKCyqIS8xy/&#10;v794M8ZIGyIKwqVgOX5iGp9MX786XjUTFsqF5AVTCJQIPVk1OV4Y00w8T9MFq4k+kg0TMFhKVRMD&#10;XTX3CkVWoL3mXuj7I28lVdEoSZnW8Pa8HcRTp78sGTXXZamZQTzH4JtxT+WeM/v0psdkMlekWVS0&#10;c4N8hxc1qQQYHVSdE0PQo6p2VNUVVVLL0hxRWXuyLCvK3BxgNoH/bDZnRCyJdpOhsDq9g9D6iXpn&#10;c1gDUDlZQTCYa0ModDMERf+YsbsFaZibg57Qq+WNQlWR4yjESJAaMuIWYkTEnDME7zrzIHfX3Kiu&#10;p6Fp13Zdqtr+w6qhNSRbkMRZNsLoKcdxFo7HcRtNtjaI2vEszcZpghG1AkEUj8ZWwNsoapQ2b5ms&#10;kW3kWIEnLohkealNK9qLWLta8qq4qDh3HZuh7IwrtCSQW4RSJkzQGfhMkgu0st74iUs3b9XoSTsl&#10;1zJPnFmFXNyyEtYGPA+dFw4Duxac8QUpWGs48eHXm+19crN0Cq10CS4PuoOv6W7n3MnbT5mD0PCx&#10;/+2Phy+cZSnM8HFdCaleUsCHdStbeXB/a2ls06xna5c3iZ2qfTOTxRPkkpItpHVDLyqI4iXR5oYo&#10;wDCgHXjJXMOj5BIiILsWRgupPr703spDssMoRivghBzrD49EMYz4OwEwyII4tiTiOnGShtBR2yOz&#10;7RHxWJ9JSI0AGLChrmnlDe+bpZL1A9DXqbUKQ0RQsJ1jalTfOTMtVwEBUnZ66sSAOBpiLsWdpYE2&#10;nDZL79cPRDVdKhsAwZXsoUcmzzK6lbUREvL00ciycum+WdcuAkAD7Wr/ej6IXuCDqA/2XnwQhX4U&#10;hHHHB1GYOjqBHN7igzDb8EE0dsl04ANIgy9wzd/PB6M+RfblgwO+LW/+fnwDLnfqvSvYlnT2wnfs&#10;yBdqeRCkiYPuAduw//h/a316wLYt0X9/7YaauoPtYaO2F7ZDfxSlMeix8A6jrDuYHUr3fwxvdxrb&#10;bDm/vZU/lO4/U7rhiL0D72HftRe8kwg24+05PQmi57XbT5PRKB3O6Yd9ub0D+MfP6dmhdv9o7YY7&#10;EHfr5zZ43RWlvVfc7rt9/OYidfoJAAD//wMAUEsDBBQABgAIAAAAIQCoDT2Q3AAAAAUBAAAPAAAA&#10;ZHJzL2Rvd25yZXYueG1sTI/NasMwEITvhb6D2EJvjZTQuq5jOYRAoJRCyQ/0qlgb24m1MpaSOG/f&#10;bS/pZWGYYfabfDa4VpyxD40nDeORAoFUettQpWG7WT6lIEI0ZE3rCTVcMcCsuL/LTWb9hVZ4XsdK&#10;cAmFzGioY+wyKUNZozNh5Dsk9va+dyay7Ctpe3PhctfKiVKJdKYh/lCbDhc1lsf1yWlI3l8320+1&#10;St1Hev2eK/cVD5O91o8Pw3wKIuIQb2H4xWd0KJhp509kg2g18JD4d9lLk2eWOw69qDeQRS7/0xc/&#10;AAAA//8DAFBLAQItABQABgAIAAAAIQC2gziS/gAAAOEBAAATAAAAAAAAAAAAAAAAAAAAAABbQ29u&#10;dGVudF9UeXBlc10ueG1sUEsBAi0AFAAGAAgAAAAhADj9If/WAAAAlAEAAAsAAAAAAAAAAAAAAAAA&#10;LwEAAF9yZWxzLy5yZWxzUEsBAi0AFAAGAAgAAAAhAGKemmaLAwAAkBUAAA4AAAAAAAAAAAAAAAAA&#10;LgIAAGRycy9lMm9Eb2MueG1sUEsBAi0AFAAGAAgAAAAhAKgNPZDcAAAABQEAAA8AAAAAAAAAAAAA&#10;AAAA5QUAAGRycy9kb3ducmV2LnhtbFBLBQYAAAAABAAEAPMAAADuBgAAAAA=&#10;">
                <v:shape id="_x0000_s1040" type="#_x0000_t75" style="position:absolute;width:54864;height:9582;visibility:visible;mso-wrap-style:square">
                  <v:fill o:detectmouseclick="t"/>
                  <v:path o:connecttype="none"/>
                </v:shape>
                <v:rect id="Rectangle 32" o:spid="_x0000_s1041" style="position:absolute;left:11549;top:4928;width:19799;height:41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5eVcEA&#10;AADbAAAADwAAAGRycy9kb3ducmV2LnhtbESPQWvCQBSE7wX/w/IEb3VjhFKjq0hAkN6iHjw+ss8k&#10;mn0bsk+T/vtuodDjMDPfMJvd6Fr1oj40ng0s5gko4tLbhisDl/Ph/RNUEGSLrWcy8E0BdtvJ2wYz&#10;6wcu6HWSSkUIhwwN1CJdpnUoa3IY5r4jjt7N9w4lyr7Stschwl2r0yT50A4bjgs1dpTXVD5OT2eg&#10;QLH365Cu9sfHV17kOkiblMbMpuN+DUpolP/wX/toDSxT+P0Sf4D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OXlXBAAAA2wAAAA8AAAAAAAAAAAAAAAAAmAIAAGRycy9kb3du&#10;cmV2LnhtbFBLBQYAAAAABAAEAPUAAACGAwAAAAA=&#10;" fillcolor="#0063a6 [3204]" strokecolor="#003152 [1604]" strokeweight="1.5pt">
                  <v:textbox>
                    <w:txbxContent>
                      <w:p w:rsidR="00CD175F" w:rsidRPr="00115B44" w:rsidRDefault="00CD175F" w:rsidP="00115B44">
                        <w:pPr>
                          <w:spacing w:before="0" w:after="0"/>
                          <w:jc w:val="center"/>
                          <w:rPr>
                            <w:b/>
                            <w:sz w:val="17"/>
                            <w:szCs w:val="17"/>
                          </w:rPr>
                        </w:pPr>
                        <w:r w:rsidRPr="00115B44">
                          <w:rPr>
                            <w:b/>
                            <w:sz w:val="17"/>
                            <w:szCs w:val="17"/>
                          </w:rPr>
                          <w:t xml:space="preserve">SOE Framework Tranche </w:t>
                        </w:r>
                        <w:r>
                          <w:rPr>
                            <w:b/>
                            <w:sz w:val="17"/>
                            <w:szCs w:val="17"/>
                          </w:rPr>
                          <w:t>2</w:t>
                        </w:r>
                        <w:r>
                          <w:rPr>
                            <w:b/>
                            <w:sz w:val="17"/>
                            <w:szCs w:val="17"/>
                          </w:rPr>
                          <w:br/>
                          <w:t>2018–2020</w:t>
                        </w:r>
                      </w:p>
                    </w:txbxContent>
                  </v:textbox>
                </v:rect>
                <v:rect id="Rectangle 33" o:spid="_x0000_s1042" style="position:absolute;left:32031;top:4932;width:19793;height:4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L7zsEA&#10;AADbAAAADwAAAGRycy9kb3ducmV2LnhtbESPwYrCQBBE74L/MLTgTScqLBodRQIL4i3uHjw2mTaJ&#10;ZnpCpjXZv99ZWPBYVNUrancYXKNe1IXas4HFPAFFXHhbc2ng++tztgYVBNli45kM/FCAw3482mFq&#10;fc85vS5SqgjhkKKBSqRNtQ5FRQ7D3LfE0bv5zqFE2ZXadthHuGv0Mkk+tMOa40KFLWUVFY/L0xnI&#10;Uez92i83x9PjnOWZDtIkhTHTyXDcghIa5B3+b5+sgdUK/r7EH6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C+87BAAAA2wAAAA8AAAAAAAAAAAAAAAAAmAIAAGRycy9kb3du&#10;cmV2LnhtbFBLBQYAAAAABAAEAPUAAACGAwAAAAA=&#10;" fillcolor="#0063a6 [3204]" strokecolor="#003152 [1604]" strokeweight="1.5pt">
                  <v:textbox>
                    <w:txbxContent>
                      <w:p w:rsidR="00CD175F" w:rsidRPr="00115B44" w:rsidRDefault="00CD175F" w:rsidP="00115B44">
                        <w:pPr>
                          <w:pStyle w:val="NormalWeb"/>
                          <w:spacing w:before="0" w:beforeAutospacing="0" w:after="0" w:afterAutospacing="0" w:line="276" w:lineRule="auto"/>
                          <w:jc w:val="center"/>
                          <w:rPr>
                            <w:rFonts w:asciiTheme="majorHAnsi" w:hAnsiTheme="majorHAnsi" w:cstheme="majorHAnsi"/>
                          </w:rPr>
                        </w:pPr>
                        <w:r w:rsidRPr="00115B44">
                          <w:rPr>
                            <w:rFonts w:asciiTheme="majorHAnsi" w:eastAsia="Times New Roman" w:hAnsiTheme="majorHAnsi" w:cstheme="majorHAnsi"/>
                            <w:b/>
                            <w:bCs/>
                            <w:spacing w:val="2"/>
                            <w:sz w:val="17"/>
                            <w:szCs w:val="17"/>
                          </w:rPr>
                          <w:t xml:space="preserve">SOE Framework Tranche </w:t>
                        </w:r>
                        <w:r>
                          <w:rPr>
                            <w:rFonts w:asciiTheme="majorHAnsi" w:eastAsia="Times New Roman" w:hAnsiTheme="majorHAnsi" w:cstheme="majorHAnsi"/>
                            <w:b/>
                            <w:bCs/>
                            <w:spacing w:val="2"/>
                            <w:sz w:val="17"/>
                            <w:szCs w:val="17"/>
                          </w:rPr>
                          <w:t>2</w:t>
                        </w:r>
                        <w:r w:rsidRPr="00115B44">
                          <w:rPr>
                            <w:rFonts w:asciiTheme="majorHAnsi" w:eastAsia="Times New Roman" w:hAnsiTheme="majorHAnsi" w:cstheme="majorHAnsi"/>
                            <w:b/>
                            <w:bCs/>
                            <w:spacing w:val="2"/>
                            <w:sz w:val="17"/>
                            <w:szCs w:val="17"/>
                          </w:rPr>
                          <w:br/>
                          <w:t>20</w:t>
                        </w:r>
                        <w:r>
                          <w:rPr>
                            <w:rFonts w:asciiTheme="majorHAnsi" w:eastAsia="Times New Roman" w:hAnsiTheme="majorHAnsi" w:cstheme="majorHAnsi"/>
                            <w:b/>
                            <w:bCs/>
                            <w:spacing w:val="2"/>
                            <w:sz w:val="17"/>
                            <w:szCs w:val="17"/>
                          </w:rPr>
                          <w:t>20–2022</w:t>
                        </w:r>
                      </w:p>
                    </w:txbxContent>
                  </v:textbox>
                </v:rect>
                <v:rect id="Rectangle 34" o:spid="_x0000_s1043" style="position:absolute;left:44;top:117;width:19793;height:4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tjusEA&#10;AADbAAAADwAAAGRycy9kb3ducmV2LnhtbESPQWvCQBSE7wX/w/IEb3WjLUWjq0igIN5iPXh8ZJ9J&#10;NPs2ZJ8m/nu3UOhxmJlvmPV2cI16UBdqzwZm0wQUceFtzaWB08/3+wJUEGSLjWcy8KQA283obY2p&#10;9T3n9DhKqSKEQ4oGKpE21ToUFTkMU98SR+/iO4cSZVdq22Ef4a7R8yT50g5rjgsVtpRVVNyOd2cg&#10;R7HXcz9f7va3Q5ZnOkiTFMZMxsNuBUpokP/wX3tvDXx8wu+X+AP0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rY7rBAAAA2wAAAA8AAAAAAAAAAAAAAAAAmAIAAGRycy9kb3du&#10;cmV2LnhtbFBLBQYAAAAABAAEAPUAAACGAwAAAAA=&#10;" fillcolor="#0063a6 [3204]" strokecolor="#003152 [1604]" strokeweight="1.5pt">
                  <v:textbox>
                    <w:txbxContent>
                      <w:p w:rsidR="00CD175F" w:rsidRPr="00115B44" w:rsidRDefault="00CD175F" w:rsidP="00115B44">
                        <w:pPr>
                          <w:pStyle w:val="NormalWeb"/>
                          <w:spacing w:before="0" w:beforeAutospacing="0" w:after="0" w:afterAutospacing="0" w:line="276" w:lineRule="auto"/>
                          <w:jc w:val="center"/>
                          <w:rPr>
                            <w:rFonts w:asciiTheme="majorHAnsi" w:hAnsiTheme="majorHAnsi" w:cstheme="majorHAnsi"/>
                          </w:rPr>
                        </w:pPr>
                        <w:r w:rsidRPr="00115B44">
                          <w:rPr>
                            <w:rFonts w:asciiTheme="majorHAnsi" w:eastAsia="Times New Roman" w:hAnsiTheme="majorHAnsi" w:cstheme="majorHAnsi"/>
                            <w:b/>
                            <w:bCs/>
                            <w:spacing w:val="2"/>
                            <w:sz w:val="17"/>
                            <w:szCs w:val="17"/>
                          </w:rPr>
                          <w:t>SOE Framework Tranche 1</w:t>
                        </w:r>
                        <w:r w:rsidRPr="00115B44">
                          <w:rPr>
                            <w:rFonts w:asciiTheme="majorHAnsi" w:eastAsia="Times New Roman" w:hAnsiTheme="majorHAnsi" w:cstheme="majorHAnsi"/>
                            <w:b/>
                            <w:bCs/>
                            <w:spacing w:val="2"/>
                            <w:sz w:val="17"/>
                            <w:szCs w:val="17"/>
                          </w:rPr>
                          <w:br/>
                          <w:t>2017–2019</w:t>
                        </w:r>
                      </w:p>
                    </w:txbxContent>
                  </v:textbox>
                </v:rect>
                <v:rect id="Rectangle 35" o:spid="_x0000_s1044" style="position:absolute;left:20637;top:123;width:19793;height:4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fGIcEA&#10;AADbAAAADwAAAGRycy9kb3ducmV2LnhtbESPQWvCQBSE7wX/w/IEb3WjpUWjq0igIN5iPXh8ZJ9J&#10;NPs2ZJ8m/nu3UOhxmJlvmPV2cI16UBdqzwZm0wQUceFtzaWB08/3+wJUEGSLjWcy8KQA283obY2p&#10;9T3n9DhKqSKEQ4oGKpE21ToUFTkMU98SR+/iO4cSZVdq22Ef4a7R8yT50g5rjgsVtpRVVNyOd2cg&#10;R7HXcz9f7va3Q5ZnOkiTFMZMxsNuBUpokP/wX3tvDXx8wu+X+AP0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nxiHBAAAA2wAAAA8AAAAAAAAAAAAAAAAAmAIAAGRycy9kb3du&#10;cmV2LnhtbFBLBQYAAAAABAAEAPUAAACGAwAAAAA=&#10;" fillcolor="#0063a6 [3204]" strokecolor="#003152 [1604]" strokeweight="1.5pt">
                  <v:textbox>
                    <w:txbxContent>
                      <w:p w:rsidR="00CD175F" w:rsidRPr="00115B44" w:rsidRDefault="00CD175F" w:rsidP="00115B44">
                        <w:pPr>
                          <w:pStyle w:val="NormalWeb"/>
                          <w:spacing w:before="0" w:beforeAutospacing="0" w:after="0" w:afterAutospacing="0" w:line="276" w:lineRule="auto"/>
                          <w:jc w:val="center"/>
                          <w:rPr>
                            <w:rFonts w:asciiTheme="majorHAnsi" w:hAnsiTheme="majorHAnsi" w:cstheme="majorHAnsi"/>
                          </w:rPr>
                        </w:pPr>
                        <w:r w:rsidRPr="00115B44">
                          <w:rPr>
                            <w:rFonts w:asciiTheme="majorHAnsi" w:eastAsia="Times New Roman" w:hAnsiTheme="majorHAnsi" w:cstheme="majorHAnsi"/>
                            <w:b/>
                            <w:bCs/>
                            <w:spacing w:val="2"/>
                            <w:sz w:val="17"/>
                            <w:szCs w:val="17"/>
                          </w:rPr>
                          <w:t>SOE Framework Tranche 1</w:t>
                        </w:r>
                        <w:r w:rsidRPr="00115B44">
                          <w:rPr>
                            <w:rFonts w:asciiTheme="majorHAnsi" w:eastAsia="Times New Roman" w:hAnsiTheme="majorHAnsi" w:cstheme="majorHAnsi"/>
                            <w:b/>
                            <w:bCs/>
                            <w:spacing w:val="2"/>
                            <w:sz w:val="17"/>
                            <w:szCs w:val="17"/>
                          </w:rPr>
                          <w:br/>
                          <w:t>2019–2021</w:t>
                        </w:r>
                      </w:p>
                    </w:txbxContent>
                  </v:textbox>
                </v:rect>
                <v:rect id="Rectangle 36" o:spid="_x0000_s1045" style="position:absolute;left:53;top:4951;width:10757;height:4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VYVsEA&#10;AADbAAAADwAAAGRycy9kb3ducmV2LnhtbESPwYrCQBBE7wv+w9DC3nSigmh0FAksiLeoB49Npk2i&#10;mZ6QaU3273cWFvZYVNUrarsfXKPe1IXas4HZNAFFXHhbc2ngevmarEAFQbbYeCYD3xRgvxt9bDG1&#10;vuec3mcpVYRwSNFAJdKmWoeiIodh6lvi6N1951Ci7EptO+wj3DV6niRL7bDmuFBhS1lFxfP8cgZy&#10;FPu49fP14fg8ZXmmgzRJYczneDhsQAkN8h/+ax+tgcUSfr/EH6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1WFbBAAAA2wAAAA8AAAAAAAAAAAAAAAAAmAIAAGRycy9kb3du&#10;cmV2LnhtbFBLBQYAAAAABAAEAPUAAACGAwAAAAA=&#10;" fillcolor="#0063a6 [3204]" strokecolor="#003152 [1604]" strokeweight="1.5pt">
                  <v:textbox>
                    <w:txbxContent>
                      <w:p w:rsidR="00CD175F" w:rsidRPr="00115B44" w:rsidRDefault="00CD175F" w:rsidP="00115B44">
                        <w:pPr>
                          <w:pStyle w:val="NormalWeb"/>
                          <w:spacing w:before="0" w:beforeAutospacing="0" w:after="0" w:afterAutospacing="0" w:line="276" w:lineRule="auto"/>
                          <w:jc w:val="center"/>
                          <w:rPr>
                            <w:rFonts w:asciiTheme="majorHAnsi" w:hAnsiTheme="majorHAnsi" w:cstheme="majorHAnsi"/>
                          </w:rPr>
                        </w:pPr>
                        <w:r>
                          <w:rPr>
                            <w:rFonts w:asciiTheme="majorHAnsi" w:eastAsia="Times New Roman" w:hAnsiTheme="majorHAnsi" w:cstheme="majorHAnsi"/>
                            <w:b/>
                            <w:bCs/>
                            <w:spacing w:val="2"/>
                            <w:sz w:val="17"/>
                            <w:szCs w:val="17"/>
                          </w:rPr>
                          <w:t xml:space="preserve">Stage Two </w:t>
                        </w:r>
                        <w:r w:rsidRPr="00115B44">
                          <w:rPr>
                            <w:rFonts w:asciiTheme="majorHAnsi" w:eastAsia="Times New Roman" w:hAnsiTheme="majorHAnsi" w:cstheme="majorHAnsi"/>
                            <w:b/>
                            <w:bCs/>
                            <w:spacing w:val="2"/>
                            <w:sz w:val="17"/>
                            <w:szCs w:val="17"/>
                          </w:rPr>
                          <w:t>SOE</w:t>
                        </w:r>
                        <w:r>
                          <w:rPr>
                            <w:rFonts w:asciiTheme="majorHAnsi" w:eastAsia="Times New Roman" w:hAnsiTheme="majorHAnsi" w:cstheme="majorHAnsi"/>
                            <w:b/>
                            <w:bCs/>
                            <w:spacing w:val="2"/>
                            <w:sz w:val="17"/>
                            <w:szCs w:val="17"/>
                          </w:rPr>
                          <w:t xml:space="preserve"> carried over</w:t>
                        </w:r>
                      </w:p>
                    </w:txbxContent>
                  </v:textbox>
                </v:rect>
                <w10:anchorlock/>
              </v:group>
            </w:pict>
          </mc:Fallback>
        </mc:AlternateContent>
      </w:r>
    </w:p>
    <w:p w:rsidR="00EE32F6" w:rsidRDefault="00EE32F6" w:rsidP="00183113">
      <w:pPr>
        <w:pStyle w:val="Spacer"/>
      </w:pPr>
    </w:p>
    <w:p w:rsidR="00EE32F6" w:rsidRPr="00C31888" w:rsidRDefault="00EE32F6" w:rsidP="00EE32F6">
      <w:pPr>
        <w:pStyle w:val="Heading1numbered"/>
      </w:pPr>
      <w:bookmarkStart w:id="47" w:name="_Toc481760540"/>
      <w:bookmarkStart w:id="48" w:name="_Toc483905993"/>
      <w:r w:rsidRPr="00C31888">
        <w:t>Regulator performance improvement forum</w:t>
      </w:r>
      <w:bookmarkEnd w:id="47"/>
      <w:bookmarkEnd w:id="48"/>
    </w:p>
    <w:p w:rsidR="00EE32F6" w:rsidRPr="00C31888" w:rsidRDefault="00EE32F6" w:rsidP="00EE32F6">
      <w:pPr>
        <w:pStyle w:val="NormalIndent"/>
      </w:pPr>
      <w:r w:rsidRPr="00C31888">
        <w:t xml:space="preserve">A key aspect of the SOE </w:t>
      </w:r>
      <w:r>
        <w:t>F</w:t>
      </w:r>
      <w:r w:rsidRPr="00C31888">
        <w:t>ramework is the Commissioner for Better Regulation’s Regulator</w:t>
      </w:r>
      <w:r>
        <w:t>s’ Community of Practice (also known as the Regulators’ Forum)</w:t>
      </w:r>
      <w:r w:rsidRPr="00C31888">
        <w:t>. This forum will allow business regulators to meet regularly to benchmark their performance on key regulatory activities against other regulators, share lessons learned and discuss approaches for continuous improvement in compliance and enforcement practices.</w:t>
      </w:r>
    </w:p>
    <w:p w:rsidR="00EE32F6" w:rsidRDefault="00EE32F6" w:rsidP="00EE32F6">
      <w:pPr>
        <w:pStyle w:val="NormalIndent"/>
      </w:pPr>
      <w:r>
        <w:t>T</w:t>
      </w:r>
      <w:r w:rsidRPr="00C31888">
        <w:t xml:space="preserve">he Commissioner for Better Regulation will review each </w:t>
      </w:r>
      <w:r>
        <w:t>tranche of</w:t>
      </w:r>
      <w:r w:rsidRPr="00C31888">
        <w:t xml:space="preserve"> evaluation reports. These reviews will focus on the rigo</w:t>
      </w:r>
      <w:r w:rsidR="00AC0785">
        <w:t>u</w:t>
      </w:r>
      <w:r w:rsidRPr="00C31888">
        <w:t xml:space="preserve">r of analysis and presentation of the evaluation (rather than the findings of the evaluation). </w:t>
      </w:r>
    </w:p>
    <w:p w:rsidR="00EE32F6" w:rsidRPr="00C31888" w:rsidRDefault="00EE32F6" w:rsidP="00EE32F6">
      <w:pPr>
        <w:pStyle w:val="NormalIndent"/>
      </w:pPr>
      <w:r w:rsidRPr="00C31888">
        <w:t xml:space="preserve">The forum will serve as a platform for the Commissioner to identify and highlight the best characteristics of </w:t>
      </w:r>
      <w:r>
        <w:t>each</w:t>
      </w:r>
      <w:r w:rsidRPr="00C31888">
        <w:t xml:space="preserve"> tranche of evaluation reports.</w:t>
      </w:r>
    </w:p>
    <w:p w:rsidR="00EE32F6" w:rsidRPr="00C31888" w:rsidRDefault="00EE32F6" w:rsidP="00EE32F6">
      <w:pPr>
        <w:pStyle w:val="Heading1numbered"/>
      </w:pPr>
      <w:bookmarkStart w:id="49" w:name="_Toc481760541"/>
      <w:bookmarkStart w:id="50" w:name="_Toc483905994"/>
      <w:r w:rsidRPr="00C31888">
        <w:t xml:space="preserve">Roles and responsibilities under the SOE </w:t>
      </w:r>
      <w:r>
        <w:t>Framework</w:t>
      </w:r>
      <w:bookmarkEnd w:id="49"/>
      <w:bookmarkEnd w:id="50"/>
    </w:p>
    <w:p w:rsidR="00EE32F6" w:rsidRPr="00C31888" w:rsidRDefault="00EE32F6" w:rsidP="00EE32F6">
      <w:pPr>
        <w:pStyle w:val="NormalIndent"/>
      </w:pPr>
      <w:r w:rsidRPr="00C31888">
        <w:t xml:space="preserve">The Treasurer, supported by DTF, is responsible for developing, evaluating and enhancing the SOE </w:t>
      </w:r>
      <w:r>
        <w:t>Framework,</w:t>
      </w:r>
      <w:r w:rsidRPr="00C31888">
        <w:t xml:space="preserve"> maintaining the SOE guidelines</w:t>
      </w:r>
      <w:r>
        <w:t>, and updating the list of Victorian business regulators (Attachment 1). DTF will periodically advise the Treasurer on the implementation of the SOE Framework.</w:t>
      </w:r>
    </w:p>
    <w:p w:rsidR="00EE32F6" w:rsidRPr="00C31888" w:rsidRDefault="00EE32F6" w:rsidP="00EE32F6">
      <w:pPr>
        <w:pStyle w:val="NormalIndent"/>
      </w:pPr>
      <w:r w:rsidRPr="00C31888">
        <w:t>Regulators and departments will collaborate in undertaking self</w:t>
      </w:r>
      <w:r w:rsidRPr="00C31888">
        <w:noBreakHyphen/>
        <w:t>assessments and developing Good Regulatory Practice Plans.</w:t>
      </w:r>
    </w:p>
    <w:p w:rsidR="00EE32F6" w:rsidRDefault="00EE32F6" w:rsidP="00EE32F6">
      <w:pPr>
        <w:pStyle w:val="NormalIndent"/>
      </w:pPr>
      <w:r w:rsidRPr="00C31888">
        <w:t>Departments will develop SOEs in consultation with regulators and submit them to the responsible Minister.</w:t>
      </w:r>
    </w:p>
    <w:p w:rsidR="00EE32F6" w:rsidRPr="00C31888" w:rsidRDefault="00EE32F6" w:rsidP="00EE32F6">
      <w:pPr>
        <w:pStyle w:val="NormalIndent"/>
      </w:pPr>
      <w:r w:rsidRPr="00C31888">
        <w:t>DTF is available to support regulators and departments in the development of SOEs by providing advice on the consistency of draft SOEs with the SOE</w:t>
      </w:r>
      <w:r>
        <w:t xml:space="preserve"> Framework and to suggest improvements and targets that could be considered</w:t>
      </w:r>
      <w:r w:rsidRPr="00C31888">
        <w:t xml:space="preserve">. </w:t>
      </w:r>
    </w:p>
    <w:p w:rsidR="00EE32F6" w:rsidRPr="00C31888" w:rsidRDefault="00EE32F6" w:rsidP="00EE32F6">
      <w:pPr>
        <w:pStyle w:val="NormalIndent"/>
      </w:pPr>
      <w:r w:rsidRPr="00C31888">
        <w:t>Responsible Ministers will issue SOE</w:t>
      </w:r>
      <w:r>
        <w:t xml:space="preserve"> letter</w:t>
      </w:r>
      <w:r w:rsidRPr="00C31888">
        <w:t xml:space="preserve">s to all their business regulators. </w:t>
      </w:r>
    </w:p>
    <w:p w:rsidR="00EE32F6" w:rsidRPr="00C31888" w:rsidRDefault="00EE32F6" w:rsidP="00EE32F6">
      <w:pPr>
        <w:pStyle w:val="NormalIndent"/>
      </w:pPr>
      <w:r w:rsidRPr="00C31888">
        <w:lastRenderedPageBreak/>
        <w:t xml:space="preserve">Regulators will formally respond to their SOE </w:t>
      </w:r>
      <w:r>
        <w:t xml:space="preserve">letter </w:t>
      </w:r>
      <w:r w:rsidRPr="00C31888">
        <w:t>outlining how they will meet the expectations and achieve the performance targets.</w:t>
      </w:r>
      <w:r>
        <w:t xml:space="preserve"> In developing the response there is an expectation that regulators will consult with the Red Tape Commissioner, regulated businesses and the broader community as appropriate.</w:t>
      </w:r>
    </w:p>
    <w:p w:rsidR="00EE32F6" w:rsidRPr="00C31888" w:rsidRDefault="00EE32F6" w:rsidP="00EE32F6">
      <w:pPr>
        <w:pStyle w:val="NormalIndent"/>
      </w:pPr>
      <w:r w:rsidRPr="00C31888">
        <w:t>Regulators will then commence work towards meeting their SOE obligations and report publicly on their progress</w:t>
      </w:r>
      <w:r>
        <w:t xml:space="preserve"> (predominantly through corporate planning and annual financial reporting cycles)</w:t>
      </w:r>
      <w:r w:rsidRPr="00C31888">
        <w:t>.</w:t>
      </w:r>
    </w:p>
    <w:p w:rsidR="00EE32F6" w:rsidRPr="00C31888" w:rsidRDefault="00EE32F6" w:rsidP="00EE32F6">
      <w:pPr>
        <w:pStyle w:val="NormalIndent"/>
      </w:pPr>
      <w:r>
        <w:t>D</w:t>
      </w:r>
      <w:r w:rsidRPr="00C31888">
        <w:t xml:space="preserve">epartments will evaluate regulators’ performance and write evaluation reports. </w:t>
      </w:r>
      <w:r>
        <w:t>Evaluation findings will be an important input into subsequent</w:t>
      </w:r>
      <w:r w:rsidRPr="00C31888">
        <w:t xml:space="preserve"> SOEs.</w:t>
      </w:r>
    </w:p>
    <w:p w:rsidR="00EE32F6" w:rsidRPr="00C31888" w:rsidRDefault="00EE32F6" w:rsidP="00EE32F6">
      <w:pPr>
        <w:pStyle w:val="NormalIndent"/>
      </w:pPr>
      <w:r w:rsidRPr="00C31888">
        <w:t>Once evaluation reports have been prepared, the Commissioner for Better Regulation will review each of these evaluation reports. These reviews will focus on the rigo</w:t>
      </w:r>
      <w:r w:rsidR="00AC0785">
        <w:t>u</w:t>
      </w:r>
      <w:r w:rsidRPr="00C31888">
        <w:t xml:space="preserve">r of analysis and presentation of the evaluation (rather than the findings of the evaluation). The Commissioner will identify and highlight the best characteristics of these reports at the </w:t>
      </w:r>
      <w:r w:rsidRPr="00876B3A">
        <w:t>Commissioner’s regulator performance improvement forum</w:t>
      </w:r>
      <w:r w:rsidRPr="00C31888">
        <w:t> each year.</w:t>
      </w:r>
    </w:p>
    <w:p w:rsidR="00EE32F6" w:rsidRDefault="00EE32F6" w:rsidP="00EE32F6">
      <w:pPr>
        <w:pStyle w:val="NormalIndent"/>
      </w:pPr>
    </w:p>
    <w:p w:rsidR="00183113" w:rsidRDefault="00183113">
      <w:pPr>
        <w:spacing w:before="0" w:after="200"/>
        <w:rPr>
          <w:rFonts w:asciiTheme="majorHAnsi" w:eastAsiaTheme="majorEastAsia" w:hAnsiTheme="majorHAnsi" w:cstheme="majorBidi"/>
          <w:b/>
          <w:bCs/>
          <w:color w:val="201547"/>
          <w:spacing w:val="-1"/>
          <w:sz w:val="36"/>
          <w:szCs w:val="28"/>
        </w:rPr>
      </w:pPr>
      <w:bookmarkStart w:id="51" w:name="_Toc481760542"/>
      <w:r>
        <w:br w:type="page"/>
      </w:r>
    </w:p>
    <w:p w:rsidR="00EE32F6" w:rsidRDefault="00EE32F6" w:rsidP="00EE32F6">
      <w:pPr>
        <w:pStyle w:val="Heading1"/>
      </w:pPr>
      <w:bookmarkStart w:id="52" w:name="_Toc483905995"/>
      <w:r>
        <w:lastRenderedPageBreak/>
        <w:t xml:space="preserve">Attachment 1 – </w:t>
      </w:r>
      <w:r w:rsidRPr="00C31888">
        <w:t>List of Victorian business regulators</w:t>
      </w:r>
      <w:bookmarkEnd w:id="51"/>
      <w:bookmarkEnd w:id="52"/>
    </w:p>
    <w:p w:rsidR="00EE32F6" w:rsidRPr="006D314E" w:rsidRDefault="00EE32F6" w:rsidP="00EE32F6">
      <w:r>
        <w:rPr>
          <w:lang w:eastAsia="en-US"/>
        </w:rPr>
        <w:t xml:space="preserve">This list is true as of </w:t>
      </w:r>
      <w:r w:rsidR="00CD175F">
        <w:rPr>
          <w:lang w:eastAsia="en-US"/>
        </w:rPr>
        <w:t>17</w:t>
      </w:r>
      <w:r>
        <w:rPr>
          <w:lang w:eastAsia="en-US"/>
        </w:rPr>
        <w:t xml:space="preserve"> </w:t>
      </w:r>
      <w:r w:rsidR="00CD175F">
        <w:rPr>
          <w:lang w:eastAsia="en-US"/>
        </w:rPr>
        <w:t>April 2018</w:t>
      </w:r>
      <w:r>
        <w:rPr>
          <w:lang w:eastAsia="en-US"/>
        </w:rPr>
        <w:t>. This list may be varied at any time at the Treasurer’s discretion.</w:t>
      </w:r>
    </w:p>
    <w:tbl>
      <w:tblPr>
        <w:tblStyle w:val="DTFtexttable"/>
        <w:tblW w:w="9293" w:type="dxa"/>
        <w:tblBorders>
          <w:top w:val="single" w:sz="6" w:space="0" w:color="0063A6" w:themeColor="accent1"/>
          <w:insideH w:val="single" w:sz="6" w:space="0" w:color="0063A6" w:themeColor="accent1"/>
        </w:tblBorders>
        <w:tblLook w:val="0620" w:firstRow="1" w:lastRow="0" w:firstColumn="0" w:lastColumn="0" w:noHBand="1" w:noVBand="1"/>
      </w:tblPr>
      <w:tblGrid>
        <w:gridCol w:w="4288"/>
        <w:gridCol w:w="2881"/>
        <w:gridCol w:w="2124"/>
      </w:tblGrid>
      <w:tr w:rsidR="00183113" w:rsidRPr="00C31888" w:rsidTr="00C0245E">
        <w:trPr>
          <w:cnfStyle w:val="100000000000" w:firstRow="1" w:lastRow="0" w:firstColumn="0" w:lastColumn="0" w:oddVBand="0" w:evenVBand="0" w:oddHBand="0" w:evenHBand="0" w:firstRowFirstColumn="0" w:firstRowLastColumn="0" w:lastRowFirstColumn="0" w:lastRowLastColumn="0"/>
        </w:trPr>
        <w:tc>
          <w:tcPr>
            <w:tcW w:w="2307" w:type="pct"/>
          </w:tcPr>
          <w:p w:rsidR="00EE32F6" w:rsidRPr="00C31888" w:rsidRDefault="00EE32F6" w:rsidP="00AC0785">
            <w:r w:rsidRPr="00C31888">
              <w:t xml:space="preserve">Business </w:t>
            </w:r>
            <w:r w:rsidR="00AC0785">
              <w:t>r</w:t>
            </w:r>
            <w:r w:rsidR="00AC0785" w:rsidRPr="00C31888">
              <w:t>egulator</w:t>
            </w:r>
          </w:p>
        </w:tc>
        <w:tc>
          <w:tcPr>
            <w:tcW w:w="1550" w:type="pct"/>
          </w:tcPr>
          <w:p w:rsidR="00EE32F6" w:rsidRPr="00C31888" w:rsidRDefault="00EE32F6" w:rsidP="00842C93">
            <w:r w:rsidRPr="00C31888">
              <w:t>Ministerial responsibility</w:t>
            </w:r>
          </w:p>
        </w:tc>
        <w:tc>
          <w:tcPr>
            <w:tcW w:w="1143" w:type="pct"/>
          </w:tcPr>
          <w:p w:rsidR="00EE32F6" w:rsidRPr="00C31888" w:rsidRDefault="00EE32F6" w:rsidP="00842C93">
            <w:r w:rsidRPr="00C31888">
              <w:t>Department</w:t>
            </w:r>
          </w:p>
        </w:tc>
      </w:tr>
      <w:tr w:rsidR="00183113" w:rsidRPr="00C31888" w:rsidTr="00C0245E">
        <w:tc>
          <w:tcPr>
            <w:tcW w:w="2307" w:type="pct"/>
          </w:tcPr>
          <w:p w:rsidR="00EE32F6" w:rsidRPr="00C31888" w:rsidRDefault="00CD175F" w:rsidP="00183113">
            <w:pPr>
              <w:pStyle w:val="Tablebullet"/>
              <w:spacing w:before="100"/>
            </w:pPr>
            <w:r>
              <w:t>Agriculture Victoria</w:t>
            </w:r>
          </w:p>
          <w:p w:rsidR="00EE32F6" w:rsidRPr="00C31888" w:rsidRDefault="00EE32F6" w:rsidP="00183113">
            <w:pPr>
              <w:pStyle w:val="Tablebullet"/>
            </w:pPr>
            <w:r w:rsidRPr="00C31888">
              <w:t>Dairy Food Safety Victoria</w:t>
            </w:r>
          </w:p>
          <w:p w:rsidR="00EE32F6" w:rsidRPr="00C31888" w:rsidRDefault="00EE32F6" w:rsidP="00183113">
            <w:pPr>
              <w:pStyle w:val="Tablebullet"/>
            </w:pPr>
            <w:r w:rsidRPr="00C31888">
              <w:t>Game Management Authority</w:t>
            </w:r>
          </w:p>
          <w:p w:rsidR="00EE32F6" w:rsidRPr="00C31888" w:rsidRDefault="00EE32F6" w:rsidP="00183113">
            <w:pPr>
              <w:pStyle w:val="Tablebullet"/>
            </w:pPr>
            <w:proofErr w:type="spellStart"/>
            <w:r w:rsidRPr="00C31888">
              <w:t>PrimeSafe</w:t>
            </w:r>
            <w:proofErr w:type="spellEnd"/>
          </w:p>
          <w:p w:rsidR="00EE32F6" w:rsidRDefault="00EE32F6" w:rsidP="00183113">
            <w:pPr>
              <w:pStyle w:val="Tablebullet"/>
            </w:pPr>
            <w:r w:rsidRPr="00C31888">
              <w:t>Veterinary Practitioners</w:t>
            </w:r>
            <w:r w:rsidR="00183113">
              <w:t xml:space="preserve"> Registration Board of Victoria</w:t>
            </w:r>
          </w:p>
          <w:p w:rsidR="00CD175F" w:rsidRPr="00C31888" w:rsidRDefault="00CD175F" w:rsidP="00183113">
            <w:pPr>
              <w:pStyle w:val="Tablebullet"/>
            </w:pPr>
            <w:r>
              <w:t>Victorian Fisheries Authority</w:t>
            </w:r>
          </w:p>
        </w:tc>
        <w:tc>
          <w:tcPr>
            <w:tcW w:w="1550" w:type="pct"/>
          </w:tcPr>
          <w:p w:rsidR="00EE32F6" w:rsidRPr="00C31888" w:rsidRDefault="00EE32F6" w:rsidP="00183113">
            <w:pPr>
              <w:spacing w:before="100"/>
            </w:pPr>
            <w:r w:rsidRPr="00C31888">
              <w:t>Minister for Agriculture</w:t>
            </w:r>
          </w:p>
        </w:tc>
        <w:tc>
          <w:tcPr>
            <w:tcW w:w="1143" w:type="pct"/>
          </w:tcPr>
          <w:p w:rsidR="00EE32F6" w:rsidRPr="00C31888" w:rsidRDefault="00EE32F6" w:rsidP="00183113">
            <w:pPr>
              <w:spacing w:before="100"/>
            </w:pPr>
            <w:r w:rsidRPr="00C31888">
              <w:t>Economic Development, Jobs, Transport and Resources</w:t>
            </w:r>
          </w:p>
        </w:tc>
      </w:tr>
      <w:tr w:rsidR="006018DD" w:rsidRPr="00C31888" w:rsidTr="00C0245E">
        <w:tc>
          <w:tcPr>
            <w:tcW w:w="2307" w:type="pct"/>
          </w:tcPr>
          <w:p w:rsidR="00183113" w:rsidRPr="00183113" w:rsidRDefault="00183113" w:rsidP="00183113">
            <w:pPr>
              <w:spacing w:before="100"/>
              <w:rPr>
                <w:color w:val="000000"/>
              </w:rPr>
            </w:pPr>
            <w:r w:rsidRPr="00C31888">
              <w:rPr>
                <w:color w:val="000000"/>
              </w:rPr>
              <w:t xml:space="preserve">Employment </w:t>
            </w:r>
            <w:r>
              <w:rPr>
                <w:color w:val="000000"/>
              </w:rPr>
              <w:t>Information and Compliance Unit</w:t>
            </w:r>
          </w:p>
        </w:tc>
        <w:tc>
          <w:tcPr>
            <w:tcW w:w="1550" w:type="pct"/>
          </w:tcPr>
          <w:p w:rsidR="00183113" w:rsidRPr="00183113" w:rsidRDefault="00183113" w:rsidP="00183113">
            <w:pPr>
              <w:spacing w:before="100"/>
              <w:rPr>
                <w:bCs/>
              </w:rPr>
            </w:pPr>
            <w:r w:rsidRPr="00C31888">
              <w:t>Minister for Industry and Employment</w:t>
            </w:r>
          </w:p>
        </w:tc>
        <w:tc>
          <w:tcPr>
            <w:tcW w:w="1143" w:type="pct"/>
          </w:tcPr>
          <w:p w:rsidR="00183113" w:rsidRPr="00C31888" w:rsidRDefault="00C0245E" w:rsidP="00183113">
            <w:pPr>
              <w:spacing w:before="100"/>
              <w:rPr>
                <w:rFonts w:eastAsia="Calibri"/>
              </w:rPr>
            </w:pPr>
            <w:r w:rsidRPr="00C31888">
              <w:t>Economic Development, Jobs, Transport and Resources</w:t>
            </w:r>
          </w:p>
        </w:tc>
      </w:tr>
      <w:tr w:rsidR="006018DD" w:rsidRPr="00C31888" w:rsidTr="00C0245E">
        <w:tc>
          <w:tcPr>
            <w:tcW w:w="2307" w:type="pct"/>
          </w:tcPr>
          <w:p w:rsidR="00183113" w:rsidRPr="00183113" w:rsidRDefault="00183113" w:rsidP="00183113">
            <w:pPr>
              <w:spacing w:before="100"/>
              <w:rPr>
                <w:color w:val="000000"/>
              </w:rPr>
            </w:pPr>
            <w:r>
              <w:rPr>
                <w:color w:val="000000"/>
              </w:rPr>
              <w:t>Taxi Services Commission</w:t>
            </w:r>
          </w:p>
        </w:tc>
        <w:tc>
          <w:tcPr>
            <w:tcW w:w="1550" w:type="pct"/>
          </w:tcPr>
          <w:p w:rsidR="00183113" w:rsidRPr="00183113" w:rsidRDefault="00183113" w:rsidP="00183113">
            <w:pPr>
              <w:spacing w:before="100"/>
              <w:rPr>
                <w:bCs/>
              </w:rPr>
            </w:pPr>
            <w:r>
              <w:rPr>
                <w:bCs/>
              </w:rPr>
              <w:t>Minister for Public Transport</w:t>
            </w:r>
          </w:p>
        </w:tc>
        <w:tc>
          <w:tcPr>
            <w:tcW w:w="1143" w:type="pct"/>
          </w:tcPr>
          <w:p w:rsidR="00183113" w:rsidRPr="00C31888" w:rsidRDefault="00C0245E" w:rsidP="00183113">
            <w:pPr>
              <w:spacing w:before="100"/>
              <w:rPr>
                <w:rFonts w:eastAsia="Calibri"/>
              </w:rPr>
            </w:pPr>
            <w:r w:rsidRPr="00C31888">
              <w:t>Economic Development, Jobs, Transport and Resources</w:t>
            </w:r>
          </w:p>
        </w:tc>
      </w:tr>
      <w:tr w:rsidR="006018DD" w:rsidRPr="00C31888" w:rsidTr="00C0245E">
        <w:tc>
          <w:tcPr>
            <w:tcW w:w="2307" w:type="pct"/>
          </w:tcPr>
          <w:p w:rsidR="00183113" w:rsidRPr="00183113" w:rsidRDefault="00183113" w:rsidP="00183113">
            <w:pPr>
              <w:spacing w:before="100"/>
              <w:rPr>
                <w:color w:val="000000"/>
              </w:rPr>
            </w:pPr>
            <w:r>
              <w:rPr>
                <w:color w:val="000000"/>
              </w:rPr>
              <w:t>Port of Melbourne Corporation</w:t>
            </w:r>
          </w:p>
        </w:tc>
        <w:tc>
          <w:tcPr>
            <w:tcW w:w="1550" w:type="pct"/>
          </w:tcPr>
          <w:p w:rsidR="00183113" w:rsidRPr="00183113" w:rsidRDefault="00183113" w:rsidP="00183113">
            <w:pPr>
              <w:spacing w:before="100"/>
              <w:rPr>
                <w:bCs/>
              </w:rPr>
            </w:pPr>
            <w:r>
              <w:rPr>
                <w:bCs/>
              </w:rPr>
              <w:t>Minister for Ports</w:t>
            </w:r>
          </w:p>
        </w:tc>
        <w:tc>
          <w:tcPr>
            <w:tcW w:w="1143" w:type="pct"/>
          </w:tcPr>
          <w:p w:rsidR="00183113" w:rsidRPr="00C31888" w:rsidRDefault="00C0245E" w:rsidP="00183113">
            <w:pPr>
              <w:spacing w:before="100"/>
              <w:rPr>
                <w:rFonts w:eastAsia="Calibri"/>
              </w:rPr>
            </w:pPr>
            <w:r w:rsidRPr="00C31888">
              <w:t>Economic Development, Jobs, Transport and Resources</w:t>
            </w:r>
          </w:p>
        </w:tc>
      </w:tr>
      <w:tr w:rsidR="006018DD" w:rsidRPr="00C31888" w:rsidTr="00C0245E">
        <w:tc>
          <w:tcPr>
            <w:tcW w:w="2307" w:type="pct"/>
          </w:tcPr>
          <w:p w:rsidR="00183113" w:rsidRPr="00C31888" w:rsidRDefault="00183113" w:rsidP="00183113">
            <w:pPr>
              <w:spacing w:before="100"/>
              <w:rPr>
                <w:rFonts w:eastAsia="Calibri"/>
                <w:color w:val="000000"/>
              </w:rPr>
            </w:pPr>
            <w:r w:rsidRPr="00C31888">
              <w:rPr>
                <w:color w:val="000000"/>
              </w:rPr>
              <w:t>Earth Resources Regulation Branch</w:t>
            </w:r>
          </w:p>
        </w:tc>
        <w:tc>
          <w:tcPr>
            <w:tcW w:w="1550" w:type="pct"/>
          </w:tcPr>
          <w:p w:rsidR="00183113" w:rsidRPr="00183113" w:rsidRDefault="00183113" w:rsidP="00183113">
            <w:pPr>
              <w:spacing w:before="100"/>
              <w:rPr>
                <w:bCs/>
              </w:rPr>
            </w:pPr>
            <w:r>
              <w:rPr>
                <w:bCs/>
              </w:rPr>
              <w:t>Minister for Resources</w:t>
            </w:r>
          </w:p>
        </w:tc>
        <w:tc>
          <w:tcPr>
            <w:tcW w:w="1143" w:type="pct"/>
          </w:tcPr>
          <w:p w:rsidR="00183113" w:rsidRPr="00C31888" w:rsidRDefault="00C0245E" w:rsidP="00183113">
            <w:pPr>
              <w:spacing w:before="100"/>
              <w:rPr>
                <w:rFonts w:eastAsia="Calibri"/>
              </w:rPr>
            </w:pPr>
            <w:r w:rsidRPr="00C31888">
              <w:t>Economic Development, Jobs, Transport and Resources</w:t>
            </w:r>
          </w:p>
        </w:tc>
      </w:tr>
      <w:tr w:rsidR="006018DD" w:rsidRPr="00C31888" w:rsidTr="00C0245E">
        <w:tc>
          <w:tcPr>
            <w:tcW w:w="2307" w:type="pct"/>
          </w:tcPr>
          <w:p w:rsidR="00183113" w:rsidRPr="00C31888" w:rsidRDefault="00183113" w:rsidP="006018DD">
            <w:pPr>
              <w:pStyle w:val="Tablebullet"/>
              <w:spacing w:before="100"/>
            </w:pPr>
            <w:r w:rsidRPr="00C31888">
              <w:t>Automotive Alternative Fuels Registration Board</w:t>
            </w:r>
          </w:p>
          <w:p w:rsidR="00183113" w:rsidRPr="00C31888" w:rsidRDefault="00183113" w:rsidP="006018DD">
            <w:pPr>
              <w:pStyle w:val="Tablebullet"/>
              <w:rPr>
                <w:rFonts w:eastAsia="Calibri"/>
                <w:color w:val="000000"/>
              </w:rPr>
            </w:pPr>
            <w:r w:rsidRPr="00C31888">
              <w:rPr>
                <w:color w:val="000000"/>
              </w:rPr>
              <w:t>VicRoads</w:t>
            </w:r>
          </w:p>
        </w:tc>
        <w:tc>
          <w:tcPr>
            <w:tcW w:w="1550" w:type="pct"/>
          </w:tcPr>
          <w:p w:rsidR="00183113" w:rsidRPr="00C31888" w:rsidRDefault="00183113" w:rsidP="00183113">
            <w:pPr>
              <w:spacing w:before="100"/>
              <w:rPr>
                <w:rFonts w:eastAsia="Calibri"/>
              </w:rPr>
            </w:pPr>
            <w:r w:rsidRPr="00C31888">
              <w:rPr>
                <w:bCs/>
              </w:rPr>
              <w:t>Minister for Roads and Road Safety</w:t>
            </w:r>
          </w:p>
        </w:tc>
        <w:tc>
          <w:tcPr>
            <w:tcW w:w="1143" w:type="pct"/>
          </w:tcPr>
          <w:p w:rsidR="00183113" w:rsidRPr="00C31888" w:rsidRDefault="00C0245E" w:rsidP="00183113">
            <w:pPr>
              <w:spacing w:before="100"/>
              <w:rPr>
                <w:rFonts w:eastAsia="Calibri"/>
              </w:rPr>
            </w:pPr>
            <w:r w:rsidRPr="00C31888">
              <w:t>Economic Development, Jobs, Transport and Resources</w:t>
            </w:r>
          </w:p>
        </w:tc>
      </w:tr>
      <w:tr w:rsidR="006018DD" w:rsidRPr="00C31888" w:rsidTr="00C0245E">
        <w:tc>
          <w:tcPr>
            <w:tcW w:w="2307" w:type="pct"/>
          </w:tcPr>
          <w:p w:rsidR="00183113" w:rsidRPr="00C31888" w:rsidRDefault="00183113" w:rsidP="00183113">
            <w:pPr>
              <w:spacing w:before="100"/>
              <w:rPr>
                <w:rFonts w:eastAsia="Calibri"/>
                <w:color w:val="000000"/>
              </w:rPr>
            </w:pPr>
            <w:r w:rsidRPr="00C31888">
              <w:rPr>
                <w:color w:val="000000"/>
              </w:rPr>
              <w:t>Victorian Small Business Commissioner</w:t>
            </w:r>
          </w:p>
        </w:tc>
        <w:tc>
          <w:tcPr>
            <w:tcW w:w="1550" w:type="pct"/>
          </w:tcPr>
          <w:p w:rsidR="00183113" w:rsidRPr="00C31888" w:rsidRDefault="00183113" w:rsidP="00CD175F">
            <w:pPr>
              <w:spacing w:before="100"/>
              <w:rPr>
                <w:rFonts w:eastAsia="Calibri"/>
              </w:rPr>
            </w:pPr>
            <w:r w:rsidRPr="00C31888">
              <w:t>Minister for Small Business</w:t>
            </w:r>
          </w:p>
        </w:tc>
        <w:tc>
          <w:tcPr>
            <w:tcW w:w="1143" w:type="pct"/>
          </w:tcPr>
          <w:p w:rsidR="00183113" w:rsidRPr="00C31888" w:rsidRDefault="00C0245E" w:rsidP="00183113">
            <w:pPr>
              <w:spacing w:before="100"/>
              <w:rPr>
                <w:rFonts w:eastAsia="Calibri"/>
              </w:rPr>
            </w:pPr>
            <w:r w:rsidRPr="00C31888">
              <w:t>Economic Development, Jobs, Transport and Resources</w:t>
            </w:r>
          </w:p>
        </w:tc>
      </w:tr>
      <w:tr w:rsidR="00183113" w:rsidRPr="00C31888" w:rsidTr="00C0245E">
        <w:tc>
          <w:tcPr>
            <w:tcW w:w="2307" w:type="pct"/>
          </w:tcPr>
          <w:p w:rsidR="00EE32F6" w:rsidRPr="00C31888" w:rsidRDefault="00EE32F6" w:rsidP="00183113">
            <w:pPr>
              <w:pStyle w:val="Tablebullet"/>
              <w:spacing w:before="100"/>
            </w:pPr>
            <w:r w:rsidRPr="00C31888">
              <w:t>Energy Safe Victoria</w:t>
            </w:r>
          </w:p>
          <w:p w:rsidR="00EE32F6" w:rsidRPr="00C31888" w:rsidRDefault="00EE32F6" w:rsidP="00183113">
            <w:pPr>
              <w:pStyle w:val="Tablebullet"/>
            </w:pPr>
            <w:r w:rsidRPr="00C31888">
              <w:t>Environment and Climate Change</w:t>
            </w:r>
          </w:p>
          <w:p w:rsidR="00EE32F6" w:rsidRPr="00C31888" w:rsidRDefault="00EE32F6" w:rsidP="00183113">
            <w:pPr>
              <w:pStyle w:val="Tablebullet"/>
            </w:pPr>
            <w:r w:rsidRPr="00C31888">
              <w:t>Environment Protection Authority Victoria</w:t>
            </w:r>
          </w:p>
          <w:p w:rsidR="00EE32F6" w:rsidRPr="00C31888" w:rsidRDefault="00183113" w:rsidP="00183113">
            <w:pPr>
              <w:pStyle w:val="Tablebullet"/>
            </w:pPr>
            <w:r>
              <w:t>Parks Victoria</w:t>
            </w:r>
          </w:p>
        </w:tc>
        <w:tc>
          <w:tcPr>
            <w:tcW w:w="1550" w:type="pct"/>
          </w:tcPr>
          <w:p w:rsidR="00EE32F6" w:rsidRPr="00C31888" w:rsidRDefault="00EE32F6" w:rsidP="00183113">
            <w:pPr>
              <w:spacing w:before="100"/>
              <w:rPr>
                <w:bCs/>
              </w:rPr>
            </w:pPr>
            <w:r w:rsidRPr="00C31888">
              <w:rPr>
                <w:bCs/>
              </w:rPr>
              <w:t>Minister for Energy, Environment and Climate Change</w:t>
            </w:r>
          </w:p>
        </w:tc>
        <w:tc>
          <w:tcPr>
            <w:tcW w:w="1143" w:type="pct"/>
          </w:tcPr>
          <w:p w:rsidR="00EE32F6" w:rsidRPr="00C31888" w:rsidRDefault="00EE32F6" w:rsidP="00183113">
            <w:pPr>
              <w:spacing w:before="100"/>
              <w:rPr>
                <w:bCs/>
              </w:rPr>
            </w:pPr>
            <w:r w:rsidRPr="00C31888">
              <w:rPr>
                <w:bCs/>
              </w:rPr>
              <w:t>Environment, Land, Water and Planning</w:t>
            </w:r>
          </w:p>
        </w:tc>
      </w:tr>
      <w:tr w:rsidR="006018DD" w:rsidRPr="00C31888" w:rsidTr="00C0245E">
        <w:tc>
          <w:tcPr>
            <w:tcW w:w="2307" w:type="pct"/>
          </w:tcPr>
          <w:p w:rsidR="00183113" w:rsidRPr="00C31888" w:rsidRDefault="00183113" w:rsidP="00183113">
            <w:pPr>
              <w:pStyle w:val="Tablebullet"/>
              <w:spacing w:before="100"/>
            </w:pPr>
            <w:r w:rsidRPr="00C31888">
              <w:t xml:space="preserve">Architects Registration Board of Victoria </w:t>
            </w:r>
          </w:p>
          <w:p w:rsidR="00183113" w:rsidRPr="00C31888" w:rsidRDefault="00183113" w:rsidP="00183113">
            <w:pPr>
              <w:pStyle w:val="Tablebullet"/>
            </w:pPr>
            <w:r w:rsidRPr="00C31888">
              <w:t>Heritage Victoria and Heritage Council of Victoria</w:t>
            </w:r>
          </w:p>
          <w:p w:rsidR="00183113" w:rsidRPr="00C31888" w:rsidRDefault="00183113" w:rsidP="00183113">
            <w:pPr>
              <w:pStyle w:val="Tablebullet"/>
            </w:pPr>
            <w:r w:rsidRPr="00C31888">
              <w:t>Land Victoria</w:t>
            </w:r>
          </w:p>
          <w:p w:rsidR="00183113" w:rsidRPr="00C31888" w:rsidRDefault="00183113" w:rsidP="00183113">
            <w:pPr>
              <w:pStyle w:val="Tablebullet"/>
            </w:pPr>
            <w:r w:rsidRPr="00C31888">
              <w:t>Surveyors Registration Board</w:t>
            </w:r>
          </w:p>
          <w:p w:rsidR="00183113" w:rsidRPr="00C31888" w:rsidRDefault="00183113" w:rsidP="00183113">
            <w:pPr>
              <w:pStyle w:val="Tablebullet"/>
              <w:rPr>
                <w:rFonts w:eastAsia="Calibri"/>
              </w:rPr>
            </w:pPr>
            <w:r w:rsidRPr="00C31888">
              <w:t>Victorian Building Authority</w:t>
            </w:r>
          </w:p>
        </w:tc>
        <w:tc>
          <w:tcPr>
            <w:tcW w:w="1550" w:type="pct"/>
          </w:tcPr>
          <w:p w:rsidR="00183113" w:rsidRPr="00183113" w:rsidRDefault="00183113" w:rsidP="00183113">
            <w:pPr>
              <w:spacing w:before="100"/>
              <w:rPr>
                <w:bCs/>
              </w:rPr>
            </w:pPr>
            <w:r w:rsidRPr="00C31888">
              <w:rPr>
                <w:bCs/>
              </w:rPr>
              <w:t>Minister for Pla</w:t>
            </w:r>
            <w:r>
              <w:rPr>
                <w:bCs/>
              </w:rPr>
              <w:t>nning</w:t>
            </w:r>
          </w:p>
        </w:tc>
        <w:tc>
          <w:tcPr>
            <w:tcW w:w="1143" w:type="pct"/>
          </w:tcPr>
          <w:p w:rsidR="00183113" w:rsidRPr="00C31888" w:rsidRDefault="00C0245E" w:rsidP="00183113">
            <w:pPr>
              <w:spacing w:before="100"/>
              <w:rPr>
                <w:rFonts w:eastAsia="Calibri"/>
                <w:bCs/>
              </w:rPr>
            </w:pPr>
            <w:r w:rsidRPr="00C31888">
              <w:rPr>
                <w:bCs/>
              </w:rPr>
              <w:t>Environment, Land, Water and Planning</w:t>
            </w:r>
          </w:p>
        </w:tc>
      </w:tr>
      <w:tr w:rsidR="00183113" w:rsidRPr="00C31888" w:rsidTr="00C0245E">
        <w:tc>
          <w:tcPr>
            <w:tcW w:w="2307" w:type="pct"/>
          </w:tcPr>
          <w:p w:rsidR="00EE32F6" w:rsidRPr="00C31888" w:rsidRDefault="00183113" w:rsidP="00183113">
            <w:pPr>
              <w:spacing w:before="100"/>
              <w:rPr>
                <w:color w:val="000000"/>
              </w:rPr>
            </w:pPr>
            <w:r>
              <w:rPr>
                <w:color w:val="000000"/>
              </w:rPr>
              <w:t>Victorian Institute of Teaching</w:t>
            </w:r>
          </w:p>
        </w:tc>
        <w:tc>
          <w:tcPr>
            <w:tcW w:w="1550" w:type="pct"/>
          </w:tcPr>
          <w:p w:rsidR="00EE32F6" w:rsidRPr="00C31888" w:rsidRDefault="00183113" w:rsidP="00183113">
            <w:pPr>
              <w:spacing w:before="100"/>
              <w:rPr>
                <w:bCs/>
              </w:rPr>
            </w:pPr>
            <w:r>
              <w:rPr>
                <w:bCs/>
              </w:rPr>
              <w:t>Minister for Education</w:t>
            </w:r>
          </w:p>
        </w:tc>
        <w:tc>
          <w:tcPr>
            <w:tcW w:w="1143" w:type="pct"/>
          </w:tcPr>
          <w:p w:rsidR="00EE32F6" w:rsidRPr="00C31888" w:rsidRDefault="00EE32F6" w:rsidP="00183113">
            <w:pPr>
              <w:spacing w:before="100"/>
              <w:rPr>
                <w:bCs/>
              </w:rPr>
            </w:pPr>
            <w:r w:rsidRPr="00C31888">
              <w:rPr>
                <w:bCs/>
              </w:rPr>
              <w:t>Education and Training</w:t>
            </w:r>
          </w:p>
        </w:tc>
      </w:tr>
      <w:tr w:rsidR="006018DD" w:rsidRPr="00C31888" w:rsidTr="00C0245E">
        <w:tc>
          <w:tcPr>
            <w:tcW w:w="2307" w:type="pct"/>
          </w:tcPr>
          <w:p w:rsidR="00183113" w:rsidRPr="00183113" w:rsidRDefault="00183113" w:rsidP="00183113">
            <w:pPr>
              <w:spacing w:before="100"/>
              <w:rPr>
                <w:color w:val="000000"/>
              </w:rPr>
            </w:pPr>
            <w:r w:rsidRPr="00C31888">
              <w:rPr>
                <w:color w:val="000000"/>
              </w:rPr>
              <w:lastRenderedPageBreak/>
              <w:t>Victorian Registrati</w:t>
            </w:r>
            <w:r>
              <w:rPr>
                <w:color w:val="000000"/>
              </w:rPr>
              <w:t>on and Qualifications Authority</w:t>
            </w:r>
          </w:p>
        </w:tc>
        <w:tc>
          <w:tcPr>
            <w:tcW w:w="1550" w:type="pct"/>
          </w:tcPr>
          <w:p w:rsidR="00183113" w:rsidRPr="00C31888" w:rsidRDefault="00183113" w:rsidP="00842C93">
            <w:pPr>
              <w:spacing w:before="100" w:after="60"/>
              <w:rPr>
                <w:bCs/>
              </w:rPr>
            </w:pPr>
            <w:r w:rsidRPr="00C31888">
              <w:rPr>
                <w:bCs/>
              </w:rPr>
              <w:t xml:space="preserve">Minister for Education </w:t>
            </w:r>
          </w:p>
          <w:p w:rsidR="00183113" w:rsidRPr="00183113" w:rsidRDefault="00183113" w:rsidP="00842C93">
            <w:pPr>
              <w:spacing w:before="100" w:after="60"/>
              <w:rPr>
                <w:bCs/>
              </w:rPr>
            </w:pPr>
            <w:r w:rsidRPr="00C31888">
              <w:rPr>
                <w:bCs/>
              </w:rPr>
              <w:t>M</w:t>
            </w:r>
            <w:r>
              <w:rPr>
                <w:bCs/>
              </w:rPr>
              <w:t>inister for Training and Skills</w:t>
            </w:r>
          </w:p>
        </w:tc>
        <w:tc>
          <w:tcPr>
            <w:tcW w:w="1143" w:type="pct"/>
          </w:tcPr>
          <w:p w:rsidR="00183113" w:rsidRPr="00C31888" w:rsidRDefault="00C0245E" w:rsidP="00183113">
            <w:pPr>
              <w:spacing w:before="100"/>
              <w:rPr>
                <w:rFonts w:eastAsia="Calibri"/>
                <w:bCs/>
              </w:rPr>
            </w:pPr>
            <w:r w:rsidRPr="00C31888">
              <w:rPr>
                <w:bCs/>
              </w:rPr>
              <w:t>Education and Training</w:t>
            </w:r>
          </w:p>
        </w:tc>
      </w:tr>
      <w:tr w:rsidR="006018DD" w:rsidRPr="00C31888" w:rsidTr="00C0245E">
        <w:tc>
          <w:tcPr>
            <w:tcW w:w="2307" w:type="pct"/>
          </w:tcPr>
          <w:p w:rsidR="00183113" w:rsidRPr="00C31888" w:rsidRDefault="00183113" w:rsidP="00842C93">
            <w:pPr>
              <w:spacing w:before="100" w:after="60"/>
              <w:rPr>
                <w:rFonts w:eastAsia="Calibri"/>
                <w:color w:val="000000"/>
              </w:rPr>
            </w:pPr>
            <w:r w:rsidRPr="00C31888">
              <w:rPr>
                <w:color w:val="000000"/>
              </w:rPr>
              <w:t>Victorian Children’s Services</w:t>
            </w:r>
          </w:p>
        </w:tc>
        <w:tc>
          <w:tcPr>
            <w:tcW w:w="1550" w:type="pct"/>
          </w:tcPr>
          <w:p w:rsidR="00183113" w:rsidRPr="00C31888" w:rsidRDefault="00183113" w:rsidP="00842C93">
            <w:pPr>
              <w:spacing w:before="100" w:after="60"/>
              <w:rPr>
                <w:rFonts w:eastAsia="Calibri"/>
                <w:bCs/>
              </w:rPr>
            </w:pPr>
            <w:r w:rsidRPr="00C31888">
              <w:rPr>
                <w:bCs/>
              </w:rPr>
              <w:t>Minister for Families and Children</w:t>
            </w:r>
          </w:p>
        </w:tc>
        <w:tc>
          <w:tcPr>
            <w:tcW w:w="1143" w:type="pct"/>
          </w:tcPr>
          <w:p w:rsidR="00183113" w:rsidRPr="00C31888" w:rsidRDefault="00C0245E" w:rsidP="00183113">
            <w:pPr>
              <w:spacing w:before="100"/>
              <w:rPr>
                <w:rFonts w:eastAsia="Calibri"/>
                <w:bCs/>
              </w:rPr>
            </w:pPr>
            <w:r w:rsidRPr="00C31888">
              <w:rPr>
                <w:bCs/>
              </w:rPr>
              <w:t>Education and Training</w:t>
            </w:r>
          </w:p>
        </w:tc>
      </w:tr>
      <w:tr w:rsidR="00BD1B53" w:rsidRPr="00C31888" w:rsidTr="00C0245E">
        <w:tc>
          <w:tcPr>
            <w:tcW w:w="2307" w:type="pct"/>
          </w:tcPr>
          <w:p w:rsidR="00BD1B53" w:rsidRPr="00C31888" w:rsidRDefault="00BD1B53" w:rsidP="0078780A">
            <w:pPr>
              <w:spacing w:before="100"/>
              <w:rPr>
                <w:color w:val="000000"/>
              </w:rPr>
            </w:pPr>
            <w:r>
              <w:rPr>
                <w:color w:val="000000"/>
              </w:rPr>
              <w:t>Commission for Children and Young People</w:t>
            </w:r>
          </w:p>
        </w:tc>
        <w:tc>
          <w:tcPr>
            <w:tcW w:w="1550" w:type="pct"/>
          </w:tcPr>
          <w:p w:rsidR="00BD1B53" w:rsidRPr="00C31888" w:rsidRDefault="00BD1B53" w:rsidP="0078780A">
            <w:pPr>
              <w:spacing w:before="100"/>
              <w:rPr>
                <w:bCs/>
              </w:rPr>
            </w:pPr>
            <w:r>
              <w:rPr>
                <w:bCs/>
              </w:rPr>
              <w:t>Minister for Families and Children</w:t>
            </w:r>
          </w:p>
        </w:tc>
        <w:tc>
          <w:tcPr>
            <w:tcW w:w="1143" w:type="pct"/>
          </w:tcPr>
          <w:p w:rsidR="00BD1B53" w:rsidRPr="00C31888" w:rsidRDefault="00BD1B53" w:rsidP="0078780A">
            <w:pPr>
              <w:spacing w:before="100"/>
              <w:rPr>
                <w:bCs/>
              </w:rPr>
            </w:pPr>
            <w:r>
              <w:rPr>
                <w:bCs/>
              </w:rPr>
              <w:t>Health and Human Services</w:t>
            </w:r>
          </w:p>
        </w:tc>
      </w:tr>
      <w:tr w:rsidR="00BD1B53" w:rsidRPr="00C31888" w:rsidTr="00C0245E">
        <w:tc>
          <w:tcPr>
            <w:tcW w:w="2307" w:type="pct"/>
          </w:tcPr>
          <w:p w:rsidR="00BD1B53" w:rsidRDefault="00BD1B53" w:rsidP="00183113">
            <w:pPr>
              <w:pStyle w:val="Tablebullet"/>
              <w:spacing w:before="100"/>
            </w:pPr>
            <w:r w:rsidRPr="00C31888">
              <w:t xml:space="preserve">DHHS – Communicable Disease </w:t>
            </w:r>
            <w:r>
              <w:t>Section</w:t>
            </w:r>
          </w:p>
          <w:p w:rsidR="00BD1B53" w:rsidRPr="00C31888" w:rsidRDefault="00BD1B53" w:rsidP="00183113">
            <w:pPr>
              <w:pStyle w:val="Tablebullet"/>
              <w:spacing w:before="100"/>
            </w:pPr>
            <w:r w:rsidRPr="00C31888">
              <w:t>DHHS – Drugs And Poisons Regulation</w:t>
            </w:r>
          </w:p>
          <w:p w:rsidR="00BD1B53" w:rsidRDefault="00BD1B53" w:rsidP="00183113">
            <w:pPr>
              <w:pStyle w:val="Tablebullet"/>
            </w:pPr>
            <w:r w:rsidRPr="00C31888">
              <w:t xml:space="preserve">DHHS – </w:t>
            </w:r>
            <w:r>
              <w:t>Environmental Health Regulation and Compliance – Legionella Team</w:t>
            </w:r>
          </w:p>
          <w:p w:rsidR="00BD1B53" w:rsidRDefault="00BD1B53" w:rsidP="00183113">
            <w:pPr>
              <w:pStyle w:val="Tablebullet"/>
            </w:pPr>
            <w:r w:rsidRPr="00C31888">
              <w:t xml:space="preserve">DHHS – </w:t>
            </w:r>
            <w:r>
              <w:t>Environmental Health Regulation and Compliance – Pest Control Team</w:t>
            </w:r>
          </w:p>
          <w:p w:rsidR="00BD1B53" w:rsidRPr="00CD175F" w:rsidRDefault="00BD1B53" w:rsidP="00CD175F">
            <w:pPr>
              <w:pStyle w:val="Tablebullet"/>
            </w:pPr>
            <w:r w:rsidRPr="00C31888">
              <w:t xml:space="preserve">DHHS – </w:t>
            </w:r>
            <w:r>
              <w:t>Environmental Health Regulation and Compliance – Radiation Team</w:t>
            </w:r>
          </w:p>
          <w:p w:rsidR="00BD1B53" w:rsidRPr="00CD175F" w:rsidRDefault="00BD1B53" w:rsidP="00CD175F">
            <w:pPr>
              <w:pStyle w:val="Tablebullet"/>
            </w:pPr>
            <w:r w:rsidRPr="00C31888">
              <w:t>DHHS – Food Safety Unit</w:t>
            </w:r>
          </w:p>
          <w:p w:rsidR="00BD1B53" w:rsidRDefault="00BD1B53" w:rsidP="00183113">
            <w:pPr>
              <w:pStyle w:val="Tablebullet"/>
            </w:pPr>
            <w:r w:rsidRPr="00C31888">
              <w:t xml:space="preserve">DHHS – Private Hospitals </w:t>
            </w:r>
            <w:r>
              <w:t>Unit</w:t>
            </w:r>
          </w:p>
          <w:p w:rsidR="00BD1B53" w:rsidRPr="00C31888" w:rsidRDefault="00BD1B53" w:rsidP="00183113">
            <w:pPr>
              <w:pStyle w:val="Tablebullet"/>
            </w:pPr>
            <w:r w:rsidRPr="00C31888">
              <w:t xml:space="preserve">DHHS – Tobacco </w:t>
            </w:r>
            <w:r>
              <w:t>Control Section</w:t>
            </w:r>
          </w:p>
          <w:p w:rsidR="00BD1B53" w:rsidRPr="00CD175F" w:rsidRDefault="00BD1B53" w:rsidP="00CD175F">
            <w:pPr>
              <w:pStyle w:val="Tablebullet"/>
            </w:pPr>
            <w:r w:rsidRPr="00C31888">
              <w:t xml:space="preserve">DHHS – </w:t>
            </w:r>
            <w:r>
              <w:t>Water Unit</w:t>
            </w:r>
          </w:p>
          <w:p w:rsidR="00BD1B53" w:rsidRPr="00C31888" w:rsidRDefault="00BD1B53" w:rsidP="00183113">
            <w:pPr>
              <w:pStyle w:val="Tablebullet"/>
            </w:pPr>
            <w:r w:rsidRPr="00C31888">
              <w:t>Victorian Assisted Reproductive Treatment Authority</w:t>
            </w:r>
          </w:p>
          <w:p w:rsidR="00BD1B53" w:rsidRPr="00C31888" w:rsidRDefault="00BD1B53" w:rsidP="00183113">
            <w:pPr>
              <w:pStyle w:val="Tablebullet"/>
            </w:pPr>
            <w:r>
              <w:t>Victorian Pharmacy Authority</w:t>
            </w:r>
          </w:p>
        </w:tc>
        <w:tc>
          <w:tcPr>
            <w:tcW w:w="1550" w:type="pct"/>
          </w:tcPr>
          <w:p w:rsidR="00BD1B53" w:rsidRPr="00C31888" w:rsidRDefault="00BD1B53" w:rsidP="00183113">
            <w:pPr>
              <w:spacing w:before="100"/>
              <w:rPr>
                <w:bCs/>
                <w:szCs w:val="20"/>
              </w:rPr>
            </w:pPr>
            <w:r w:rsidRPr="00C31888">
              <w:rPr>
                <w:bCs/>
                <w:szCs w:val="20"/>
              </w:rPr>
              <w:t>Minister for Health</w:t>
            </w:r>
          </w:p>
        </w:tc>
        <w:tc>
          <w:tcPr>
            <w:tcW w:w="1143" w:type="pct"/>
          </w:tcPr>
          <w:p w:rsidR="00BD1B53" w:rsidRPr="00C31888" w:rsidRDefault="00BD1B53" w:rsidP="00183113">
            <w:pPr>
              <w:spacing w:before="100"/>
              <w:rPr>
                <w:bCs/>
                <w:szCs w:val="20"/>
              </w:rPr>
            </w:pPr>
            <w:r w:rsidRPr="00C31888">
              <w:rPr>
                <w:bCs/>
                <w:szCs w:val="20"/>
              </w:rPr>
              <w:t>Health and Human Services</w:t>
            </w:r>
          </w:p>
        </w:tc>
      </w:tr>
      <w:tr w:rsidR="00BD1B53" w:rsidRPr="00C31888" w:rsidTr="00C0245E">
        <w:tc>
          <w:tcPr>
            <w:tcW w:w="2307" w:type="pct"/>
          </w:tcPr>
          <w:p w:rsidR="00BD1B53" w:rsidRPr="00183113" w:rsidRDefault="00BD1B53" w:rsidP="00183113">
            <w:pPr>
              <w:spacing w:before="100"/>
              <w:rPr>
                <w:color w:val="000000"/>
                <w:szCs w:val="20"/>
              </w:rPr>
            </w:pPr>
            <w:r w:rsidRPr="00C31888">
              <w:rPr>
                <w:color w:val="000000"/>
                <w:szCs w:val="20"/>
              </w:rPr>
              <w:t>DHHS – Support</w:t>
            </w:r>
            <w:r>
              <w:rPr>
                <w:color w:val="000000"/>
                <w:szCs w:val="20"/>
              </w:rPr>
              <w:t>ed Residential Services</w:t>
            </w:r>
          </w:p>
        </w:tc>
        <w:tc>
          <w:tcPr>
            <w:tcW w:w="1550" w:type="pct"/>
          </w:tcPr>
          <w:p w:rsidR="00BD1B53" w:rsidRPr="00183113" w:rsidRDefault="00BD1B53" w:rsidP="00183113">
            <w:pPr>
              <w:spacing w:before="100"/>
              <w:rPr>
                <w:bCs/>
                <w:szCs w:val="20"/>
              </w:rPr>
            </w:pPr>
            <w:r w:rsidRPr="00C31888">
              <w:rPr>
                <w:bCs/>
                <w:szCs w:val="20"/>
              </w:rPr>
              <w:t>Minister for</w:t>
            </w:r>
            <w:r>
              <w:rPr>
                <w:bCs/>
                <w:szCs w:val="20"/>
              </w:rPr>
              <w:t xml:space="preserve"> Housing, Disability and Ageing</w:t>
            </w:r>
          </w:p>
        </w:tc>
        <w:tc>
          <w:tcPr>
            <w:tcW w:w="1143" w:type="pct"/>
          </w:tcPr>
          <w:p w:rsidR="00BD1B53" w:rsidRPr="00C31888" w:rsidRDefault="00BD1B53" w:rsidP="00183113">
            <w:pPr>
              <w:spacing w:before="100"/>
              <w:rPr>
                <w:rFonts w:eastAsia="Calibri"/>
                <w:bCs/>
              </w:rPr>
            </w:pPr>
            <w:r w:rsidRPr="00C31888">
              <w:rPr>
                <w:bCs/>
                <w:szCs w:val="20"/>
              </w:rPr>
              <w:t>Health and Human Services</w:t>
            </w:r>
          </w:p>
        </w:tc>
      </w:tr>
      <w:tr w:rsidR="00BD1B53" w:rsidRPr="00C31888" w:rsidTr="00C0245E">
        <w:tc>
          <w:tcPr>
            <w:tcW w:w="2307" w:type="pct"/>
          </w:tcPr>
          <w:p w:rsidR="00BD1B53" w:rsidRPr="00C31888" w:rsidRDefault="00BD1B53" w:rsidP="00183113">
            <w:pPr>
              <w:spacing w:before="100"/>
              <w:rPr>
                <w:rFonts w:eastAsia="Calibri"/>
                <w:color w:val="000000"/>
              </w:rPr>
            </w:pPr>
            <w:r w:rsidRPr="00C31888">
              <w:rPr>
                <w:color w:val="000000"/>
                <w:szCs w:val="20"/>
              </w:rPr>
              <w:t>DHHS Standards and Regulation Unit</w:t>
            </w:r>
          </w:p>
        </w:tc>
        <w:tc>
          <w:tcPr>
            <w:tcW w:w="1550" w:type="pct"/>
          </w:tcPr>
          <w:p w:rsidR="00BD1B53" w:rsidRPr="00C31888" w:rsidRDefault="00BD1B53" w:rsidP="00183113">
            <w:pPr>
              <w:spacing w:before="100"/>
              <w:rPr>
                <w:bCs/>
              </w:rPr>
            </w:pPr>
            <w:r w:rsidRPr="00C31888">
              <w:rPr>
                <w:bCs/>
              </w:rPr>
              <w:t xml:space="preserve">Minister for </w:t>
            </w:r>
            <w:r>
              <w:rPr>
                <w:bCs/>
              </w:rPr>
              <w:t>Families and Children</w:t>
            </w:r>
          </w:p>
          <w:p w:rsidR="00BD1B53" w:rsidRPr="00C31888" w:rsidRDefault="00BD1B53" w:rsidP="00183113">
            <w:pPr>
              <w:spacing w:before="100"/>
              <w:rPr>
                <w:rFonts w:eastAsia="Calibri"/>
                <w:bCs/>
              </w:rPr>
            </w:pPr>
            <w:r w:rsidRPr="00C31888">
              <w:rPr>
                <w:bCs/>
              </w:rPr>
              <w:t>Minister for Housing, Disability and Ageing</w:t>
            </w:r>
          </w:p>
        </w:tc>
        <w:tc>
          <w:tcPr>
            <w:tcW w:w="1143" w:type="pct"/>
          </w:tcPr>
          <w:p w:rsidR="00BD1B53" w:rsidRPr="00C31888" w:rsidRDefault="00BD1B53" w:rsidP="00183113">
            <w:pPr>
              <w:spacing w:before="100"/>
              <w:rPr>
                <w:rFonts w:eastAsia="Calibri"/>
                <w:bCs/>
              </w:rPr>
            </w:pPr>
            <w:r w:rsidRPr="00C31888">
              <w:rPr>
                <w:bCs/>
                <w:szCs w:val="20"/>
              </w:rPr>
              <w:t>Health and Human Services</w:t>
            </w:r>
          </w:p>
        </w:tc>
      </w:tr>
      <w:tr w:rsidR="00BD1B53" w:rsidRPr="00C31888" w:rsidTr="00C0245E">
        <w:tc>
          <w:tcPr>
            <w:tcW w:w="2307" w:type="pct"/>
          </w:tcPr>
          <w:p w:rsidR="00BD1B53" w:rsidRPr="00C31888" w:rsidRDefault="00BD1B53" w:rsidP="00CD175F">
            <w:pPr>
              <w:spacing w:before="100"/>
              <w:rPr>
                <w:rFonts w:eastAsia="Calibri"/>
                <w:color w:val="000000"/>
              </w:rPr>
            </w:pPr>
            <w:r w:rsidRPr="00C31888">
              <w:rPr>
                <w:color w:val="000000"/>
                <w:szCs w:val="20"/>
              </w:rPr>
              <w:t xml:space="preserve">Professional Boxing and </w:t>
            </w:r>
            <w:r>
              <w:rPr>
                <w:color w:val="000000"/>
                <w:szCs w:val="20"/>
              </w:rPr>
              <w:t>Combat Sports Board of Victoria</w:t>
            </w:r>
          </w:p>
        </w:tc>
        <w:tc>
          <w:tcPr>
            <w:tcW w:w="1550" w:type="pct"/>
          </w:tcPr>
          <w:p w:rsidR="00BD1B53" w:rsidRPr="00183113" w:rsidRDefault="00BD1B53" w:rsidP="00CD175F">
            <w:pPr>
              <w:spacing w:before="100"/>
              <w:rPr>
                <w:bCs/>
                <w:szCs w:val="20"/>
              </w:rPr>
            </w:pPr>
            <w:r>
              <w:rPr>
                <w:bCs/>
                <w:szCs w:val="20"/>
              </w:rPr>
              <w:t>Minister for Sport</w:t>
            </w:r>
          </w:p>
        </w:tc>
        <w:tc>
          <w:tcPr>
            <w:tcW w:w="1143" w:type="pct"/>
          </w:tcPr>
          <w:p w:rsidR="00BD1B53" w:rsidRPr="00C31888" w:rsidRDefault="00BD1B53" w:rsidP="00CD175F">
            <w:pPr>
              <w:spacing w:before="100"/>
              <w:rPr>
                <w:rFonts w:eastAsia="Calibri"/>
                <w:bCs/>
              </w:rPr>
            </w:pPr>
            <w:r w:rsidRPr="00C31888">
              <w:rPr>
                <w:bCs/>
                <w:szCs w:val="20"/>
              </w:rPr>
              <w:t>Health and Human Services</w:t>
            </w:r>
          </w:p>
        </w:tc>
      </w:tr>
      <w:tr w:rsidR="00BD1B53" w:rsidRPr="00C31888" w:rsidTr="00C0245E">
        <w:tc>
          <w:tcPr>
            <w:tcW w:w="2307" w:type="pct"/>
          </w:tcPr>
          <w:p w:rsidR="00BD1B53" w:rsidRPr="00C31888" w:rsidRDefault="00BD1B53" w:rsidP="00183113">
            <w:pPr>
              <w:pStyle w:val="Tablebullet"/>
            </w:pPr>
            <w:r w:rsidRPr="00C31888">
              <w:t>Legal Services Board and Legal Services Commissioner</w:t>
            </w:r>
          </w:p>
          <w:p w:rsidR="00BD1B53" w:rsidRPr="00C31888" w:rsidRDefault="00BD1B53" w:rsidP="00183113">
            <w:pPr>
              <w:pStyle w:val="Tablebullet"/>
            </w:pPr>
            <w:r w:rsidRPr="00C31888">
              <w:t>Victorian Legal Admission Board</w:t>
            </w:r>
          </w:p>
          <w:p w:rsidR="00BD1B53" w:rsidRPr="00C31888" w:rsidRDefault="00BD1B53" w:rsidP="00183113">
            <w:pPr>
              <w:pStyle w:val="Tablebullet"/>
            </w:pPr>
            <w:r w:rsidRPr="00C31888">
              <w:t>Working with</w:t>
            </w:r>
            <w:r>
              <w:t xml:space="preserve"> Children Check Unit</w:t>
            </w:r>
          </w:p>
        </w:tc>
        <w:tc>
          <w:tcPr>
            <w:tcW w:w="1550" w:type="pct"/>
          </w:tcPr>
          <w:p w:rsidR="00BD1B53" w:rsidRPr="00183113" w:rsidRDefault="00BD1B53" w:rsidP="00183113">
            <w:pPr>
              <w:spacing w:before="100"/>
              <w:rPr>
                <w:bCs/>
              </w:rPr>
            </w:pPr>
            <w:r w:rsidRPr="00C31888">
              <w:rPr>
                <w:bCs/>
              </w:rPr>
              <w:t>Attorney-General</w:t>
            </w:r>
          </w:p>
        </w:tc>
        <w:tc>
          <w:tcPr>
            <w:tcW w:w="1143" w:type="pct"/>
          </w:tcPr>
          <w:p w:rsidR="00BD1B53" w:rsidRPr="00C31888" w:rsidRDefault="00BD1B53" w:rsidP="00183113">
            <w:pPr>
              <w:spacing w:before="100"/>
              <w:rPr>
                <w:bCs/>
              </w:rPr>
            </w:pPr>
            <w:r w:rsidRPr="00C31888">
              <w:rPr>
                <w:bCs/>
              </w:rPr>
              <w:t>Justice and Regulation</w:t>
            </w:r>
          </w:p>
        </w:tc>
      </w:tr>
      <w:tr w:rsidR="00BD1B53" w:rsidRPr="00C31888" w:rsidTr="00C0245E">
        <w:tc>
          <w:tcPr>
            <w:tcW w:w="2307" w:type="pct"/>
          </w:tcPr>
          <w:p w:rsidR="00BD1B53" w:rsidRPr="00C31888" w:rsidRDefault="00BD1B53" w:rsidP="00183113">
            <w:pPr>
              <w:pStyle w:val="Tablebullet"/>
              <w:spacing w:before="100"/>
            </w:pPr>
            <w:r w:rsidRPr="00C31888">
              <w:t xml:space="preserve">Business Licensing Authority </w:t>
            </w:r>
          </w:p>
          <w:p w:rsidR="00BD1B53" w:rsidRPr="00C31888" w:rsidRDefault="00BD1B53" w:rsidP="00183113">
            <w:pPr>
              <w:pStyle w:val="Tablebullet"/>
            </w:pPr>
            <w:r w:rsidRPr="00C31888">
              <w:t>Consumer Affairs Victoria</w:t>
            </w:r>
          </w:p>
          <w:p w:rsidR="00BD1B53" w:rsidRPr="00183113" w:rsidRDefault="00BD1B53" w:rsidP="00183113">
            <w:pPr>
              <w:pStyle w:val="Tablebullet"/>
            </w:pPr>
            <w:r w:rsidRPr="00C31888">
              <w:t>Victorian Commission for</w:t>
            </w:r>
            <w:r>
              <w:t xml:space="preserve"> Gambling and Liquor Regulation</w:t>
            </w:r>
          </w:p>
        </w:tc>
        <w:tc>
          <w:tcPr>
            <w:tcW w:w="1550" w:type="pct"/>
          </w:tcPr>
          <w:p w:rsidR="00BD1B53" w:rsidRPr="00183113" w:rsidRDefault="00BD1B53" w:rsidP="00183113">
            <w:pPr>
              <w:spacing w:before="100"/>
              <w:rPr>
                <w:bCs/>
              </w:rPr>
            </w:pPr>
            <w:r w:rsidRPr="00C31888">
              <w:rPr>
                <w:bCs/>
              </w:rPr>
              <w:t>Minister for Consumer Affair</w:t>
            </w:r>
            <w:r>
              <w:rPr>
                <w:bCs/>
              </w:rPr>
              <w:t>s, Gaming and Liquor Regulation</w:t>
            </w:r>
          </w:p>
        </w:tc>
        <w:tc>
          <w:tcPr>
            <w:tcW w:w="1143" w:type="pct"/>
          </w:tcPr>
          <w:p w:rsidR="00BD1B53" w:rsidRPr="00C31888" w:rsidRDefault="00BD1B53" w:rsidP="00183113">
            <w:pPr>
              <w:spacing w:before="100"/>
              <w:rPr>
                <w:rFonts w:eastAsia="Calibri"/>
                <w:bCs/>
              </w:rPr>
            </w:pPr>
            <w:r w:rsidRPr="00C31888">
              <w:rPr>
                <w:bCs/>
              </w:rPr>
              <w:t>Justice and Regulation</w:t>
            </w:r>
          </w:p>
        </w:tc>
      </w:tr>
      <w:tr w:rsidR="00BD1B53" w:rsidRPr="00C31888" w:rsidTr="00C0245E">
        <w:tc>
          <w:tcPr>
            <w:tcW w:w="2307" w:type="pct"/>
          </w:tcPr>
          <w:p w:rsidR="00BD1B53" w:rsidRPr="00C31888" w:rsidRDefault="00BD1B53" w:rsidP="00AC0785">
            <w:pPr>
              <w:spacing w:before="100"/>
              <w:rPr>
                <w:color w:val="000000"/>
              </w:rPr>
            </w:pPr>
            <w:r w:rsidRPr="00C31888">
              <w:rPr>
                <w:color w:val="000000"/>
              </w:rPr>
              <w:t xml:space="preserve">Victoria Police – </w:t>
            </w:r>
            <w:r>
              <w:rPr>
                <w:color w:val="000000"/>
              </w:rPr>
              <w:t>Licensing and Regulation Division</w:t>
            </w:r>
          </w:p>
        </w:tc>
        <w:tc>
          <w:tcPr>
            <w:tcW w:w="1550" w:type="pct"/>
          </w:tcPr>
          <w:p w:rsidR="00BD1B53" w:rsidRPr="00C31888" w:rsidRDefault="00BD1B53" w:rsidP="00183113">
            <w:pPr>
              <w:spacing w:before="100"/>
              <w:rPr>
                <w:bCs/>
              </w:rPr>
            </w:pPr>
            <w:r w:rsidRPr="00C31888">
              <w:rPr>
                <w:bCs/>
              </w:rPr>
              <w:t xml:space="preserve">Minister for </w:t>
            </w:r>
            <w:r>
              <w:rPr>
                <w:bCs/>
              </w:rPr>
              <w:t>Police</w:t>
            </w:r>
          </w:p>
        </w:tc>
        <w:tc>
          <w:tcPr>
            <w:tcW w:w="1143" w:type="pct"/>
          </w:tcPr>
          <w:p w:rsidR="00BD1B53" w:rsidRPr="00C31888" w:rsidRDefault="00BD1B53" w:rsidP="00183113">
            <w:pPr>
              <w:spacing w:before="100"/>
              <w:rPr>
                <w:bCs/>
              </w:rPr>
            </w:pPr>
            <w:r w:rsidRPr="00C31888">
              <w:rPr>
                <w:bCs/>
              </w:rPr>
              <w:t>Justice and Regulation</w:t>
            </w:r>
          </w:p>
        </w:tc>
      </w:tr>
      <w:tr w:rsidR="00BD1B53" w:rsidRPr="00C31888" w:rsidTr="00C0245E">
        <w:tc>
          <w:tcPr>
            <w:tcW w:w="2307" w:type="pct"/>
          </w:tcPr>
          <w:p w:rsidR="00BD1B53" w:rsidRPr="00C31888" w:rsidRDefault="00BD1B53" w:rsidP="006018DD">
            <w:pPr>
              <w:pStyle w:val="Tablebullet"/>
              <w:spacing w:before="100"/>
            </w:pPr>
            <w:r w:rsidRPr="00C31888">
              <w:t>Greyhound Racing Victoria</w:t>
            </w:r>
          </w:p>
          <w:p w:rsidR="00BD1B53" w:rsidRPr="00C31888" w:rsidRDefault="00BD1B53" w:rsidP="006018DD">
            <w:pPr>
              <w:pStyle w:val="Tablebullet"/>
            </w:pPr>
            <w:r w:rsidRPr="00C31888">
              <w:t>Harness Racing Victoria</w:t>
            </w:r>
          </w:p>
        </w:tc>
        <w:tc>
          <w:tcPr>
            <w:tcW w:w="1550" w:type="pct"/>
          </w:tcPr>
          <w:p w:rsidR="00BD1B53" w:rsidRPr="00C31888" w:rsidRDefault="00BD1B53" w:rsidP="00183113">
            <w:pPr>
              <w:spacing w:before="100"/>
              <w:rPr>
                <w:bCs/>
              </w:rPr>
            </w:pPr>
            <w:r w:rsidRPr="00C31888">
              <w:t>Minister for Racing</w:t>
            </w:r>
          </w:p>
        </w:tc>
        <w:tc>
          <w:tcPr>
            <w:tcW w:w="1143" w:type="pct"/>
          </w:tcPr>
          <w:p w:rsidR="00BD1B53" w:rsidRPr="00C31888" w:rsidRDefault="00BD1B53" w:rsidP="00183113">
            <w:pPr>
              <w:spacing w:before="100"/>
              <w:rPr>
                <w:bCs/>
              </w:rPr>
            </w:pPr>
            <w:r w:rsidRPr="00C31888">
              <w:rPr>
                <w:bCs/>
              </w:rPr>
              <w:t>Justice and Regulation</w:t>
            </w:r>
          </w:p>
        </w:tc>
      </w:tr>
      <w:tr w:rsidR="00BD1B53" w:rsidRPr="00C31888" w:rsidTr="00C0245E">
        <w:tc>
          <w:tcPr>
            <w:tcW w:w="2307" w:type="pct"/>
          </w:tcPr>
          <w:p w:rsidR="00BD1B53" w:rsidRPr="00C31888" w:rsidRDefault="00BD1B53" w:rsidP="00842C93">
            <w:pPr>
              <w:keepNext/>
              <w:spacing w:before="100"/>
              <w:rPr>
                <w:color w:val="000000"/>
              </w:rPr>
            </w:pPr>
            <w:r w:rsidRPr="00C31888">
              <w:rPr>
                <w:color w:val="000000"/>
              </w:rPr>
              <w:lastRenderedPageBreak/>
              <w:t>Aboriginal Victoria</w:t>
            </w:r>
          </w:p>
        </w:tc>
        <w:tc>
          <w:tcPr>
            <w:tcW w:w="1550" w:type="pct"/>
          </w:tcPr>
          <w:p w:rsidR="00BD1B53" w:rsidRPr="00C31888" w:rsidRDefault="00BD1B53" w:rsidP="00183113">
            <w:pPr>
              <w:spacing w:before="100"/>
            </w:pPr>
            <w:r w:rsidRPr="00C31888">
              <w:rPr>
                <w:bCs/>
              </w:rPr>
              <w:t>Minister for Aboriginal Affairs</w:t>
            </w:r>
          </w:p>
        </w:tc>
        <w:tc>
          <w:tcPr>
            <w:tcW w:w="1143" w:type="pct"/>
          </w:tcPr>
          <w:p w:rsidR="00BD1B53" w:rsidRPr="00C31888" w:rsidRDefault="00BD1B53" w:rsidP="00183113">
            <w:pPr>
              <w:spacing w:before="100"/>
              <w:rPr>
                <w:bCs/>
              </w:rPr>
            </w:pPr>
            <w:r w:rsidRPr="00C31888">
              <w:rPr>
                <w:bCs/>
              </w:rPr>
              <w:t>Premier and Cabinet</w:t>
            </w:r>
          </w:p>
        </w:tc>
      </w:tr>
      <w:tr w:rsidR="00BD1B53" w:rsidRPr="00C31888" w:rsidTr="00C0245E">
        <w:tc>
          <w:tcPr>
            <w:tcW w:w="2307" w:type="pct"/>
          </w:tcPr>
          <w:p w:rsidR="00BD1B53" w:rsidRPr="00C31888" w:rsidRDefault="00BD1B53" w:rsidP="00183113">
            <w:pPr>
              <w:pStyle w:val="Tablebullet"/>
              <w:spacing w:before="100"/>
            </w:pPr>
            <w:r w:rsidRPr="00C31888">
              <w:t>Essential Services Commission</w:t>
            </w:r>
          </w:p>
          <w:p w:rsidR="00BD1B53" w:rsidRDefault="00BD1B53" w:rsidP="00183113">
            <w:pPr>
              <w:pStyle w:val="Tablebullet"/>
            </w:pPr>
            <w:r>
              <w:t>Housing Registrar</w:t>
            </w:r>
          </w:p>
          <w:p w:rsidR="00BD1B53" w:rsidRPr="00C31888" w:rsidRDefault="00BD1B53" w:rsidP="00183113">
            <w:pPr>
              <w:pStyle w:val="Tablebullet"/>
            </w:pPr>
            <w:proofErr w:type="spellStart"/>
            <w:r>
              <w:t>WorkSafe</w:t>
            </w:r>
            <w:proofErr w:type="spellEnd"/>
            <w:r>
              <w:t xml:space="preserve"> Victoria</w:t>
            </w:r>
          </w:p>
        </w:tc>
        <w:tc>
          <w:tcPr>
            <w:tcW w:w="1550" w:type="pct"/>
          </w:tcPr>
          <w:p w:rsidR="00BD1B53" w:rsidRPr="00C31888" w:rsidRDefault="00BD1B53" w:rsidP="00183113">
            <w:pPr>
              <w:spacing w:before="100"/>
              <w:rPr>
                <w:bCs/>
              </w:rPr>
            </w:pPr>
            <w:r w:rsidRPr="00C31888">
              <w:rPr>
                <w:bCs/>
              </w:rPr>
              <w:t xml:space="preserve">Minister </w:t>
            </w:r>
            <w:r>
              <w:rPr>
                <w:bCs/>
              </w:rPr>
              <w:t>for Finance</w:t>
            </w:r>
          </w:p>
        </w:tc>
        <w:tc>
          <w:tcPr>
            <w:tcW w:w="1143" w:type="pct"/>
          </w:tcPr>
          <w:p w:rsidR="00BD1B53" w:rsidRPr="00C31888" w:rsidRDefault="00BD1B53" w:rsidP="00183113">
            <w:pPr>
              <w:spacing w:before="100"/>
              <w:rPr>
                <w:bCs/>
              </w:rPr>
            </w:pPr>
            <w:r w:rsidRPr="00C31888">
              <w:rPr>
                <w:bCs/>
              </w:rPr>
              <w:t>Treasury and Finance</w:t>
            </w:r>
          </w:p>
        </w:tc>
      </w:tr>
      <w:tr w:rsidR="00BD1B53" w:rsidRPr="00C31888" w:rsidTr="00C0245E">
        <w:tc>
          <w:tcPr>
            <w:tcW w:w="2307" w:type="pct"/>
          </w:tcPr>
          <w:p w:rsidR="00BD1B53" w:rsidRPr="00C31888" w:rsidRDefault="00BD1B53" w:rsidP="00183113">
            <w:pPr>
              <w:spacing w:before="100"/>
              <w:rPr>
                <w:color w:val="000000"/>
              </w:rPr>
            </w:pPr>
            <w:r w:rsidRPr="00C31888">
              <w:rPr>
                <w:color w:val="000000"/>
              </w:rPr>
              <w:t>State Revenue Office</w:t>
            </w:r>
          </w:p>
        </w:tc>
        <w:tc>
          <w:tcPr>
            <w:tcW w:w="1550" w:type="pct"/>
          </w:tcPr>
          <w:p w:rsidR="00BD1B53" w:rsidRPr="00C31888" w:rsidRDefault="00BD1B53" w:rsidP="00183113">
            <w:pPr>
              <w:spacing w:before="100"/>
              <w:rPr>
                <w:bCs/>
              </w:rPr>
            </w:pPr>
            <w:r>
              <w:rPr>
                <w:bCs/>
              </w:rPr>
              <w:t>Treasurer</w:t>
            </w:r>
          </w:p>
        </w:tc>
        <w:tc>
          <w:tcPr>
            <w:tcW w:w="1143" w:type="pct"/>
          </w:tcPr>
          <w:p w:rsidR="00BD1B53" w:rsidRPr="00C31888" w:rsidRDefault="00BD1B53" w:rsidP="00183113">
            <w:pPr>
              <w:spacing w:before="100"/>
              <w:rPr>
                <w:bCs/>
              </w:rPr>
            </w:pPr>
            <w:r w:rsidRPr="00C31888">
              <w:rPr>
                <w:bCs/>
              </w:rPr>
              <w:t>Treasury and Finance</w:t>
            </w:r>
          </w:p>
        </w:tc>
      </w:tr>
    </w:tbl>
    <w:p w:rsidR="00EE32F6" w:rsidRDefault="00EE32F6">
      <w:pPr>
        <w:spacing w:before="0" w:after="200"/>
      </w:pPr>
    </w:p>
    <w:p w:rsidR="00EE32F6" w:rsidRDefault="00EE32F6">
      <w:pPr>
        <w:spacing w:before="0" w:after="200"/>
      </w:pPr>
    </w:p>
    <w:p w:rsidR="00EE32F6" w:rsidRDefault="00EE32F6">
      <w:pPr>
        <w:spacing w:before="0" w:after="200"/>
        <w:rPr>
          <w:rFonts w:asciiTheme="majorHAnsi" w:eastAsiaTheme="majorEastAsia" w:hAnsiTheme="majorHAnsi" w:cstheme="majorBidi"/>
          <w:b/>
          <w:bCs/>
          <w:color w:val="201547"/>
          <w:spacing w:val="-1"/>
          <w:sz w:val="36"/>
          <w:szCs w:val="28"/>
        </w:rPr>
      </w:pPr>
      <w:bookmarkStart w:id="53" w:name="_Toc481760543"/>
      <w:r>
        <w:br w:type="page"/>
      </w:r>
    </w:p>
    <w:p w:rsidR="00EE32F6" w:rsidRPr="00C31888" w:rsidRDefault="00EE32F6" w:rsidP="00EE32F6">
      <w:pPr>
        <w:pStyle w:val="Heading1"/>
      </w:pPr>
      <w:bookmarkStart w:id="54" w:name="_Toc483905996"/>
      <w:r>
        <w:lastRenderedPageBreak/>
        <w:t xml:space="preserve">Attachment 2 – </w:t>
      </w:r>
      <w:r w:rsidRPr="00C31888">
        <w:t>Model SOE letter</w:t>
      </w:r>
      <w:bookmarkEnd w:id="53"/>
      <w:bookmarkEnd w:id="54"/>
    </w:p>
    <w:p w:rsidR="00EE32F6" w:rsidRPr="00C31888" w:rsidRDefault="00EE32F6" w:rsidP="00842C93"/>
    <w:p w:rsidR="00EE32F6" w:rsidRPr="00C31888" w:rsidRDefault="00EE32F6" w:rsidP="00842C93"/>
    <w:p w:rsidR="00EE32F6" w:rsidRPr="00C31888" w:rsidRDefault="00EE32F6" w:rsidP="00842C93"/>
    <w:p w:rsidR="00EE32F6" w:rsidRPr="00C31888" w:rsidRDefault="00EE32F6" w:rsidP="00842C93">
      <w:r w:rsidRPr="00C31888">
        <w:t>XXXXX</w:t>
      </w:r>
      <w:r w:rsidRPr="00C31888">
        <w:br/>
        <w:t>Chief Executive</w:t>
      </w:r>
      <w:r w:rsidRPr="00C31888">
        <w:br/>
        <w:t>Regulator X</w:t>
      </w:r>
      <w:r w:rsidRPr="00C31888">
        <w:br/>
        <w:t>MELBOURNE</w:t>
      </w:r>
      <w:r w:rsidR="00842C93">
        <w:t xml:space="preserve"> </w:t>
      </w:r>
      <w:r w:rsidRPr="00C31888">
        <w:t>VIC</w:t>
      </w:r>
      <w:r w:rsidR="00842C93">
        <w:t xml:space="preserve"> </w:t>
      </w:r>
      <w:r w:rsidRPr="00C31888">
        <w:t>3000</w:t>
      </w:r>
    </w:p>
    <w:p w:rsidR="00EE32F6" w:rsidRPr="00C31888" w:rsidRDefault="00EE32F6" w:rsidP="00842C93"/>
    <w:p w:rsidR="00EE32F6" w:rsidRPr="00C31888" w:rsidRDefault="00EE32F6" w:rsidP="00842C93"/>
    <w:p w:rsidR="00EE32F6" w:rsidRPr="00C31888" w:rsidRDefault="00EE32F6" w:rsidP="00842C93">
      <w:r w:rsidRPr="00C31888">
        <w:t>Dear XXXX</w:t>
      </w:r>
    </w:p>
    <w:p w:rsidR="00EE32F6" w:rsidRPr="00842C93" w:rsidRDefault="00EE32F6" w:rsidP="00842C93">
      <w:pPr>
        <w:rPr>
          <w:b/>
        </w:rPr>
      </w:pPr>
      <w:r w:rsidRPr="00842C93">
        <w:rPr>
          <w:b/>
        </w:rPr>
        <w:t>STATEMENT OF EXPECTATIONS FOR REGULATOR X</w:t>
      </w:r>
    </w:p>
    <w:p w:rsidR="00EE32F6" w:rsidRPr="00C31888" w:rsidRDefault="00EE32F6" w:rsidP="00842C93">
      <w:r w:rsidRPr="00C31888">
        <w:t>I am pleased to provide you with this Statement of Expectations (SOE) for Regulator X. This SOE applies for the period 20XX-YY and 20YY-ZZ, or until otherwise amended.</w:t>
      </w:r>
    </w:p>
    <w:p w:rsidR="00EE32F6" w:rsidRPr="00842C93" w:rsidRDefault="00EE32F6" w:rsidP="00842C93">
      <w:pPr>
        <w:rPr>
          <w:b/>
        </w:rPr>
      </w:pPr>
      <w:r w:rsidRPr="00842C93">
        <w:rPr>
          <w:b/>
        </w:rPr>
        <w:t>Improving the administration and enforcement of regulation</w:t>
      </w:r>
    </w:p>
    <w:p w:rsidR="00EE32F6" w:rsidRPr="00C31888" w:rsidRDefault="00EE32F6" w:rsidP="00842C93">
      <w:r w:rsidRPr="00C31888">
        <w:t>This SOE sets out my expectations of Regulator X’s contribution to the Government’s program to reduce red tape affecting businesses, not</w:t>
      </w:r>
      <w:r w:rsidRPr="00C31888">
        <w:noBreakHyphen/>
        <w:t>for</w:t>
      </w:r>
      <w:r w:rsidRPr="00C31888">
        <w:noBreakHyphen/>
        <w:t>profit organisations, government service providers and households by promoting greater efficiency and effectiveness in the administration and enforcement of regulation. It also outlines my expectations on broader improvements for Regulator X’s performance.</w:t>
      </w:r>
    </w:p>
    <w:p w:rsidR="00EE32F6" w:rsidRPr="00C31888" w:rsidRDefault="00EE32F6" w:rsidP="00842C93">
      <w:r w:rsidRPr="00C31888">
        <w:t>As Minister for XX, I am responsible for administering the XXX Act [and XXX Act/s] that affect businesses and the broader Victorian community. This SOE should be read within the context of the objectives, obligations and functions outlined in this/these Act/s as amended.</w:t>
      </w:r>
    </w:p>
    <w:p w:rsidR="00EE32F6" w:rsidRPr="00C31888" w:rsidRDefault="00EE32F6" w:rsidP="00842C93">
      <w:r w:rsidRPr="00C31888">
        <w:t xml:space="preserve">This SOE outlines key governance and performance objectives and targets aimed at improving the administration and enforcement of regulation and thus reducing its cost impact on business and the community. </w:t>
      </w:r>
    </w:p>
    <w:p w:rsidR="00EE32F6" w:rsidRPr="00842C93" w:rsidRDefault="00842C93" w:rsidP="00842C93">
      <w:pPr>
        <w:rPr>
          <w:i/>
        </w:rPr>
      </w:pPr>
      <w:r w:rsidRPr="00842C93">
        <w:rPr>
          <w:i/>
        </w:rPr>
        <w:t>[If applicable, indicate whether this SOE replaces or appends an existing SOE]</w:t>
      </w:r>
    </w:p>
    <w:p w:rsidR="00EE32F6" w:rsidRPr="00842C93" w:rsidRDefault="00EE32F6" w:rsidP="00842C93">
      <w:pPr>
        <w:rPr>
          <w:b/>
        </w:rPr>
      </w:pPr>
      <w:r w:rsidRPr="00842C93">
        <w:rPr>
          <w:b/>
        </w:rPr>
        <w:t>Improvements and targets</w:t>
      </w:r>
    </w:p>
    <w:p w:rsidR="00EE32F6" w:rsidRPr="00C31888" w:rsidRDefault="00EE32F6" w:rsidP="00842C93">
      <w:r w:rsidRPr="00C31888">
        <w:t xml:space="preserve">Based on consultation between Department X and Regulator X, I have identified key </w:t>
      </w:r>
      <w:r>
        <w:t>elements</w:t>
      </w:r>
      <w:r w:rsidRPr="00C31888">
        <w:t xml:space="preserve"> of governance and operational performance where there are opportunities for Regulator X to make improvements that would reduce cost impacts on business. Regulator X is expected to identify activities it will undertake to achieve the following performance improvements and targets:</w:t>
      </w:r>
      <w:r w:rsidR="00842C93">
        <w:t xml:space="preserve"> </w:t>
      </w:r>
    </w:p>
    <w:p w:rsidR="00EE32F6" w:rsidRPr="00842C93" w:rsidRDefault="00842C93" w:rsidP="00842C93">
      <w:pPr>
        <w:rPr>
          <w:i/>
        </w:rPr>
      </w:pPr>
      <w:r w:rsidRPr="00842C93">
        <w:rPr>
          <w:i/>
        </w:rPr>
        <w:t>[Insert targets and improvements here for mandatory elements of good regulatory practice</w:t>
      </w:r>
      <w:r>
        <w:rPr>
          <w:i/>
        </w:rPr>
        <w:t xml:space="preserve"> – </w:t>
      </w:r>
      <w:r w:rsidRPr="00842C93">
        <w:rPr>
          <w:i/>
        </w:rPr>
        <w:t>targets should be quantified where possible and improvements should be outcome</w:t>
      </w:r>
      <w:r w:rsidRPr="00842C93">
        <w:rPr>
          <w:i/>
        </w:rPr>
        <w:noBreakHyphen/>
        <w:t>focused. improvements/targets can include data collection to inform future SOEs, where applicable]</w:t>
      </w:r>
    </w:p>
    <w:p w:rsidR="00EE32F6" w:rsidRPr="00842C93" w:rsidRDefault="00842C93" w:rsidP="00842C93">
      <w:pPr>
        <w:rPr>
          <w:i/>
        </w:rPr>
      </w:pPr>
      <w:r w:rsidRPr="00842C93">
        <w:rPr>
          <w:i/>
        </w:rPr>
        <w:lastRenderedPageBreak/>
        <w:t>[Insert 2</w:t>
      </w:r>
      <w:r w:rsidRPr="00842C93">
        <w:rPr>
          <w:i/>
        </w:rPr>
        <w:noBreakHyphen/>
        <w:t xml:space="preserve">7 additional targets and improvements here. it is recommended that incentive-based regulation be included as one of these targets, if appropriate (see section 4.2). </w:t>
      </w:r>
      <w:r w:rsidR="00AC0785">
        <w:rPr>
          <w:i/>
        </w:rPr>
        <w:t>S</w:t>
      </w:r>
      <w:r w:rsidR="00AC0785" w:rsidRPr="00842C93">
        <w:rPr>
          <w:i/>
        </w:rPr>
        <w:t xml:space="preserve">mall </w:t>
      </w:r>
      <w:r w:rsidRPr="00842C93">
        <w:rPr>
          <w:i/>
        </w:rPr>
        <w:t xml:space="preserve">or focused regulators may, at the minister’s discretion, have fewer than 2 additional targets and improvements, if two relevant targets and improvements cannot be found. </w:t>
      </w:r>
      <w:r w:rsidR="00357CE6">
        <w:rPr>
          <w:i/>
        </w:rPr>
        <w:t>A</w:t>
      </w:r>
      <w:r w:rsidR="00357CE6" w:rsidRPr="00842C93">
        <w:rPr>
          <w:i/>
        </w:rPr>
        <w:t xml:space="preserve">s </w:t>
      </w:r>
      <w:r w:rsidRPr="00842C93">
        <w:rPr>
          <w:i/>
        </w:rPr>
        <w:t>detailed above, targets should be quantified where possible and improvements should be outcome-focused.]</w:t>
      </w:r>
    </w:p>
    <w:p w:rsidR="00EE32F6" w:rsidRPr="00C31888" w:rsidRDefault="00EE32F6" w:rsidP="00842C93">
      <w:r w:rsidRPr="00C31888">
        <w:t xml:space="preserve">In developing actions to achieve these improvements and targets, Regulator X is expected to consult with </w:t>
      </w:r>
      <w:r>
        <w:t xml:space="preserve">the Red Tape Commissioner, </w:t>
      </w:r>
      <w:r w:rsidRPr="00C31888">
        <w:t xml:space="preserve">business and the broader community as appropriate. </w:t>
      </w:r>
    </w:p>
    <w:p w:rsidR="00EE32F6" w:rsidRPr="00C31888" w:rsidRDefault="00EE32F6" w:rsidP="00EE32F6">
      <w:pPr>
        <w:keepNext/>
        <w:rPr>
          <w:b/>
        </w:rPr>
      </w:pPr>
      <w:r w:rsidRPr="00C31888">
        <w:rPr>
          <w:b/>
        </w:rPr>
        <w:t>Reporting</w:t>
      </w:r>
    </w:p>
    <w:p w:rsidR="00EE32F6" w:rsidRPr="00C31888" w:rsidRDefault="00EE32F6" w:rsidP="00842C93">
      <w:r w:rsidRPr="00C31888">
        <w:t>Reporting on your progress to achieve these SOE performance targets should be undertaken in the context of annual financial reporting to avoid dual reporting streams. As part of annual reporting, regulators are expected to report on:</w:t>
      </w:r>
    </w:p>
    <w:p w:rsidR="00EE32F6" w:rsidRPr="00C31888" w:rsidRDefault="00EE32F6" w:rsidP="00EE32F6">
      <w:pPr>
        <w:pStyle w:val="Bullet1"/>
        <w:numPr>
          <w:ilvl w:val="0"/>
          <w:numId w:val="1"/>
        </w:numPr>
        <w:tabs>
          <w:tab w:val="clear" w:pos="360"/>
          <w:tab w:val="num" w:pos="283"/>
        </w:tabs>
        <w:spacing w:before="80" w:after="80"/>
        <w:ind w:left="283" w:hanging="283"/>
        <w:contextualSpacing w:val="0"/>
      </w:pPr>
      <w:r w:rsidRPr="00C31888">
        <w:t>current baseline levels for performance targets set in this SOE; and</w:t>
      </w:r>
    </w:p>
    <w:p w:rsidR="00EE32F6" w:rsidRPr="00C31888" w:rsidRDefault="00EE32F6" w:rsidP="00EE32F6">
      <w:pPr>
        <w:pStyle w:val="Bullet1"/>
        <w:numPr>
          <w:ilvl w:val="0"/>
          <w:numId w:val="1"/>
        </w:numPr>
        <w:tabs>
          <w:tab w:val="clear" w:pos="360"/>
          <w:tab w:val="num" w:pos="1077"/>
        </w:tabs>
        <w:spacing w:before="80" w:after="80"/>
        <w:ind w:left="283" w:hanging="283"/>
        <w:contextualSpacing w:val="0"/>
      </w:pPr>
      <w:r w:rsidRPr="00C31888">
        <w:t xml:space="preserve">activities to be undertaken to reach the performance targets and improvements set out in this SOE. </w:t>
      </w:r>
    </w:p>
    <w:p w:rsidR="00EE32F6" w:rsidRPr="00C31888" w:rsidRDefault="00EE32F6" w:rsidP="00EE32F6">
      <w:r w:rsidRPr="00C31888">
        <w:t xml:space="preserve">I also expect these SOE performance targets will be incorporated into Regulator X’s Corporate Plan, and this SOE should be published on Regulator X’s website upon receipt. </w:t>
      </w:r>
    </w:p>
    <w:p w:rsidR="00EE32F6" w:rsidRPr="00C31888" w:rsidRDefault="00EE32F6" w:rsidP="00EE32F6">
      <w:r w:rsidRPr="00C31888">
        <w:t xml:space="preserve">I expect that within X months of receipt of this letter, Regulator X will respond to this SOE, outlining how it intends to achieve the performance improvements and targets set in this SOE. This response should include details of the specific activities that will be undertaken by Regulator X. </w:t>
      </w:r>
    </w:p>
    <w:p w:rsidR="00EE32F6" w:rsidRPr="00C31888" w:rsidRDefault="00EE32F6" w:rsidP="00EE32F6">
      <w:r w:rsidRPr="00C31888">
        <w:t>I look forward to seeing Regulator X continuously working towards achieving best practice in the administration and enforcement of regulation.</w:t>
      </w:r>
    </w:p>
    <w:p w:rsidR="00EE32F6" w:rsidRPr="00C31888" w:rsidRDefault="00EE32F6" w:rsidP="00EE32F6">
      <w:r w:rsidRPr="00C31888">
        <w:t>Yours sincerely</w:t>
      </w:r>
    </w:p>
    <w:p w:rsidR="00EE32F6" w:rsidRPr="00C31888" w:rsidRDefault="00EE32F6" w:rsidP="00EE32F6"/>
    <w:p w:rsidR="00EE32F6" w:rsidRPr="00C31888" w:rsidRDefault="00EE32F6" w:rsidP="00EE32F6"/>
    <w:p w:rsidR="00EE32F6" w:rsidRPr="00C31888" w:rsidRDefault="00EE32F6" w:rsidP="00EE32F6">
      <w:r w:rsidRPr="00C31888">
        <w:t>Minister responsible for Regulator X</w:t>
      </w:r>
    </w:p>
    <w:p w:rsidR="00EE32F6" w:rsidRDefault="00EE32F6">
      <w:pPr>
        <w:spacing w:before="0" w:after="200"/>
      </w:pPr>
    </w:p>
    <w:p w:rsidR="00103722" w:rsidRDefault="00103722" w:rsidP="00632F2E"/>
    <w:p w:rsidR="00D12E74" w:rsidRDefault="00D12E74" w:rsidP="00D2312F"/>
    <w:p w:rsidR="00014213" w:rsidRDefault="00014213" w:rsidP="00D2312F">
      <w:pPr>
        <w:sectPr w:rsidR="00014213" w:rsidSect="00614076">
          <w:headerReference w:type="even" r:id="rId25"/>
          <w:headerReference w:type="default" r:id="rId26"/>
          <w:footerReference w:type="even" r:id="rId27"/>
          <w:footerReference w:type="default" r:id="rId28"/>
          <w:type w:val="oddPage"/>
          <w:pgSz w:w="11906" w:h="16838" w:code="9"/>
          <w:pgMar w:top="2160" w:right="1440" w:bottom="1987" w:left="1440" w:header="706" w:footer="461" w:gutter="0"/>
          <w:pgNumType w:start="1"/>
          <w:cols w:space="708"/>
          <w:docGrid w:linePitch="360"/>
        </w:sectPr>
      </w:pPr>
    </w:p>
    <w:p w:rsidR="00014213" w:rsidRPr="00D2312F" w:rsidRDefault="00014213" w:rsidP="00D2312F"/>
    <w:sectPr w:rsidR="00014213" w:rsidRPr="00D2312F" w:rsidSect="00014213">
      <w:headerReference w:type="even" r:id="rId29"/>
      <w:headerReference w:type="default" r:id="rId30"/>
      <w:footerReference w:type="even" r:id="rId31"/>
      <w:footerReference w:type="default" r:id="rId32"/>
      <w:type w:val="evenPage"/>
      <w:pgSz w:w="11906" w:h="16838" w:code="9"/>
      <w:pgMar w:top="2160" w:right="1440" w:bottom="1440" w:left="1440" w:header="706" w:footer="46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649" w:rsidRDefault="00B53649" w:rsidP="002D711A">
      <w:pPr>
        <w:spacing w:after="0" w:line="240" w:lineRule="auto"/>
      </w:pPr>
      <w:r>
        <w:separator/>
      </w:r>
    </w:p>
  </w:endnote>
  <w:endnote w:type="continuationSeparator" w:id="0">
    <w:p w:rsidR="00B53649" w:rsidRDefault="00B53649"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75F" w:rsidRDefault="00CD175F" w:rsidP="00CB3976">
    <w:pPr>
      <w:pStyle w:val="Spacer"/>
    </w:pPr>
  </w:p>
  <w:p w:rsidR="00CD175F" w:rsidRDefault="00CD17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75F" w:rsidRDefault="00CD175F" w:rsidP="00CB3976">
    <w:pPr>
      <w:pStyle w:val="Spacer"/>
    </w:pPr>
  </w:p>
  <w:p w:rsidR="00CD175F" w:rsidRDefault="00CD175F" w:rsidP="00C022F9">
    <w:pPr>
      <w:pStyle w:val="Footer"/>
    </w:pPr>
    <w:r>
      <w:drawing>
        <wp:anchor distT="0" distB="0" distL="114300" distR="114300" simplePos="0" relativeHeight="251660288" behindDoc="0" locked="0" layoutInCell="1" allowOverlap="1" wp14:anchorId="345A22FB" wp14:editId="00FCD359">
          <wp:simplePos x="0" y="0"/>
          <wp:positionH relativeFrom="column">
            <wp:posOffset>4224020</wp:posOffset>
          </wp:positionH>
          <wp:positionV relativeFrom="page">
            <wp:posOffset>9498330</wp:posOffset>
          </wp:positionV>
          <wp:extent cx="1956435" cy="582930"/>
          <wp:effectExtent l="0" t="0" r="5715" b="7620"/>
          <wp:wrapNone/>
          <wp:docPr id="12"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75F" w:rsidRDefault="00CD175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75F" w:rsidRDefault="00CD175F" w:rsidP="00A47634">
    <w:pPr>
      <w:pStyle w:val="Spacer"/>
    </w:pPr>
  </w:p>
  <w:p w:rsidR="00CD175F" w:rsidRPr="00297281" w:rsidRDefault="00CD175F" w:rsidP="00C022F9">
    <w:pPr>
      <w:pStyle w:val="Footer"/>
    </w:pP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ii</w:t>
    </w:r>
    <w:r w:rsidRPr="00297281">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75F" w:rsidRPr="00CB3976" w:rsidRDefault="00CD175F" w:rsidP="00CB3976">
    <w:pPr>
      <w:pStyle w:val="Spacer"/>
    </w:pPr>
  </w:p>
  <w:p w:rsidR="00CD175F" w:rsidRPr="00297281" w:rsidRDefault="00CD175F" w:rsidP="00C022F9">
    <w:pPr>
      <w:pStyle w:val="Footer"/>
    </w:pPr>
    <w:r w:rsidRPr="00297281">
      <w:tab/>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sidR="00BD1B53">
      <w:rPr>
        <w:rStyle w:val="PageNumber"/>
      </w:rPr>
      <w:t>i</w:t>
    </w:r>
    <w:r w:rsidRPr="00297281">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75F" w:rsidRDefault="00CD175F" w:rsidP="00A47634">
    <w:pPr>
      <w:pStyle w:val="Spacer"/>
    </w:pPr>
  </w:p>
  <w:p w:rsidR="00CD175F" w:rsidRPr="00297281" w:rsidRDefault="00CD175F" w:rsidP="00C022F9">
    <w:pPr>
      <w:pStyle w:val="Footer"/>
    </w:pP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sidR="00BD1B53">
      <w:rPr>
        <w:rStyle w:val="PageNumber"/>
      </w:rPr>
      <w:t>4</w:t>
    </w:r>
    <w:r w:rsidRPr="00297281">
      <w:rPr>
        <w:rStyle w:val="PageNumber"/>
      </w:rPr>
      <w:fldChar w:fldCharType="end"/>
    </w:r>
    <w:r>
      <w:rPr>
        <w:rStyle w:val="PageNumber"/>
      </w:rPr>
      <w:tab/>
    </w: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BD1B53">
      <w:rPr>
        <w:b/>
        <w:color w:val="0063A6" w:themeColor="accent1"/>
      </w:rPr>
      <w:t>Statement of Expectations Framework for Regulators</w:t>
    </w:r>
    <w:r w:rsidRPr="00C022F9">
      <w:rPr>
        <w:b/>
        <w:color w:val="0063A6" w:themeColor="accent1"/>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75F" w:rsidRDefault="00CD175F" w:rsidP="00165E66">
    <w:pPr>
      <w:pStyle w:val="Spacer"/>
    </w:pPr>
  </w:p>
  <w:p w:rsidR="00CD175F" w:rsidRPr="00C022F9" w:rsidRDefault="00CD175F" w:rsidP="00165E66">
    <w:pPr>
      <w:pStyle w:val="Footer"/>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BD1B53">
      <w:rPr>
        <w:b/>
        <w:color w:val="0063A6" w:themeColor="accent1"/>
      </w:rPr>
      <w:t>Statement of Expectations Framework for Regulators</w:t>
    </w:r>
    <w:r w:rsidRPr="00C022F9">
      <w:rPr>
        <w:b/>
        <w:color w:val="0063A6" w:themeColor="accent1"/>
      </w:rPr>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sidR="00BD1B53">
      <w:rPr>
        <w:rStyle w:val="PageNumber"/>
      </w:rPr>
      <w:t>1</w:t>
    </w:r>
    <w:r w:rsidRPr="00DE60CC">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75F" w:rsidRPr="00014213" w:rsidRDefault="00CD175F" w:rsidP="00C022F9">
    <w:pPr>
      <w:pStyle w:val="Footer"/>
    </w:pPr>
    <w:r>
      <w:drawing>
        <wp:anchor distT="0" distB="0" distL="114300" distR="114300" simplePos="0" relativeHeight="251667456" behindDoc="0" locked="0" layoutInCell="1" allowOverlap="1" wp14:anchorId="65014E1F" wp14:editId="7E1EF22B">
          <wp:simplePos x="0" y="0"/>
          <wp:positionH relativeFrom="column">
            <wp:posOffset>4256126</wp:posOffset>
          </wp:positionH>
          <wp:positionV relativeFrom="page">
            <wp:posOffset>9493250</wp:posOffset>
          </wp:positionV>
          <wp:extent cx="1956435" cy="582930"/>
          <wp:effectExtent l="0" t="0" r="5715" b="7620"/>
          <wp:wrapNone/>
          <wp:docPr id="18"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75F" w:rsidRDefault="00CD175F" w:rsidP="00CB3976">
    <w:pPr>
      <w:pStyle w:val="Spacer"/>
    </w:pPr>
  </w:p>
  <w:p w:rsidR="00CD175F" w:rsidRPr="00CB3976" w:rsidRDefault="00CD175F" w:rsidP="00CB39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649" w:rsidRDefault="00B53649" w:rsidP="002D711A">
      <w:pPr>
        <w:spacing w:after="0" w:line="240" w:lineRule="auto"/>
      </w:pPr>
      <w:r>
        <w:separator/>
      </w:r>
    </w:p>
  </w:footnote>
  <w:footnote w:type="continuationSeparator" w:id="0">
    <w:p w:rsidR="00B53649" w:rsidRDefault="00B53649" w:rsidP="002D711A">
      <w:pPr>
        <w:spacing w:after="0" w:line="240" w:lineRule="auto"/>
      </w:pPr>
      <w:r>
        <w:continuationSeparator/>
      </w:r>
    </w:p>
  </w:footnote>
  <w:footnote w:id="1">
    <w:p w:rsidR="00CD175F" w:rsidRPr="00363AD8" w:rsidRDefault="00CD175F" w:rsidP="00E735F3">
      <w:pPr>
        <w:pStyle w:val="FootnoteText"/>
      </w:pPr>
      <w:r w:rsidRPr="00363AD8">
        <w:rPr>
          <w:rStyle w:val="FootnoteReference"/>
          <w:rFonts w:cstheme="minorHAnsi"/>
        </w:rPr>
        <w:footnoteRef/>
      </w:r>
      <w:r w:rsidRPr="00363AD8">
        <w:t xml:space="preserve"> The </w:t>
      </w:r>
      <w:r>
        <w:t>F</w:t>
      </w:r>
      <w:r w:rsidRPr="00363AD8">
        <w:t>ramework does not apply to local government.</w:t>
      </w:r>
    </w:p>
  </w:footnote>
  <w:footnote w:id="2">
    <w:p w:rsidR="00CD175F" w:rsidRPr="00363AD8" w:rsidRDefault="00CD175F" w:rsidP="00E735F3">
      <w:pPr>
        <w:pStyle w:val="FootnoteText"/>
      </w:pPr>
      <w:r w:rsidRPr="00363AD8">
        <w:rPr>
          <w:rStyle w:val="FootnoteReference"/>
          <w:rFonts w:cstheme="minorHAnsi"/>
        </w:rPr>
        <w:footnoteRef/>
      </w:r>
      <w:r w:rsidRPr="00363AD8">
        <w:t xml:space="preserve"> VCEC, The Victorian Reg</w:t>
      </w:r>
      <w:r>
        <w:t>ulatory System, September 2013, p. 2</w:t>
      </w:r>
      <w:r w:rsidRPr="00363AD8">
        <w:t>.</w:t>
      </w:r>
    </w:p>
  </w:footnote>
  <w:footnote w:id="3">
    <w:p w:rsidR="00CD175F" w:rsidRDefault="00CD175F" w:rsidP="009A37BF">
      <w:pPr>
        <w:pStyle w:val="FootnoteText"/>
      </w:pPr>
      <w:r>
        <w:rPr>
          <w:rStyle w:val="FootnoteReference"/>
        </w:rPr>
        <w:footnoteRef/>
      </w:r>
      <w:r>
        <w:t xml:space="preserve"> Risk-based regulation involves identifying and monitoring key risks, and in turn determining the relative tolerance for certain risks. This form of regulation focuses on mitigating relatively larger risks, allowing regulators to better target their finite resources at higher risk entities.</w:t>
      </w:r>
    </w:p>
  </w:footnote>
  <w:footnote w:id="4">
    <w:p w:rsidR="00CD175F" w:rsidRPr="00D37F44" w:rsidRDefault="00CD175F" w:rsidP="00D37F44">
      <w:pPr>
        <w:pStyle w:val="FootnoteText"/>
      </w:pPr>
      <w:r w:rsidRPr="00363AD8">
        <w:rPr>
          <w:rStyle w:val="FootnoteReference"/>
          <w:rFonts w:cstheme="minorHAnsi"/>
        </w:rPr>
        <w:footnoteRef/>
      </w:r>
      <w:r w:rsidRPr="00363AD8">
        <w:t xml:space="preserve"> It may not be appropriate to disclose all aspects of a regulator’s enforcement strategy e.g. where effort will be targeted.</w:t>
      </w:r>
    </w:p>
  </w:footnote>
  <w:footnote w:id="5">
    <w:p w:rsidR="00CD175F" w:rsidRPr="00363AD8" w:rsidRDefault="00CD175F" w:rsidP="00D37F44">
      <w:pPr>
        <w:pStyle w:val="FootnoteText"/>
      </w:pPr>
      <w:r w:rsidRPr="00363AD8">
        <w:rPr>
          <w:rStyle w:val="FootnoteReference"/>
          <w:rFonts w:cstheme="minorHAnsi"/>
        </w:rPr>
        <w:footnoteRef/>
      </w:r>
      <w:r w:rsidRPr="00363AD8">
        <w:t xml:space="preserve"> Key Government priorities that SOEs should aim to address include the Red Tape Reduction target and implementation of proposals from the Red Tape Commissioner agreed by the Government.</w:t>
      </w:r>
    </w:p>
  </w:footnote>
  <w:footnote w:id="6">
    <w:p w:rsidR="00CD175F" w:rsidRPr="00363AD8" w:rsidRDefault="00CD175F" w:rsidP="00D37F44">
      <w:pPr>
        <w:pStyle w:val="FootnoteText"/>
      </w:pPr>
      <w:r w:rsidRPr="00363AD8">
        <w:rPr>
          <w:rStyle w:val="FootnoteReference"/>
          <w:rFonts w:cstheme="minorHAnsi"/>
        </w:rPr>
        <w:footnoteRef/>
      </w:r>
      <w:r w:rsidRPr="00363AD8">
        <w:t xml:space="preserve"> Examples of legitimate needs for information include: monitoring and com</w:t>
      </w:r>
      <w:r>
        <w:t>pliance; measuring outcomes; or</w:t>
      </w:r>
      <w:r w:rsidRPr="00363AD8">
        <w:t xml:space="preserve"> updating risk models.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75F" w:rsidRDefault="00CD17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75F" w:rsidRDefault="00CD175F">
    <w:pPr>
      <w:pStyle w:val="Header"/>
    </w:pPr>
    <w:r>
      <w:rPr>
        <w:noProof/>
      </w:rPr>
      <w:drawing>
        <wp:anchor distT="0" distB="0" distL="114300" distR="114300" simplePos="0" relativeHeight="251656188" behindDoc="1" locked="0" layoutInCell="1" allowOverlap="1" wp14:anchorId="7E8DD008" wp14:editId="2172AE5B">
          <wp:simplePos x="0" y="0"/>
          <wp:positionH relativeFrom="column">
            <wp:posOffset>-930303</wp:posOffset>
          </wp:positionH>
          <wp:positionV relativeFrom="page">
            <wp:posOffset>-31805</wp:posOffset>
          </wp:positionV>
          <wp:extent cx="7589520" cy="10725912"/>
          <wp:effectExtent l="0" t="0" r="0" b="0"/>
          <wp:wrapNone/>
          <wp:docPr id="10" name="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1_9545 DTF Covers A4 Final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520" cy="1072591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38" behindDoc="0" locked="0" layoutInCell="1" allowOverlap="1" wp14:anchorId="47979EAB" wp14:editId="1EAED626">
          <wp:simplePos x="0" y="0"/>
          <wp:positionH relativeFrom="column">
            <wp:posOffset>-909902</wp:posOffset>
          </wp:positionH>
          <wp:positionV relativeFrom="page">
            <wp:posOffset>-264</wp:posOffset>
          </wp:positionV>
          <wp:extent cx="7562088" cy="10698480"/>
          <wp:effectExtent l="0" t="0" r="1270" b="7620"/>
          <wp:wrapNone/>
          <wp:docPr id="11" name="Alternative cov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75F" w:rsidRDefault="00CD175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75F" w:rsidRDefault="00CD175F">
    <w:pPr>
      <w:pStyle w:val="Header"/>
    </w:pPr>
    <w:r>
      <w:rPr>
        <w:noProof/>
      </w:rPr>
      <w:drawing>
        <wp:anchor distT="0" distB="0" distL="114300" distR="114300" simplePos="0" relativeHeight="251670528" behindDoc="0" locked="0" layoutInCell="1" allowOverlap="1" wp14:anchorId="7E44C0D7" wp14:editId="2EA6EB33">
          <wp:simplePos x="0" y="0"/>
          <wp:positionH relativeFrom="column">
            <wp:posOffset>-932815</wp:posOffset>
          </wp:positionH>
          <wp:positionV relativeFrom="page">
            <wp:posOffset>-3546</wp:posOffset>
          </wp:positionV>
          <wp:extent cx="7591245" cy="740985"/>
          <wp:effectExtent l="0" t="0" r="0" b="2540"/>
          <wp:wrapNone/>
          <wp:docPr id="6" name="Header 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75F" w:rsidRDefault="00CD175F">
    <w:pPr>
      <w:pStyle w:val="Header"/>
    </w:pPr>
    <w:r>
      <w:rPr>
        <w:noProof/>
      </w:rPr>
      <w:drawing>
        <wp:anchor distT="0" distB="0" distL="114300" distR="114300" simplePos="0" relativeHeight="251668480" behindDoc="0" locked="0" layoutInCell="1" allowOverlap="1" wp14:anchorId="5499C28B" wp14:editId="29C91F1F">
          <wp:simplePos x="0" y="0"/>
          <wp:positionH relativeFrom="column">
            <wp:posOffset>-931849</wp:posOffset>
          </wp:positionH>
          <wp:positionV relativeFrom="page">
            <wp:posOffset>0</wp:posOffset>
          </wp:positionV>
          <wp:extent cx="7591245" cy="740985"/>
          <wp:effectExtent l="0" t="0" r="0" b="2540"/>
          <wp:wrapNone/>
          <wp:docPr id="7"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75F" w:rsidRDefault="00CD175F" w:rsidP="005306A2">
    <w:pPr>
      <w:pStyle w:val="Header"/>
    </w:pPr>
    <w:r>
      <w:rPr>
        <w:noProof/>
      </w:rPr>
      <w:drawing>
        <wp:anchor distT="0" distB="0" distL="114300" distR="114300" simplePos="0" relativeHeight="251679744" behindDoc="0" locked="0" layoutInCell="1" allowOverlap="1" wp14:anchorId="21D78B7D" wp14:editId="650EEDBC">
          <wp:simplePos x="0" y="0"/>
          <wp:positionH relativeFrom="column">
            <wp:posOffset>-931849</wp:posOffset>
          </wp:positionH>
          <wp:positionV relativeFrom="page">
            <wp:posOffset>0</wp:posOffset>
          </wp:positionV>
          <wp:extent cx="7591245" cy="740985"/>
          <wp:effectExtent l="0" t="0" r="0" b="2540"/>
          <wp:wrapNone/>
          <wp:docPr id="9"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75F" w:rsidRDefault="00CD175F">
    <w:pPr>
      <w:pStyle w:val="Header"/>
    </w:pPr>
    <w:r>
      <w:rPr>
        <w:noProof/>
      </w:rPr>
      <w:drawing>
        <wp:anchor distT="0" distB="0" distL="114300" distR="114300" simplePos="0" relativeHeight="251674624" behindDoc="0" locked="0" layoutInCell="1" allowOverlap="1" wp14:anchorId="08C32F66" wp14:editId="42FE1753">
          <wp:simplePos x="0" y="0"/>
          <wp:positionH relativeFrom="column">
            <wp:posOffset>-931849</wp:posOffset>
          </wp:positionH>
          <wp:positionV relativeFrom="page">
            <wp:posOffset>0</wp:posOffset>
          </wp:positionV>
          <wp:extent cx="7591245" cy="740985"/>
          <wp:effectExtent l="0" t="0" r="0" b="2540"/>
          <wp:wrapNone/>
          <wp:docPr id="8"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75F" w:rsidRDefault="00CD175F">
    <w:pPr>
      <w:pStyle w:val="Header"/>
    </w:pPr>
    <w:r>
      <w:rPr>
        <w:noProof/>
      </w:rPr>
      <w:drawing>
        <wp:anchor distT="0" distB="0" distL="114300" distR="114300" simplePos="0" relativeHeight="251665407" behindDoc="0" locked="0" layoutInCell="1" allowOverlap="1" wp14:anchorId="0746CDAD" wp14:editId="424D0997">
          <wp:simplePos x="0" y="0"/>
          <wp:positionH relativeFrom="column">
            <wp:posOffset>-1038758</wp:posOffset>
          </wp:positionH>
          <wp:positionV relativeFrom="page">
            <wp:posOffset>0</wp:posOffset>
          </wp:positionV>
          <wp:extent cx="7710220" cy="10863072"/>
          <wp:effectExtent l="0" t="0" r="5080" b="0"/>
          <wp:wrapNone/>
          <wp:docPr id="2" name="Bac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45 DTF Covers A4 Final_Blue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0220" cy="1086307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3" behindDoc="1" locked="0" layoutInCell="1" allowOverlap="1" wp14:anchorId="2075B1FC" wp14:editId="5E39D900">
          <wp:simplePos x="0" y="0"/>
          <wp:positionH relativeFrom="column">
            <wp:posOffset>-914400</wp:posOffset>
          </wp:positionH>
          <wp:positionV relativeFrom="page">
            <wp:posOffset>0</wp:posOffset>
          </wp:positionV>
          <wp:extent cx="7562088" cy="10698480"/>
          <wp:effectExtent l="0" t="0" r="1270" b="7620"/>
          <wp:wrapNone/>
          <wp:docPr id="21" name="Alternative back cov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2" cstate="print">
                    <a:extLst>
                      <a:ext uri="{28A0092B-C50C-407E-A947-70E740481C1C}">
                        <a14:useLocalDpi xmlns:a14="http://schemas.microsoft.com/office/drawing/2010/main" val="0"/>
                      </a:ext>
                    </a:extLst>
                  </a:blip>
                  <a:stretch>
                    <a:fillRect/>
                  </a:stretch>
                </pic:blipFill>
                <pic:spPr>
                  <a:xfrm flipH="1">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75F" w:rsidRDefault="00CD17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7332"/>
    <w:multiLevelType w:val="hybridMultilevel"/>
    <w:tmpl w:val="6B90FFCA"/>
    <w:lvl w:ilvl="0" w:tplc="BA609520">
      <w:start w:val="1"/>
      <w:numFmt w:val="decimal"/>
      <w:lvlText w:val="%1."/>
      <w:lvlJc w:val="left"/>
      <w:pPr>
        <w:ind w:left="1152" w:hanging="360"/>
      </w:pPr>
      <w:rPr>
        <w:rFonts w:hint="default"/>
      </w:rPr>
    </w:lvl>
    <w:lvl w:ilvl="1" w:tplc="0C090019" w:tentative="1">
      <w:start w:val="1"/>
      <w:numFmt w:val="lowerLetter"/>
      <w:lvlText w:val="%2."/>
      <w:lvlJc w:val="left"/>
      <w:pPr>
        <w:ind w:left="1872" w:hanging="360"/>
      </w:pPr>
    </w:lvl>
    <w:lvl w:ilvl="2" w:tplc="0C09001B" w:tentative="1">
      <w:start w:val="1"/>
      <w:numFmt w:val="lowerRoman"/>
      <w:lvlText w:val="%3."/>
      <w:lvlJc w:val="right"/>
      <w:pPr>
        <w:ind w:left="2592" w:hanging="180"/>
      </w:pPr>
    </w:lvl>
    <w:lvl w:ilvl="3" w:tplc="0C09000F" w:tentative="1">
      <w:start w:val="1"/>
      <w:numFmt w:val="decimal"/>
      <w:lvlText w:val="%4."/>
      <w:lvlJc w:val="left"/>
      <w:pPr>
        <w:ind w:left="3312" w:hanging="360"/>
      </w:pPr>
    </w:lvl>
    <w:lvl w:ilvl="4" w:tplc="0C090019" w:tentative="1">
      <w:start w:val="1"/>
      <w:numFmt w:val="lowerLetter"/>
      <w:lvlText w:val="%5."/>
      <w:lvlJc w:val="left"/>
      <w:pPr>
        <w:ind w:left="4032" w:hanging="360"/>
      </w:pPr>
    </w:lvl>
    <w:lvl w:ilvl="5" w:tplc="0C09001B" w:tentative="1">
      <w:start w:val="1"/>
      <w:numFmt w:val="lowerRoman"/>
      <w:lvlText w:val="%6."/>
      <w:lvlJc w:val="right"/>
      <w:pPr>
        <w:ind w:left="4752" w:hanging="180"/>
      </w:pPr>
    </w:lvl>
    <w:lvl w:ilvl="6" w:tplc="0C09000F" w:tentative="1">
      <w:start w:val="1"/>
      <w:numFmt w:val="decimal"/>
      <w:lvlText w:val="%7."/>
      <w:lvlJc w:val="left"/>
      <w:pPr>
        <w:ind w:left="5472" w:hanging="360"/>
      </w:pPr>
    </w:lvl>
    <w:lvl w:ilvl="7" w:tplc="0C090019" w:tentative="1">
      <w:start w:val="1"/>
      <w:numFmt w:val="lowerLetter"/>
      <w:lvlText w:val="%8."/>
      <w:lvlJc w:val="left"/>
      <w:pPr>
        <w:ind w:left="6192" w:hanging="360"/>
      </w:pPr>
    </w:lvl>
    <w:lvl w:ilvl="8" w:tplc="0C09001B" w:tentative="1">
      <w:start w:val="1"/>
      <w:numFmt w:val="lowerRoman"/>
      <w:lvlText w:val="%9."/>
      <w:lvlJc w:val="right"/>
      <w:pPr>
        <w:ind w:left="6912" w:hanging="180"/>
      </w:pPr>
    </w:lvl>
  </w:abstractNum>
  <w:abstractNum w:abstractNumId="1">
    <w:nsid w:val="161C752B"/>
    <w:multiLevelType w:val="multilevel"/>
    <w:tmpl w:val="DA904724"/>
    <w:lvl w:ilvl="0">
      <w:start w:val="1"/>
      <w:numFmt w:val="decimal"/>
      <w:lvlText w:val="%1."/>
      <w:lvlJc w:val="left"/>
      <w:pPr>
        <w:tabs>
          <w:tab w:val="num" w:pos="794"/>
        </w:tabs>
        <w:ind w:left="794" w:hanging="794"/>
      </w:pPr>
      <w:rPr>
        <w:rFonts w:ascii="Calibri" w:hAnsi="Calibri" w:hint="default"/>
        <w:b w:val="0"/>
        <w:i w:val="0"/>
        <w:vanish w:val="0"/>
        <w:color w:val="404040"/>
        <w:sz w:val="40"/>
      </w:rPr>
    </w:lvl>
    <w:lvl w:ilvl="1">
      <w:start w:val="1"/>
      <w:numFmt w:val="decimal"/>
      <w:lvlText w:val="%1.%2"/>
      <w:lvlJc w:val="left"/>
      <w:pPr>
        <w:tabs>
          <w:tab w:val="num" w:pos="794"/>
        </w:tabs>
        <w:ind w:left="794" w:hanging="794"/>
      </w:pPr>
      <w:rPr>
        <w:rFonts w:ascii="Calibri" w:hAnsi="Calibri" w:hint="default"/>
        <w:b w:val="0"/>
        <w:i w:val="0"/>
        <w:vanish w:val="0"/>
        <w:color w:val="4D4D4D"/>
        <w:sz w:val="30"/>
      </w:rPr>
    </w:lvl>
    <w:lvl w:ilvl="2">
      <w:start w:val="1"/>
      <w:numFmt w:val="decimal"/>
      <w:lvlText w:val="%1.%2.%3"/>
      <w:lvlJc w:val="left"/>
      <w:pPr>
        <w:tabs>
          <w:tab w:val="num" w:pos="794"/>
        </w:tabs>
        <w:ind w:left="794" w:hanging="794"/>
      </w:pPr>
      <w:rPr>
        <w:rFonts w:ascii="Calibri" w:hAnsi="Calibri" w:hint="default"/>
        <w:b/>
        <w:i w:val="0"/>
        <w:vanish w:val="0"/>
        <w:color w:val="4D4D4D"/>
        <w:sz w:val="26"/>
      </w:rPr>
    </w:lvl>
    <w:lvl w:ilvl="3">
      <w:start w:val="1"/>
      <w:numFmt w:val="decimal"/>
      <w:lvlText w:val="%1.%2.%3.%4"/>
      <w:lvlJc w:val="left"/>
      <w:pPr>
        <w:tabs>
          <w:tab w:val="num" w:pos="792"/>
        </w:tabs>
        <w:ind w:left="794" w:hanging="794"/>
      </w:pPr>
      <w:rPr>
        <w:rFonts w:ascii="Calibri" w:hAnsi="Calibri" w:hint="default"/>
        <w:b/>
        <w:i w:val="0"/>
        <w:vanish w:val="0"/>
        <w:color w:val="4D4D4D"/>
        <w:sz w:val="22"/>
      </w:rPr>
    </w:lvl>
    <w:lvl w:ilvl="4">
      <w:start w:val="1"/>
      <w:numFmt w:val="none"/>
      <w:suff w:val="nothing"/>
      <w:lvlText w:val="%5"/>
      <w:lvlJc w:val="left"/>
      <w:pPr>
        <w:ind w:left="794" w:firstLine="0"/>
      </w:pPr>
      <w:rPr>
        <w:rFonts w:ascii="Calibri" w:hAnsi="Calibri" w:hint="default"/>
        <w:b w:val="0"/>
        <w:i/>
        <w:vanish w:val="0"/>
        <w:color w:val="404040"/>
        <w:sz w:val="22"/>
      </w:rPr>
    </w:lvl>
    <w:lvl w:ilvl="5">
      <w:start w:val="1"/>
      <w:numFmt w:val="decimal"/>
      <w:suff w:val="nothing"/>
      <w:lvlText w:val=""/>
      <w:lvlJc w:val="left"/>
      <w:pPr>
        <w:ind w:left="794" w:firstLine="0"/>
      </w:pPr>
      <w:rPr>
        <w:rFonts w:ascii="Calibri" w:hAnsi="Calibri" w:hint="default"/>
        <w:b w:val="0"/>
        <w:i/>
        <w:vanish w:val="0"/>
        <w:color w:val="404040"/>
        <w:sz w:val="22"/>
      </w:rPr>
    </w:lvl>
    <w:lvl w:ilvl="6">
      <w:start w:val="1"/>
      <w:numFmt w:val="decimal"/>
      <w:suff w:val="nothing"/>
      <w:lvlText w:val=""/>
      <w:lvlJc w:val="left"/>
      <w:pPr>
        <w:ind w:left="794" w:firstLine="0"/>
      </w:pPr>
      <w:rPr>
        <w:rFonts w:ascii="Calibri" w:hAnsi="Calibri" w:hint="default"/>
        <w:b w:val="0"/>
        <w:i w:val="0"/>
        <w:vanish w:val="0"/>
        <w:color w:val="404040"/>
        <w:sz w:val="22"/>
      </w:rPr>
    </w:lvl>
    <w:lvl w:ilvl="7">
      <w:start w:val="1"/>
      <w:numFmt w:val="decimal"/>
      <w:suff w:val="nothing"/>
      <w:lvlText w:val=""/>
      <w:lvlJc w:val="left"/>
      <w:pPr>
        <w:ind w:left="794" w:firstLine="0"/>
      </w:pPr>
      <w:rPr>
        <w:rFonts w:ascii="Calibri" w:hAnsi="Calibri" w:hint="default"/>
        <w:b/>
        <w:i w:val="0"/>
        <w:vanish w:val="0"/>
        <w:color w:val="404040"/>
        <w:sz w:val="22"/>
      </w:rPr>
    </w:lvl>
    <w:lvl w:ilvl="8">
      <w:start w:val="1"/>
      <w:numFmt w:val="decimal"/>
      <w:suff w:val="nothing"/>
      <w:lvlText w:val=""/>
      <w:lvlJc w:val="left"/>
      <w:pPr>
        <w:ind w:left="794" w:firstLine="0"/>
      </w:pPr>
      <w:rPr>
        <w:rFonts w:ascii="Calibri" w:hAnsi="Calibri" w:hint="default"/>
        <w:b/>
        <w:i w:val="0"/>
        <w:vanish w:val="0"/>
        <w:color w:val="404040"/>
        <w:sz w:val="22"/>
      </w:rPr>
    </w:lvl>
  </w:abstractNum>
  <w:abstractNum w:abstractNumId="2">
    <w:nsid w:val="19DD5656"/>
    <w:multiLevelType w:val="multilevel"/>
    <w:tmpl w:val="0C09001D"/>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6456FFD"/>
    <w:multiLevelType w:val="multilevel"/>
    <w:tmpl w:val="E18C6278"/>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360"/>
        </w:tabs>
        <w:ind w:left="3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7785FCD"/>
    <w:multiLevelType w:val="multilevel"/>
    <w:tmpl w:val="0268CF42"/>
    <w:lvl w:ilvl="0">
      <w:start w:val="1"/>
      <w:numFmt w:val="decimal"/>
      <w:pStyle w:val="Attachment1"/>
      <w:lvlText w:val="Attachment %1."/>
      <w:lvlJc w:val="left"/>
      <w:pPr>
        <w:tabs>
          <w:tab w:val="num" w:pos="2268"/>
        </w:tabs>
        <w:ind w:left="2268" w:hanging="2268"/>
      </w:pPr>
      <w:rPr>
        <w:rFonts w:ascii="Calibri" w:hAnsi="Calibri" w:cs="Calibri" w:hint="default"/>
        <w:b w:val="0"/>
        <w:i w:val="0"/>
        <w:color w:val="404040"/>
        <w:sz w:val="40"/>
      </w:rPr>
    </w:lvl>
    <w:lvl w:ilvl="1">
      <w:start w:val="1"/>
      <w:numFmt w:val="decimal"/>
      <w:lvlText w:val="%1.%2"/>
      <w:lvlJc w:val="left"/>
      <w:pPr>
        <w:tabs>
          <w:tab w:val="num" w:pos="794"/>
        </w:tabs>
        <w:ind w:left="794" w:hanging="794"/>
      </w:pPr>
      <w:rPr>
        <w:rFonts w:ascii="Arial" w:hAnsi="Arial" w:cs="Arial" w:hint="default"/>
        <w:b w:val="0"/>
        <w:i w:val="0"/>
        <w:color w:val="87746A"/>
        <w:sz w:val="24"/>
      </w:rPr>
    </w:lvl>
    <w:lvl w:ilvl="2">
      <w:start w:val="1"/>
      <w:numFmt w:val="decimal"/>
      <w:lvlText w:val="%1.%2.%3"/>
      <w:lvlJc w:val="left"/>
      <w:pPr>
        <w:tabs>
          <w:tab w:val="num" w:pos="794"/>
        </w:tabs>
        <w:ind w:left="794" w:hanging="794"/>
      </w:pPr>
      <w:rPr>
        <w:rFonts w:ascii="Arial" w:hAnsi="Arial" w:cs="Arial" w:hint="default"/>
        <w:b w:val="0"/>
        <w:i w:val="0"/>
        <w:color w:val="B20838"/>
        <w:sz w:val="22"/>
      </w:rPr>
    </w:lvl>
    <w:lvl w:ilvl="3">
      <w:start w:val="1"/>
      <w:numFmt w:val="decimal"/>
      <w:lvlText w:val="%1.%2.%3.%4"/>
      <w:lvlJc w:val="left"/>
      <w:pPr>
        <w:tabs>
          <w:tab w:val="num" w:pos="794"/>
        </w:tabs>
        <w:ind w:left="794" w:hanging="794"/>
      </w:pPr>
      <w:rPr>
        <w:rFonts w:ascii="Arial" w:hAnsi="Arial" w:cs="Arial" w:hint="default"/>
        <w:b/>
        <w:i w:val="0"/>
        <w:color w:val="093A80"/>
        <w:sz w:val="20"/>
      </w:rPr>
    </w:lvl>
    <w:lvl w:ilvl="4">
      <w:start w:val="1"/>
      <w:numFmt w:val="decimal"/>
      <w:lvlText w:val="%1.%2.%3.%4.%5"/>
      <w:lvlJc w:val="left"/>
      <w:pPr>
        <w:tabs>
          <w:tab w:val="num" w:pos="794"/>
        </w:tabs>
        <w:ind w:left="794" w:hanging="794"/>
      </w:pPr>
      <w:rPr>
        <w:rFonts w:ascii="Arial" w:hAnsi="Arial" w:cs="Arial" w:hint="default"/>
        <w:b w:val="0"/>
        <w:i w:val="0"/>
        <w:color w:val="093A80"/>
        <w:sz w:val="20"/>
      </w:rPr>
    </w:lvl>
    <w:lvl w:ilvl="5">
      <w:start w:val="1"/>
      <w:numFmt w:val="decimal"/>
      <w:lvlText w:val="%1.%2.%3.%4.%5.%6"/>
      <w:lvlJc w:val="left"/>
      <w:pPr>
        <w:tabs>
          <w:tab w:val="num" w:pos="794"/>
        </w:tabs>
        <w:ind w:left="794" w:hanging="794"/>
      </w:pPr>
      <w:rPr>
        <w:rFonts w:ascii="Arial" w:hAnsi="Arial" w:cs="Arial" w:hint="default"/>
        <w:b w:val="0"/>
        <w:i w:val="0"/>
        <w:color w:val="093A80"/>
        <w:sz w:val="20"/>
      </w:rPr>
    </w:lvl>
    <w:lvl w:ilvl="6">
      <w:start w:val="1"/>
      <w:numFmt w:val="decimal"/>
      <w:lvlText w:val="%1.%2.%3.%4.%5.%6.%7"/>
      <w:lvlJc w:val="left"/>
      <w:pPr>
        <w:tabs>
          <w:tab w:val="num" w:pos="794"/>
        </w:tabs>
        <w:ind w:left="794" w:hanging="794"/>
      </w:pPr>
      <w:rPr>
        <w:rFonts w:ascii="Arial" w:hAnsi="Arial" w:cs="Arial" w:hint="default"/>
        <w:b w:val="0"/>
        <w:i w:val="0"/>
        <w:color w:val="093A80"/>
        <w:sz w:val="20"/>
      </w:rPr>
    </w:lvl>
    <w:lvl w:ilvl="7">
      <w:start w:val="1"/>
      <w:numFmt w:val="decimal"/>
      <w:lvlText w:val="%1.%2.%3.%4.%5.%6.%7.%8"/>
      <w:lvlJc w:val="left"/>
      <w:pPr>
        <w:tabs>
          <w:tab w:val="num" w:pos="794"/>
        </w:tabs>
        <w:ind w:left="794" w:hanging="794"/>
      </w:pPr>
      <w:rPr>
        <w:rFonts w:ascii="Arial" w:hAnsi="Arial" w:cs="Arial" w:hint="default"/>
        <w:b w:val="0"/>
        <w:i w:val="0"/>
        <w:color w:val="093A80"/>
        <w:sz w:val="20"/>
      </w:rPr>
    </w:lvl>
    <w:lvl w:ilvl="8">
      <w:start w:val="1"/>
      <w:numFmt w:val="decimal"/>
      <w:lvlText w:val="%1.%2.%3.%4.%5.%6.%7.%8.%9"/>
      <w:lvlJc w:val="left"/>
      <w:pPr>
        <w:tabs>
          <w:tab w:val="num" w:pos="794"/>
        </w:tabs>
        <w:ind w:left="794" w:hanging="794"/>
      </w:pPr>
      <w:rPr>
        <w:rFonts w:ascii="Arial" w:hAnsi="Arial" w:cs="Arial" w:hint="default"/>
        <w:b w:val="0"/>
        <w:i w:val="0"/>
        <w:color w:val="093A80"/>
        <w:sz w:val="20"/>
      </w:rPr>
    </w:lvl>
  </w:abstractNum>
  <w:abstractNum w:abstractNumId="5">
    <w:nsid w:val="29320C50"/>
    <w:multiLevelType w:val="hybridMultilevel"/>
    <w:tmpl w:val="FE3A79F2"/>
    <w:lvl w:ilvl="0" w:tplc="0C090001">
      <w:start w:val="1"/>
      <w:numFmt w:val="bullet"/>
      <w:lvlText w:val=""/>
      <w:lvlJc w:val="left"/>
      <w:pPr>
        <w:ind w:left="1154" w:hanging="360"/>
      </w:pPr>
      <w:rPr>
        <w:rFonts w:ascii="Symbol" w:hAnsi="Symbol" w:hint="default"/>
      </w:rPr>
    </w:lvl>
    <w:lvl w:ilvl="1" w:tplc="0C090003" w:tentative="1">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6">
    <w:nsid w:val="293E7C8C"/>
    <w:multiLevelType w:val="hybridMultilevel"/>
    <w:tmpl w:val="6F2085C0"/>
    <w:lvl w:ilvl="0" w:tplc="0C09000F">
      <w:start w:val="1"/>
      <w:numFmt w:val="decimal"/>
      <w:lvlText w:val="%1."/>
      <w:lvlJc w:val="left"/>
      <w:pPr>
        <w:ind w:left="1152" w:hanging="360"/>
      </w:pPr>
      <w:rPr>
        <w:rFonts w:hint="default"/>
      </w:rPr>
    </w:lvl>
    <w:lvl w:ilvl="1" w:tplc="0C090019" w:tentative="1">
      <w:start w:val="1"/>
      <w:numFmt w:val="lowerLetter"/>
      <w:lvlText w:val="%2."/>
      <w:lvlJc w:val="left"/>
      <w:pPr>
        <w:ind w:left="1872" w:hanging="360"/>
      </w:pPr>
    </w:lvl>
    <w:lvl w:ilvl="2" w:tplc="0C09001B" w:tentative="1">
      <w:start w:val="1"/>
      <w:numFmt w:val="lowerRoman"/>
      <w:lvlText w:val="%3."/>
      <w:lvlJc w:val="right"/>
      <w:pPr>
        <w:ind w:left="2592" w:hanging="180"/>
      </w:pPr>
    </w:lvl>
    <w:lvl w:ilvl="3" w:tplc="0C09000F" w:tentative="1">
      <w:start w:val="1"/>
      <w:numFmt w:val="decimal"/>
      <w:lvlText w:val="%4."/>
      <w:lvlJc w:val="left"/>
      <w:pPr>
        <w:ind w:left="3312" w:hanging="360"/>
      </w:pPr>
    </w:lvl>
    <w:lvl w:ilvl="4" w:tplc="0C090019" w:tentative="1">
      <w:start w:val="1"/>
      <w:numFmt w:val="lowerLetter"/>
      <w:lvlText w:val="%5."/>
      <w:lvlJc w:val="left"/>
      <w:pPr>
        <w:ind w:left="4032" w:hanging="360"/>
      </w:pPr>
    </w:lvl>
    <w:lvl w:ilvl="5" w:tplc="0C09001B" w:tentative="1">
      <w:start w:val="1"/>
      <w:numFmt w:val="lowerRoman"/>
      <w:lvlText w:val="%6."/>
      <w:lvlJc w:val="right"/>
      <w:pPr>
        <w:ind w:left="4752" w:hanging="180"/>
      </w:pPr>
    </w:lvl>
    <w:lvl w:ilvl="6" w:tplc="0C09000F" w:tentative="1">
      <w:start w:val="1"/>
      <w:numFmt w:val="decimal"/>
      <w:lvlText w:val="%7."/>
      <w:lvlJc w:val="left"/>
      <w:pPr>
        <w:ind w:left="5472" w:hanging="360"/>
      </w:pPr>
    </w:lvl>
    <w:lvl w:ilvl="7" w:tplc="0C090019" w:tentative="1">
      <w:start w:val="1"/>
      <w:numFmt w:val="lowerLetter"/>
      <w:lvlText w:val="%8."/>
      <w:lvlJc w:val="left"/>
      <w:pPr>
        <w:ind w:left="6192" w:hanging="360"/>
      </w:pPr>
    </w:lvl>
    <w:lvl w:ilvl="8" w:tplc="0C09001B" w:tentative="1">
      <w:start w:val="1"/>
      <w:numFmt w:val="lowerRoman"/>
      <w:lvlText w:val="%9."/>
      <w:lvlJc w:val="right"/>
      <w:pPr>
        <w:ind w:left="6912" w:hanging="180"/>
      </w:pPr>
    </w:lvl>
  </w:abstractNum>
  <w:abstractNum w:abstractNumId="7">
    <w:nsid w:val="2F267975"/>
    <w:multiLevelType w:val="multilevel"/>
    <w:tmpl w:val="C5DE77DC"/>
    <w:lvl w:ilvl="0">
      <w:start w:val="1"/>
      <w:numFmt w:val="lowerLetter"/>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3296E30"/>
    <w:multiLevelType w:val="multilevel"/>
    <w:tmpl w:val="0C09001D"/>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0DD0FA8"/>
    <w:multiLevelType w:val="multilevel"/>
    <w:tmpl w:val="0C09001D"/>
    <w:numStyleLink w:val="Tablenum"/>
  </w:abstractNum>
  <w:abstractNum w:abstractNumId="10">
    <w:nsid w:val="43BF2BD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46D3A6A"/>
    <w:multiLevelType w:val="multilevel"/>
    <w:tmpl w:val="F58A407A"/>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2">
    <w:nsid w:val="460F6F75"/>
    <w:multiLevelType w:val="hybridMultilevel"/>
    <w:tmpl w:val="6F2085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68B142E"/>
    <w:multiLevelType w:val="multilevel"/>
    <w:tmpl w:val="0C09001D"/>
    <w:numStyleLink w:val="Tablenum"/>
  </w:abstractNum>
  <w:abstractNum w:abstractNumId="14">
    <w:nsid w:val="52F368B3"/>
    <w:multiLevelType w:val="multilevel"/>
    <w:tmpl w:val="0C09001D"/>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478543E"/>
    <w:multiLevelType w:val="hybridMultilevel"/>
    <w:tmpl w:val="31341692"/>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6">
    <w:nsid w:val="5D472D7F"/>
    <w:multiLevelType w:val="hybridMultilevel"/>
    <w:tmpl w:val="2C8ECBC8"/>
    <w:lvl w:ilvl="0" w:tplc="0C090001">
      <w:start w:val="1"/>
      <w:numFmt w:val="bullet"/>
      <w:lvlText w:val=""/>
      <w:lvlJc w:val="left"/>
      <w:pPr>
        <w:ind w:left="409" w:hanging="360"/>
      </w:pPr>
      <w:rPr>
        <w:rFonts w:ascii="Symbol" w:hAnsi="Symbol" w:hint="default"/>
      </w:rPr>
    </w:lvl>
    <w:lvl w:ilvl="1" w:tplc="0C090003" w:tentative="1">
      <w:start w:val="1"/>
      <w:numFmt w:val="bullet"/>
      <w:lvlText w:val="o"/>
      <w:lvlJc w:val="left"/>
      <w:pPr>
        <w:ind w:left="1129" w:hanging="360"/>
      </w:pPr>
      <w:rPr>
        <w:rFonts w:ascii="Courier New" w:hAnsi="Courier New" w:cs="Courier New" w:hint="default"/>
      </w:rPr>
    </w:lvl>
    <w:lvl w:ilvl="2" w:tplc="0C090005" w:tentative="1">
      <w:start w:val="1"/>
      <w:numFmt w:val="bullet"/>
      <w:lvlText w:val=""/>
      <w:lvlJc w:val="left"/>
      <w:pPr>
        <w:ind w:left="1849" w:hanging="360"/>
      </w:pPr>
      <w:rPr>
        <w:rFonts w:ascii="Wingdings" w:hAnsi="Wingdings" w:hint="default"/>
      </w:rPr>
    </w:lvl>
    <w:lvl w:ilvl="3" w:tplc="0C090001" w:tentative="1">
      <w:start w:val="1"/>
      <w:numFmt w:val="bullet"/>
      <w:lvlText w:val=""/>
      <w:lvlJc w:val="left"/>
      <w:pPr>
        <w:ind w:left="2569" w:hanging="360"/>
      </w:pPr>
      <w:rPr>
        <w:rFonts w:ascii="Symbol" w:hAnsi="Symbol" w:hint="default"/>
      </w:rPr>
    </w:lvl>
    <w:lvl w:ilvl="4" w:tplc="0C090003" w:tentative="1">
      <w:start w:val="1"/>
      <w:numFmt w:val="bullet"/>
      <w:lvlText w:val="o"/>
      <w:lvlJc w:val="left"/>
      <w:pPr>
        <w:ind w:left="3289" w:hanging="360"/>
      </w:pPr>
      <w:rPr>
        <w:rFonts w:ascii="Courier New" w:hAnsi="Courier New" w:cs="Courier New" w:hint="default"/>
      </w:rPr>
    </w:lvl>
    <w:lvl w:ilvl="5" w:tplc="0C090005" w:tentative="1">
      <w:start w:val="1"/>
      <w:numFmt w:val="bullet"/>
      <w:lvlText w:val=""/>
      <w:lvlJc w:val="left"/>
      <w:pPr>
        <w:ind w:left="4009" w:hanging="360"/>
      </w:pPr>
      <w:rPr>
        <w:rFonts w:ascii="Wingdings" w:hAnsi="Wingdings" w:hint="default"/>
      </w:rPr>
    </w:lvl>
    <w:lvl w:ilvl="6" w:tplc="0C090001" w:tentative="1">
      <w:start w:val="1"/>
      <w:numFmt w:val="bullet"/>
      <w:lvlText w:val=""/>
      <w:lvlJc w:val="left"/>
      <w:pPr>
        <w:ind w:left="4729" w:hanging="360"/>
      </w:pPr>
      <w:rPr>
        <w:rFonts w:ascii="Symbol" w:hAnsi="Symbol" w:hint="default"/>
      </w:rPr>
    </w:lvl>
    <w:lvl w:ilvl="7" w:tplc="0C090003" w:tentative="1">
      <w:start w:val="1"/>
      <w:numFmt w:val="bullet"/>
      <w:lvlText w:val="o"/>
      <w:lvlJc w:val="left"/>
      <w:pPr>
        <w:ind w:left="5449" w:hanging="360"/>
      </w:pPr>
      <w:rPr>
        <w:rFonts w:ascii="Courier New" w:hAnsi="Courier New" w:cs="Courier New" w:hint="default"/>
      </w:rPr>
    </w:lvl>
    <w:lvl w:ilvl="8" w:tplc="0C090005" w:tentative="1">
      <w:start w:val="1"/>
      <w:numFmt w:val="bullet"/>
      <w:lvlText w:val=""/>
      <w:lvlJc w:val="left"/>
      <w:pPr>
        <w:ind w:left="6169" w:hanging="360"/>
      </w:pPr>
      <w:rPr>
        <w:rFonts w:ascii="Wingdings" w:hAnsi="Wingdings" w:hint="default"/>
      </w:rPr>
    </w:lvl>
  </w:abstractNum>
  <w:abstractNum w:abstractNumId="17">
    <w:nsid w:val="62105253"/>
    <w:multiLevelType w:val="multilevel"/>
    <w:tmpl w:val="0C09001D"/>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6551A1C"/>
    <w:multiLevelType w:val="multilevel"/>
    <w:tmpl w:val="8F9AA32A"/>
    <w:lvl w:ilvl="0">
      <w:start w:val="1"/>
      <w:numFmt w:val="bullet"/>
      <w:pStyle w:val="TableBullet0"/>
      <w:lvlText w:val=""/>
      <w:lvlJc w:val="left"/>
      <w:pPr>
        <w:tabs>
          <w:tab w:val="num" w:pos="-84"/>
        </w:tabs>
        <w:ind w:left="-84" w:hanging="227"/>
      </w:pPr>
      <w:rPr>
        <w:rFonts w:ascii="Symbol" w:hAnsi="Symbol" w:cs="Calibri" w:hint="default"/>
        <w:b w:val="0"/>
        <w:i w:val="0"/>
        <w:sz w:val="18"/>
      </w:rPr>
    </w:lvl>
    <w:lvl w:ilvl="1">
      <w:start w:val="1"/>
      <w:numFmt w:val="bullet"/>
      <w:pStyle w:val="TableBulletDash"/>
      <w:lvlText w:val="–"/>
      <w:lvlJc w:val="left"/>
      <w:pPr>
        <w:tabs>
          <w:tab w:val="num" w:pos="143"/>
        </w:tabs>
        <w:ind w:left="143" w:hanging="227"/>
      </w:pPr>
      <w:rPr>
        <w:rFonts w:ascii="Calibri" w:hAnsi="Calibri" w:cs="Calibri" w:hint="default"/>
        <w:b w:val="0"/>
        <w:i w:val="0"/>
        <w:sz w:val="18"/>
      </w:rPr>
    </w:lvl>
    <w:lvl w:ilvl="2">
      <w:start w:val="1"/>
      <w:numFmt w:val="bullet"/>
      <w:lvlText w:val=""/>
      <w:lvlJc w:val="left"/>
      <w:pPr>
        <w:tabs>
          <w:tab w:val="num" w:pos="369"/>
        </w:tabs>
        <w:ind w:left="369" w:hanging="226"/>
      </w:pPr>
      <w:rPr>
        <w:rFonts w:ascii="Symbol" w:hAnsi="Symbol" w:cs="Calibri" w:hint="default"/>
        <w:b w:val="0"/>
        <w:i w:val="0"/>
        <w:sz w:val="18"/>
      </w:rPr>
    </w:lvl>
    <w:lvl w:ilvl="3">
      <w:start w:val="1"/>
      <w:numFmt w:val="bullet"/>
      <w:lvlText w:val=""/>
      <w:lvlJc w:val="left"/>
      <w:pPr>
        <w:tabs>
          <w:tab w:val="num" w:pos="596"/>
        </w:tabs>
        <w:ind w:left="596" w:hanging="227"/>
      </w:pPr>
      <w:rPr>
        <w:rFonts w:ascii="Symbol" w:hAnsi="Symbol" w:cs="Calibri" w:hint="default"/>
        <w:b w:val="0"/>
        <w:i w:val="0"/>
        <w:sz w:val="18"/>
      </w:rPr>
    </w:lvl>
    <w:lvl w:ilvl="4">
      <w:start w:val="1"/>
      <w:numFmt w:val="bullet"/>
      <w:lvlText w:val=""/>
      <w:lvlJc w:val="left"/>
      <w:pPr>
        <w:tabs>
          <w:tab w:val="num" w:pos="823"/>
        </w:tabs>
        <w:ind w:left="823" w:hanging="227"/>
      </w:pPr>
      <w:rPr>
        <w:rFonts w:ascii="Symbol" w:hAnsi="Symbol" w:cs="Calibri" w:hint="default"/>
        <w:b w:val="0"/>
        <w:i w:val="0"/>
        <w:sz w:val="18"/>
      </w:rPr>
    </w:lvl>
    <w:lvl w:ilvl="5">
      <w:start w:val="1"/>
      <w:numFmt w:val="bullet"/>
      <w:lvlText w:val=""/>
      <w:lvlJc w:val="left"/>
      <w:pPr>
        <w:tabs>
          <w:tab w:val="num" w:pos="1050"/>
        </w:tabs>
        <w:ind w:left="1050" w:hanging="227"/>
      </w:pPr>
      <w:rPr>
        <w:rFonts w:ascii="Symbol" w:hAnsi="Symbol" w:cs="Calibri" w:hint="default"/>
        <w:b w:val="0"/>
        <w:i w:val="0"/>
        <w:sz w:val="18"/>
      </w:rPr>
    </w:lvl>
    <w:lvl w:ilvl="6">
      <w:start w:val="1"/>
      <w:numFmt w:val="bullet"/>
      <w:lvlText w:val=""/>
      <w:lvlJc w:val="left"/>
      <w:pPr>
        <w:tabs>
          <w:tab w:val="num" w:pos="1276"/>
        </w:tabs>
        <w:ind w:left="1276" w:hanging="226"/>
      </w:pPr>
      <w:rPr>
        <w:rFonts w:ascii="Symbol" w:hAnsi="Symbol" w:cs="Calibri" w:hint="default"/>
        <w:b w:val="0"/>
        <w:i w:val="0"/>
        <w:sz w:val="18"/>
      </w:rPr>
    </w:lvl>
    <w:lvl w:ilvl="7">
      <w:start w:val="1"/>
      <w:numFmt w:val="bullet"/>
      <w:lvlText w:val=""/>
      <w:lvlJc w:val="left"/>
      <w:pPr>
        <w:tabs>
          <w:tab w:val="num" w:pos="1503"/>
        </w:tabs>
        <w:ind w:left="1503" w:hanging="227"/>
      </w:pPr>
      <w:rPr>
        <w:rFonts w:ascii="Symbol" w:hAnsi="Symbol" w:cs="Calibri" w:hint="default"/>
        <w:b w:val="0"/>
        <w:i w:val="0"/>
        <w:sz w:val="18"/>
      </w:rPr>
    </w:lvl>
    <w:lvl w:ilvl="8">
      <w:start w:val="1"/>
      <w:numFmt w:val="bullet"/>
      <w:lvlText w:val=""/>
      <w:lvlJc w:val="left"/>
      <w:pPr>
        <w:tabs>
          <w:tab w:val="num" w:pos="1730"/>
        </w:tabs>
        <w:ind w:left="1730" w:hanging="227"/>
      </w:pPr>
      <w:rPr>
        <w:rFonts w:ascii="Symbol" w:hAnsi="Symbol" w:cs="Calibri" w:hint="default"/>
        <w:b w:val="0"/>
        <w:i w:val="0"/>
        <w:sz w:val="18"/>
      </w:rPr>
    </w:lvl>
  </w:abstractNum>
  <w:abstractNum w:abstractNumId="19">
    <w:nsid w:val="6AEC3485"/>
    <w:multiLevelType w:val="multilevel"/>
    <w:tmpl w:val="0C09001D"/>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09011E6"/>
    <w:multiLevelType w:val="hybridMultilevel"/>
    <w:tmpl w:val="CA467C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76FA31BE"/>
    <w:multiLevelType w:val="multilevel"/>
    <w:tmpl w:val="C5DE77DC"/>
    <w:lvl w:ilvl="0">
      <w:start w:val="1"/>
      <w:numFmt w:val="lowerLetter"/>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A7538E4"/>
    <w:multiLevelType w:val="multilevel"/>
    <w:tmpl w:val="0C09001D"/>
    <w:styleLink w:val="Tablenum"/>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A7E12E5"/>
    <w:multiLevelType w:val="hybridMultilevel"/>
    <w:tmpl w:val="3A5E8A9C"/>
    <w:lvl w:ilvl="0" w:tplc="1674E718">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DB13ED6"/>
    <w:multiLevelType w:val="hybridMultilevel"/>
    <w:tmpl w:val="BFBAE12C"/>
    <w:lvl w:ilvl="0" w:tplc="0C090001">
      <w:start w:val="1"/>
      <w:numFmt w:val="bullet"/>
      <w:lvlText w:val=""/>
      <w:lvlJc w:val="left"/>
      <w:pPr>
        <w:ind w:left="1154" w:hanging="360"/>
      </w:pPr>
      <w:rPr>
        <w:rFonts w:ascii="Symbol" w:hAnsi="Symbol" w:hint="default"/>
      </w:rPr>
    </w:lvl>
    <w:lvl w:ilvl="1" w:tplc="0C090003" w:tentative="1">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25">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11"/>
  </w:num>
  <w:num w:numId="2">
    <w:abstractNumId w:val="11"/>
  </w:num>
  <w:num w:numId="3">
    <w:abstractNumId w:val="11"/>
  </w:num>
  <w:num w:numId="4">
    <w:abstractNumId w:val="25"/>
  </w:num>
  <w:num w:numId="5">
    <w:abstractNumId w:val="3"/>
  </w:num>
  <w:num w:numId="6">
    <w:abstractNumId w:val="10"/>
  </w:num>
  <w:num w:numId="7">
    <w:abstractNumId w:val="23"/>
  </w:num>
  <w:num w:numId="8">
    <w:abstractNumId w:val="1"/>
  </w:num>
  <w:num w:numId="9">
    <w:abstractNumId w:val="24"/>
  </w:num>
  <w:num w:numId="10">
    <w:abstractNumId w:val="15"/>
  </w:num>
  <w:num w:numId="11">
    <w:abstractNumId w:val="4"/>
  </w:num>
  <w:num w:numId="12">
    <w:abstractNumId w:val="12"/>
  </w:num>
  <w:num w:numId="13">
    <w:abstractNumId w:val="6"/>
  </w:num>
  <w:num w:numId="14">
    <w:abstractNumId w:val="0"/>
  </w:num>
  <w:num w:numId="15">
    <w:abstractNumId w:val="5"/>
  </w:num>
  <w:num w:numId="16">
    <w:abstractNumId w:val="19"/>
  </w:num>
  <w:num w:numId="17">
    <w:abstractNumId w:val="21"/>
  </w:num>
  <w:num w:numId="18">
    <w:abstractNumId w:val="14"/>
  </w:num>
  <w:num w:numId="19">
    <w:abstractNumId w:val="7"/>
  </w:num>
  <w:num w:numId="20">
    <w:abstractNumId w:val="22"/>
  </w:num>
  <w:num w:numId="21">
    <w:abstractNumId w:val="9"/>
  </w:num>
  <w:num w:numId="22">
    <w:abstractNumId w:val="2"/>
  </w:num>
  <w:num w:numId="23">
    <w:abstractNumId w:val="13"/>
  </w:num>
  <w:num w:numId="24">
    <w:abstractNumId w:val="17"/>
  </w:num>
  <w:num w:numId="25">
    <w:abstractNumId w:val="8"/>
  </w:num>
  <w:num w:numId="26">
    <w:abstractNumId w:val="18"/>
  </w:num>
  <w:num w:numId="27">
    <w:abstractNumId w:val="20"/>
  </w:num>
  <w:num w:numId="28">
    <w:abstractNumId w:val="16"/>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3"/>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7BF"/>
    <w:rsid w:val="00012F6F"/>
    <w:rsid w:val="00014213"/>
    <w:rsid w:val="00014B55"/>
    <w:rsid w:val="00020E3E"/>
    <w:rsid w:val="00023BF3"/>
    <w:rsid w:val="00026811"/>
    <w:rsid w:val="0004185E"/>
    <w:rsid w:val="00056988"/>
    <w:rsid w:val="00075E6C"/>
    <w:rsid w:val="00081C12"/>
    <w:rsid w:val="000B29AD"/>
    <w:rsid w:val="000C6372"/>
    <w:rsid w:val="000E2782"/>
    <w:rsid w:val="000E392D"/>
    <w:rsid w:val="000E3D05"/>
    <w:rsid w:val="000F4288"/>
    <w:rsid w:val="000F7165"/>
    <w:rsid w:val="00102379"/>
    <w:rsid w:val="00103722"/>
    <w:rsid w:val="001065D6"/>
    <w:rsid w:val="001068D5"/>
    <w:rsid w:val="00115B44"/>
    <w:rsid w:val="00121252"/>
    <w:rsid w:val="00124609"/>
    <w:rsid w:val="001254CE"/>
    <w:rsid w:val="001422CC"/>
    <w:rsid w:val="001617B6"/>
    <w:rsid w:val="00165E66"/>
    <w:rsid w:val="00183113"/>
    <w:rsid w:val="00196143"/>
    <w:rsid w:val="001A24FC"/>
    <w:rsid w:val="001C7BAE"/>
    <w:rsid w:val="001E31FA"/>
    <w:rsid w:val="001E48F9"/>
    <w:rsid w:val="001E515A"/>
    <w:rsid w:val="001E64F6"/>
    <w:rsid w:val="001E7AEB"/>
    <w:rsid w:val="00204B82"/>
    <w:rsid w:val="00222BEB"/>
    <w:rsid w:val="00225E60"/>
    <w:rsid w:val="0023202C"/>
    <w:rsid w:val="00245043"/>
    <w:rsid w:val="002543F4"/>
    <w:rsid w:val="0025667D"/>
    <w:rsid w:val="00284FA2"/>
    <w:rsid w:val="00292D36"/>
    <w:rsid w:val="00297281"/>
    <w:rsid w:val="002B03F1"/>
    <w:rsid w:val="002B5E2B"/>
    <w:rsid w:val="002B6DAA"/>
    <w:rsid w:val="002C61E0"/>
    <w:rsid w:val="002D2A2B"/>
    <w:rsid w:val="002D5A52"/>
    <w:rsid w:val="002D711A"/>
    <w:rsid w:val="002D7336"/>
    <w:rsid w:val="002E3396"/>
    <w:rsid w:val="002F2953"/>
    <w:rsid w:val="0031149C"/>
    <w:rsid w:val="00357CE6"/>
    <w:rsid w:val="0036778F"/>
    <w:rsid w:val="0038771C"/>
    <w:rsid w:val="003A430B"/>
    <w:rsid w:val="003A541A"/>
    <w:rsid w:val="003A6923"/>
    <w:rsid w:val="003C2C67"/>
    <w:rsid w:val="003C2D4C"/>
    <w:rsid w:val="003C3B3A"/>
    <w:rsid w:val="003C5BA4"/>
    <w:rsid w:val="003E3E26"/>
    <w:rsid w:val="003F1295"/>
    <w:rsid w:val="003F5102"/>
    <w:rsid w:val="003F76FC"/>
    <w:rsid w:val="004002EB"/>
    <w:rsid w:val="00407A79"/>
    <w:rsid w:val="00422DDC"/>
    <w:rsid w:val="004231B5"/>
    <w:rsid w:val="004236C8"/>
    <w:rsid w:val="00427681"/>
    <w:rsid w:val="00433DB7"/>
    <w:rsid w:val="00453750"/>
    <w:rsid w:val="00456941"/>
    <w:rsid w:val="004702EA"/>
    <w:rsid w:val="0048259C"/>
    <w:rsid w:val="00482D02"/>
    <w:rsid w:val="00490369"/>
    <w:rsid w:val="004A7519"/>
    <w:rsid w:val="004D01AC"/>
    <w:rsid w:val="004D3518"/>
    <w:rsid w:val="004D62D6"/>
    <w:rsid w:val="004E49AE"/>
    <w:rsid w:val="004F3F4E"/>
    <w:rsid w:val="00510167"/>
    <w:rsid w:val="005306A2"/>
    <w:rsid w:val="0053416C"/>
    <w:rsid w:val="00536010"/>
    <w:rsid w:val="00541C2F"/>
    <w:rsid w:val="00563527"/>
    <w:rsid w:val="0058124E"/>
    <w:rsid w:val="005875A3"/>
    <w:rsid w:val="00593AA6"/>
    <w:rsid w:val="005A3416"/>
    <w:rsid w:val="005B27FE"/>
    <w:rsid w:val="005B76DF"/>
    <w:rsid w:val="005B79CB"/>
    <w:rsid w:val="005E4C16"/>
    <w:rsid w:val="005F61DF"/>
    <w:rsid w:val="0060163A"/>
    <w:rsid w:val="006018DD"/>
    <w:rsid w:val="006023F9"/>
    <w:rsid w:val="00610559"/>
    <w:rsid w:val="00614076"/>
    <w:rsid w:val="00632F2E"/>
    <w:rsid w:val="006332F6"/>
    <w:rsid w:val="006413F2"/>
    <w:rsid w:val="006534B2"/>
    <w:rsid w:val="0065615D"/>
    <w:rsid w:val="00657011"/>
    <w:rsid w:val="006650B5"/>
    <w:rsid w:val="006651B1"/>
    <w:rsid w:val="00665778"/>
    <w:rsid w:val="006659BD"/>
    <w:rsid w:val="00676E5F"/>
    <w:rsid w:val="00693EA7"/>
    <w:rsid w:val="006A3309"/>
    <w:rsid w:val="006A5B34"/>
    <w:rsid w:val="006C77A9"/>
    <w:rsid w:val="006D4720"/>
    <w:rsid w:val="006E6CDF"/>
    <w:rsid w:val="006F37F2"/>
    <w:rsid w:val="006F6693"/>
    <w:rsid w:val="00707FE8"/>
    <w:rsid w:val="00714AAE"/>
    <w:rsid w:val="00724962"/>
    <w:rsid w:val="00724A0F"/>
    <w:rsid w:val="00726D2F"/>
    <w:rsid w:val="00736732"/>
    <w:rsid w:val="00746426"/>
    <w:rsid w:val="00750BF9"/>
    <w:rsid w:val="00750CBE"/>
    <w:rsid w:val="007650D2"/>
    <w:rsid w:val="00766B5A"/>
    <w:rsid w:val="007770A5"/>
    <w:rsid w:val="007834F2"/>
    <w:rsid w:val="00791020"/>
    <w:rsid w:val="00791FF6"/>
    <w:rsid w:val="007A04D2"/>
    <w:rsid w:val="007A5F82"/>
    <w:rsid w:val="007D2C65"/>
    <w:rsid w:val="007D5F9E"/>
    <w:rsid w:val="007F1A4C"/>
    <w:rsid w:val="007F723F"/>
    <w:rsid w:val="008022C3"/>
    <w:rsid w:val="008041E6"/>
    <w:rsid w:val="008044F0"/>
    <w:rsid w:val="008065D2"/>
    <w:rsid w:val="0082194C"/>
    <w:rsid w:val="008222FF"/>
    <w:rsid w:val="008241FF"/>
    <w:rsid w:val="00831419"/>
    <w:rsid w:val="008411E9"/>
    <w:rsid w:val="00841617"/>
    <w:rsid w:val="0084200F"/>
    <w:rsid w:val="00842C93"/>
    <w:rsid w:val="00843B2C"/>
    <w:rsid w:val="00856F1D"/>
    <w:rsid w:val="008668A8"/>
    <w:rsid w:val="00880AC4"/>
    <w:rsid w:val="00897447"/>
    <w:rsid w:val="008A4900"/>
    <w:rsid w:val="008A55FE"/>
    <w:rsid w:val="008B146D"/>
    <w:rsid w:val="008B42AD"/>
    <w:rsid w:val="008B5666"/>
    <w:rsid w:val="008C3218"/>
    <w:rsid w:val="008D0281"/>
    <w:rsid w:val="008D5488"/>
    <w:rsid w:val="008E2348"/>
    <w:rsid w:val="008F6D45"/>
    <w:rsid w:val="00922944"/>
    <w:rsid w:val="00937A10"/>
    <w:rsid w:val="00966115"/>
    <w:rsid w:val="009834C0"/>
    <w:rsid w:val="00986AAC"/>
    <w:rsid w:val="00995526"/>
    <w:rsid w:val="009A1DA2"/>
    <w:rsid w:val="009A3704"/>
    <w:rsid w:val="009A37BF"/>
    <w:rsid w:val="009A4739"/>
    <w:rsid w:val="009A674F"/>
    <w:rsid w:val="009A6D22"/>
    <w:rsid w:val="009B199C"/>
    <w:rsid w:val="009B61F1"/>
    <w:rsid w:val="009B62E0"/>
    <w:rsid w:val="009C3D88"/>
    <w:rsid w:val="009E3858"/>
    <w:rsid w:val="009E467D"/>
    <w:rsid w:val="009E70DD"/>
    <w:rsid w:val="009F2ED9"/>
    <w:rsid w:val="009F3231"/>
    <w:rsid w:val="009F5C58"/>
    <w:rsid w:val="00A023A0"/>
    <w:rsid w:val="00A1562B"/>
    <w:rsid w:val="00A170F4"/>
    <w:rsid w:val="00A21408"/>
    <w:rsid w:val="00A21CFD"/>
    <w:rsid w:val="00A25B78"/>
    <w:rsid w:val="00A27AA9"/>
    <w:rsid w:val="00A36084"/>
    <w:rsid w:val="00A46BA8"/>
    <w:rsid w:val="00A47634"/>
    <w:rsid w:val="00A612FE"/>
    <w:rsid w:val="00AA26B8"/>
    <w:rsid w:val="00AC0785"/>
    <w:rsid w:val="00AC0B87"/>
    <w:rsid w:val="00AC2624"/>
    <w:rsid w:val="00AD7E4E"/>
    <w:rsid w:val="00AF4D58"/>
    <w:rsid w:val="00AF6666"/>
    <w:rsid w:val="00B53649"/>
    <w:rsid w:val="00B81B44"/>
    <w:rsid w:val="00B9053B"/>
    <w:rsid w:val="00BB4D98"/>
    <w:rsid w:val="00BB4EBF"/>
    <w:rsid w:val="00BB59E0"/>
    <w:rsid w:val="00BC14EE"/>
    <w:rsid w:val="00BC3422"/>
    <w:rsid w:val="00BC6E19"/>
    <w:rsid w:val="00BD1B53"/>
    <w:rsid w:val="00BF4F96"/>
    <w:rsid w:val="00C015B9"/>
    <w:rsid w:val="00C022F9"/>
    <w:rsid w:val="00C0245E"/>
    <w:rsid w:val="00C032EA"/>
    <w:rsid w:val="00C06EB5"/>
    <w:rsid w:val="00C1145F"/>
    <w:rsid w:val="00C11CD1"/>
    <w:rsid w:val="00C33AD3"/>
    <w:rsid w:val="00C43F06"/>
    <w:rsid w:val="00C51847"/>
    <w:rsid w:val="00C51C01"/>
    <w:rsid w:val="00C637E1"/>
    <w:rsid w:val="00C67EAC"/>
    <w:rsid w:val="00C70D50"/>
    <w:rsid w:val="00C72252"/>
    <w:rsid w:val="00C907D7"/>
    <w:rsid w:val="00C92338"/>
    <w:rsid w:val="00CB3976"/>
    <w:rsid w:val="00CD0307"/>
    <w:rsid w:val="00CD175F"/>
    <w:rsid w:val="00CD3D1B"/>
    <w:rsid w:val="00D02663"/>
    <w:rsid w:val="00D0633E"/>
    <w:rsid w:val="00D12E74"/>
    <w:rsid w:val="00D2312F"/>
    <w:rsid w:val="00D269C1"/>
    <w:rsid w:val="00D37F44"/>
    <w:rsid w:val="00D41B2F"/>
    <w:rsid w:val="00D44953"/>
    <w:rsid w:val="00D542F3"/>
    <w:rsid w:val="00D54513"/>
    <w:rsid w:val="00D54AAE"/>
    <w:rsid w:val="00D5644B"/>
    <w:rsid w:val="00D56E25"/>
    <w:rsid w:val="00D57E89"/>
    <w:rsid w:val="00D6560D"/>
    <w:rsid w:val="00D65D77"/>
    <w:rsid w:val="00D718D7"/>
    <w:rsid w:val="00D814B7"/>
    <w:rsid w:val="00D90688"/>
    <w:rsid w:val="00DA3AAD"/>
    <w:rsid w:val="00DB312B"/>
    <w:rsid w:val="00DC5654"/>
    <w:rsid w:val="00DC658F"/>
    <w:rsid w:val="00DC674A"/>
    <w:rsid w:val="00DE60CC"/>
    <w:rsid w:val="00E26B32"/>
    <w:rsid w:val="00E407B6"/>
    <w:rsid w:val="00E41EF1"/>
    <w:rsid w:val="00E42942"/>
    <w:rsid w:val="00E65A0A"/>
    <w:rsid w:val="00E71BDF"/>
    <w:rsid w:val="00E735F3"/>
    <w:rsid w:val="00E75CCB"/>
    <w:rsid w:val="00E8245B"/>
    <w:rsid w:val="00E82C21"/>
    <w:rsid w:val="00E82F59"/>
    <w:rsid w:val="00E83CA7"/>
    <w:rsid w:val="00E92192"/>
    <w:rsid w:val="00E95A71"/>
    <w:rsid w:val="00EB7014"/>
    <w:rsid w:val="00EC5CDE"/>
    <w:rsid w:val="00ED487E"/>
    <w:rsid w:val="00EE32F6"/>
    <w:rsid w:val="00EE33A1"/>
    <w:rsid w:val="00EE7A0D"/>
    <w:rsid w:val="00F0222C"/>
    <w:rsid w:val="00F10549"/>
    <w:rsid w:val="00F12312"/>
    <w:rsid w:val="00F17CE1"/>
    <w:rsid w:val="00F2115C"/>
    <w:rsid w:val="00F22ABA"/>
    <w:rsid w:val="00F36B12"/>
    <w:rsid w:val="00F60F9F"/>
    <w:rsid w:val="00F64F08"/>
    <w:rsid w:val="00F70055"/>
    <w:rsid w:val="00F734F5"/>
    <w:rsid w:val="00F73B5B"/>
    <w:rsid w:val="00F91F5A"/>
    <w:rsid w:val="00F966B1"/>
    <w:rsid w:val="00F97D48"/>
    <w:rsid w:val="00FA0311"/>
    <w:rsid w:val="00FD640F"/>
    <w:rsid w:val="00FD6B4C"/>
    <w:rsid w:val="00FE0553"/>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3" w:qFormat="1"/>
    <w:lsdException w:name="heading 2" w:uiPriority="3" w:unhideWhenUsed="1" w:qFormat="1"/>
    <w:lsdException w:name="heading 3" w:uiPriority="3" w:unhideWhenUsed="1" w:qFormat="1"/>
    <w:lsdException w:name="heading 4" w:uiPriority="3" w:unhideWhenUsed="1"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0" w:qFormat="1"/>
    <w:lsdException w:name="header" w:semiHidden="0"/>
    <w:lsdException w:name="footer" w:semiHidden="0" w:uiPriority="24"/>
    <w:lsdException w:name="index heading" w:semiHidden="0"/>
    <w:lsdException w:name="caption" w:semiHidden="0" w:uiPriority="13" w:qFormat="1"/>
    <w:lsdException w:name="page number" w:semiHidden="0" w:uiPriority="49"/>
    <w:lsdException w:name="Title" w:semiHidden="0" w:uiPriority="28"/>
    <w:lsdException w:name="Default Paragraph Font" w:uiPriority="1" w:unhideWhenUsed="1"/>
    <w:lsdException w:name="Body Text" w:uiPriority="49"/>
    <w:lsdException w:name="Subtitle" w:semiHidden="0" w:uiPriority="29"/>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3F5102"/>
    <w:pPr>
      <w:spacing w:before="160" w:after="100"/>
    </w:pPr>
    <w:rPr>
      <w:spacing w:val="2"/>
    </w:rPr>
  </w:style>
  <w:style w:type="paragraph" w:styleId="Heading1">
    <w:name w:val="heading 1"/>
    <w:next w:val="Normal"/>
    <w:link w:val="Heading1Char"/>
    <w:uiPriority w:val="3"/>
    <w:qFormat/>
    <w:rsid w:val="00AC0B87"/>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uiPriority w:val="3"/>
    <w:qFormat/>
    <w:rsid w:val="00C92338"/>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uiPriority w:val="3"/>
    <w:qFormat/>
    <w:rsid w:val="00C92338"/>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uiPriority w:val="3"/>
    <w:qFormat/>
    <w:rsid w:val="00D5644B"/>
    <w:pPr>
      <w:keepNext/>
      <w:keepLines/>
      <w:spacing w:before="200" w:after="0"/>
      <w:outlineLvl w:val="3"/>
    </w:pPr>
    <w:rPr>
      <w:rFonts w:asciiTheme="majorHAnsi" w:eastAsiaTheme="majorEastAsia" w:hAnsiTheme="majorHAnsi" w:cstheme="majorBidi"/>
      <w:b/>
      <w:bCs/>
      <w:iCs/>
      <w:color w:val="53565A"/>
    </w:rPr>
  </w:style>
  <w:style w:type="paragraph" w:styleId="Heading5">
    <w:name w:val="heading 5"/>
    <w:basedOn w:val="Heading4"/>
    <w:next w:val="Normal"/>
    <w:link w:val="Heading5Char"/>
    <w:uiPriority w:val="3"/>
    <w:qFormat/>
    <w:rsid w:val="009A37BF"/>
    <w:pPr>
      <w:widowControl w:val="0"/>
      <w:spacing w:before="160" w:after="120" w:line="228" w:lineRule="auto"/>
      <w:ind w:left="794"/>
      <w:outlineLvl w:val="4"/>
    </w:pPr>
    <w:rPr>
      <w:rFonts w:ascii="Calibri" w:eastAsia="Times New Roman" w:hAnsi="Calibri" w:cs="Calibri"/>
      <w:i/>
      <w:iCs w:val="0"/>
      <w:color w:val="404040"/>
      <w:spacing w:val="0"/>
      <w:sz w:val="22"/>
      <w:szCs w:val="22"/>
      <w:lang w:eastAsia="en-US"/>
    </w:rPr>
  </w:style>
  <w:style w:type="paragraph" w:styleId="Heading6">
    <w:name w:val="heading 6"/>
    <w:basedOn w:val="Heading5"/>
    <w:next w:val="Normal"/>
    <w:link w:val="Heading6Char"/>
    <w:uiPriority w:val="3"/>
    <w:semiHidden/>
    <w:qFormat/>
    <w:rsid w:val="009A37BF"/>
    <w:pPr>
      <w:outlineLvl w:val="5"/>
    </w:pPr>
    <w:rPr>
      <w:iCs/>
    </w:rPr>
  </w:style>
  <w:style w:type="paragraph" w:styleId="Heading7">
    <w:name w:val="heading 7"/>
    <w:basedOn w:val="Heading6"/>
    <w:next w:val="Normal"/>
    <w:link w:val="Heading7Char"/>
    <w:uiPriority w:val="3"/>
    <w:semiHidden/>
    <w:qFormat/>
    <w:rsid w:val="009A37BF"/>
    <w:pPr>
      <w:outlineLvl w:val="6"/>
    </w:pPr>
    <w:rPr>
      <w:i w:val="0"/>
    </w:rPr>
  </w:style>
  <w:style w:type="paragraph" w:styleId="Heading8">
    <w:name w:val="heading 8"/>
    <w:basedOn w:val="Heading7"/>
    <w:next w:val="Normal"/>
    <w:link w:val="Heading8Char"/>
    <w:uiPriority w:val="3"/>
    <w:semiHidden/>
    <w:qFormat/>
    <w:rsid w:val="009A37BF"/>
    <w:pPr>
      <w:outlineLvl w:val="7"/>
    </w:pPr>
    <w:rPr>
      <w:b w:val="0"/>
    </w:rPr>
  </w:style>
  <w:style w:type="paragraph" w:styleId="Heading9">
    <w:name w:val="heading 9"/>
    <w:basedOn w:val="Heading8"/>
    <w:next w:val="Normal"/>
    <w:link w:val="Heading9Char"/>
    <w:uiPriority w:val="3"/>
    <w:semiHidden/>
    <w:qFormat/>
    <w:rsid w:val="009A37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82194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rsid w:val="00EC5CDE"/>
    <w:pPr>
      <w:spacing w:before="20" w:after="20" w:line="240" w:lineRule="auto"/>
      <w:jc w:val="right"/>
    </w:pPr>
    <w:rPr>
      <w:rFonts w:eastAsiaTheme="minorHAnsi"/>
      <w:spacing w:val="2"/>
      <w:sz w:val="17"/>
      <w:szCs w:val="21"/>
      <w:lang w:eastAsia="en-US"/>
    </w:rPr>
    <w:tblPr>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StylePr>
    <w:tblStylePr w:type="band1Vert">
      <w:pPr>
        <w:jc w:val="right"/>
      </w:pPr>
    </w:tblStylePr>
    <w:tblStylePr w:type="band2Vert">
      <w:pPr>
        <w:jc w:val="right"/>
      </w:pPr>
    </w:tblStylePr>
  </w:style>
  <w:style w:type="table" w:styleId="LightList-Accent4">
    <w:name w:val="Light List Accent 4"/>
    <w:basedOn w:val="TableNormal"/>
    <w:uiPriority w:val="61"/>
    <w:rsid w:val="009A674F"/>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9A674F"/>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736732"/>
    <w:pPr>
      <w:tabs>
        <w:tab w:val="right" w:leader="dot" w:pos="9000"/>
      </w:tabs>
      <w:ind w:right="432"/>
    </w:pPr>
    <w:rPr>
      <w:sz w:val="24"/>
      <w:szCs w:val="24"/>
    </w:rPr>
  </w:style>
  <w:style w:type="paragraph" w:styleId="TOC2">
    <w:name w:val="toc 2"/>
    <w:next w:val="Normal"/>
    <w:uiPriority w:val="39"/>
    <w:rsid w:val="00D44953"/>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1C7BAE"/>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DA3AAD"/>
    <w:pPr>
      <w:spacing w:after="60" w:line="240" w:lineRule="auto"/>
    </w:pPr>
    <w:rPr>
      <w:sz w:val="16"/>
    </w:rPr>
  </w:style>
  <w:style w:type="paragraph" w:styleId="Index2">
    <w:name w:val="index 2"/>
    <w:basedOn w:val="Normal"/>
    <w:next w:val="Normal"/>
    <w:uiPriority w:val="99"/>
    <w:semiHidden/>
    <w:rsid w:val="00014B55"/>
    <w:pPr>
      <w:spacing w:after="0" w:line="240" w:lineRule="auto"/>
      <w:ind w:left="216"/>
    </w:pPr>
    <w:rPr>
      <w:sz w:val="16"/>
      <w:szCs w:val="16"/>
    </w:rPr>
  </w:style>
  <w:style w:type="character" w:styleId="Hyperlink">
    <w:name w:val="Hyperlink"/>
    <w:basedOn w:val="DefaultParagraphFont"/>
    <w:uiPriority w:val="99"/>
    <w:rsid w:val="00F966B1"/>
    <w:rPr>
      <w:color w:val="53565A" w:themeColor="hyperlink"/>
      <w:u w:val="none"/>
    </w:rPr>
  </w:style>
  <w:style w:type="character" w:customStyle="1" w:styleId="Heading1Char">
    <w:name w:val="Heading 1 Char"/>
    <w:basedOn w:val="DefaultParagraphFont"/>
    <w:link w:val="Heading1"/>
    <w:uiPriority w:val="3"/>
    <w:rsid w:val="00AC0B87"/>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C92338"/>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1"/>
    <w:qFormat/>
    <w:rsid w:val="00B9053B"/>
    <w:pPr>
      <w:numPr>
        <w:numId w:val="3"/>
      </w:numPr>
      <w:spacing w:before="100" w:after="100" w:line="240" w:lineRule="auto"/>
      <w:contextualSpacing/>
    </w:pPr>
    <w:rPr>
      <w:rFonts w:eastAsia="Times New Roman" w:cs="Calibri"/>
      <w:spacing w:val="2"/>
    </w:rPr>
  </w:style>
  <w:style w:type="paragraph" w:customStyle="1" w:styleId="Bullet2">
    <w:name w:val="Bullet 2"/>
    <w:basedOn w:val="Bullet1"/>
    <w:uiPriority w:val="11"/>
    <w:qFormat/>
    <w:rsid w:val="00B9053B"/>
    <w:pPr>
      <w:numPr>
        <w:ilvl w:val="1"/>
      </w:numPr>
    </w:pPr>
  </w:style>
  <w:style w:type="paragraph" w:customStyle="1" w:styleId="Bulletindent">
    <w:name w:val="Bullet indent"/>
    <w:basedOn w:val="Bullet2"/>
    <w:uiPriority w:val="9"/>
    <w:qFormat/>
    <w:rsid w:val="0023202C"/>
    <w:pPr>
      <w:numPr>
        <w:ilvl w:val="2"/>
      </w:numPr>
    </w:pPr>
  </w:style>
  <w:style w:type="paragraph" w:customStyle="1" w:styleId="Heading1numbered">
    <w:name w:val="Heading 1 numbered"/>
    <w:basedOn w:val="Heading1"/>
    <w:next w:val="NormalIndent"/>
    <w:uiPriority w:val="8"/>
    <w:qFormat/>
    <w:rsid w:val="00AC0B87"/>
    <w:pPr>
      <w:numPr>
        <w:ilvl w:val="2"/>
        <w:numId w:val="4"/>
      </w:numPr>
      <w:ind w:left="794" w:hanging="794"/>
    </w:pPr>
  </w:style>
  <w:style w:type="paragraph" w:customStyle="1" w:styleId="Heading2numbered">
    <w:name w:val="Heading 2 numbered"/>
    <w:basedOn w:val="Heading2"/>
    <w:next w:val="NormalIndent"/>
    <w:uiPriority w:val="8"/>
    <w:qFormat/>
    <w:rsid w:val="0023202C"/>
    <w:pPr>
      <w:numPr>
        <w:ilvl w:val="3"/>
        <w:numId w:val="4"/>
      </w:numPr>
    </w:pPr>
  </w:style>
  <w:style w:type="paragraph" w:customStyle="1" w:styleId="Heading3numbered">
    <w:name w:val="Heading 3 numbered"/>
    <w:basedOn w:val="Heading3"/>
    <w:next w:val="NormalIndent"/>
    <w:uiPriority w:val="8"/>
    <w:qFormat/>
    <w:rsid w:val="0023202C"/>
    <w:pPr>
      <w:numPr>
        <w:ilvl w:val="4"/>
        <w:numId w:val="4"/>
      </w:numPr>
    </w:pPr>
  </w:style>
  <w:style w:type="character" w:customStyle="1" w:styleId="Heading3Char">
    <w:name w:val="Heading 3 Char"/>
    <w:basedOn w:val="DefaultParagraphFont"/>
    <w:link w:val="Heading3"/>
    <w:rsid w:val="00C92338"/>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D5644B"/>
    <w:pPr>
      <w:numPr>
        <w:ilvl w:val="5"/>
        <w:numId w:val="4"/>
      </w:numPr>
    </w:pPr>
  </w:style>
  <w:style w:type="character" w:customStyle="1" w:styleId="Heading4Char">
    <w:name w:val="Heading 4 Char"/>
    <w:basedOn w:val="DefaultParagraphFont"/>
    <w:link w:val="Heading4"/>
    <w:rsid w:val="002D711A"/>
    <w:rPr>
      <w:rFonts w:asciiTheme="majorHAnsi" w:eastAsiaTheme="majorEastAsia" w:hAnsiTheme="majorHAnsi" w:cstheme="majorBidi"/>
      <w:b/>
      <w:bCs/>
      <w:iCs/>
      <w:color w:val="53565A"/>
      <w:spacing w:val="2"/>
    </w:rPr>
  </w:style>
  <w:style w:type="paragraph" w:styleId="NormalIndent">
    <w:name w:val="Normal Indent"/>
    <w:basedOn w:val="Normal"/>
    <w:uiPriority w:val="9"/>
    <w:qFormat/>
    <w:rsid w:val="009B62E0"/>
    <w:pPr>
      <w:spacing w:line="252" w:lineRule="auto"/>
      <w:ind w:left="792"/>
    </w:pPr>
  </w:style>
  <w:style w:type="paragraph" w:customStyle="1" w:styleId="NoteNormal">
    <w:name w:val="Note Normal"/>
    <w:basedOn w:val="Normal"/>
    <w:rsid w:val="009B62E0"/>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165E66"/>
    <w:pPr>
      <w:spacing w:before="0" w:after="0" w:line="120" w:lineRule="atLeast"/>
    </w:pPr>
    <w:rPr>
      <w:rFonts w:eastAsia="Times New Roman" w:cs="Calibri"/>
      <w:spacing w:val="0"/>
      <w:sz w:val="10"/>
      <w:szCs w:val="22"/>
    </w:rPr>
  </w:style>
  <w:style w:type="paragraph" w:styleId="Subtitle">
    <w:name w:val="Subtitle"/>
    <w:next w:val="TertiaryTitle"/>
    <w:link w:val="SubtitleChar"/>
    <w:uiPriority w:val="99"/>
    <w:rsid w:val="00F12312"/>
    <w:pPr>
      <w:spacing w:after="120" w:line="440" w:lineRule="exact"/>
    </w:pPr>
    <w:rPr>
      <w:rFonts w:asciiTheme="majorHAnsi" w:eastAsia="Times New Roman" w:hAnsiTheme="majorHAnsi" w:cstheme="majorHAnsi"/>
      <w:color w:val="FFFFFF" w:themeColor="background1"/>
      <w:spacing w:val="-2"/>
      <w:sz w:val="40"/>
      <w:szCs w:val="24"/>
    </w:rPr>
  </w:style>
  <w:style w:type="character" w:customStyle="1" w:styleId="SubtitleChar">
    <w:name w:val="Subtitle Char"/>
    <w:basedOn w:val="DefaultParagraphFont"/>
    <w:link w:val="Subtitle"/>
    <w:uiPriority w:val="99"/>
    <w:rsid w:val="00F12312"/>
    <w:rPr>
      <w:rFonts w:asciiTheme="majorHAnsi" w:eastAsia="Times New Roman" w:hAnsiTheme="majorHAnsi" w:cstheme="majorHAnsi"/>
      <w:color w:val="FFFFFF" w:themeColor="background1"/>
      <w:spacing w:val="-2"/>
      <w:sz w:val="40"/>
      <w:szCs w:val="24"/>
    </w:rPr>
  </w:style>
  <w:style w:type="paragraph" w:customStyle="1" w:styleId="TertiaryTitle">
    <w:name w:val="Tertiary Title"/>
    <w:next w:val="Normal"/>
    <w:uiPriority w:val="99"/>
    <w:rsid w:val="00D0633E"/>
    <w:pPr>
      <w:spacing w:after="0"/>
    </w:pPr>
    <w:rPr>
      <w:rFonts w:asciiTheme="majorHAnsi" w:eastAsia="Times New Roman" w:hAnsiTheme="majorHAnsi" w:cstheme="majorHAnsi"/>
      <w:color w:val="FFFFFF" w:themeColor="background1"/>
      <w:spacing w:val="-2"/>
      <w:szCs w:val="40"/>
      <w:lang w:eastAsia="en-US"/>
    </w:rPr>
  </w:style>
  <w:style w:type="paragraph" w:styleId="Title">
    <w:name w:val="Title"/>
    <w:next w:val="Subtitle"/>
    <w:link w:val="TitleChar"/>
    <w:uiPriority w:val="99"/>
    <w:rsid w:val="00012F6F"/>
    <w:pPr>
      <w:spacing w:after="300" w:line="252" w:lineRule="auto"/>
    </w:pPr>
    <w:rPr>
      <w:rFonts w:asciiTheme="majorHAnsi" w:eastAsia="Times New Roman" w:hAnsiTheme="majorHAnsi" w:cstheme="majorHAnsi"/>
      <w:b/>
      <w:color w:val="FFFFFF" w:themeColor="background1"/>
      <w:spacing w:val="-2"/>
      <w:sz w:val="60"/>
      <w:szCs w:val="22"/>
    </w:rPr>
  </w:style>
  <w:style w:type="character" w:customStyle="1" w:styleId="TitleChar">
    <w:name w:val="Title Char"/>
    <w:basedOn w:val="DefaultParagraphFont"/>
    <w:link w:val="Title"/>
    <w:uiPriority w:val="99"/>
    <w:rsid w:val="00012F6F"/>
    <w:rPr>
      <w:rFonts w:asciiTheme="majorHAnsi" w:eastAsia="Times New Roman" w:hAnsiTheme="majorHAnsi" w:cstheme="majorHAnsi"/>
      <w:b/>
      <w:color w:val="FFFFFF" w:themeColor="background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83CA7"/>
    <w:pPr>
      <w:numPr>
        <w:ilvl w:val="3"/>
        <w:numId w:val="3"/>
      </w:numPr>
      <w:spacing w:before="100"/>
      <w:contextualSpacing/>
    </w:pPr>
  </w:style>
  <w:style w:type="paragraph" w:styleId="IndexHeading">
    <w:name w:val="index heading"/>
    <w:basedOn w:val="Normal"/>
    <w:next w:val="Index1"/>
    <w:uiPriority w:val="99"/>
    <w:semiHidden/>
    <w:rsid w:val="00014B55"/>
    <w:rPr>
      <w:rFonts w:asciiTheme="majorHAnsi" w:eastAsiaTheme="majorEastAsia" w:hAnsiTheme="majorHAnsi" w:cstheme="majorBidi"/>
      <w:b/>
      <w:bCs/>
    </w:rPr>
  </w:style>
  <w:style w:type="paragraph" w:styleId="Header">
    <w:name w:val="header"/>
    <w:basedOn w:val="Normal"/>
    <w:link w:val="HeaderChar"/>
    <w:uiPriority w:val="99"/>
    <w:semiHidden/>
    <w:rsid w:val="002D711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241FF"/>
    <w:rPr>
      <w:spacing w:val="2"/>
    </w:rPr>
  </w:style>
  <w:style w:type="paragraph" w:styleId="Footer">
    <w:name w:val="footer"/>
    <w:basedOn w:val="Normal"/>
    <w:link w:val="FooterChar"/>
    <w:uiPriority w:val="24"/>
    <w:rsid w:val="00CB3976"/>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CB3976"/>
    <w:rPr>
      <w:noProof/>
      <w:spacing w:val="2"/>
      <w:sz w:val="18"/>
      <w:szCs w:val="18"/>
    </w:rPr>
  </w:style>
  <w:style w:type="character" w:styleId="PageNumber">
    <w:name w:val="page number"/>
    <w:uiPriority w:val="49"/>
    <w:semiHidden/>
    <w:rsid w:val="00BB59E0"/>
    <w:rPr>
      <w:rFonts w:asciiTheme="minorHAnsi" w:hAnsiTheme="minorHAnsi"/>
      <w:b w:val="0"/>
      <w:color w:val="000000" w:themeColor="text1"/>
    </w:rPr>
  </w:style>
  <w:style w:type="paragraph" w:styleId="TOCHeading">
    <w:name w:val="TOC Heading"/>
    <w:basedOn w:val="Heading1"/>
    <w:next w:val="Normal"/>
    <w:uiPriority w:val="39"/>
    <w:rsid w:val="00D44953"/>
    <w:pPr>
      <w:spacing w:before="480" w:after="720"/>
      <w:outlineLvl w:val="9"/>
    </w:pPr>
    <w:rPr>
      <w:spacing w:val="2"/>
    </w:rPr>
  </w:style>
  <w:style w:type="paragraph" w:customStyle="1" w:styleId="NormalTight">
    <w:name w:val="Normal Tight"/>
    <w:uiPriority w:val="99"/>
    <w:semiHidden/>
    <w:rsid w:val="008D0281"/>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750CBE"/>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750CBE"/>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26B32"/>
    <w:pPr>
      <w:spacing w:before="5800"/>
      <w:ind w:right="1382"/>
    </w:pPr>
  </w:style>
  <w:style w:type="paragraph" w:styleId="TOC4">
    <w:name w:val="toc 4"/>
    <w:basedOn w:val="TOC1"/>
    <w:next w:val="Normal"/>
    <w:uiPriority w:val="39"/>
    <w:rsid w:val="00CD3D1B"/>
    <w:pPr>
      <w:ind w:left="450" w:hanging="450"/>
    </w:pPr>
    <w:rPr>
      <w:noProof/>
      <w:lang w:eastAsia="en-US"/>
    </w:rPr>
  </w:style>
  <w:style w:type="paragraph" w:styleId="TOC5">
    <w:name w:val="toc 5"/>
    <w:basedOn w:val="TOC2"/>
    <w:next w:val="Normal"/>
    <w:uiPriority w:val="39"/>
    <w:rsid w:val="00CD3D1B"/>
    <w:pPr>
      <w:ind w:left="1080" w:hanging="634"/>
    </w:pPr>
    <w:rPr>
      <w:lang w:eastAsia="en-US"/>
    </w:rPr>
  </w:style>
  <w:style w:type="paragraph" w:styleId="TOC6">
    <w:name w:val="toc 6"/>
    <w:basedOn w:val="TOC3"/>
    <w:next w:val="Normal"/>
    <w:uiPriority w:val="39"/>
    <w:rsid w:val="00C06EB5"/>
    <w:pPr>
      <w:ind w:left="1800" w:hanging="720"/>
    </w:pPr>
    <w:rPr>
      <w:lang w:eastAsia="en-US"/>
    </w:rPr>
  </w:style>
  <w:style w:type="table" w:customStyle="1" w:styleId="DTFtexttable">
    <w:name w:val="DTF text table"/>
    <w:basedOn w:val="TableGrid"/>
    <w:uiPriority w:val="99"/>
    <w:rsid w:val="00995526"/>
    <w:pPr>
      <w:spacing w:before="30" w:after="30" w:line="264" w:lineRule="auto"/>
      <w:jc w:val="left"/>
    </w:pPr>
    <w:tblPr>
      <w:tblStyleRowBandSize w:val="1"/>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A21CFD"/>
    <w:pPr>
      <w:spacing w:before="30" w:after="30" w:line="264" w:lineRule="auto"/>
    </w:pPr>
    <w:tblPr>
      <w:tblStyleRowBandSize w:val="1"/>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F37F2"/>
    <w:pPr>
      <w:spacing w:before="60" w:after="60" w:line="264" w:lineRule="auto"/>
    </w:pPr>
    <w:rPr>
      <w:sz w:val="17"/>
    </w:rPr>
  </w:style>
  <w:style w:type="paragraph" w:customStyle="1" w:styleId="Tabletextright">
    <w:name w:val="Table text right"/>
    <w:basedOn w:val="Tabletext"/>
    <w:uiPriority w:val="5"/>
    <w:qFormat/>
    <w:rsid w:val="00B9053B"/>
    <w:pPr>
      <w:jc w:val="right"/>
    </w:pPr>
  </w:style>
  <w:style w:type="paragraph" w:customStyle="1" w:styleId="Listnumindent2">
    <w:name w:val="List num indent 2"/>
    <w:basedOn w:val="Normal"/>
    <w:uiPriority w:val="9"/>
    <w:qFormat/>
    <w:rsid w:val="00102379"/>
    <w:pPr>
      <w:numPr>
        <w:ilvl w:val="7"/>
        <w:numId w:val="4"/>
      </w:numPr>
      <w:spacing w:before="100"/>
      <w:contextualSpacing/>
    </w:pPr>
  </w:style>
  <w:style w:type="paragraph" w:customStyle="1" w:styleId="Listnumindent">
    <w:name w:val="List num indent"/>
    <w:basedOn w:val="Normal"/>
    <w:uiPriority w:val="9"/>
    <w:qFormat/>
    <w:rsid w:val="00102379"/>
    <w:pPr>
      <w:numPr>
        <w:ilvl w:val="6"/>
        <w:numId w:val="4"/>
      </w:numPr>
      <w:spacing w:before="100"/>
    </w:pPr>
  </w:style>
  <w:style w:type="paragraph" w:customStyle="1" w:styleId="Listnum">
    <w:name w:val="List num"/>
    <w:basedOn w:val="Normal"/>
    <w:uiPriority w:val="2"/>
    <w:qFormat/>
    <w:rsid w:val="004A7519"/>
    <w:pPr>
      <w:numPr>
        <w:numId w:val="4"/>
      </w:numPr>
    </w:pPr>
  </w:style>
  <w:style w:type="paragraph" w:customStyle="1" w:styleId="Listnum2">
    <w:name w:val="List num 2"/>
    <w:basedOn w:val="Normal"/>
    <w:uiPriority w:val="2"/>
    <w:qFormat/>
    <w:rsid w:val="004A7519"/>
    <w:pPr>
      <w:numPr>
        <w:ilvl w:val="1"/>
        <w:numId w:val="4"/>
      </w:numPr>
    </w:pPr>
  </w:style>
  <w:style w:type="paragraph" w:customStyle="1" w:styleId="Tabletextcentred">
    <w:name w:val="Table text centred"/>
    <w:basedOn w:val="Tabletext"/>
    <w:uiPriority w:val="5"/>
    <w:qFormat/>
    <w:rsid w:val="00B9053B"/>
    <w:pPr>
      <w:jc w:val="center"/>
    </w:pPr>
  </w:style>
  <w:style w:type="paragraph" w:customStyle="1" w:styleId="Tableheader">
    <w:name w:val="Table header"/>
    <w:basedOn w:val="Tabletext"/>
    <w:uiPriority w:val="5"/>
    <w:qFormat/>
    <w:rsid w:val="002B5E2B"/>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937A10"/>
    <w:pPr>
      <w:numPr>
        <w:numId w:val="32"/>
      </w:numPr>
    </w:pPr>
  </w:style>
  <w:style w:type="paragraph" w:customStyle="1" w:styleId="Tabledash">
    <w:name w:val="Table dash"/>
    <w:basedOn w:val="Tablebullet"/>
    <w:uiPriority w:val="6"/>
    <w:rsid w:val="00937A10"/>
    <w:pPr>
      <w:numPr>
        <w:ilvl w:val="1"/>
      </w:numPr>
    </w:pPr>
  </w:style>
  <w:style w:type="paragraph" w:customStyle="1" w:styleId="Tabletextindent">
    <w:name w:val="Table text indent"/>
    <w:basedOn w:val="Tabletext"/>
    <w:uiPriority w:val="5"/>
    <w:qFormat/>
    <w:rsid w:val="00C11CD1"/>
    <w:pPr>
      <w:ind w:left="288"/>
    </w:pPr>
  </w:style>
  <w:style w:type="paragraph" w:styleId="ListParagraph">
    <w:name w:val="List Paragraph"/>
    <w:basedOn w:val="Normal"/>
    <w:uiPriority w:val="34"/>
    <w:semiHidden/>
    <w:qFormat/>
    <w:rsid w:val="004231B5"/>
    <w:pPr>
      <w:ind w:left="720"/>
      <w:contextualSpacing/>
    </w:pPr>
  </w:style>
  <w:style w:type="paragraph" w:customStyle="1" w:styleId="Numpara">
    <w:name w:val="Num para"/>
    <w:basedOn w:val="ListParagraph"/>
    <w:uiPriority w:val="2"/>
    <w:qFormat/>
    <w:rsid w:val="00C72252"/>
    <w:pPr>
      <w:numPr>
        <w:numId w:val="7"/>
      </w:numPr>
      <w:tabs>
        <w:tab w:val="left" w:pos="540"/>
      </w:tabs>
      <w:ind w:left="504" w:hanging="504"/>
    </w:pPr>
  </w:style>
  <w:style w:type="paragraph" w:styleId="FootnoteText">
    <w:name w:val="footnote text"/>
    <w:basedOn w:val="Normal"/>
    <w:link w:val="FootnoteTextChar"/>
    <w:uiPriority w:val="99"/>
    <w:rsid w:val="00BC6E19"/>
    <w:pPr>
      <w:spacing w:before="0" w:after="0" w:line="240" w:lineRule="auto"/>
    </w:pPr>
    <w:rPr>
      <w:sz w:val="17"/>
    </w:rPr>
  </w:style>
  <w:style w:type="character" w:customStyle="1" w:styleId="FootnoteTextChar">
    <w:name w:val="Footnote Text Char"/>
    <w:basedOn w:val="DefaultParagraphFont"/>
    <w:link w:val="FootnoteText"/>
    <w:uiPriority w:val="99"/>
    <w:rsid w:val="00BC6E19"/>
    <w:rPr>
      <w:spacing w:val="2"/>
      <w:sz w:val="17"/>
    </w:rPr>
  </w:style>
  <w:style w:type="character" w:styleId="FootnoteReference">
    <w:name w:val="footnote reference"/>
    <w:basedOn w:val="DefaultParagraphFont"/>
    <w:uiPriority w:val="99"/>
    <w:rsid w:val="00726D2F"/>
    <w:rPr>
      <w:vertAlign w:val="superscript"/>
    </w:rPr>
  </w:style>
  <w:style w:type="table" w:customStyle="1" w:styleId="DTFtexttableindent">
    <w:name w:val="DTF text table indent"/>
    <w:basedOn w:val="DTFtexttable"/>
    <w:uiPriority w:val="99"/>
    <w:rsid w:val="005B76DF"/>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indent">
    <w:name w:val="DTF financial table indent"/>
    <w:basedOn w:val="DTFfinancialtable"/>
    <w:uiPriority w:val="99"/>
    <w:rsid w:val="006E6CDF"/>
    <w:pPr>
      <w:spacing w:after="0" w:line="240" w:lineRule="auto"/>
    </w:pPr>
    <w:tblPr>
      <w:tblInd w:w="821" w:type="dxa"/>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Numparaindent">
    <w:name w:val="Num para indent"/>
    <w:basedOn w:val="Numpara"/>
    <w:uiPriority w:val="9"/>
    <w:qFormat/>
    <w:rsid w:val="002F2953"/>
    <w:pPr>
      <w:numPr>
        <w:ilvl w:val="8"/>
        <w:numId w:val="4"/>
      </w:numPr>
      <w:tabs>
        <w:tab w:val="clear" w:pos="540"/>
      </w:tabs>
    </w:pPr>
  </w:style>
  <w:style w:type="paragraph" w:customStyle="1" w:styleId="NoteNormalindent">
    <w:name w:val="Note Normal indent"/>
    <w:basedOn w:val="NoteNormal"/>
    <w:uiPriority w:val="9"/>
    <w:rsid w:val="002D2A2B"/>
    <w:pPr>
      <w:keepNext w:val="0"/>
      <w:ind w:left="792"/>
    </w:pPr>
  </w:style>
  <w:style w:type="paragraph" w:customStyle="1" w:styleId="Tablenum1">
    <w:name w:val="Table num 1"/>
    <w:basedOn w:val="Normal"/>
    <w:uiPriority w:val="6"/>
    <w:rsid w:val="007F723F"/>
    <w:pPr>
      <w:numPr>
        <w:ilvl w:val="2"/>
        <w:numId w:val="32"/>
      </w:numPr>
      <w:spacing w:before="60" w:after="60"/>
    </w:pPr>
    <w:rPr>
      <w:sz w:val="17"/>
    </w:rPr>
  </w:style>
  <w:style w:type="paragraph" w:customStyle="1" w:styleId="Tablenum2">
    <w:name w:val="Table num 2"/>
    <w:basedOn w:val="Normal"/>
    <w:uiPriority w:val="6"/>
    <w:rsid w:val="002D5A52"/>
    <w:pPr>
      <w:numPr>
        <w:ilvl w:val="3"/>
        <w:numId w:val="32"/>
      </w:numPr>
      <w:spacing w:before="60" w:after="60" w:line="240" w:lineRule="auto"/>
    </w:pPr>
    <w:rPr>
      <w:rFonts w:eastAsiaTheme="minorHAnsi"/>
      <w:sz w:val="17"/>
      <w:szCs w:val="21"/>
      <w:lang w:eastAsia="en-US"/>
    </w:rPr>
  </w:style>
  <w:style w:type="paragraph" w:styleId="Caption">
    <w:name w:val="caption"/>
    <w:basedOn w:val="Normal"/>
    <w:next w:val="Normal"/>
    <w:uiPriority w:val="13"/>
    <w:qFormat/>
    <w:rsid w:val="0060163A"/>
    <w:pPr>
      <w:spacing w:before="0" w:after="200" w:line="240" w:lineRule="auto"/>
    </w:pPr>
    <w:rPr>
      <w:b/>
      <w:bCs/>
      <w:color w:val="383834" w:themeColor="background2" w:themeShade="40"/>
      <w:sz w:val="18"/>
      <w:szCs w:val="18"/>
    </w:rPr>
  </w:style>
  <w:style w:type="paragraph" w:customStyle="1" w:styleId="Tablechartdiagramheading">
    <w:name w:val="Table/chart/diagram heading"/>
    <w:uiPriority w:val="4"/>
    <w:qFormat/>
    <w:rsid w:val="00E82C21"/>
    <w:pPr>
      <w:tabs>
        <w:tab w:val="left" w:pos="1080"/>
      </w:tabs>
      <w:spacing w:before="160" w:after="100"/>
    </w:pPr>
    <w:rPr>
      <w:b/>
      <w:bCs/>
      <w:color w:val="0063A6" w:themeColor="accent1"/>
      <w:spacing w:val="2"/>
      <w:sz w:val="18"/>
      <w:szCs w:val="18"/>
    </w:rPr>
  </w:style>
  <w:style w:type="character" w:styleId="PlaceholderText">
    <w:name w:val="Placeholder Text"/>
    <w:basedOn w:val="DefaultParagraphFont"/>
    <w:uiPriority w:val="99"/>
    <w:semiHidden/>
    <w:rsid w:val="00966115"/>
    <w:rPr>
      <w:color w:val="808080"/>
    </w:rPr>
  </w:style>
  <w:style w:type="paragraph" w:customStyle="1" w:styleId="Source">
    <w:name w:val="Source"/>
    <w:basedOn w:val="Normal"/>
    <w:qFormat/>
    <w:rsid w:val="009A37BF"/>
    <w:pPr>
      <w:spacing w:before="0" w:line="240" w:lineRule="auto"/>
      <w:ind w:left="792"/>
    </w:pPr>
    <w:rPr>
      <w:rFonts w:ascii="Calibri" w:eastAsia="Times New Roman" w:hAnsi="Calibri" w:cs="Calibri"/>
      <w:spacing w:val="0"/>
      <w:sz w:val="18"/>
      <w:szCs w:val="18"/>
    </w:rPr>
  </w:style>
  <w:style w:type="character" w:customStyle="1" w:styleId="Heading5Char">
    <w:name w:val="Heading 5 Char"/>
    <w:basedOn w:val="DefaultParagraphFont"/>
    <w:link w:val="Heading5"/>
    <w:uiPriority w:val="3"/>
    <w:rsid w:val="009A37BF"/>
    <w:rPr>
      <w:rFonts w:ascii="Calibri" w:eastAsia="Times New Roman" w:hAnsi="Calibri" w:cs="Calibri"/>
      <w:b/>
      <w:bCs/>
      <w:i/>
      <w:color w:val="404040"/>
      <w:sz w:val="22"/>
      <w:szCs w:val="22"/>
      <w:lang w:eastAsia="en-US"/>
    </w:rPr>
  </w:style>
  <w:style w:type="character" w:customStyle="1" w:styleId="Heading6Char">
    <w:name w:val="Heading 6 Char"/>
    <w:basedOn w:val="DefaultParagraphFont"/>
    <w:link w:val="Heading6"/>
    <w:uiPriority w:val="3"/>
    <w:semiHidden/>
    <w:rsid w:val="009A37BF"/>
    <w:rPr>
      <w:rFonts w:ascii="Calibri" w:eastAsia="Times New Roman" w:hAnsi="Calibri" w:cs="Calibri"/>
      <w:b/>
      <w:bCs/>
      <w:i/>
      <w:iCs/>
      <w:color w:val="404040"/>
      <w:sz w:val="22"/>
      <w:szCs w:val="22"/>
      <w:lang w:eastAsia="en-US"/>
    </w:rPr>
  </w:style>
  <w:style w:type="character" w:customStyle="1" w:styleId="Heading7Char">
    <w:name w:val="Heading 7 Char"/>
    <w:basedOn w:val="DefaultParagraphFont"/>
    <w:link w:val="Heading7"/>
    <w:uiPriority w:val="3"/>
    <w:semiHidden/>
    <w:rsid w:val="009A37BF"/>
    <w:rPr>
      <w:rFonts w:ascii="Calibri" w:eastAsia="Times New Roman" w:hAnsi="Calibri" w:cs="Calibri"/>
      <w:b/>
      <w:bCs/>
      <w:iCs/>
      <w:color w:val="404040"/>
      <w:sz w:val="22"/>
      <w:szCs w:val="22"/>
      <w:lang w:eastAsia="en-US"/>
    </w:rPr>
  </w:style>
  <w:style w:type="character" w:customStyle="1" w:styleId="Heading8Char">
    <w:name w:val="Heading 8 Char"/>
    <w:basedOn w:val="DefaultParagraphFont"/>
    <w:link w:val="Heading8"/>
    <w:uiPriority w:val="3"/>
    <w:semiHidden/>
    <w:rsid w:val="009A37BF"/>
    <w:rPr>
      <w:rFonts w:ascii="Calibri" w:eastAsia="Times New Roman" w:hAnsi="Calibri" w:cs="Calibri"/>
      <w:bCs/>
      <w:iCs/>
      <w:color w:val="404040"/>
      <w:sz w:val="22"/>
      <w:szCs w:val="22"/>
      <w:lang w:eastAsia="en-US"/>
    </w:rPr>
  </w:style>
  <w:style w:type="character" w:customStyle="1" w:styleId="Heading9Char">
    <w:name w:val="Heading 9 Char"/>
    <w:basedOn w:val="DefaultParagraphFont"/>
    <w:link w:val="Heading9"/>
    <w:uiPriority w:val="3"/>
    <w:semiHidden/>
    <w:rsid w:val="009A37BF"/>
    <w:rPr>
      <w:rFonts w:ascii="Calibri" w:eastAsia="Times New Roman" w:hAnsi="Calibri" w:cs="Calibri"/>
      <w:bCs/>
      <w:iCs/>
      <w:color w:val="404040"/>
      <w:sz w:val="22"/>
      <w:szCs w:val="22"/>
      <w:lang w:eastAsia="en-US"/>
    </w:rPr>
  </w:style>
  <w:style w:type="paragraph" w:customStyle="1" w:styleId="Bullet3">
    <w:name w:val="Bullet 3"/>
    <w:basedOn w:val="Bullet2"/>
    <w:uiPriority w:val="11"/>
    <w:rsid w:val="009A37BF"/>
    <w:pPr>
      <w:numPr>
        <w:ilvl w:val="0"/>
        <w:numId w:val="0"/>
      </w:numPr>
      <w:tabs>
        <w:tab w:val="num" w:pos="1644"/>
      </w:tabs>
      <w:spacing w:before="80" w:after="80"/>
      <w:ind w:left="1644" w:hanging="283"/>
      <w:contextualSpacing w:val="0"/>
    </w:pPr>
    <w:rPr>
      <w:rFonts w:ascii="Calibri" w:hAnsi="Calibri"/>
      <w:spacing w:val="0"/>
      <w:sz w:val="22"/>
      <w:szCs w:val="22"/>
    </w:rPr>
  </w:style>
  <w:style w:type="paragraph" w:customStyle="1" w:styleId="Attachment1">
    <w:name w:val="Attachment 1"/>
    <w:next w:val="Normal"/>
    <w:uiPriority w:val="19"/>
    <w:qFormat/>
    <w:rsid w:val="009A37BF"/>
    <w:pPr>
      <w:pageBreakBefore/>
      <w:numPr>
        <w:numId w:val="11"/>
      </w:numPr>
      <w:pBdr>
        <w:bottom w:val="single" w:sz="4" w:space="1" w:color="404040"/>
      </w:pBdr>
      <w:spacing w:before="400" w:after="1200" w:line="240" w:lineRule="auto"/>
    </w:pPr>
    <w:rPr>
      <w:rFonts w:ascii="Calibri" w:eastAsia="Times New Roman" w:hAnsi="Calibri" w:cs="Calibri"/>
      <w:color w:val="404040"/>
      <w:sz w:val="40"/>
      <w:szCs w:val="22"/>
      <w:lang w:eastAsia="en-US"/>
    </w:rPr>
  </w:style>
  <w:style w:type="paragraph" w:customStyle="1" w:styleId="TableText0">
    <w:name w:val="Table Text"/>
    <w:basedOn w:val="Normal"/>
    <w:uiPriority w:val="15"/>
    <w:qFormat/>
    <w:rsid w:val="009A37BF"/>
    <w:pPr>
      <w:spacing w:before="20" w:after="20" w:line="240" w:lineRule="auto"/>
    </w:pPr>
    <w:rPr>
      <w:rFonts w:ascii="Calibri" w:eastAsia="Times New Roman" w:hAnsi="Calibri" w:cs="Calibri"/>
      <w:spacing w:val="0"/>
      <w:szCs w:val="22"/>
    </w:rPr>
  </w:style>
  <w:style w:type="paragraph" w:customStyle="1" w:styleId="TableHeader0">
    <w:name w:val="Table Header"/>
    <w:basedOn w:val="TableText0"/>
    <w:uiPriority w:val="15"/>
    <w:qFormat/>
    <w:rsid w:val="009A37BF"/>
    <w:pPr>
      <w:keepNext/>
      <w:spacing w:before="40" w:after="40"/>
    </w:pPr>
    <w:rPr>
      <w:color w:val="333333"/>
      <w:sz w:val="24"/>
    </w:rPr>
  </w:style>
  <w:style w:type="numbering" w:customStyle="1" w:styleId="Tablenum">
    <w:name w:val="Table num"/>
    <w:uiPriority w:val="99"/>
    <w:rsid w:val="009A37BF"/>
    <w:pPr>
      <w:numPr>
        <w:numId w:val="20"/>
      </w:numPr>
    </w:pPr>
  </w:style>
  <w:style w:type="paragraph" w:customStyle="1" w:styleId="TableBullet0">
    <w:name w:val="Table Bullet"/>
    <w:basedOn w:val="TableText0"/>
    <w:uiPriority w:val="10"/>
    <w:qFormat/>
    <w:rsid w:val="009A37BF"/>
    <w:pPr>
      <w:numPr>
        <w:numId w:val="26"/>
      </w:numPr>
      <w:spacing w:before="0" w:after="0"/>
    </w:pPr>
  </w:style>
  <w:style w:type="paragraph" w:customStyle="1" w:styleId="TableBulletDash">
    <w:name w:val="Table Bullet Dash"/>
    <w:basedOn w:val="Normal"/>
    <w:uiPriority w:val="10"/>
    <w:rsid w:val="009A37BF"/>
    <w:pPr>
      <w:numPr>
        <w:ilvl w:val="1"/>
        <w:numId w:val="26"/>
      </w:numPr>
      <w:spacing w:before="0" w:after="0" w:line="240" w:lineRule="auto"/>
    </w:pPr>
    <w:rPr>
      <w:rFonts w:ascii="Calibri" w:eastAsia="Times New Roman" w:hAnsi="Calibri" w:cs="Calibri"/>
      <w:spacing w:val="0"/>
      <w:szCs w:val="22"/>
    </w:rPr>
  </w:style>
  <w:style w:type="paragraph" w:styleId="NormalWeb">
    <w:name w:val="Normal (Web)"/>
    <w:basedOn w:val="Normal"/>
    <w:uiPriority w:val="99"/>
    <w:semiHidden/>
    <w:unhideWhenUsed/>
    <w:rsid w:val="006659BD"/>
    <w:pPr>
      <w:spacing w:before="100" w:beforeAutospacing="1" w:afterAutospacing="1" w:line="240" w:lineRule="auto"/>
    </w:pPr>
    <w:rPr>
      <w:rFonts w:ascii="Times New Roman" w:hAnsi="Times New Roman" w:cs="Times New Roman"/>
      <w:spacing w:val="0"/>
      <w:sz w:val="24"/>
      <w:szCs w:val="24"/>
    </w:rPr>
  </w:style>
  <w:style w:type="character" w:styleId="CommentReference">
    <w:name w:val="annotation reference"/>
    <w:basedOn w:val="DefaultParagraphFont"/>
    <w:uiPriority w:val="99"/>
    <w:semiHidden/>
    <w:rsid w:val="00A27AA9"/>
    <w:rPr>
      <w:sz w:val="16"/>
      <w:szCs w:val="16"/>
    </w:rPr>
  </w:style>
  <w:style w:type="paragraph" w:styleId="CommentText">
    <w:name w:val="annotation text"/>
    <w:basedOn w:val="Normal"/>
    <w:link w:val="CommentTextChar"/>
    <w:uiPriority w:val="99"/>
    <w:semiHidden/>
    <w:rsid w:val="00A27AA9"/>
    <w:pPr>
      <w:spacing w:line="240" w:lineRule="auto"/>
    </w:pPr>
  </w:style>
  <w:style w:type="character" w:customStyle="1" w:styleId="CommentTextChar">
    <w:name w:val="Comment Text Char"/>
    <w:basedOn w:val="DefaultParagraphFont"/>
    <w:link w:val="CommentText"/>
    <w:uiPriority w:val="99"/>
    <w:semiHidden/>
    <w:rsid w:val="00A27AA9"/>
    <w:rPr>
      <w:spacing w:val="2"/>
    </w:rPr>
  </w:style>
  <w:style w:type="paragraph" w:styleId="CommentSubject">
    <w:name w:val="annotation subject"/>
    <w:basedOn w:val="CommentText"/>
    <w:next w:val="CommentText"/>
    <w:link w:val="CommentSubjectChar"/>
    <w:uiPriority w:val="99"/>
    <w:semiHidden/>
    <w:rsid w:val="00A27AA9"/>
    <w:rPr>
      <w:b/>
      <w:bCs/>
    </w:rPr>
  </w:style>
  <w:style w:type="character" w:customStyle="1" w:styleId="CommentSubjectChar">
    <w:name w:val="Comment Subject Char"/>
    <w:basedOn w:val="CommentTextChar"/>
    <w:link w:val="CommentSubject"/>
    <w:uiPriority w:val="99"/>
    <w:semiHidden/>
    <w:rsid w:val="00A27AA9"/>
    <w:rPr>
      <w:b/>
      <w:bCs/>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3" w:qFormat="1"/>
    <w:lsdException w:name="heading 2" w:uiPriority="3" w:unhideWhenUsed="1" w:qFormat="1"/>
    <w:lsdException w:name="heading 3" w:uiPriority="3" w:unhideWhenUsed="1" w:qFormat="1"/>
    <w:lsdException w:name="heading 4" w:uiPriority="3" w:unhideWhenUsed="1"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0" w:qFormat="1"/>
    <w:lsdException w:name="header" w:semiHidden="0"/>
    <w:lsdException w:name="footer" w:semiHidden="0" w:uiPriority="24"/>
    <w:lsdException w:name="index heading" w:semiHidden="0"/>
    <w:lsdException w:name="caption" w:semiHidden="0" w:uiPriority="13" w:qFormat="1"/>
    <w:lsdException w:name="page number" w:semiHidden="0" w:uiPriority="49"/>
    <w:lsdException w:name="Title" w:semiHidden="0" w:uiPriority="28"/>
    <w:lsdException w:name="Default Paragraph Font" w:uiPriority="1" w:unhideWhenUsed="1"/>
    <w:lsdException w:name="Body Text" w:uiPriority="49"/>
    <w:lsdException w:name="Subtitle" w:semiHidden="0" w:uiPriority="29"/>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3F5102"/>
    <w:pPr>
      <w:spacing w:before="160" w:after="100"/>
    </w:pPr>
    <w:rPr>
      <w:spacing w:val="2"/>
    </w:rPr>
  </w:style>
  <w:style w:type="paragraph" w:styleId="Heading1">
    <w:name w:val="heading 1"/>
    <w:next w:val="Normal"/>
    <w:link w:val="Heading1Char"/>
    <w:uiPriority w:val="3"/>
    <w:qFormat/>
    <w:rsid w:val="00AC0B87"/>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uiPriority w:val="3"/>
    <w:qFormat/>
    <w:rsid w:val="00C92338"/>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uiPriority w:val="3"/>
    <w:qFormat/>
    <w:rsid w:val="00C92338"/>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uiPriority w:val="3"/>
    <w:qFormat/>
    <w:rsid w:val="00D5644B"/>
    <w:pPr>
      <w:keepNext/>
      <w:keepLines/>
      <w:spacing w:before="200" w:after="0"/>
      <w:outlineLvl w:val="3"/>
    </w:pPr>
    <w:rPr>
      <w:rFonts w:asciiTheme="majorHAnsi" w:eastAsiaTheme="majorEastAsia" w:hAnsiTheme="majorHAnsi" w:cstheme="majorBidi"/>
      <w:b/>
      <w:bCs/>
      <w:iCs/>
      <w:color w:val="53565A"/>
    </w:rPr>
  </w:style>
  <w:style w:type="paragraph" w:styleId="Heading5">
    <w:name w:val="heading 5"/>
    <w:basedOn w:val="Heading4"/>
    <w:next w:val="Normal"/>
    <w:link w:val="Heading5Char"/>
    <w:uiPriority w:val="3"/>
    <w:qFormat/>
    <w:rsid w:val="009A37BF"/>
    <w:pPr>
      <w:widowControl w:val="0"/>
      <w:spacing w:before="160" w:after="120" w:line="228" w:lineRule="auto"/>
      <w:ind w:left="794"/>
      <w:outlineLvl w:val="4"/>
    </w:pPr>
    <w:rPr>
      <w:rFonts w:ascii="Calibri" w:eastAsia="Times New Roman" w:hAnsi="Calibri" w:cs="Calibri"/>
      <w:i/>
      <w:iCs w:val="0"/>
      <w:color w:val="404040"/>
      <w:spacing w:val="0"/>
      <w:sz w:val="22"/>
      <w:szCs w:val="22"/>
      <w:lang w:eastAsia="en-US"/>
    </w:rPr>
  </w:style>
  <w:style w:type="paragraph" w:styleId="Heading6">
    <w:name w:val="heading 6"/>
    <w:basedOn w:val="Heading5"/>
    <w:next w:val="Normal"/>
    <w:link w:val="Heading6Char"/>
    <w:uiPriority w:val="3"/>
    <w:semiHidden/>
    <w:qFormat/>
    <w:rsid w:val="009A37BF"/>
    <w:pPr>
      <w:outlineLvl w:val="5"/>
    </w:pPr>
    <w:rPr>
      <w:iCs/>
    </w:rPr>
  </w:style>
  <w:style w:type="paragraph" w:styleId="Heading7">
    <w:name w:val="heading 7"/>
    <w:basedOn w:val="Heading6"/>
    <w:next w:val="Normal"/>
    <w:link w:val="Heading7Char"/>
    <w:uiPriority w:val="3"/>
    <w:semiHidden/>
    <w:qFormat/>
    <w:rsid w:val="009A37BF"/>
    <w:pPr>
      <w:outlineLvl w:val="6"/>
    </w:pPr>
    <w:rPr>
      <w:i w:val="0"/>
    </w:rPr>
  </w:style>
  <w:style w:type="paragraph" w:styleId="Heading8">
    <w:name w:val="heading 8"/>
    <w:basedOn w:val="Heading7"/>
    <w:next w:val="Normal"/>
    <w:link w:val="Heading8Char"/>
    <w:uiPriority w:val="3"/>
    <w:semiHidden/>
    <w:qFormat/>
    <w:rsid w:val="009A37BF"/>
    <w:pPr>
      <w:outlineLvl w:val="7"/>
    </w:pPr>
    <w:rPr>
      <w:b w:val="0"/>
    </w:rPr>
  </w:style>
  <w:style w:type="paragraph" w:styleId="Heading9">
    <w:name w:val="heading 9"/>
    <w:basedOn w:val="Heading8"/>
    <w:next w:val="Normal"/>
    <w:link w:val="Heading9Char"/>
    <w:uiPriority w:val="3"/>
    <w:semiHidden/>
    <w:qFormat/>
    <w:rsid w:val="009A37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82194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rsid w:val="00EC5CDE"/>
    <w:pPr>
      <w:spacing w:before="20" w:after="20" w:line="240" w:lineRule="auto"/>
      <w:jc w:val="right"/>
    </w:pPr>
    <w:rPr>
      <w:rFonts w:eastAsiaTheme="minorHAnsi"/>
      <w:spacing w:val="2"/>
      <w:sz w:val="17"/>
      <w:szCs w:val="21"/>
      <w:lang w:eastAsia="en-US"/>
    </w:rPr>
    <w:tblPr>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StylePr>
    <w:tblStylePr w:type="band1Vert">
      <w:pPr>
        <w:jc w:val="right"/>
      </w:pPr>
    </w:tblStylePr>
    <w:tblStylePr w:type="band2Vert">
      <w:pPr>
        <w:jc w:val="right"/>
      </w:pPr>
    </w:tblStylePr>
  </w:style>
  <w:style w:type="table" w:styleId="LightList-Accent4">
    <w:name w:val="Light List Accent 4"/>
    <w:basedOn w:val="TableNormal"/>
    <w:uiPriority w:val="61"/>
    <w:rsid w:val="009A674F"/>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9A674F"/>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736732"/>
    <w:pPr>
      <w:tabs>
        <w:tab w:val="right" w:leader="dot" w:pos="9000"/>
      </w:tabs>
      <w:ind w:right="432"/>
    </w:pPr>
    <w:rPr>
      <w:sz w:val="24"/>
      <w:szCs w:val="24"/>
    </w:rPr>
  </w:style>
  <w:style w:type="paragraph" w:styleId="TOC2">
    <w:name w:val="toc 2"/>
    <w:next w:val="Normal"/>
    <w:uiPriority w:val="39"/>
    <w:rsid w:val="00D44953"/>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1C7BAE"/>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DA3AAD"/>
    <w:pPr>
      <w:spacing w:after="60" w:line="240" w:lineRule="auto"/>
    </w:pPr>
    <w:rPr>
      <w:sz w:val="16"/>
    </w:rPr>
  </w:style>
  <w:style w:type="paragraph" w:styleId="Index2">
    <w:name w:val="index 2"/>
    <w:basedOn w:val="Normal"/>
    <w:next w:val="Normal"/>
    <w:uiPriority w:val="99"/>
    <w:semiHidden/>
    <w:rsid w:val="00014B55"/>
    <w:pPr>
      <w:spacing w:after="0" w:line="240" w:lineRule="auto"/>
      <w:ind w:left="216"/>
    </w:pPr>
    <w:rPr>
      <w:sz w:val="16"/>
      <w:szCs w:val="16"/>
    </w:rPr>
  </w:style>
  <w:style w:type="character" w:styleId="Hyperlink">
    <w:name w:val="Hyperlink"/>
    <w:basedOn w:val="DefaultParagraphFont"/>
    <w:uiPriority w:val="99"/>
    <w:rsid w:val="00F966B1"/>
    <w:rPr>
      <w:color w:val="53565A" w:themeColor="hyperlink"/>
      <w:u w:val="none"/>
    </w:rPr>
  </w:style>
  <w:style w:type="character" w:customStyle="1" w:styleId="Heading1Char">
    <w:name w:val="Heading 1 Char"/>
    <w:basedOn w:val="DefaultParagraphFont"/>
    <w:link w:val="Heading1"/>
    <w:uiPriority w:val="3"/>
    <w:rsid w:val="00AC0B87"/>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C92338"/>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1"/>
    <w:qFormat/>
    <w:rsid w:val="00B9053B"/>
    <w:pPr>
      <w:numPr>
        <w:numId w:val="3"/>
      </w:numPr>
      <w:spacing w:before="100" w:after="100" w:line="240" w:lineRule="auto"/>
      <w:contextualSpacing/>
    </w:pPr>
    <w:rPr>
      <w:rFonts w:eastAsia="Times New Roman" w:cs="Calibri"/>
      <w:spacing w:val="2"/>
    </w:rPr>
  </w:style>
  <w:style w:type="paragraph" w:customStyle="1" w:styleId="Bullet2">
    <w:name w:val="Bullet 2"/>
    <w:basedOn w:val="Bullet1"/>
    <w:uiPriority w:val="11"/>
    <w:qFormat/>
    <w:rsid w:val="00B9053B"/>
    <w:pPr>
      <w:numPr>
        <w:ilvl w:val="1"/>
      </w:numPr>
    </w:pPr>
  </w:style>
  <w:style w:type="paragraph" w:customStyle="1" w:styleId="Bulletindent">
    <w:name w:val="Bullet indent"/>
    <w:basedOn w:val="Bullet2"/>
    <w:uiPriority w:val="9"/>
    <w:qFormat/>
    <w:rsid w:val="0023202C"/>
    <w:pPr>
      <w:numPr>
        <w:ilvl w:val="2"/>
      </w:numPr>
    </w:pPr>
  </w:style>
  <w:style w:type="paragraph" w:customStyle="1" w:styleId="Heading1numbered">
    <w:name w:val="Heading 1 numbered"/>
    <w:basedOn w:val="Heading1"/>
    <w:next w:val="NormalIndent"/>
    <w:uiPriority w:val="8"/>
    <w:qFormat/>
    <w:rsid w:val="00AC0B87"/>
    <w:pPr>
      <w:numPr>
        <w:ilvl w:val="2"/>
        <w:numId w:val="4"/>
      </w:numPr>
      <w:ind w:left="794" w:hanging="794"/>
    </w:pPr>
  </w:style>
  <w:style w:type="paragraph" w:customStyle="1" w:styleId="Heading2numbered">
    <w:name w:val="Heading 2 numbered"/>
    <w:basedOn w:val="Heading2"/>
    <w:next w:val="NormalIndent"/>
    <w:uiPriority w:val="8"/>
    <w:qFormat/>
    <w:rsid w:val="0023202C"/>
    <w:pPr>
      <w:numPr>
        <w:ilvl w:val="3"/>
        <w:numId w:val="4"/>
      </w:numPr>
    </w:pPr>
  </w:style>
  <w:style w:type="paragraph" w:customStyle="1" w:styleId="Heading3numbered">
    <w:name w:val="Heading 3 numbered"/>
    <w:basedOn w:val="Heading3"/>
    <w:next w:val="NormalIndent"/>
    <w:uiPriority w:val="8"/>
    <w:qFormat/>
    <w:rsid w:val="0023202C"/>
    <w:pPr>
      <w:numPr>
        <w:ilvl w:val="4"/>
        <w:numId w:val="4"/>
      </w:numPr>
    </w:pPr>
  </w:style>
  <w:style w:type="character" w:customStyle="1" w:styleId="Heading3Char">
    <w:name w:val="Heading 3 Char"/>
    <w:basedOn w:val="DefaultParagraphFont"/>
    <w:link w:val="Heading3"/>
    <w:rsid w:val="00C92338"/>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D5644B"/>
    <w:pPr>
      <w:numPr>
        <w:ilvl w:val="5"/>
        <w:numId w:val="4"/>
      </w:numPr>
    </w:pPr>
  </w:style>
  <w:style w:type="character" w:customStyle="1" w:styleId="Heading4Char">
    <w:name w:val="Heading 4 Char"/>
    <w:basedOn w:val="DefaultParagraphFont"/>
    <w:link w:val="Heading4"/>
    <w:rsid w:val="002D711A"/>
    <w:rPr>
      <w:rFonts w:asciiTheme="majorHAnsi" w:eastAsiaTheme="majorEastAsia" w:hAnsiTheme="majorHAnsi" w:cstheme="majorBidi"/>
      <w:b/>
      <w:bCs/>
      <w:iCs/>
      <w:color w:val="53565A"/>
      <w:spacing w:val="2"/>
    </w:rPr>
  </w:style>
  <w:style w:type="paragraph" w:styleId="NormalIndent">
    <w:name w:val="Normal Indent"/>
    <w:basedOn w:val="Normal"/>
    <w:uiPriority w:val="9"/>
    <w:qFormat/>
    <w:rsid w:val="009B62E0"/>
    <w:pPr>
      <w:spacing w:line="252" w:lineRule="auto"/>
      <w:ind w:left="792"/>
    </w:pPr>
  </w:style>
  <w:style w:type="paragraph" w:customStyle="1" w:styleId="NoteNormal">
    <w:name w:val="Note Normal"/>
    <w:basedOn w:val="Normal"/>
    <w:rsid w:val="009B62E0"/>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165E66"/>
    <w:pPr>
      <w:spacing w:before="0" w:after="0" w:line="120" w:lineRule="atLeast"/>
    </w:pPr>
    <w:rPr>
      <w:rFonts w:eastAsia="Times New Roman" w:cs="Calibri"/>
      <w:spacing w:val="0"/>
      <w:sz w:val="10"/>
      <w:szCs w:val="22"/>
    </w:rPr>
  </w:style>
  <w:style w:type="paragraph" w:styleId="Subtitle">
    <w:name w:val="Subtitle"/>
    <w:next w:val="TertiaryTitle"/>
    <w:link w:val="SubtitleChar"/>
    <w:uiPriority w:val="99"/>
    <w:rsid w:val="00F12312"/>
    <w:pPr>
      <w:spacing w:after="120" w:line="440" w:lineRule="exact"/>
    </w:pPr>
    <w:rPr>
      <w:rFonts w:asciiTheme="majorHAnsi" w:eastAsia="Times New Roman" w:hAnsiTheme="majorHAnsi" w:cstheme="majorHAnsi"/>
      <w:color w:val="FFFFFF" w:themeColor="background1"/>
      <w:spacing w:val="-2"/>
      <w:sz w:val="40"/>
      <w:szCs w:val="24"/>
    </w:rPr>
  </w:style>
  <w:style w:type="character" w:customStyle="1" w:styleId="SubtitleChar">
    <w:name w:val="Subtitle Char"/>
    <w:basedOn w:val="DefaultParagraphFont"/>
    <w:link w:val="Subtitle"/>
    <w:uiPriority w:val="99"/>
    <w:rsid w:val="00F12312"/>
    <w:rPr>
      <w:rFonts w:asciiTheme="majorHAnsi" w:eastAsia="Times New Roman" w:hAnsiTheme="majorHAnsi" w:cstheme="majorHAnsi"/>
      <w:color w:val="FFFFFF" w:themeColor="background1"/>
      <w:spacing w:val="-2"/>
      <w:sz w:val="40"/>
      <w:szCs w:val="24"/>
    </w:rPr>
  </w:style>
  <w:style w:type="paragraph" w:customStyle="1" w:styleId="TertiaryTitle">
    <w:name w:val="Tertiary Title"/>
    <w:next w:val="Normal"/>
    <w:uiPriority w:val="99"/>
    <w:rsid w:val="00D0633E"/>
    <w:pPr>
      <w:spacing w:after="0"/>
    </w:pPr>
    <w:rPr>
      <w:rFonts w:asciiTheme="majorHAnsi" w:eastAsia="Times New Roman" w:hAnsiTheme="majorHAnsi" w:cstheme="majorHAnsi"/>
      <w:color w:val="FFFFFF" w:themeColor="background1"/>
      <w:spacing w:val="-2"/>
      <w:szCs w:val="40"/>
      <w:lang w:eastAsia="en-US"/>
    </w:rPr>
  </w:style>
  <w:style w:type="paragraph" w:styleId="Title">
    <w:name w:val="Title"/>
    <w:next w:val="Subtitle"/>
    <w:link w:val="TitleChar"/>
    <w:uiPriority w:val="99"/>
    <w:rsid w:val="00012F6F"/>
    <w:pPr>
      <w:spacing w:after="300" w:line="252" w:lineRule="auto"/>
    </w:pPr>
    <w:rPr>
      <w:rFonts w:asciiTheme="majorHAnsi" w:eastAsia="Times New Roman" w:hAnsiTheme="majorHAnsi" w:cstheme="majorHAnsi"/>
      <w:b/>
      <w:color w:val="FFFFFF" w:themeColor="background1"/>
      <w:spacing w:val="-2"/>
      <w:sz w:val="60"/>
      <w:szCs w:val="22"/>
    </w:rPr>
  </w:style>
  <w:style w:type="character" w:customStyle="1" w:styleId="TitleChar">
    <w:name w:val="Title Char"/>
    <w:basedOn w:val="DefaultParagraphFont"/>
    <w:link w:val="Title"/>
    <w:uiPriority w:val="99"/>
    <w:rsid w:val="00012F6F"/>
    <w:rPr>
      <w:rFonts w:asciiTheme="majorHAnsi" w:eastAsia="Times New Roman" w:hAnsiTheme="majorHAnsi" w:cstheme="majorHAnsi"/>
      <w:b/>
      <w:color w:val="FFFFFF" w:themeColor="background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83CA7"/>
    <w:pPr>
      <w:numPr>
        <w:ilvl w:val="3"/>
        <w:numId w:val="3"/>
      </w:numPr>
      <w:spacing w:before="100"/>
      <w:contextualSpacing/>
    </w:pPr>
  </w:style>
  <w:style w:type="paragraph" w:styleId="IndexHeading">
    <w:name w:val="index heading"/>
    <w:basedOn w:val="Normal"/>
    <w:next w:val="Index1"/>
    <w:uiPriority w:val="99"/>
    <w:semiHidden/>
    <w:rsid w:val="00014B55"/>
    <w:rPr>
      <w:rFonts w:asciiTheme="majorHAnsi" w:eastAsiaTheme="majorEastAsia" w:hAnsiTheme="majorHAnsi" w:cstheme="majorBidi"/>
      <w:b/>
      <w:bCs/>
    </w:rPr>
  </w:style>
  <w:style w:type="paragraph" w:styleId="Header">
    <w:name w:val="header"/>
    <w:basedOn w:val="Normal"/>
    <w:link w:val="HeaderChar"/>
    <w:uiPriority w:val="99"/>
    <w:semiHidden/>
    <w:rsid w:val="002D711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241FF"/>
    <w:rPr>
      <w:spacing w:val="2"/>
    </w:rPr>
  </w:style>
  <w:style w:type="paragraph" w:styleId="Footer">
    <w:name w:val="footer"/>
    <w:basedOn w:val="Normal"/>
    <w:link w:val="FooterChar"/>
    <w:uiPriority w:val="24"/>
    <w:rsid w:val="00CB3976"/>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CB3976"/>
    <w:rPr>
      <w:noProof/>
      <w:spacing w:val="2"/>
      <w:sz w:val="18"/>
      <w:szCs w:val="18"/>
    </w:rPr>
  </w:style>
  <w:style w:type="character" w:styleId="PageNumber">
    <w:name w:val="page number"/>
    <w:uiPriority w:val="49"/>
    <w:semiHidden/>
    <w:rsid w:val="00BB59E0"/>
    <w:rPr>
      <w:rFonts w:asciiTheme="minorHAnsi" w:hAnsiTheme="minorHAnsi"/>
      <w:b w:val="0"/>
      <w:color w:val="000000" w:themeColor="text1"/>
    </w:rPr>
  </w:style>
  <w:style w:type="paragraph" w:styleId="TOCHeading">
    <w:name w:val="TOC Heading"/>
    <w:basedOn w:val="Heading1"/>
    <w:next w:val="Normal"/>
    <w:uiPriority w:val="39"/>
    <w:rsid w:val="00D44953"/>
    <w:pPr>
      <w:spacing w:before="480" w:after="720"/>
      <w:outlineLvl w:val="9"/>
    </w:pPr>
    <w:rPr>
      <w:spacing w:val="2"/>
    </w:rPr>
  </w:style>
  <w:style w:type="paragraph" w:customStyle="1" w:styleId="NormalTight">
    <w:name w:val="Normal Tight"/>
    <w:uiPriority w:val="99"/>
    <w:semiHidden/>
    <w:rsid w:val="008D0281"/>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750CBE"/>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750CBE"/>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26B32"/>
    <w:pPr>
      <w:spacing w:before="5800"/>
      <w:ind w:right="1382"/>
    </w:pPr>
  </w:style>
  <w:style w:type="paragraph" w:styleId="TOC4">
    <w:name w:val="toc 4"/>
    <w:basedOn w:val="TOC1"/>
    <w:next w:val="Normal"/>
    <w:uiPriority w:val="39"/>
    <w:rsid w:val="00CD3D1B"/>
    <w:pPr>
      <w:ind w:left="450" w:hanging="450"/>
    </w:pPr>
    <w:rPr>
      <w:noProof/>
      <w:lang w:eastAsia="en-US"/>
    </w:rPr>
  </w:style>
  <w:style w:type="paragraph" w:styleId="TOC5">
    <w:name w:val="toc 5"/>
    <w:basedOn w:val="TOC2"/>
    <w:next w:val="Normal"/>
    <w:uiPriority w:val="39"/>
    <w:rsid w:val="00CD3D1B"/>
    <w:pPr>
      <w:ind w:left="1080" w:hanging="634"/>
    </w:pPr>
    <w:rPr>
      <w:lang w:eastAsia="en-US"/>
    </w:rPr>
  </w:style>
  <w:style w:type="paragraph" w:styleId="TOC6">
    <w:name w:val="toc 6"/>
    <w:basedOn w:val="TOC3"/>
    <w:next w:val="Normal"/>
    <w:uiPriority w:val="39"/>
    <w:rsid w:val="00C06EB5"/>
    <w:pPr>
      <w:ind w:left="1800" w:hanging="720"/>
    </w:pPr>
    <w:rPr>
      <w:lang w:eastAsia="en-US"/>
    </w:rPr>
  </w:style>
  <w:style w:type="table" w:customStyle="1" w:styleId="DTFtexttable">
    <w:name w:val="DTF text table"/>
    <w:basedOn w:val="TableGrid"/>
    <w:uiPriority w:val="99"/>
    <w:rsid w:val="00995526"/>
    <w:pPr>
      <w:spacing w:before="30" w:after="30" w:line="264" w:lineRule="auto"/>
      <w:jc w:val="left"/>
    </w:pPr>
    <w:tblPr>
      <w:tblStyleRowBandSize w:val="1"/>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A21CFD"/>
    <w:pPr>
      <w:spacing w:before="30" w:after="30" w:line="264" w:lineRule="auto"/>
    </w:pPr>
    <w:tblPr>
      <w:tblStyleRowBandSize w:val="1"/>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F37F2"/>
    <w:pPr>
      <w:spacing w:before="60" w:after="60" w:line="264" w:lineRule="auto"/>
    </w:pPr>
    <w:rPr>
      <w:sz w:val="17"/>
    </w:rPr>
  </w:style>
  <w:style w:type="paragraph" w:customStyle="1" w:styleId="Tabletextright">
    <w:name w:val="Table text right"/>
    <w:basedOn w:val="Tabletext"/>
    <w:uiPriority w:val="5"/>
    <w:qFormat/>
    <w:rsid w:val="00B9053B"/>
    <w:pPr>
      <w:jc w:val="right"/>
    </w:pPr>
  </w:style>
  <w:style w:type="paragraph" w:customStyle="1" w:styleId="Listnumindent2">
    <w:name w:val="List num indent 2"/>
    <w:basedOn w:val="Normal"/>
    <w:uiPriority w:val="9"/>
    <w:qFormat/>
    <w:rsid w:val="00102379"/>
    <w:pPr>
      <w:numPr>
        <w:ilvl w:val="7"/>
        <w:numId w:val="4"/>
      </w:numPr>
      <w:spacing w:before="100"/>
      <w:contextualSpacing/>
    </w:pPr>
  </w:style>
  <w:style w:type="paragraph" w:customStyle="1" w:styleId="Listnumindent">
    <w:name w:val="List num indent"/>
    <w:basedOn w:val="Normal"/>
    <w:uiPriority w:val="9"/>
    <w:qFormat/>
    <w:rsid w:val="00102379"/>
    <w:pPr>
      <w:numPr>
        <w:ilvl w:val="6"/>
        <w:numId w:val="4"/>
      </w:numPr>
      <w:spacing w:before="100"/>
    </w:pPr>
  </w:style>
  <w:style w:type="paragraph" w:customStyle="1" w:styleId="Listnum">
    <w:name w:val="List num"/>
    <w:basedOn w:val="Normal"/>
    <w:uiPriority w:val="2"/>
    <w:qFormat/>
    <w:rsid w:val="004A7519"/>
    <w:pPr>
      <w:numPr>
        <w:numId w:val="4"/>
      </w:numPr>
    </w:pPr>
  </w:style>
  <w:style w:type="paragraph" w:customStyle="1" w:styleId="Listnum2">
    <w:name w:val="List num 2"/>
    <w:basedOn w:val="Normal"/>
    <w:uiPriority w:val="2"/>
    <w:qFormat/>
    <w:rsid w:val="004A7519"/>
    <w:pPr>
      <w:numPr>
        <w:ilvl w:val="1"/>
        <w:numId w:val="4"/>
      </w:numPr>
    </w:pPr>
  </w:style>
  <w:style w:type="paragraph" w:customStyle="1" w:styleId="Tabletextcentred">
    <w:name w:val="Table text centred"/>
    <w:basedOn w:val="Tabletext"/>
    <w:uiPriority w:val="5"/>
    <w:qFormat/>
    <w:rsid w:val="00B9053B"/>
    <w:pPr>
      <w:jc w:val="center"/>
    </w:pPr>
  </w:style>
  <w:style w:type="paragraph" w:customStyle="1" w:styleId="Tableheader">
    <w:name w:val="Table header"/>
    <w:basedOn w:val="Tabletext"/>
    <w:uiPriority w:val="5"/>
    <w:qFormat/>
    <w:rsid w:val="002B5E2B"/>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937A10"/>
    <w:pPr>
      <w:numPr>
        <w:numId w:val="32"/>
      </w:numPr>
    </w:pPr>
  </w:style>
  <w:style w:type="paragraph" w:customStyle="1" w:styleId="Tabledash">
    <w:name w:val="Table dash"/>
    <w:basedOn w:val="Tablebullet"/>
    <w:uiPriority w:val="6"/>
    <w:rsid w:val="00937A10"/>
    <w:pPr>
      <w:numPr>
        <w:ilvl w:val="1"/>
      </w:numPr>
    </w:pPr>
  </w:style>
  <w:style w:type="paragraph" w:customStyle="1" w:styleId="Tabletextindent">
    <w:name w:val="Table text indent"/>
    <w:basedOn w:val="Tabletext"/>
    <w:uiPriority w:val="5"/>
    <w:qFormat/>
    <w:rsid w:val="00C11CD1"/>
    <w:pPr>
      <w:ind w:left="288"/>
    </w:pPr>
  </w:style>
  <w:style w:type="paragraph" w:styleId="ListParagraph">
    <w:name w:val="List Paragraph"/>
    <w:basedOn w:val="Normal"/>
    <w:uiPriority w:val="34"/>
    <w:semiHidden/>
    <w:qFormat/>
    <w:rsid w:val="004231B5"/>
    <w:pPr>
      <w:ind w:left="720"/>
      <w:contextualSpacing/>
    </w:pPr>
  </w:style>
  <w:style w:type="paragraph" w:customStyle="1" w:styleId="Numpara">
    <w:name w:val="Num para"/>
    <w:basedOn w:val="ListParagraph"/>
    <w:uiPriority w:val="2"/>
    <w:qFormat/>
    <w:rsid w:val="00C72252"/>
    <w:pPr>
      <w:numPr>
        <w:numId w:val="7"/>
      </w:numPr>
      <w:tabs>
        <w:tab w:val="left" w:pos="540"/>
      </w:tabs>
      <w:ind w:left="504" w:hanging="504"/>
    </w:pPr>
  </w:style>
  <w:style w:type="paragraph" w:styleId="FootnoteText">
    <w:name w:val="footnote text"/>
    <w:basedOn w:val="Normal"/>
    <w:link w:val="FootnoteTextChar"/>
    <w:uiPriority w:val="99"/>
    <w:rsid w:val="00BC6E19"/>
    <w:pPr>
      <w:spacing w:before="0" w:after="0" w:line="240" w:lineRule="auto"/>
    </w:pPr>
    <w:rPr>
      <w:sz w:val="17"/>
    </w:rPr>
  </w:style>
  <w:style w:type="character" w:customStyle="1" w:styleId="FootnoteTextChar">
    <w:name w:val="Footnote Text Char"/>
    <w:basedOn w:val="DefaultParagraphFont"/>
    <w:link w:val="FootnoteText"/>
    <w:uiPriority w:val="99"/>
    <w:rsid w:val="00BC6E19"/>
    <w:rPr>
      <w:spacing w:val="2"/>
      <w:sz w:val="17"/>
    </w:rPr>
  </w:style>
  <w:style w:type="character" w:styleId="FootnoteReference">
    <w:name w:val="footnote reference"/>
    <w:basedOn w:val="DefaultParagraphFont"/>
    <w:uiPriority w:val="99"/>
    <w:rsid w:val="00726D2F"/>
    <w:rPr>
      <w:vertAlign w:val="superscript"/>
    </w:rPr>
  </w:style>
  <w:style w:type="table" w:customStyle="1" w:styleId="DTFtexttableindent">
    <w:name w:val="DTF text table indent"/>
    <w:basedOn w:val="DTFtexttable"/>
    <w:uiPriority w:val="99"/>
    <w:rsid w:val="005B76DF"/>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indent">
    <w:name w:val="DTF financial table indent"/>
    <w:basedOn w:val="DTFfinancialtable"/>
    <w:uiPriority w:val="99"/>
    <w:rsid w:val="006E6CDF"/>
    <w:pPr>
      <w:spacing w:after="0" w:line="240" w:lineRule="auto"/>
    </w:pPr>
    <w:tblPr>
      <w:tblInd w:w="821" w:type="dxa"/>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Numparaindent">
    <w:name w:val="Num para indent"/>
    <w:basedOn w:val="Numpara"/>
    <w:uiPriority w:val="9"/>
    <w:qFormat/>
    <w:rsid w:val="002F2953"/>
    <w:pPr>
      <w:numPr>
        <w:ilvl w:val="8"/>
        <w:numId w:val="4"/>
      </w:numPr>
      <w:tabs>
        <w:tab w:val="clear" w:pos="540"/>
      </w:tabs>
    </w:pPr>
  </w:style>
  <w:style w:type="paragraph" w:customStyle="1" w:styleId="NoteNormalindent">
    <w:name w:val="Note Normal indent"/>
    <w:basedOn w:val="NoteNormal"/>
    <w:uiPriority w:val="9"/>
    <w:rsid w:val="002D2A2B"/>
    <w:pPr>
      <w:keepNext w:val="0"/>
      <w:ind w:left="792"/>
    </w:pPr>
  </w:style>
  <w:style w:type="paragraph" w:customStyle="1" w:styleId="Tablenum1">
    <w:name w:val="Table num 1"/>
    <w:basedOn w:val="Normal"/>
    <w:uiPriority w:val="6"/>
    <w:rsid w:val="007F723F"/>
    <w:pPr>
      <w:numPr>
        <w:ilvl w:val="2"/>
        <w:numId w:val="32"/>
      </w:numPr>
      <w:spacing w:before="60" w:after="60"/>
    </w:pPr>
    <w:rPr>
      <w:sz w:val="17"/>
    </w:rPr>
  </w:style>
  <w:style w:type="paragraph" w:customStyle="1" w:styleId="Tablenum2">
    <w:name w:val="Table num 2"/>
    <w:basedOn w:val="Normal"/>
    <w:uiPriority w:val="6"/>
    <w:rsid w:val="002D5A52"/>
    <w:pPr>
      <w:numPr>
        <w:ilvl w:val="3"/>
        <w:numId w:val="32"/>
      </w:numPr>
      <w:spacing w:before="60" w:after="60" w:line="240" w:lineRule="auto"/>
    </w:pPr>
    <w:rPr>
      <w:rFonts w:eastAsiaTheme="minorHAnsi"/>
      <w:sz w:val="17"/>
      <w:szCs w:val="21"/>
      <w:lang w:eastAsia="en-US"/>
    </w:rPr>
  </w:style>
  <w:style w:type="paragraph" w:styleId="Caption">
    <w:name w:val="caption"/>
    <w:basedOn w:val="Normal"/>
    <w:next w:val="Normal"/>
    <w:uiPriority w:val="13"/>
    <w:qFormat/>
    <w:rsid w:val="0060163A"/>
    <w:pPr>
      <w:spacing w:before="0" w:after="200" w:line="240" w:lineRule="auto"/>
    </w:pPr>
    <w:rPr>
      <w:b/>
      <w:bCs/>
      <w:color w:val="383834" w:themeColor="background2" w:themeShade="40"/>
      <w:sz w:val="18"/>
      <w:szCs w:val="18"/>
    </w:rPr>
  </w:style>
  <w:style w:type="paragraph" w:customStyle="1" w:styleId="Tablechartdiagramheading">
    <w:name w:val="Table/chart/diagram heading"/>
    <w:uiPriority w:val="4"/>
    <w:qFormat/>
    <w:rsid w:val="00E82C21"/>
    <w:pPr>
      <w:tabs>
        <w:tab w:val="left" w:pos="1080"/>
      </w:tabs>
      <w:spacing w:before="160" w:after="100"/>
    </w:pPr>
    <w:rPr>
      <w:b/>
      <w:bCs/>
      <w:color w:val="0063A6" w:themeColor="accent1"/>
      <w:spacing w:val="2"/>
      <w:sz w:val="18"/>
      <w:szCs w:val="18"/>
    </w:rPr>
  </w:style>
  <w:style w:type="character" w:styleId="PlaceholderText">
    <w:name w:val="Placeholder Text"/>
    <w:basedOn w:val="DefaultParagraphFont"/>
    <w:uiPriority w:val="99"/>
    <w:semiHidden/>
    <w:rsid w:val="00966115"/>
    <w:rPr>
      <w:color w:val="808080"/>
    </w:rPr>
  </w:style>
  <w:style w:type="paragraph" w:customStyle="1" w:styleId="Source">
    <w:name w:val="Source"/>
    <w:basedOn w:val="Normal"/>
    <w:qFormat/>
    <w:rsid w:val="009A37BF"/>
    <w:pPr>
      <w:spacing w:before="0" w:line="240" w:lineRule="auto"/>
      <w:ind w:left="792"/>
    </w:pPr>
    <w:rPr>
      <w:rFonts w:ascii="Calibri" w:eastAsia="Times New Roman" w:hAnsi="Calibri" w:cs="Calibri"/>
      <w:spacing w:val="0"/>
      <w:sz w:val="18"/>
      <w:szCs w:val="18"/>
    </w:rPr>
  </w:style>
  <w:style w:type="character" w:customStyle="1" w:styleId="Heading5Char">
    <w:name w:val="Heading 5 Char"/>
    <w:basedOn w:val="DefaultParagraphFont"/>
    <w:link w:val="Heading5"/>
    <w:uiPriority w:val="3"/>
    <w:rsid w:val="009A37BF"/>
    <w:rPr>
      <w:rFonts w:ascii="Calibri" w:eastAsia="Times New Roman" w:hAnsi="Calibri" w:cs="Calibri"/>
      <w:b/>
      <w:bCs/>
      <w:i/>
      <w:color w:val="404040"/>
      <w:sz w:val="22"/>
      <w:szCs w:val="22"/>
      <w:lang w:eastAsia="en-US"/>
    </w:rPr>
  </w:style>
  <w:style w:type="character" w:customStyle="1" w:styleId="Heading6Char">
    <w:name w:val="Heading 6 Char"/>
    <w:basedOn w:val="DefaultParagraphFont"/>
    <w:link w:val="Heading6"/>
    <w:uiPriority w:val="3"/>
    <w:semiHidden/>
    <w:rsid w:val="009A37BF"/>
    <w:rPr>
      <w:rFonts w:ascii="Calibri" w:eastAsia="Times New Roman" w:hAnsi="Calibri" w:cs="Calibri"/>
      <w:b/>
      <w:bCs/>
      <w:i/>
      <w:iCs/>
      <w:color w:val="404040"/>
      <w:sz w:val="22"/>
      <w:szCs w:val="22"/>
      <w:lang w:eastAsia="en-US"/>
    </w:rPr>
  </w:style>
  <w:style w:type="character" w:customStyle="1" w:styleId="Heading7Char">
    <w:name w:val="Heading 7 Char"/>
    <w:basedOn w:val="DefaultParagraphFont"/>
    <w:link w:val="Heading7"/>
    <w:uiPriority w:val="3"/>
    <w:semiHidden/>
    <w:rsid w:val="009A37BF"/>
    <w:rPr>
      <w:rFonts w:ascii="Calibri" w:eastAsia="Times New Roman" w:hAnsi="Calibri" w:cs="Calibri"/>
      <w:b/>
      <w:bCs/>
      <w:iCs/>
      <w:color w:val="404040"/>
      <w:sz w:val="22"/>
      <w:szCs w:val="22"/>
      <w:lang w:eastAsia="en-US"/>
    </w:rPr>
  </w:style>
  <w:style w:type="character" w:customStyle="1" w:styleId="Heading8Char">
    <w:name w:val="Heading 8 Char"/>
    <w:basedOn w:val="DefaultParagraphFont"/>
    <w:link w:val="Heading8"/>
    <w:uiPriority w:val="3"/>
    <w:semiHidden/>
    <w:rsid w:val="009A37BF"/>
    <w:rPr>
      <w:rFonts w:ascii="Calibri" w:eastAsia="Times New Roman" w:hAnsi="Calibri" w:cs="Calibri"/>
      <w:bCs/>
      <w:iCs/>
      <w:color w:val="404040"/>
      <w:sz w:val="22"/>
      <w:szCs w:val="22"/>
      <w:lang w:eastAsia="en-US"/>
    </w:rPr>
  </w:style>
  <w:style w:type="character" w:customStyle="1" w:styleId="Heading9Char">
    <w:name w:val="Heading 9 Char"/>
    <w:basedOn w:val="DefaultParagraphFont"/>
    <w:link w:val="Heading9"/>
    <w:uiPriority w:val="3"/>
    <w:semiHidden/>
    <w:rsid w:val="009A37BF"/>
    <w:rPr>
      <w:rFonts w:ascii="Calibri" w:eastAsia="Times New Roman" w:hAnsi="Calibri" w:cs="Calibri"/>
      <w:bCs/>
      <w:iCs/>
      <w:color w:val="404040"/>
      <w:sz w:val="22"/>
      <w:szCs w:val="22"/>
      <w:lang w:eastAsia="en-US"/>
    </w:rPr>
  </w:style>
  <w:style w:type="paragraph" w:customStyle="1" w:styleId="Bullet3">
    <w:name w:val="Bullet 3"/>
    <w:basedOn w:val="Bullet2"/>
    <w:uiPriority w:val="11"/>
    <w:rsid w:val="009A37BF"/>
    <w:pPr>
      <w:numPr>
        <w:ilvl w:val="0"/>
        <w:numId w:val="0"/>
      </w:numPr>
      <w:tabs>
        <w:tab w:val="num" w:pos="1644"/>
      </w:tabs>
      <w:spacing w:before="80" w:after="80"/>
      <w:ind w:left="1644" w:hanging="283"/>
      <w:contextualSpacing w:val="0"/>
    </w:pPr>
    <w:rPr>
      <w:rFonts w:ascii="Calibri" w:hAnsi="Calibri"/>
      <w:spacing w:val="0"/>
      <w:sz w:val="22"/>
      <w:szCs w:val="22"/>
    </w:rPr>
  </w:style>
  <w:style w:type="paragraph" w:customStyle="1" w:styleId="Attachment1">
    <w:name w:val="Attachment 1"/>
    <w:next w:val="Normal"/>
    <w:uiPriority w:val="19"/>
    <w:qFormat/>
    <w:rsid w:val="009A37BF"/>
    <w:pPr>
      <w:pageBreakBefore/>
      <w:numPr>
        <w:numId w:val="11"/>
      </w:numPr>
      <w:pBdr>
        <w:bottom w:val="single" w:sz="4" w:space="1" w:color="404040"/>
      </w:pBdr>
      <w:spacing w:before="400" w:after="1200" w:line="240" w:lineRule="auto"/>
    </w:pPr>
    <w:rPr>
      <w:rFonts w:ascii="Calibri" w:eastAsia="Times New Roman" w:hAnsi="Calibri" w:cs="Calibri"/>
      <w:color w:val="404040"/>
      <w:sz w:val="40"/>
      <w:szCs w:val="22"/>
      <w:lang w:eastAsia="en-US"/>
    </w:rPr>
  </w:style>
  <w:style w:type="paragraph" w:customStyle="1" w:styleId="TableText0">
    <w:name w:val="Table Text"/>
    <w:basedOn w:val="Normal"/>
    <w:uiPriority w:val="15"/>
    <w:qFormat/>
    <w:rsid w:val="009A37BF"/>
    <w:pPr>
      <w:spacing w:before="20" w:after="20" w:line="240" w:lineRule="auto"/>
    </w:pPr>
    <w:rPr>
      <w:rFonts w:ascii="Calibri" w:eastAsia="Times New Roman" w:hAnsi="Calibri" w:cs="Calibri"/>
      <w:spacing w:val="0"/>
      <w:szCs w:val="22"/>
    </w:rPr>
  </w:style>
  <w:style w:type="paragraph" w:customStyle="1" w:styleId="TableHeader0">
    <w:name w:val="Table Header"/>
    <w:basedOn w:val="TableText0"/>
    <w:uiPriority w:val="15"/>
    <w:qFormat/>
    <w:rsid w:val="009A37BF"/>
    <w:pPr>
      <w:keepNext/>
      <w:spacing w:before="40" w:after="40"/>
    </w:pPr>
    <w:rPr>
      <w:color w:val="333333"/>
      <w:sz w:val="24"/>
    </w:rPr>
  </w:style>
  <w:style w:type="numbering" w:customStyle="1" w:styleId="Tablenum">
    <w:name w:val="Table num"/>
    <w:uiPriority w:val="99"/>
    <w:rsid w:val="009A37BF"/>
    <w:pPr>
      <w:numPr>
        <w:numId w:val="20"/>
      </w:numPr>
    </w:pPr>
  </w:style>
  <w:style w:type="paragraph" w:customStyle="1" w:styleId="TableBullet0">
    <w:name w:val="Table Bullet"/>
    <w:basedOn w:val="TableText0"/>
    <w:uiPriority w:val="10"/>
    <w:qFormat/>
    <w:rsid w:val="009A37BF"/>
    <w:pPr>
      <w:numPr>
        <w:numId w:val="26"/>
      </w:numPr>
      <w:spacing w:before="0" w:after="0"/>
    </w:pPr>
  </w:style>
  <w:style w:type="paragraph" w:customStyle="1" w:styleId="TableBulletDash">
    <w:name w:val="Table Bullet Dash"/>
    <w:basedOn w:val="Normal"/>
    <w:uiPriority w:val="10"/>
    <w:rsid w:val="009A37BF"/>
    <w:pPr>
      <w:numPr>
        <w:ilvl w:val="1"/>
        <w:numId w:val="26"/>
      </w:numPr>
      <w:spacing w:before="0" w:after="0" w:line="240" w:lineRule="auto"/>
    </w:pPr>
    <w:rPr>
      <w:rFonts w:ascii="Calibri" w:eastAsia="Times New Roman" w:hAnsi="Calibri" w:cs="Calibri"/>
      <w:spacing w:val="0"/>
      <w:szCs w:val="22"/>
    </w:rPr>
  </w:style>
  <w:style w:type="paragraph" w:styleId="NormalWeb">
    <w:name w:val="Normal (Web)"/>
    <w:basedOn w:val="Normal"/>
    <w:uiPriority w:val="99"/>
    <w:semiHidden/>
    <w:unhideWhenUsed/>
    <w:rsid w:val="006659BD"/>
    <w:pPr>
      <w:spacing w:before="100" w:beforeAutospacing="1" w:afterAutospacing="1" w:line="240" w:lineRule="auto"/>
    </w:pPr>
    <w:rPr>
      <w:rFonts w:ascii="Times New Roman" w:hAnsi="Times New Roman" w:cs="Times New Roman"/>
      <w:spacing w:val="0"/>
      <w:sz w:val="24"/>
      <w:szCs w:val="24"/>
    </w:rPr>
  </w:style>
  <w:style w:type="character" w:styleId="CommentReference">
    <w:name w:val="annotation reference"/>
    <w:basedOn w:val="DefaultParagraphFont"/>
    <w:uiPriority w:val="99"/>
    <w:semiHidden/>
    <w:rsid w:val="00A27AA9"/>
    <w:rPr>
      <w:sz w:val="16"/>
      <w:szCs w:val="16"/>
    </w:rPr>
  </w:style>
  <w:style w:type="paragraph" w:styleId="CommentText">
    <w:name w:val="annotation text"/>
    <w:basedOn w:val="Normal"/>
    <w:link w:val="CommentTextChar"/>
    <w:uiPriority w:val="99"/>
    <w:semiHidden/>
    <w:rsid w:val="00A27AA9"/>
    <w:pPr>
      <w:spacing w:line="240" w:lineRule="auto"/>
    </w:pPr>
  </w:style>
  <w:style w:type="character" w:customStyle="1" w:styleId="CommentTextChar">
    <w:name w:val="Comment Text Char"/>
    <w:basedOn w:val="DefaultParagraphFont"/>
    <w:link w:val="CommentText"/>
    <w:uiPriority w:val="99"/>
    <w:semiHidden/>
    <w:rsid w:val="00A27AA9"/>
    <w:rPr>
      <w:spacing w:val="2"/>
    </w:rPr>
  </w:style>
  <w:style w:type="paragraph" w:styleId="CommentSubject">
    <w:name w:val="annotation subject"/>
    <w:basedOn w:val="CommentText"/>
    <w:next w:val="CommentText"/>
    <w:link w:val="CommentSubjectChar"/>
    <w:uiPriority w:val="99"/>
    <w:semiHidden/>
    <w:rsid w:val="00A27AA9"/>
    <w:rPr>
      <w:b/>
      <w:bCs/>
    </w:rPr>
  </w:style>
  <w:style w:type="character" w:customStyle="1" w:styleId="CommentSubjectChar">
    <w:name w:val="Comment Subject Char"/>
    <w:basedOn w:val="CommentTextChar"/>
    <w:link w:val="CommentSubject"/>
    <w:uiPriority w:val="99"/>
    <w:semiHidden/>
    <w:rsid w:val="00A27AA9"/>
    <w:rPr>
      <w:b/>
      <w:bCs/>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rmation@dtf.vic.gov.au" TargetMode="External"/><Relationship Id="rId18" Type="http://schemas.openxmlformats.org/officeDocument/2006/relationships/footer" Target="footer2.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IPpolicy@dtf.vic.gov.au" TargetMode="External"/><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4.0/" TargetMode="External"/><Relationship Id="rId24" Type="http://schemas.openxmlformats.org/officeDocument/2006/relationships/footer" Target="footer5.xml"/><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footer" Target="footer7.xml"/><Relationship Id="rId10" Type="http://schemas.openxmlformats.org/officeDocument/2006/relationships/image" Target="media/image1.png"/><Relationship Id="rId19" Type="http://schemas.openxmlformats.org/officeDocument/2006/relationships/header" Target="header3.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hyperlink" Target="http://creativecommons.org/licenses/by/3.0/au/" TargetMode="External"/><Relationship Id="rId14" Type="http://schemas.openxmlformats.org/officeDocument/2006/relationships/hyperlink" Target="http://www.dtf.vic.gov.au" TargetMode="External"/><Relationship Id="rId22" Type="http://schemas.openxmlformats.org/officeDocument/2006/relationships/header" Target="header5.xml"/><Relationship Id="rId27" Type="http://schemas.openxmlformats.org/officeDocument/2006/relationships/footer" Target="footer6.xml"/><Relationship Id="rId30" Type="http://schemas.openxmlformats.org/officeDocument/2006/relationships/header" Target="header9.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8.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_rels/header7.xml.rels><?xml version="1.0" encoding="UTF-8" standalone="yes"?>
<Relationships xmlns="http://schemas.openxmlformats.org/package/2006/relationships"><Relationship Id="rId1" Type="http://schemas.openxmlformats.org/officeDocument/2006/relationships/image" Target="media/image5.png"/></Relationships>
</file>

<file path=word/_rels/header8.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Corporate\Reports.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EBCCE-49FA-4E3B-B005-12E0E2837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Reports.dotx</Template>
  <TotalTime>29</TotalTime>
  <Pages>30</Pages>
  <Words>7610</Words>
  <Characters>43381</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50890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Steain</dc:creator>
  <cp:lastModifiedBy>Zachariah Fankhauser</cp:lastModifiedBy>
  <cp:revision>6</cp:revision>
  <cp:lastPrinted>2017-05-26T01:31:00Z</cp:lastPrinted>
  <dcterms:created xsi:type="dcterms:W3CDTF">2017-05-30T00:38:00Z</dcterms:created>
  <dcterms:modified xsi:type="dcterms:W3CDTF">2018-04-17T04:15:00Z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a5797578-bf65-4fba-b1ed-aee034f37776</vt:lpwstr>
  </property>
  <property fmtid="{D5CDD505-2E9C-101B-9397-08002B2CF9AE}" pid="3" name="PSPFClassification">
    <vt:lpwstr>Do Not Mark</vt:lpwstr>
  </property>
</Properties>
</file>