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DFA" w:rsidRPr="007B2462" w:rsidRDefault="00552DFA" w:rsidP="001B09E2">
      <w:pPr>
        <w:pBdr>
          <w:bottom w:val="single" w:sz="12" w:space="0" w:color="auto"/>
        </w:pBdr>
        <w:spacing w:before="1560"/>
        <w:jc w:val="center"/>
        <w:rPr>
          <w:rFonts w:ascii="Calibri" w:hAnsi="Calibri"/>
          <w:b/>
          <w:sz w:val="52"/>
          <w:szCs w:val="52"/>
        </w:rPr>
      </w:pPr>
      <w:r>
        <w:rPr>
          <w:rFonts w:ascii="Calibri" w:hAnsi="Calibri"/>
          <w:b/>
          <w:sz w:val="52"/>
          <w:szCs w:val="52"/>
        </w:rPr>
        <w:t>Strategy and</w:t>
      </w:r>
      <w:bookmarkStart w:id="0" w:name="_GoBack"/>
      <w:bookmarkEnd w:id="0"/>
      <w:r>
        <w:rPr>
          <w:rFonts w:ascii="Calibri" w:hAnsi="Calibri"/>
          <w:b/>
          <w:sz w:val="52"/>
          <w:szCs w:val="52"/>
        </w:rPr>
        <w:t xml:space="preserve"> Outlook</w:t>
      </w:r>
    </w:p>
    <w:p w:rsidR="00552DFA" w:rsidRPr="00E34C95" w:rsidRDefault="00552DFA" w:rsidP="001B09E2">
      <w:pPr>
        <w:jc w:val="center"/>
        <w:rPr>
          <w:rFonts w:ascii="Calibri" w:hAnsi="Calibri"/>
          <w:b/>
          <w:sz w:val="50"/>
          <w:szCs w:val="52"/>
        </w:rPr>
      </w:pPr>
      <w:r w:rsidRPr="007B2462">
        <w:rPr>
          <w:rFonts w:ascii="Calibri" w:hAnsi="Calibri"/>
          <w:b/>
          <w:sz w:val="52"/>
          <w:szCs w:val="52"/>
        </w:rPr>
        <w:t>201</w:t>
      </w:r>
      <w:r>
        <w:rPr>
          <w:rFonts w:ascii="Calibri" w:hAnsi="Calibri"/>
          <w:b/>
          <w:sz w:val="52"/>
          <w:szCs w:val="52"/>
        </w:rPr>
        <w:t>7</w:t>
      </w:r>
      <w:r>
        <w:rPr>
          <w:rFonts w:ascii="Calibri" w:hAnsi="Calibri"/>
          <w:b/>
          <w:sz w:val="52"/>
          <w:szCs w:val="52"/>
        </w:rPr>
        <w:noBreakHyphen/>
        <w:t>18</w:t>
      </w:r>
    </w:p>
    <w:p w:rsidR="00552DFA" w:rsidRDefault="00552DFA" w:rsidP="001B09E2">
      <w:pPr>
        <w:jc w:val="center"/>
        <w:rPr>
          <w:rFonts w:ascii="Calibri" w:hAnsi="Calibri"/>
          <w:sz w:val="30"/>
          <w:szCs w:val="30"/>
        </w:rPr>
      </w:pPr>
    </w:p>
    <w:p w:rsidR="00552DFA" w:rsidRPr="007B2462" w:rsidRDefault="00552DFA" w:rsidP="001B09E2">
      <w:pPr>
        <w:jc w:val="center"/>
        <w:rPr>
          <w:rFonts w:ascii="Calibri" w:hAnsi="Calibri"/>
          <w:sz w:val="30"/>
          <w:szCs w:val="30"/>
        </w:rPr>
      </w:pPr>
    </w:p>
    <w:p w:rsidR="00552DFA" w:rsidRPr="007B2462" w:rsidRDefault="00552DFA" w:rsidP="001B09E2">
      <w:pPr>
        <w:jc w:val="center"/>
      </w:pPr>
      <w:r w:rsidRPr="00D26163">
        <w:rPr>
          <w:rFonts w:ascii="Calibri" w:hAnsi="Calibri" w:cs="Calibri"/>
          <w:noProof/>
          <w:lang w:eastAsia="en-AU"/>
        </w:rPr>
        <w:drawing>
          <wp:inline distT="0" distB="0" distL="0" distR="0" wp14:anchorId="4EB9AA26" wp14:editId="43C1604E">
            <wp:extent cx="940435" cy="1147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rsidR="00552DFA" w:rsidRPr="007B2462" w:rsidRDefault="00552DFA" w:rsidP="001B09E2">
      <w:pPr>
        <w:jc w:val="center"/>
        <w:rPr>
          <w:sz w:val="36"/>
          <w:szCs w:val="36"/>
        </w:rPr>
      </w:pPr>
    </w:p>
    <w:p w:rsidR="00552DFA" w:rsidRPr="007B2462" w:rsidRDefault="00552DFA" w:rsidP="001B09E2">
      <w:pPr>
        <w:jc w:val="center"/>
        <w:rPr>
          <w:sz w:val="36"/>
          <w:szCs w:val="36"/>
        </w:rPr>
      </w:pPr>
    </w:p>
    <w:p w:rsidR="00552DFA" w:rsidRPr="007B2462" w:rsidRDefault="00552DFA" w:rsidP="001B09E2">
      <w:pPr>
        <w:jc w:val="center"/>
        <w:rPr>
          <w:sz w:val="36"/>
          <w:szCs w:val="36"/>
        </w:rPr>
      </w:pPr>
    </w:p>
    <w:p w:rsidR="00552DFA" w:rsidRPr="007B2462" w:rsidRDefault="00552DFA" w:rsidP="001B09E2">
      <w:pPr>
        <w:jc w:val="center"/>
        <w:rPr>
          <w:rFonts w:ascii="Calibri" w:hAnsi="Calibri"/>
          <w:sz w:val="28"/>
          <w:szCs w:val="28"/>
        </w:rPr>
      </w:pPr>
      <w:r w:rsidRPr="007B2462">
        <w:rPr>
          <w:rFonts w:ascii="Calibri" w:hAnsi="Calibri"/>
          <w:sz w:val="28"/>
          <w:szCs w:val="28"/>
        </w:rPr>
        <w:t>Presented by</w:t>
      </w:r>
    </w:p>
    <w:p w:rsidR="00552DFA" w:rsidRPr="00D26163" w:rsidRDefault="00552DFA" w:rsidP="001B09E2">
      <w:pPr>
        <w:jc w:val="center"/>
        <w:rPr>
          <w:rFonts w:ascii="Calibri" w:hAnsi="Calibri" w:cs="Calibri"/>
          <w:b/>
          <w:sz w:val="36"/>
          <w:szCs w:val="36"/>
        </w:rPr>
      </w:pPr>
      <w:r w:rsidRPr="00D26163">
        <w:rPr>
          <w:rFonts w:ascii="Calibri" w:hAnsi="Calibri" w:cs="Calibri"/>
          <w:b/>
          <w:sz w:val="36"/>
          <w:szCs w:val="36"/>
        </w:rPr>
        <w:t>Tim Pallas MP</w:t>
      </w:r>
    </w:p>
    <w:p w:rsidR="00552DFA" w:rsidRPr="00D26163" w:rsidRDefault="00552DFA" w:rsidP="001B09E2">
      <w:pPr>
        <w:jc w:val="center"/>
        <w:rPr>
          <w:rFonts w:ascii="Calibri" w:hAnsi="Calibri" w:cs="Calibri"/>
          <w:sz w:val="28"/>
          <w:szCs w:val="28"/>
        </w:rPr>
      </w:pPr>
      <w:r w:rsidRPr="00D26163">
        <w:rPr>
          <w:rFonts w:ascii="Calibri" w:hAnsi="Calibri" w:cs="Calibri"/>
          <w:sz w:val="28"/>
          <w:szCs w:val="28"/>
        </w:rPr>
        <w:t>Treasurer of the State of Victoria</w:t>
      </w:r>
      <w:r w:rsidR="00356A95">
        <w:rPr>
          <w:rFonts w:ascii="Calibri" w:hAnsi="Calibri" w:cs="Calibri"/>
          <w:sz w:val="28"/>
          <w:szCs w:val="28"/>
        </w:rPr>
        <w:fldChar w:fldCharType="begin"/>
      </w:r>
      <w:r w:rsidR="00356A95">
        <w:rPr>
          <w:rFonts w:ascii="Calibri" w:hAnsi="Calibri" w:cs="Calibri"/>
          <w:sz w:val="28"/>
          <w:szCs w:val="28"/>
        </w:rPr>
        <w:instrText xml:space="preserve"> XE "</w:instrText>
      </w:r>
      <w:r w:rsidR="00356A95">
        <w:instrText>State of Victoria"</w:instrText>
      </w:r>
      <w:r w:rsidR="00356A95">
        <w:rPr>
          <w:rFonts w:ascii="Calibri" w:hAnsi="Calibri" w:cs="Calibri"/>
          <w:sz w:val="28"/>
          <w:szCs w:val="28"/>
        </w:rPr>
        <w:instrText xml:space="preserve"> </w:instrText>
      </w:r>
      <w:r w:rsidR="00356A95">
        <w:rPr>
          <w:rFonts w:ascii="Calibri" w:hAnsi="Calibri" w:cs="Calibri"/>
          <w:sz w:val="28"/>
          <w:szCs w:val="28"/>
        </w:rPr>
        <w:fldChar w:fldCharType="end"/>
      </w:r>
    </w:p>
    <w:p w:rsidR="00552DFA" w:rsidRPr="007B2462" w:rsidRDefault="00552DFA" w:rsidP="001B09E2">
      <w:pPr>
        <w:jc w:val="center"/>
        <w:rPr>
          <w:rFonts w:ascii="Calibri" w:hAnsi="Calibri"/>
          <w:sz w:val="30"/>
          <w:szCs w:val="30"/>
        </w:rPr>
      </w:pPr>
      <w:r w:rsidRPr="007B2462">
        <w:rPr>
          <w:rFonts w:ascii="Calibri" w:hAnsi="Calibri"/>
          <w:sz w:val="30"/>
          <w:szCs w:val="30"/>
        </w:rPr>
        <w:t>for the information of Honourable Members</w:t>
      </w:r>
    </w:p>
    <w:p w:rsidR="00552DFA" w:rsidRPr="007B2462" w:rsidRDefault="00552DFA" w:rsidP="001B09E2">
      <w:pPr>
        <w:jc w:val="center"/>
        <w:rPr>
          <w:rFonts w:ascii="Calibri" w:hAnsi="Calibri"/>
          <w:sz w:val="36"/>
          <w:szCs w:val="36"/>
        </w:rPr>
      </w:pPr>
    </w:p>
    <w:p w:rsidR="00552DFA" w:rsidRDefault="00552DFA" w:rsidP="001B09E2">
      <w:pPr>
        <w:jc w:val="center"/>
        <w:rPr>
          <w:rFonts w:ascii="Calibri" w:hAnsi="Calibri"/>
          <w:b/>
          <w:sz w:val="36"/>
          <w:szCs w:val="36"/>
        </w:rPr>
      </w:pPr>
      <w:r w:rsidRPr="007B2462">
        <w:rPr>
          <w:rFonts w:ascii="Calibri" w:hAnsi="Calibri"/>
          <w:b/>
          <w:sz w:val="36"/>
          <w:szCs w:val="36"/>
        </w:rPr>
        <w:t>Budget Paper No. </w:t>
      </w:r>
      <w:r>
        <w:rPr>
          <w:rFonts w:ascii="Calibri" w:hAnsi="Calibri"/>
          <w:b/>
          <w:sz w:val="36"/>
          <w:szCs w:val="36"/>
        </w:rPr>
        <w:t>2</w:t>
      </w:r>
    </w:p>
    <w:p w:rsidR="00552DFA" w:rsidRDefault="00552DFA">
      <w:pPr>
        <w:keepLines w:val="0"/>
        <w:rPr>
          <w:rFonts w:ascii="Calibri" w:hAnsi="Calibri"/>
          <w:b/>
          <w:sz w:val="36"/>
          <w:szCs w:val="36"/>
        </w:rPr>
      </w:pPr>
      <w:r>
        <w:rPr>
          <w:rFonts w:ascii="Calibri" w:hAnsi="Calibri"/>
          <w:b/>
          <w:sz w:val="36"/>
          <w:szCs w:val="36"/>
        </w:rPr>
        <w:br w:type="page"/>
      </w:r>
    </w:p>
    <w:p w:rsidR="00552DFA" w:rsidRPr="007B2462" w:rsidRDefault="00552DFA" w:rsidP="001B09E2"/>
    <w:p w:rsidR="00552DFA" w:rsidRDefault="00552DFA" w:rsidP="00A171DC"/>
    <w:p w:rsidR="00552DFA" w:rsidRDefault="008F2AE0" w:rsidP="00A171DC">
      <w:pPr>
        <w:sectPr w:rsidR="00552DFA" w:rsidSect="008E76F5">
          <w:type w:val="continuous"/>
          <w:pgSz w:w="9979" w:h="14175" w:code="34"/>
          <w:pgMar w:top="1134" w:right="1134" w:bottom="1134" w:left="1134" w:header="624" w:footer="567" w:gutter="0"/>
          <w:cols w:sep="1" w:space="567"/>
          <w:docGrid w:linePitch="360"/>
        </w:sectPr>
      </w:pPr>
      <w:r w:rsidRPr="008F2AE0">
        <w:rPr>
          <w:noProof/>
          <w:lang w:eastAsia="en-AU"/>
        </w:rPr>
        <w:drawing>
          <wp:anchor distT="0" distB="0" distL="114300" distR="114300" simplePos="0" relativeHeight="251658240" behindDoc="0" locked="0" layoutInCell="1" allowOverlap="1">
            <wp:simplePos x="0" y="0"/>
            <wp:positionH relativeFrom="page">
              <wp:align>center</wp:align>
            </wp:positionH>
            <wp:positionV relativeFrom="page">
              <wp:align>bottom</wp:align>
            </wp:positionV>
            <wp:extent cx="5400000" cy="3160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316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DFA" w:rsidRPr="006F6363" w:rsidRDefault="00552DFA" w:rsidP="00CD716F">
      <w:pPr>
        <w:pBdr>
          <w:bottom w:val="single" w:sz="6" w:space="1" w:color="auto"/>
        </w:pBdr>
        <w:spacing w:before="1080" w:after="360"/>
        <w:rPr>
          <w:rFonts w:ascii="Calibri" w:hAnsi="Calibri"/>
          <w:b/>
          <w:caps/>
          <w:sz w:val="36"/>
        </w:rPr>
      </w:pPr>
      <w:bookmarkStart w:id="1" w:name="_Toc481013395"/>
      <w:r w:rsidRPr="006F6363">
        <w:rPr>
          <w:rFonts w:ascii="Calibri" w:hAnsi="Calibri"/>
          <w:b/>
          <w:caps/>
          <w:sz w:val="36"/>
        </w:rPr>
        <w:lastRenderedPageBreak/>
        <w:t>TABLE OF CONTENTS</w:t>
      </w:r>
      <w:bookmarkEnd w:id="1"/>
    </w:p>
    <w:p w:rsidR="004A1298" w:rsidRDefault="00552DFA">
      <w:pPr>
        <w:pStyle w:val="TOC1"/>
        <w:rPr>
          <w:rFonts w:asciiTheme="minorHAnsi" w:eastAsiaTheme="minorEastAsia" w:hAnsiTheme="minorHAnsi"/>
          <w:b w:val="0"/>
          <w:noProof/>
          <w:spacing w:val="0"/>
          <w:szCs w:val="22"/>
          <w:lang w:eastAsia="en-AU"/>
        </w:rPr>
      </w:pPr>
      <w:r w:rsidRPr="000A1C51">
        <w:rPr>
          <w:b w:val="0"/>
        </w:rPr>
        <w:fldChar w:fldCharType="begin"/>
      </w:r>
      <w:r w:rsidRPr="000A1C51">
        <w:rPr>
          <w:b w:val="0"/>
        </w:rPr>
        <w:instrText xml:space="preserve"> TOC \h \z \t "Heading 1,2,Chapter heading,1,Heading 1 (#),2" </w:instrText>
      </w:r>
      <w:r w:rsidRPr="000A1C51">
        <w:rPr>
          <w:b w:val="0"/>
        </w:rPr>
        <w:fldChar w:fldCharType="separate"/>
      </w:r>
      <w:hyperlink w:anchor="_Toc481246463" w:history="1">
        <w:r w:rsidR="004A1298" w:rsidRPr="002149E0">
          <w:rPr>
            <w:rStyle w:val="Hyperlink"/>
            <w:noProof/>
          </w:rPr>
          <w:t>Chapter 1 – Economic and fiscal overview</w:t>
        </w:r>
        <w:r w:rsidR="004A1298">
          <w:rPr>
            <w:noProof/>
            <w:webHidden/>
          </w:rPr>
          <w:tab/>
        </w:r>
        <w:r w:rsidR="004A1298">
          <w:rPr>
            <w:noProof/>
            <w:webHidden/>
          </w:rPr>
          <w:fldChar w:fldCharType="begin"/>
        </w:r>
        <w:r w:rsidR="004A1298">
          <w:rPr>
            <w:noProof/>
            <w:webHidden/>
          </w:rPr>
          <w:instrText xml:space="preserve"> PAGEREF _Toc481246463 \h </w:instrText>
        </w:r>
        <w:r w:rsidR="004A1298">
          <w:rPr>
            <w:noProof/>
            <w:webHidden/>
          </w:rPr>
        </w:r>
        <w:r w:rsidR="004A1298">
          <w:rPr>
            <w:noProof/>
            <w:webHidden/>
          </w:rPr>
          <w:fldChar w:fldCharType="separate"/>
        </w:r>
        <w:r w:rsidR="008F2AE0">
          <w:rPr>
            <w:noProof/>
            <w:webHidden/>
          </w:rPr>
          <w:t>1</w:t>
        </w:r>
        <w:r w:rsidR="004A1298">
          <w:rPr>
            <w:noProof/>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64" w:history="1">
        <w:r w:rsidR="004A1298" w:rsidRPr="002149E0">
          <w:rPr>
            <w:rStyle w:val="Hyperlink"/>
          </w:rPr>
          <w:t>A strong, growing economy</w:t>
        </w:r>
        <w:r w:rsidR="004A1298">
          <w:rPr>
            <w:webHidden/>
          </w:rPr>
          <w:tab/>
        </w:r>
        <w:r w:rsidR="004A1298">
          <w:rPr>
            <w:webHidden/>
          </w:rPr>
          <w:fldChar w:fldCharType="begin"/>
        </w:r>
        <w:r w:rsidR="004A1298">
          <w:rPr>
            <w:webHidden/>
          </w:rPr>
          <w:instrText xml:space="preserve"> PAGEREF _Toc481246464 \h </w:instrText>
        </w:r>
        <w:r w:rsidR="004A1298">
          <w:rPr>
            <w:webHidden/>
          </w:rPr>
        </w:r>
        <w:r w:rsidR="004A1298">
          <w:rPr>
            <w:webHidden/>
          </w:rPr>
          <w:fldChar w:fldCharType="separate"/>
        </w:r>
        <w:r w:rsidR="008F2AE0">
          <w:rPr>
            <w:webHidden/>
          </w:rPr>
          <w:t>3</w:t>
        </w:r>
        <w:r w:rsidR="004A1298">
          <w:rPr>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65" w:history="1">
        <w:r w:rsidR="004A1298" w:rsidRPr="002149E0">
          <w:rPr>
            <w:rStyle w:val="Hyperlink"/>
          </w:rPr>
          <w:t>Creating and protecting jobs</w:t>
        </w:r>
        <w:r w:rsidR="004A1298">
          <w:rPr>
            <w:webHidden/>
          </w:rPr>
          <w:tab/>
        </w:r>
        <w:r w:rsidR="004A1298">
          <w:rPr>
            <w:webHidden/>
          </w:rPr>
          <w:fldChar w:fldCharType="begin"/>
        </w:r>
        <w:r w:rsidR="004A1298">
          <w:rPr>
            <w:webHidden/>
          </w:rPr>
          <w:instrText xml:space="preserve"> PAGEREF _Toc481246465 \h </w:instrText>
        </w:r>
        <w:r w:rsidR="004A1298">
          <w:rPr>
            <w:webHidden/>
          </w:rPr>
        </w:r>
        <w:r w:rsidR="004A1298">
          <w:rPr>
            <w:webHidden/>
          </w:rPr>
          <w:fldChar w:fldCharType="separate"/>
        </w:r>
        <w:r w:rsidR="008F2AE0">
          <w:rPr>
            <w:webHidden/>
          </w:rPr>
          <w:t>6</w:t>
        </w:r>
        <w:r w:rsidR="004A1298">
          <w:rPr>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66" w:history="1">
        <w:r w:rsidR="004A1298" w:rsidRPr="002149E0">
          <w:rPr>
            <w:rStyle w:val="Hyperlink"/>
          </w:rPr>
          <w:t>Quality transport</w:t>
        </w:r>
        <w:r w:rsidR="004A1298">
          <w:rPr>
            <w:webHidden/>
          </w:rPr>
          <w:tab/>
        </w:r>
        <w:r w:rsidR="004A1298">
          <w:rPr>
            <w:webHidden/>
          </w:rPr>
          <w:fldChar w:fldCharType="begin"/>
        </w:r>
        <w:r w:rsidR="004A1298">
          <w:rPr>
            <w:webHidden/>
          </w:rPr>
          <w:instrText xml:space="preserve"> PAGEREF _Toc481246466 \h </w:instrText>
        </w:r>
        <w:r w:rsidR="004A1298">
          <w:rPr>
            <w:webHidden/>
          </w:rPr>
        </w:r>
        <w:r w:rsidR="004A1298">
          <w:rPr>
            <w:webHidden/>
          </w:rPr>
          <w:fldChar w:fldCharType="separate"/>
        </w:r>
        <w:r w:rsidR="008F2AE0">
          <w:rPr>
            <w:webHidden/>
          </w:rPr>
          <w:t>8</w:t>
        </w:r>
        <w:r w:rsidR="004A1298">
          <w:rPr>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67" w:history="1">
        <w:r w:rsidR="004A1298" w:rsidRPr="002149E0">
          <w:rPr>
            <w:rStyle w:val="Hyperlink"/>
          </w:rPr>
          <w:t>Fair, equitable and thriving communities</w:t>
        </w:r>
        <w:r w:rsidR="004A1298">
          <w:rPr>
            <w:webHidden/>
          </w:rPr>
          <w:tab/>
        </w:r>
        <w:r w:rsidR="004A1298">
          <w:rPr>
            <w:webHidden/>
          </w:rPr>
          <w:fldChar w:fldCharType="begin"/>
        </w:r>
        <w:r w:rsidR="004A1298">
          <w:rPr>
            <w:webHidden/>
          </w:rPr>
          <w:instrText xml:space="preserve"> PAGEREF _Toc481246467 \h </w:instrText>
        </w:r>
        <w:r w:rsidR="004A1298">
          <w:rPr>
            <w:webHidden/>
          </w:rPr>
        </w:r>
        <w:r w:rsidR="004A1298">
          <w:rPr>
            <w:webHidden/>
          </w:rPr>
          <w:fldChar w:fldCharType="separate"/>
        </w:r>
        <w:r w:rsidR="008F2AE0">
          <w:rPr>
            <w:webHidden/>
          </w:rPr>
          <w:t>11</w:t>
        </w:r>
        <w:r w:rsidR="004A1298">
          <w:rPr>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68" w:history="1">
        <w:r w:rsidR="004A1298" w:rsidRPr="002149E0">
          <w:rPr>
            <w:rStyle w:val="Hyperlink"/>
          </w:rPr>
          <w:t>Responsible financial management</w:t>
        </w:r>
        <w:r w:rsidR="004A1298">
          <w:rPr>
            <w:webHidden/>
          </w:rPr>
          <w:tab/>
        </w:r>
        <w:r w:rsidR="004A1298">
          <w:rPr>
            <w:webHidden/>
          </w:rPr>
          <w:fldChar w:fldCharType="begin"/>
        </w:r>
        <w:r w:rsidR="004A1298">
          <w:rPr>
            <w:webHidden/>
          </w:rPr>
          <w:instrText xml:space="preserve"> PAGEREF _Toc481246468 \h </w:instrText>
        </w:r>
        <w:r w:rsidR="004A1298">
          <w:rPr>
            <w:webHidden/>
          </w:rPr>
        </w:r>
        <w:r w:rsidR="004A1298">
          <w:rPr>
            <w:webHidden/>
          </w:rPr>
          <w:fldChar w:fldCharType="separate"/>
        </w:r>
        <w:r w:rsidR="008F2AE0">
          <w:rPr>
            <w:webHidden/>
          </w:rPr>
          <w:t>22</w:t>
        </w:r>
        <w:r w:rsidR="004A1298">
          <w:rPr>
            <w:webHidden/>
          </w:rPr>
          <w:fldChar w:fldCharType="end"/>
        </w:r>
      </w:hyperlink>
    </w:p>
    <w:p w:rsidR="004A1298" w:rsidRDefault="0049535D">
      <w:pPr>
        <w:pStyle w:val="TOC1"/>
        <w:rPr>
          <w:rFonts w:asciiTheme="minorHAnsi" w:eastAsiaTheme="minorEastAsia" w:hAnsiTheme="minorHAnsi"/>
          <w:b w:val="0"/>
          <w:noProof/>
          <w:spacing w:val="0"/>
          <w:szCs w:val="22"/>
          <w:lang w:eastAsia="en-AU"/>
        </w:rPr>
      </w:pPr>
      <w:hyperlink w:anchor="_Toc481246469" w:history="1">
        <w:r w:rsidR="004A1298" w:rsidRPr="002149E0">
          <w:rPr>
            <w:rStyle w:val="Hyperlink"/>
            <w:noProof/>
          </w:rPr>
          <w:t>Chapter 2 – Economic context</w:t>
        </w:r>
        <w:r w:rsidR="004A1298">
          <w:rPr>
            <w:noProof/>
            <w:webHidden/>
          </w:rPr>
          <w:tab/>
        </w:r>
        <w:r w:rsidR="004A1298">
          <w:rPr>
            <w:noProof/>
            <w:webHidden/>
          </w:rPr>
          <w:fldChar w:fldCharType="begin"/>
        </w:r>
        <w:r w:rsidR="004A1298">
          <w:rPr>
            <w:noProof/>
            <w:webHidden/>
          </w:rPr>
          <w:instrText xml:space="preserve"> PAGEREF _Toc481246469 \h </w:instrText>
        </w:r>
        <w:r w:rsidR="004A1298">
          <w:rPr>
            <w:noProof/>
            <w:webHidden/>
          </w:rPr>
        </w:r>
        <w:r w:rsidR="004A1298">
          <w:rPr>
            <w:noProof/>
            <w:webHidden/>
          </w:rPr>
          <w:fldChar w:fldCharType="separate"/>
        </w:r>
        <w:r w:rsidR="008F2AE0">
          <w:rPr>
            <w:noProof/>
            <w:webHidden/>
          </w:rPr>
          <w:t>25</w:t>
        </w:r>
        <w:r w:rsidR="004A1298">
          <w:rPr>
            <w:noProof/>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70" w:history="1">
        <w:r w:rsidR="004A1298" w:rsidRPr="002149E0">
          <w:rPr>
            <w:rStyle w:val="Hyperlink"/>
          </w:rPr>
          <w:t>Victorian economic conditions and outlook</w:t>
        </w:r>
        <w:r w:rsidR="004A1298">
          <w:rPr>
            <w:webHidden/>
          </w:rPr>
          <w:tab/>
        </w:r>
        <w:r w:rsidR="004A1298">
          <w:rPr>
            <w:webHidden/>
          </w:rPr>
          <w:fldChar w:fldCharType="begin"/>
        </w:r>
        <w:r w:rsidR="004A1298">
          <w:rPr>
            <w:webHidden/>
          </w:rPr>
          <w:instrText xml:space="preserve"> PAGEREF _Toc481246470 \h </w:instrText>
        </w:r>
        <w:r w:rsidR="004A1298">
          <w:rPr>
            <w:webHidden/>
          </w:rPr>
        </w:r>
        <w:r w:rsidR="004A1298">
          <w:rPr>
            <w:webHidden/>
          </w:rPr>
          <w:fldChar w:fldCharType="separate"/>
        </w:r>
        <w:r w:rsidR="008F2AE0">
          <w:rPr>
            <w:webHidden/>
          </w:rPr>
          <w:t>25</w:t>
        </w:r>
        <w:r w:rsidR="004A1298">
          <w:rPr>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71" w:history="1">
        <w:r w:rsidR="004A1298" w:rsidRPr="002149E0">
          <w:rPr>
            <w:rStyle w:val="Hyperlink"/>
          </w:rPr>
          <w:t>Australian economic conditions and outlook</w:t>
        </w:r>
        <w:r w:rsidR="004A1298">
          <w:rPr>
            <w:webHidden/>
          </w:rPr>
          <w:tab/>
        </w:r>
        <w:r w:rsidR="004A1298">
          <w:rPr>
            <w:webHidden/>
          </w:rPr>
          <w:fldChar w:fldCharType="begin"/>
        </w:r>
        <w:r w:rsidR="004A1298">
          <w:rPr>
            <w:webHidden/>
          </w:rPr>
          <w:instrText xml:space="preserve"> PAGEREF _Toc481246471 \h </w:instrText>
        </w:r>
        <w:r w:rsidR="004A1298">
          <w:rPr>
            <w:webHidden/>
          </w:rPr>
        </w:r>
        <w:r w:rsidR="004A1298">
          <w:rPr>
            <w:webHidden/>
          </w:rPr>
          <w:fldChar w:fldCharType="separate"/>
        </w:r>
        <w:r w:rsidR="008F2AE0">
          <w:rPr>
            <w:webHidden/>
          </w:rPr>
          <w:t>33</w:t>
        </w:r>
        <w:r w:rsidR="004A1298">
          <w:rPr>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72" w:history="1">
        <w:r w:rsidR="004A1298" w:rsidRPr="002149E0">
          <w:rPr>
            <w:rStyle w:val="Hyperlink"/>
          </w:rPr>
          <w:t>International economic conditions and outlook</w:t>
        </w:r>
        <w:r w:rsidR="004A1298">
          <w:rPr>
            <w:webHidden/>
          </w:rPr>
          <w:tab/>
        </w:r>
        <w:r w:rsidR="004A1298">
          <w:rPr>
            <w:webHidden/>
          </w:rPr>
          <w:fldChar w:fldCharType="begin"/>
        </w:r>
        <w:r w:rsidR="004A1298">
          <w:rPr>
            <w:webHidden/>
          </w:rPr>
          <w:instrText xml:space="preserve"> PAGEREF _Toc481246472 \h </w:instrText>
        </w:r>
        <w:r w:rsidR="004A1298">
          <w:rPr>
            <w:webHidden/>
          </w:rPr>
        </w:r>
        <w:r w:rsidR="004A1298">
          <w:rPr>
            <w:webHidden/>
          </w:rPr>
          <w:fldChar w:fldCharType="separate"/>
        </w:r>
        <w:r w:rsidR="008F2AE0">
          <w:rPr>
            <w:webHidden/>
          </w:rPr>
          <w:t>34</w:t>
        </w:r>
        <w:r w:rsidR="004A1298">
          <w:rPr>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73" w:history="1">
        <w:r w:rsidR="004A1298" w:rsidRPr="002149E0">
          <w:rPr>
            <w:rStyle w:val="Hyperlink"/>
          </w:rPr>
          <w:t>Risks to the outlook</w:t>
        </w:r>
        <w:r w:rsidR="004A1298">
          <w:rPr>
            <w:webHidden/>
          </w:rPr>
          <w:tab/>
        </w:r>
        <w:r w:rsidR="004A1298">
          <w:rPr>
            <w:webHidden/>
          </w:rPr>
          <w:fldChar w:fldCharType="begin"/>
        </w:r>
        <w:r w:rsidR="004A1298">
          <w:rPr>
            <w:webHidden/>
          </w:rPr>
          <w:instrText xml:space="preserve"> PAGEREF _Toc481246473 \h </w:instrText>
        </w:r>
        <w:r w:rsidR="004A1298">
          <w:rPr>
            <w:webHidden/>
          </w:rPr>
        </w:r>
        <w:r w:rsidR="004A1298">
          <w:rPr>
            <w:webHidden/>
          </w:rPr>
          <w:fldChar w:fldCharType="separate"/>
        </w:r>
        <w:r w:rsidR="008F2AE0">
          <w:rPr>
            <w:webHidden/>
          </w:rPr>
          <w:t>35</w:t>
        </w:r>
        <w:r w:rsidR="004A1298">
          <w:rPr>
            <w:webHidden/>
          </w:rPr>
          <w:fldChar w:fldCharType="end"/>
        </w:r>
      </w:hyperlink>
    </w:p>
    <w:p w:rsidR="004A1298" w:rsidRDefault="0049535D">
      <w:pPr>
        <w:pStyle w:val="TOC1"/>
        <w:rPr>
          <w:rFonts w:asciiTheme="minorHAnsi" w:eastAsiaTheme="minorEastAsia" w:hAnsiTheme="minorHAnsi"/>
          <w:b w:val="0"/>
          <w:noProof/>
          <w:spacing w:val="0"/>
          <w:szCs w:val="22"/>
          <w:lang w:eastAsia="en-AU"/>
        </w:rPr>
      </w:pPr>
      <w:hyperlink w:anchor="_Toc481246474" w:history="1">
        <w:r w:rsidR="004A1298" w:rsidRPr="002149E0">
          <w:rPr>
            <w:rStyle w:val="Hyperlink"/>
            <w:noProof/>
          </w:rPr>
          <w:t>Chapter 3 – Opportunity for all Victorians</w:t>
        </w:r>
        <w:r w:rsidR="004A1298">
          <w:rPr>
            <w:noProof/>
            <w:webHidden/>
          </w:rPr>
          <w:tab/>
        </w:r>
        <w:r w:rsidR="004A1298">
          <w:rPr>
            <w:noProof/>
            <w:webHidden/>
          </w:rPr>
          <w:fldChar w:fldCharType="begin"/>
        </w:r>
        <w:r w:rsidR="004A1298">
          <w:rPr>
            <w:noProof/>
            <w:webHidden/>
          </w:rPr>
          <w:instrText xml:space="preserve"> PAGEREF _Toc481246474 \h </w:instrText>
        </w:r>
        <w:r w:rsidR="004A1298">
          <w:rPr>
            <w:noProof/>
            <w:webHidden/>
          </w:rPr>
        </w:r>
        <w:r w:rsidR="004A1298">
          <w:rPr>
            <w:noProof/>
            <w:webHidden/>
          </w:rPr>
          <w:fldChar w:fldCharType="separate"/>
        </w:r>
        <w:r w:rsidR="008F2AE0">
          <w:rPr>
            <w:noProof/>
            <w:webHidden/>
          </w:rPr>
          <w:t>37</w:t>
        </w:r>
        <w:r w:rsidR="004A1298">
          <w:rPr>
            <w:noProof/>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75" w:history="1">
        <w:r w:rsidR="004A1298" w:rsidRPr="002149E0">
          <w:rPr>
            <w:rStyle w:val="Hyperlink"/>
          </w:rPr>
          <w:t>Introduction</w:t>
        </w:r>
        <w:r w:rsidR="004A1298">
          <w:rPr>
            <w:webHidden/>
          </w:rPr>
          <w:tab/>
        </w:r>
        <w:r w:rsidR="004A1298">
          <w:rPr>
            <w:webHidden/>
          </w:rPr>
          <w:fldChar w:fldCharType="begin"/>
        </w:r>
        <w:r w:rsidR="004A1298">
          <w:rPr>
            <w:webHidden/>
          </w:rPr>
          <w:instrText xml:space="preserve"> PAGEREF _Toc481246475 \h </w:instrText>
        </w:r>
        <w:r w:rsidR="004A1298">
          <w:rPr>
            <w:webHidden/>
          </w:rPr>
        </w:r>
        <w:r w:rsidR="004A1298">
          <w:rPr>
            <w:webHidden/>
          </w:rPr>
          <w:fldChar w:fldCharType="separate"/>
        </w:r>
        <w:r w:rsidR="008F2AE0">
          <w:rPr>
            <w:webHidden/>
          </w:rPr>
          <w:t>37</w:t>
        </w:r>
        <w:r w:rsidR="004A1298">
          <w:rPr>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76" w:history="1">
        <w:r w:rsidR="004A1298" w:rsidRPr="002149E0">
          <w:rPr>
            <w:rStyle w:val="Hyperlink"/>
          </w:rPr>
          <w:t>More growth means more jobs</w:t>
        </w:r>
        <w:r w:rsidR="004A1298">
          <w:rPr>
            <w:webHidden/>
          </w:rPr>
          <w:tab/>
        </w:r>
        <w:r w:rsidR="004A1298">
          <w:rPr>
            <w:webHidden/>
          </w:rPr>
          <w:fldChar w:fldCharType="begin"/>
        </w:r>
        <w:r w:rsidR="004A1298">
          <w:rPr>
            <w:webHidden/>
          </w:rPr>
          <w:instrText xml:space="preserve"> PAGEREF _Toc481246476 \h </w:instrText>
        </w:r>
        <w:r w:rsidR="004A1298">
          <w:rPr>
            <w:webHidden/>
          </w:rPr>
        </w:r>
        <w:r w:rsidR="004A1298">
          <w:rPr>
            <w:webHidden/>
          </w:rPr>
          <w:fldChar w:fldCharType="separate"/>
        </w:r>
        <w:r w:rsidR="008F2AE0">
          <w:rPr>
            <w:webHidden/>
          </w:rPr>
          <w:t>38</w:t>
        </w:r>
        <w:r w:rsidR="004A1298">
          <w:rPr>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77" w:history="1">
        <w:r w:rsidR="004A1298" w:rsidRPr="002149E0">
          <w:rPr>
            <w:rStyle w:val="Hyperlink"/>
          </w:rPr>
          <w:t>Investing for the future</w:t>
        </w:r>
        <w:r w:rsidR="004A1298">
          <w:rPr>
            <w:webHidden/>
          </w:rPr>
          <w:tab/>
        </w:r>
        <w:r w:rsidR="004A1298">
          <w:rPr>
            <w:webHidden/>
          </w:rPr>
          <w:fldChar w:fldCharType="begin"/>
        </w:r>
        <w:r w:rsidR="004A1298">
          <w:rPr>
            <w:webHidden/>
          </w:rPr>
          <w:instrText xml:space="preserve"> PAGEREF _Toc481246477 \h </w:instrText>
        </w:r>
        <w:r w:rsidR="004A1298">
          <w:rPr>
            <w:webHidden/>
          </w:rPr>
        </w:r>
        <w:r w:rsidR="004A1298">
          <w:rPr>
            <w:webHidden/>
          </w:rPr>
          <w:fldChar w:fldCharType="separate"/>
        </w:r>
        <w:r w:rsidR="008F2AE0">
          <w:rPr>
            <w:webHidden/>
          </w:rPr>
          <w:t>42</w:t>
        </w:r>
        <w:r w:rsidR="004A1298">
          <w:rPr>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78" w:history="1">
        <w:r w:rsidR="004A1298" w:rsidRPr="002149E0">
          <w:rPr>
            <w:rStyle w:val="Hyperlink"/>
          </w:rPr>
          <w:t>Securing Victoria’s future</w:t>
        </w:r>
        <w:r w:rsidR="004A1298">
          <w:rPr>
            <w:webHidden/>
          </w:rPr>
          <w:tab/>
        </w:r>
        <w:r w:rsidR="004A1298">
          <w:rPr>
            <w:webHidden/>
          </w:rPr>
          <w:fldChar w:fldCharType="begin"/>
        </w:r>
        <w:r w:rsidR="004A1298">
          <w:rPr>
            <w:webHidden/>
          </w:rPr>
          <w:instrText xml:space="preserve"> PAGEREF _Toc481246478 \h </w:instrText>
        </w:r>
        <w:r w:rsidR="004A1298">
          <w:rPr>
            <w:webHidden/>
          </w:rPr>
        </w:r>
        <w:r w:rsidR="004A1298">
          <w:rPr>
            <w:webHidden/>
          </w:rPr>
          <w:fldChar w:fldCharType="separate"/>
        </w:r>
        <w:r w:rsidR="008F2AE0">
          <w:rPr>
            <w:webHidden/>
          </w:rPr>
          <w:t>45</w:t>
        </w:r>
        <w:r w:rsidR="004A1298">
          <w:rPr>
            <w:webHidden/>
          </w:rPr>
          <w:fldChar w:fldCharType="end"/>
        </w:r>
      </w:hyperlink>
    </w:p>
    <w:p w:rsidR="004A1298" w:rsidRDefault="0049535D">
      <w:pPr>
        <w:pStyle w:val="TOC1"/>
        <w:rPr>
          <w:rFonts w:asciiTheme="minorHAnsi" w:eastAsiaTheme="minorEastAsia" w:hAnsiTheme="minorHAnsi"/>
          <w:b w:val="0"/>
          <w:noProof/>
          <w:spacing w:val="0"/>
          <w:szCs w:val="22"/>
          <w:lang w:eastAsia="en-AU"/>
        </w:rPr>
      </w:pPr>
      <w:hyperlink w:anchor="_Toc481246479" w:history="1">
        <w:r w:rsidR="004A1298" w:rsidRPr="002149E0">
          <w:rPr>
            <w:rStyle w:val="Hyperlink"/>
            <w:noProof/>
          </w:rPr>
          <w:t>Chapter 4 – Budget position and outlook</w:t>
        </w:r>
        <w:r w:rsidR="004A1298">
          <w:rPr>
            <w:noProof/>
            <w:webHidden/>
          </w:rPr>
          <w:tab/>
        </w:r>
        <w:r w:rsidR="004A1298">
          <w:rPr>
            <w:noProof/>
            <w:webHidden/>
          </w:rPr>
          <w:fldChar w:fldCharType="begin"/>
        </w:r>
        <w:r w:rsidR="004A1298">
          <w:rPr>
            <w:noProof/>
            <w:webHidden/>
          </w:rPr>
          <w:instrText xml:space="preserve"> PAGEREF _Toc481246479 \h </w:instrText>
        </w:r>
        <w:r w:rsidR="004A1298">
          <w:rPr>
            <w:noProof/>
            <w:webHidden/>
          </w:rPr>
        </w:r>
        <w:r w:rsidR="004A1298">
          <w:rPr>
            <w:noProof/>
            <w:webHidden/>
          </w:rPr>
          <w:fldChar w:fldCharType="separate"/>
        </w:r>
        <w:r w:rsidR="008F2AE0">
          <w:rPr>
            <w:noProof/>
            <w:webHidden/>
          </w:rPr>
          <w:t>47</w:t>
        </w:r>
        <w:r w:rsidR="004A1298">
          <w:rPr>
            <w:noProof/>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80" w:history="1">
        <w:r w:rsidR="004A1298" w:rsidRPr="002149E0">
          <w:rPr>
            <w:rStyle w:val="Hyperlink"/>
          </w:rPr>
          <w:t>General government sector</w:t>
        </w:r>
        <w:r w:rsidR="004A1298">
          <w:rPr>
            <w:webHidden/>
          </w:rPr>
          <w:tab/>
        </w:r>
        <w:r w:rsidR="004A1298">
          <w:rPr>
            <w:webHidden/>
          </w:rPr>
          <w:fldChar w:fldCharType="begin"/>
        </w:r>
        <w:r w:rsidR="004A1298">
          <w:rPr>
            <w:webHidden/>
          </w:rPr>
          <w:instrText xml:space="preserve"> PAGEREF _Toc481246480 \h </w:instrText>
        </w:r>
        <w:r w:rsidR="004A1298">
          <w:rPr>
            <w:webHidden/>
          </w:rPr>
        </w:r>
        <w:r w:rsidR="004A1298">
          <w:rPr>
            <w:webHidden/>
          </w:rPr>
          <w:fldChar w:fldCharType="separate"/>
        </w:r>
        <w:r w:rsidR="008F2AE0">
          <w:rPr>
            <w:webHidden/>
          </w:rPr>
          <w:t>48</w:t>
        </w:r>
        <w:r w:rsidR="004A1298">
          <w:rPr>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81" w:history="1">
        <w:r w:rsidR="004A1298" w:rsidRPr="002149E0">
          <w:rPr>
            <w:rStyle w:val="Hyperlink"/>
          </w:rPr>
          <w:t>Budget and forward estimates outlook</w:t>
        </w:r>
        <w:r w:rsidR="004A1298">
          <w:rPr>
            <w:webHidden/>
          </w:rPr>
          <w:tab/>
        </w:r>
        <w:r w:rsidR="004A1298">
          <w:rPr>
            <w:webHidden/>
          </w:rPr>
          <w:fldChar w:fldCharType="begin"/>
        </w:r>
        <w:r w:rsidR="004A1298">
          <w:rPr>
            <w:webHidden/>
          </w:rPr>
          <w:instrText xml:space="preserve"> PAGEREF _Toc481246481 \h </w:instrText>
        </w:r>
        <w:r w:rsidR="004A1298">
          <w:rPr>
            <w:webHidden/>
          </w:rPr>
        </w:r>
        <w:r w:rsidR="004A1298">
          <w:rPr>
            <w:webHidden/>
          </w:rPr>
          <w:fldChar w:fldCharType="separate"/>
        </w:r>
        <w:r w:rsidR="008F2AE0">
          <w:rPr>
            <w:webHidden/>
          </w:rPr>
          <w:t>50</w:t>
        </w:r>
        <w:r w:rsidR="004A1298">
          <w:rPr>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82" w:history="1">
        <w:r w:rsidR="004A1298" w:rsidRPr="002149E0">
          <w:rPr>
            <w:rStyle w:val="Hyperlink"/>
          </w:rPr>
          <w:t>Fiscal risks</w:t>
        </w:r>
        <w:r w:rsidR="004A1298">
          <w:rPr>
            <w:webHidden/>
          </w:rPr>
          <w:tab/>
        </w:r>
        <w:r w:rsidR="004A1298">
          <w:rPr>
            <w:webHidden/>
          </w:rPr>
          <w:fldChar w:fldCharType="begin"/>
        </w:r>
        <w:r w:rsidR="004A1298">
          <w:rPr>
            <w:webHidden/>
          </w:rPr>
          <w:instrText xml:space="preserve"> PAGEREF _Toc481246482 \h </w:instrText>
        </w:r>
        <w:r w:rsidR="004A1298">
          <w:rPr>
            <w:webHidden/>
          </w:rPr>
        </w:r>
        <w:r w:rsidR="004A1298">
          <w:rPr>
            <w:webHidden/>
          </w:rPr>
          <w:fldChar w:fldCharType="separate"/>
        </w:r>
        <w:r w:rsidR="008F2AE0">
          <w:rPr>
            <w:webHidden/>
          </w:rPr>
          <w:t>60</w:t>
        </w:r>
        <w:r w:rsidR="004A1298">
          <w:rPr>
            <w:webHidden/>
          </w:rPr>
          <w:fldChar w:fldCharType="end"/>
        </w:r>
      </w:hyperlink>
    </w:p>
    <w:p w:rsidR="004A1298" w:rsidRDefault="0049535D">
      <w:pPr>
        <w:pStyle w:val="TOC1"/>
        <w:rPr>
          <w:rFonts w:asciiTheme="minorHAnsi" w:eastAsiaTheme="minorEastAsia" w:hAnsiTheme="minorHAnsi"/>
          <w:b w:val="0"/>
          <w:noProof/>
          <w:spacing w:val="0"/>
          <w:szCs w:val="22"/>
          <w:lang w:eastAsia="en-AU"/>
        </w:rPr>
      </w:pPr>
      <w:hyperlink w:anchor="_Toc481246483" w:history="1">
        <w:r w:rsidR="004A1298" w:rsidRPr="002149E0">
          <w:rPr>
            <w:rStyle w:val="Hyperlink"/>
            <w:noProof/>
          </w:rPr>
          <w:t>Chapter 5 – Position and outlook of the broader public sector</w:t>
        </w:r>
        <w:r w:rsidR="004A1298">
          <w:rPr>
            <w:noProof/>
            <w:webHidden/>
          </w:rPr>
          <w:tab/>
        </w:r>
        <w:r w:rsidR="004A1298">
          <w:rPr>
            <w:noProof/>
            <w:webHidden/>
          </w:rPr>
          <w:fldChar w:fldCharType="begin"/>
        </w:r>
        <w:r w:rsidR="004A1298">
          <w:rPr>
            <w:noProof/>
            <w:webHidden/>
          </w:rPr>
          <w:instrText xml:space="preserve"> PAGEREF _Toc481246483 \h </w:instrText>
        </w:r>
        <w:r w:rsidR="004A1298">
          <w:rPr>
            <w:noProof/>
            <w:webHidden/>
          </w:rPr>
        </w:r>
        <w:r w:rsidR="004A1298">
          <w:rPr>
            <w:noProof/>
            <w:webHidden/>
          </w:rPr>
          <w:fldChar w:fldCharType="separate"/>
        </w:r>
        <w:r w:rsidR="008F2AE0">
          <w:rPr>
            <w:noProof/>
            <w:webHidden/>
          </w:rPr>
          <w:t>63</w:t>
        </w:r>
        <w:r w:rsidR="004A1298">
          <w:rPr>
            <w:noProof/>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84" w:history="1">
        <w:r w:rsidR="004A1298" w:rsidRPr="002149E0">
          <w:rPr>
            <w:rStyle w:val="Hyperlink"/>
          </w:rPr>
          <w:t>Non</w:t>
        </w:r>
        <w:r w:rsidR="004A1298" w:rsidRPr="002149E0">
          <w:rPr>
            <w:rStyle w:val="Hyperlink"/>
          </w:rPr>
          <w:noBreakHyphen/>
          <w:t>financial public sector</w:t>
        </w:r>
        <w:r w:rsidR="004A1298">
          <w:rPr>
            <w:webHidden/>
          </w:rPr>
          <w:tab/>
        </w:r>
        <w:r w:rsidR="004A1298">
          <w:rPr>
            <w:webHidden/>
          </w:rPr>
          <w:fldChar w:fldCharType="begin"/>
        </w:r>
        <w:r w:rsidR="004A1298">
          <w:rPr>
            <w:webHidden/>
          </w:rPr>
          <w:instrText xml:space="preserve"> PAGEREF _Toc481246484 \h </w:instrText>
        </w:r>
        <w:r w:rsidR="004A1298">
          <w:rPr>
            <w:webHidden/>
          </w:rPr>
        </w:r>
        <w:r w:rsidR="004A1298">
          <w:rPr>
            <w:webHidden/>
          </w:rPr>
          <w:fldChar w:fldCharType="separate"/>
        </w:r>
        <w:r w:rsidR="008F2AE0">
          <w:rPr>
            <w:webHidden/>
          </w:rPr>
          <w:t>64</w:t>
        </w:r>
        <w:r w:rsidR="004A1298">
          <w:rPr>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85" w:history="1">
        <w:r w:rsidR="004A1298" w:rsidRPr="002149E0">
          <w:rPr>
            <w:rStyle w:val="Hyperlink"/>
          </w:rPr>
          <w:t>State of Victoria</w:t>
        </w:r>
        <w:r w:rsidR="004A1298">
          <w:rPr>
            <w:webHidden/>
          </w:rPr>
          <w:tab/>
        </w:r>
        <w:r w:rsidR="004A1298">
          <w:rPr>
            <w:webHidden/>
          </w:rPr>
          <w:fldChar w:fldCharType="begin"/>
        </w:r>
        <w:r w:rsidR="004A1298">
          <w:rPr>
            <w:webHidden/>
          </w:rPr>
          <w:instrText xml:space="preserve"> PAGEREF _Toc481246485 \h </w:instrText>
        </w:r>
        <w:r w:rsidR="004A1298">
          <w:rPr>
            <w:webHidden/>
          </w:rPr>
        </w:r>
        <w:r w:rsidR="004A1298">
          <w:rPr>
            <w:webHidden/>
          </w:rPr>
          <w:fldChar w:fldCharType="separate"/>
        </w:r>
        <w:r w:rsidR="008F2AE0">
          <w:rPr>
            <w:webHidden/>
          </w:rPr>
          <w:t>69</w:t>
        </w:r>
        <w:r w:rsidR="004A1298">
          <w:rPr>
            <w:webHidden/>
          </w:rPr>
          <w:fldChar w:fldCharType="end"/>
        </w:r>
      </w:hyperlink>
    </w:p>
    <w:p w:rsidR="004A1298" w:rsidRDefault="0049535D">
      <w:pPr>
        <w:pStyle w:val="TOC1"/>
        <w:rPr>
          <w:rFonts w:asciiTheme="minorHAnsi" w:eastAsiaTheme="minorEastAsia" w:hAnsiTheme="minorHAnsi"/>
          <w:b w:val="0"/>
          <w:noProof/>
          <w:spacing w:val="0"/>
          <w:szCs w:val="22"/>
          <w:lang w:eastAsia="en-AU"/>
        </w:rPr>
      </w:pPr>
      <w:hyperlink w:anchor="_Toc481246486" w:history="1">
        <w:r w:rsidR="004A1298" w:rsidRPr="002149E0">
          <w:rPr>
            <w:rStyle w:val="Hyperlink"/>
            <w:noProof/>
          </w:rPr>
          <w:t>Appendix A – Sensitivity analysis</w:t>
        </w:r>
        <w:r w:rsidR="004A1298">
          <w:rPr>
            <w:noProof/>
            <w:webHidden/>
          </w:rPr>
          <w:tab/>
        </w:r>
        <w:r w:rsidR="004A1298">
          <w:rPr>
            <w:noProof/>
            <w:webHidden/>
          </w:rPr>
          <w:fldChar w:fldCharType="begin"/>
        </w:r>
        <w:r w:rsidR="004A1298">
          <w:rPr>
            <w:noProof/>
            <w:webHidden/>
          </w:rPr>
          <w:instrText xml:space="preserve"> PAGEREF _Toc481246486 \h </w:instrText>
        </w:r>
        <w:r w:rsidR="004A1298">
          <w:rPr>
            <w:noProof/>
            <w:webHidden/>
          </w:rPr>
        </w:r>
        <w:r w:rsidR="004A1298">
          <w:rPr>
            <w:noProof/>
            <w:webHidden/>
          </w:rPr>
          <w:fldChar w:fldCharType="separate"/>
        </w:r>
        <w:r w:rsidR="008F2AE0">
          <w:rPr>
            <w:noProof/>
            <w:webHidden/>
          </w:rPr>
          <w:t>71</w:t>
        </w:r>
        <w:r w:rsidR="004A1298">
          <w:rPr>
            <w:noProof/>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87" w:history="1">
        <w:r w:rsidR="004A1298" w:rsidRPr="002149E0">
          <w:rPr>
            <w:rStyle w:val="Hyperlink"/>
          </w:rPr>
          <w:t>Sensitivity to independent variations in major economic parameters</w:t>
        </w:r>
        <w:r w:rsidR="004A1298">
          <w:rPr>
            <w:webHidden/>
          </w:rPr>
          <w:tab/>
        </w:r>
        <w:r w:rsidR="004A1298">
          <w:rPr>
            <w:webHidden/>
          </w:rPr>
          <w:fldChar w:fldCharType="begin"/>
        </w:r>
        <w:r w:rsidR="004A1298">
          <w:rPr>
            <w:webHidden/>
          </w:rPr>
          <w:instrText xml:space="preserve"> PAGEREF _Toc481246487 \h </w:instrText>
        </w:r>
        <w:r w:rsidR="004A1298">
          <w:rPr>
            <w:webHidden/>
          </w:rPr>
        </w:r>
        <w:r w:rsidR="004A1298">
          <w:rPr>
            <w:webHidden/>
          </w:rPr>
          <w:fldChar w:fldCharType="separate"/>
        </w:r>
        <w:r w:rsidR="008F2AE0">
          <w:rPr>
            <w:webHidden/>
          </w:rPr>
          <w:t>71</w:t>
        </w:r>
        <w:r w:rsidR="004A1298">
          <w:rPr>
            <w:webHidden/>
          </w:rPr>
          <w:fldChar w:fldCharType="end"/>
        </w:r>
      </w:hyperlink>
    </w:p>
    <w:p w:rsidR="004A1298" w:rsidRDefault="0049535D">
      <w:pPr>
        <w:pStyle w:val="TOC2"/>
        <w:rPr>
          <w:rFonts w:asciiTheme="minorHAnsi" w:eastAsiaTheme="minorEastAsia" w:hAnsiTheme="minorHAnsi"/>
          <w:spacing w:val="0"/>
          <w:szCs w:val="22"/>
          <w:lang w:eastAsia="en-AU"/>
        </w:rPr>
      </w:pPr>
      <w:hyperlink w:anchor="_Toc481246488" w:history="1">
        <w:r w:rsidR="004A1298" w:rsidRPr="002149E0">
          <w:rPr>
            <w:rStyle w:val="Hyperlink"/>
          </w:rPr>
          <w:t>Economic impacts of variations to the economic outlook</w:t>
        </w:r>
        <w:r w:rsidR="004A1298">
          <w:rPr>
            <w:webHidden/>
          </w:rPr>
          <w:tab/>
        </w:r>
        <w:r w:rsidR="004A1298">
          <w:rPr>
            <w:webHidden/>
          </w:rPr>
          <w:fldChar w:fldCharType="begin"/>
        </w:r>
        <w:r w:rsidR="004A1298">
          <w:rPr>
            <w:webHidden/>
          </w:rPr>
          <w:instrText xml:space="preserve"> PAGEREF _Toc481246488 \h </w:instrText>
        </w:r>
        <w:r w:rsidR="004A1298">
          <w:rPr>
            <w:webHidden/>
          </w:rPr>
        </w:r>
        <w:r w:rsidR="004A1298">
          <w:rPr>
            <w:webHidden/>
          </w:rPr>
          <w:fldChar w:fldCharType="separate"/>
        </w:r>
        <w:r w:rsidR="008F2AE0">
          <w:rPr>
            <w:webHidden/>
          </w:rPr>
          <w:t>74</w:t>
        </w:r>
        <w:r w:rsidR="004A1298">
          <w:rPr>
            <w:webHidden/>
          </w:rPr>
          <w:fldChar w:fldCharType="end"/>
        </w:r>
      </w:hyperlink>
    </w:p>
    <w:p w:rsidR="004A1298" w:rsidRDefault="0049535D">
      <w:pPr>
        <w:pStyle w:val="TOC1"/>
        <w:rPr>
          <w:rFonts w:asciiTheme="minorHAnsi" w:eastAsiaTheme="minorEastAsia" w:hAnsiTheme="minorHAnsi"/>
          <w:b w:val="0"/>
          <w:noProof/>
          <w:spacing w:val="0"/>
          <w:szCs w:val="22"/>
          <w:lang w:eastAsia="en-AU"/>
        </w:rPr>
      </w:pPr>
      <w:hyperlink w:anchor="_Toc481246489" w:history="1">
        <w:r w:rsidR="004A1298" w:rsidRPr="002149E0">
          <w:rPr>
            <w:rStyle w:val="Hyperlink"/>
            <w:noProof/>
          </w:rPr>
          <w:t>Style conventions</w:t>
        </w:r>
        <w:r w:rsidR="004A1298">
          <w:rPr>
            <w:noProof/>
            <w:webHidden/>
          </w:rPr>
          <w:tab/>
        </w:r>
        <w:r w:rsidR="004A1298">
          <w:rPr>
            <w:noProof/>
            <w:webHidden/>
          </w:rPr>
          <w:fldChar w:fldCharType="begin"/>
        </w:r>
        <w:r w:rsidR="004A1298">
          <w:rPr>
            <w:noProof/>
            <w:webHidden/>
          </w:rPr>
          <w:instrText xml:space="preserve"> PAGEREF _Toc481246489 \h </w:instrText>
        </w:r>
        <w:r w:rsidR="004A1298">
          <w:rPr>
            <w:noProof/>
            <w:webHidden/>
          </w:rPr>
        </w:r>
        <w:r w:rsidR="004A1298">
          <w:rPr>
            <w:noProof/>
            <w:webHidden/>
          </w:rPr>
          <w:fldChar w:fldCharType="separate"/>
        </w:r>
        <w:r w:rsidR="008F2AE0">
          <w:rPr>
            <w:noProof/>
            <w:webHidden/>
          </w:rPr>
          <w:t>85</w:t>
        </w:r>
        <w:r w:rsidR="004A1298">
          <w:rPr>
            <w:noProof/>
            <w:webHidden/>
          </w:rPr>
          <w:fldChar w:fldCharType="end"/>
        </w:r>
      </w:hyperlink>
    </w:p>
    <w:p w:rsidR="004A1298" w:rsidRDefault="0049535D">
      <w:pPr>
        <w:pStyle w:val="TOC1"/>
        <w:rPr>
          <w:rFonts w:asciiTheme="minorHAnsi" w:eastAsiaTheme="minorEastAsia" w:hAnsiTheme="minorHAnsi"/>
          <w:b w:val="0"/>
          <w:noProof/>
          <w:spacing w:val="0"/>
          <w:szCs w:val="22"/>
          <w:lang w:eastAsia="en-AU"/>
        </w:rPr>
      </w:pPr>
      <w:hyperlink w:anchor="_Toc481246490" w:history="1">
        <w:r w:rsidR="004A1298" w:rsidRPr="002149E0">
          <w:rPr>
            <w:rStyle w:val="Hyperlink"/>
            <w:noProof/>
          </w:rPr>
          <w:t>Index</w:t>
        </w:r>
        <w:r w:rsidR="004A1298">
          <w:rPr>
            <w:noProof/>
            <w:webHidden/>
          </w:rPr>
          <w:tab/>
        </w:r>
        <w:r w:rsidR="004A1298">
          <w:rPr>
            <w:noProof/>
            <w:webHidden/>
          </w:rPr>
          <w:fldChar w:fldCharType="begin"/>
        </w:r>
        <w:r w:rsidR="004A1298">
          <w:rPr>
            <w:noProof/>
            <w:webHidden/>
          </w:rPr>
          <w:instrText xml:space="preserve"> PAGEREF _Toc481246490 \h </w:instrText>
        </w:r>
        <w:r w:rsidR="004A1298">
          <w:rPr>
            <w:noProof/>
            <w:webHidden/>
          </w:rPr>
        </w:r>
        <w:r w:rsidR="004A1298">
          <w:rPr>
            <w:noProof/>
            <w:webHidden/>
          </w:rPr>
          <w:fldChar w:fldCharType="separate"/>
        </w:r>
        <w:r w:rsidR="008F2AE0">
          <w:rPr>
            <w:noProof/>
            <w:webHidden/>
          </w:rPr>
          <w:t>87</w:t>
        </w:r>
        <w:r w:rsidR="004A1298">
          <w:rPr>
            <w:noProof/>
            <w:webHidden/>
          </w:rPr>
          <w:fldChar w:fldCharType="end"/>
        </w:r>
      </w:hyperlink>
    </w:p>
    <w:p w:rsidR="00552DFA" w:rsidRDefault="00552DFA" w:rsidP="00627E95">
      <w:pPr>
        <w:keepLines w:val="0"/>
      </w:pPr>
      <w:r w:rsidRPr="000A1C51">
        <w:rPr>
          <w:rFonts w:asciiTheme="majorHAnsi" w:hAnsiTheme="majorHAnsi"/>
          <w:b/>
          <w:spacing w:val="-2"/>
          <w:szCs w:val="19"/>
        </w:rPr>
        <w:fldChar w:fldCharType="end"/>
      </w:r>
    </w:p>
    <w:p w:rsidR="00552DFA" w:rsidRDefault="00552DFA">
      <w:pPr>
        <w:keepLines w:val="0"/>
      </w:pPr>
    </w:p>
    <w:p w:rsidR="00552DFA" w:rsidRDefault="00552DFA">
      <w:pPr>
        <w:keepLines w:val="0"/>
      </w:pPr>
    </w:p>
    <w:p w:rsidR="00552DFA" w:rsidRDefault="00552DFA" w:rsidP="004419CD">
      <w:pPr>
        <w:sectPr w:rsidR="00552DFA" w:rsidSect="008E76F5">
          <w:headerReference w:type="even" r:id="rId11"/>
          <w:headerReference w:type="default" r:id="rId12"/>
          <w:footerReference w:type="even" r:id="rId13"/>
          <w:footerReference w:type="default" r:id="rId14"/>
          <w:type w:val="oddPage"/>
          <w:pgSz w:w="9979" w:h="14175" w:code="34"/>
          <w:pgMar w:top="1134" w:right="1134" w:bottom="900" w:left="1134" w:header="624" w:footer="567" w:gutter="0"/>
          <w:pgNumType w:fmt="lowerRoman" w:start="1"/>
          <w:cols w:sep="1" w:space="567"/>
          <w:docGrid w:linePitch="360"/>
        </w:sectPr>
      </w:pPr>
    </w:p>
    <w:p w:rsidR="00552DFA" w:rsidRPr="00A32FC9" w:rsidRDefault="00552DFA" w:rsidP="00794963">
      <w:pPr>
        <w:pStyle w:val="Chapterheading"/>
      </w:pPr>
      <w:bookmarkStart w:id="2" w:name="_Toc472072539"/>
      <w:bookmarkStart w:id="3" w:name="_Toc481160555"/>
      <w:bookmarkStart w:id="4" w:name="_Toc481246463"/>
      <w:r w:rsidRPr="00A32FC9">
        <w:lastRenderedPageBreak/>
        <w:t>Chapter 1 – Economic and fiscal overview</w:t>
      </w:r>
      <w:bookmarkEnd w:id="2"/>
      <w:bookmarkEnd w:id="3"/>
      <w:bookmarkEnd w:id="4"/>
    </w:p>
    <w:p w:rsidR="00552DFA" w:rsidRPr="00E878B6" w:rsidRDefault="00552DFA" w:rsidP="00423C3D">
      <w:r w:rsidRPr="00E878B6">
        <w:t xml:space="preserve">The Government’s third budget gets on with the job of delivering the infrastructure and services that Victorians need to live healthy and productive lives. The </w:t>
      </w:r>
      <w:r w:rsidRPr="00E878B6">
        <w:rPr>
          <w:i/>
        </w:rPr>
        <w:t>2017</w:t>
      </w:r>
      <w:r>
        <w:rPr>
          <w:i/>
        </w:rPr>
        <w:noBreakHyphen/>
      </w:r>
      <w:r w:rsidRPr="00E878B6">
        <w:rPr>
          <w:i/>
        </w:rPr>
        <w:t>18 Budget</w:t>
      </w:r>
      <w:r w:rsidRPr="00E878B6">
        <w:t xml:space="preserve"> is underpinned by strong economic management and jobs creation. It builds on the</w:t>
      </w:r>
      <w:r>
        <w:t> </w:t>
      </w:r>
      <w:r w:rsidRPr="00E878B6">
        <w:t>b</w:t>
      </w:r>
      <w:r>
        <w:t>illion</w:t>
      </w:r>
      <w:r w:rsidRPr="00E878B6">
        <w:t>s already invested in honouring commitments of better schools, better hospitals, better transport, and more jobs.</w:t>
      </w:r>
    </w:p>
    <w:p w:rsidR="00552DFA" w:rsidRPr="00E878B6" w:rsidRDefault="00552DFA" w:rsidP="00423C3D">
      <w:pPr>
        <w:ind w:right="-113"/>
      </w:pPr>
      <w:r w:rsidRPr="00E878B6">
        <w:t>This budget ensures every Victorian is given the opportunity to prosper by addressing the issues important to families, small businesses, to our kids and students, and to the most vulnerable in our society. It invests in the building blocks of a fair and thriving state where all Victorians are able to live healthy lives, and are able to learn, work and enjoy themselves.</w:t>
      </w:r>
    </w:p>
    <w:p w:rsidR="00552DFA" w:rsidRPr="00E878B6" w:rsidRDefault="00552DFA" w:rsidP="00423C3D">
      <w:r w:rsidRPr="00E878B6">
        <w:t>A strong economy is vital for the prosperity of all Victorians. Victoria’s economy grew by 3.3 per cent in 2015</w:t>
      </w:r>
      <w:r>
        <w:noBreakHyphen/>
      </w:r>
      <w:r w:rsidRPr="00E878B6">
        <w:t>16, significantly above the national average. Victorians are sharing in the benefits of growth, with gross state product (GSP) per capita growing at 1.4</w:t>
      </w:r>
      <w:r>
        <w:t> per cent</w:t>
      </w:r>
      <w:r w:rsidRPr="00E878B6">
        <w:t xml:space="preserve"> in 2015</w:t>
      </w:r>
      <w:r>
        <w:noBreakHyphen/>
      </w:r>
      <w:r w:rsidRPr="00E878B6">
        <w:t>16 – a vast improvement on the negative per capita growth in 2013</w:t>
      </w:r>
      <w:r>
        <w:noBreakHyphen/>
      </w:r>
      <w:r w:rsidRPr="00E878B6">
        <w:t xml:space="preserve">14. Since the election in 2014, </w:t>
      </w:r>
      <w:r w:rsidR="00F40B68">
        <w:t>more than</w:t>
      </w:r>
      <w:r w:rsidRPr="00E878B6">
        <w:t xml:space="preserve"> 200 000 jobs have been created – equating to </w:t>
      </w:r>
      <w:r w:rsidR="00F40B68">
        <w:t>more than 250 </w:t>
      </w:r>
      <w:r w:rsidRPr="00E878B6">
        <w:t>new jobs created every day. This budget enables all Victorians to share in the opportunities and benefits that strong growth creates.</w:t>
      </w:r>
    </w:p>
    <w:p w:rsidR="00552DFA" w:rsidRPr="00E878B6" w:rsidRDefault="00552DFA" w:rsidP="00423C3D">
      <w:r w:rsidRPr="00E878B6">
        <w:t xml:space="preserve">Victoria’s finances are in excellent shape, with operating surpluses averaging $2.4 billion over the forward estimates. This budget prioritises much needed investment in the infrastructure and services that Victorians rely upon now and for the future. This budget continues to highlight the Government’s strong belief in playing an active role in driving strong, sustainable growth for all Victorians. </w:t>
      </w:r>
    </w:p>
    <w:p w:rsidR="00552DFA" w:rsidRPr="00E878B6" w:rsidRDefault="00552DFA" w:rsidP="00423C3D">
      <w:r w:rsidRPr="00E878B6">
        <w:t xml:space="preserve">The </w:t>
      </w:r>
      <w:r w:rsidRPr="00E878B6">
        <w:rPr>
          <w:i/>
        </w:rPr>
        <w:t>2017</w:t>
      </w:r>
      <w:r>
        <w:rPr>
          <w:i/>
        </w:rPr>
        <w:noBreakHyphen/>
      </w:r>
      <w:r w:rsidRPr="00E878B6">
        <w:rPr>
          <w:i/>
        </w:rPr>
        <w:t>18 Budget</w:t>
      </w:r>
      <w:r w:rsidRPr="00E878B6">
        <w:t xml:space="preserve"> consolidates our investment in previous budgets, with an additional $2 billion for public transport and almost $2</w:t>
      </w:r>
      <w:r>
        <w:t> </w:t>
      </w:r>
      <w:r w:rsidRPr="00E878B6">
        <w:t>b</w:t>
      </w:r>
      <w:r>
        <w:t>illion</w:t>
      </w:r>
      <w:r w:rsidRPr="00E878B6">
        <w:t xml:space="preserve"> for roads. Investments like these mean Victorians can spend less time commuting and more time with their families. New infrastructure investment announced by this Government is expected to generate </w:t>
      </w:r>
      <w:r w:rsidR="00F40B68">
        <w:t>more than</w:t>
      </w:r>
      <w:r w:rsidRPr="00E878B6">
        <w:t xml:space="preserve"> 50 000 jobs.</w:t>
      </w:r>
    </w:p>
    <w:p w:rsidR="00552DFA" w:rsidRPr="00E878B6" w:rsidRDefault="00552DFA" w:rsidP="00423C3D">
      <w:r w:rsidRPr="00E878B6">
        <w:t xml:space="preserve">The </w:t>
      </w:r>
      <w:r w:rsidRPr="00E878B6">
        <w:rPr>
          <w:i/>
        </w:rPr>
        <w:t>2017</w:t>
      </w:r>
      <w:r>
        <w:rPr>
          <w:i/>
        </w:rPr>
        <w:noBreakHyphen/>
      </w:r>
      <w:r w:rsidRPr="00E878B6">
        <w:rPr>
          <w:i/>
        </w:rPr>
        <w:t>18 Budget</w:t>
      </w:r>
      <w:r w:rsidRPr="00E878B6">
        <w:t xml:space="preserve"> invests up to $1.9</w:t>
      </w:r>
      <w:r>
        <w:t> </w:t>
      </w:r>
      <w:r w:rsidRPr="00E878B6">
        <w:t>b</w:t>
      </w:r>
      <w:r>
        <w:t>illion</w:t>
      </w:r>
      <w:r w:rsidRPr="00E878B6">
        <w:t xml:space="preserve"> to continue implementing the recommendations of the Royal Commission into Family Violence. Combined with the single largest investment in Victoria’s police force, the Government is making the necessary investments to keep Victorians safe. </w:t>
      </w:r>
    </w:p>
    <w:p w:rsidR="00552DFA" w:rsidRPr="00E878B6" w:rsidRDefault="00552DFA" w:rsidP="00423C3D">
      <w:r w:rsidRPr="00E878B6">
        <w:lastRenderedPageBreak/>
        <w:t>This budget provides for the services that Victorians need. It supports education for all, with $1.3</w:t>
      </w:r>
      <w:r>
        <w:t> </w:t>
      </w:r>
      <w:r w:rsidRPr="00E878B6">
        <w:t>b</w:t>
      </w:r>
      <w:r>
        <w:t>illion</w:t>
      </w:r>
      <w:r w:rsidRPr="00E878B6">
        <w:t xml:space="preserve"> for schools and early childhood. It provides $2.9 billion for quality health care, including services for mental hea</w:t>
      </w:r>
      <w:r>
        <w:t>lth and Victorians living with</w:t>
      </w:r>
      <w:r w:rsidRPr="00E878B6">
        <w:t xml:space="preserve"> disability. It supports new opportunities for vulnerable members of our community and workers in transition. It invests in initiatives to support Aboriginal</w:t>
      </w:r>
      <w:r w:rsidR="00356A95">
        <w:fldChar w:fldCharType="begin"/>
      </w:r>
      <w:r w:rsidR="00356A95">
        <w:instrText xml:space="preserve"> XE "Aboriginal and Torres Strait Islander Victorians" </w:instrText>
      </w:r>
      <w:r w:rsidR="00356A95">
        <w:fldChar w:fldCharType="end"/>
      </w:r>
      <w:r w:rsidRPr="00E878B6">
        <w:t xml:space="preserve"> and Torres Strait Islander Victorians to ensure that they share in the opportunities that a strong community can deliver. This budget contributes to the Government’s vision of a healthy and prosperous society that does not leave anyone behind. </w:t>
      </w:r>
    </w:p>
    <w:p w:rsidR="00552DFA" w:rsidRPr="00E878B6" w:rsidRDefault="00552DFA" w:rsidP="00423C3D">
      <w:r w:rsidRPr="00E878B6">
        <w:t>The</w:t>
      </w:r>
      <w:r w:rsidRPr="00E878B6">
        <w:rPr>
          <w:i/>
        </w:rPr>
        <w:t xml:space="preserve"> 2017</w:t>
      </w:r>
      <w:r>
        <w:rPr>
          <w:i/>
        </w:rPr>
        <w:noBreakHyphen/>
      </w:r>
      <w:r w:rsidRPr="00E878B6">
        <w:rPr>
          <w:i/>
        </w:rPr>
        <w:t>18 Budget</w:t>
      </w:r>
      <w:r w:rsidRPr="00E878B6">
        <w:t xml:space="preserve"> builds on the Government’s strong record of investing in the regions. Significant investment in services and infrastructure will deliver jobs and new opportunities for Victorians who live in rural and regional communities. In addition, the </w:t>
      </w:r>
      <w:r w:rsidRPr="00E878B6">
        <w:rPr>
          <w:i/>
        </w:rPr>
        <w:t>2017</w:t>
      </w:r>
      <w:r>
        <w:rPr>
          <w:i/>
        </w:rPr>
        <w:noBreakHyphen/>
      </w:r>
      <w:r w:rsidRPr="00E878B6">
        <w:rPr>
          <w:i/>
        </w:rPr>
        <w:t>18 Budget</w:t>
      </w:r>
      <w:r w:rsidRPr="00E878B6">
        <w:t xml:space="preserve"> invests in key services and infrastructure identified by the Regional Assemblies and Partnerships</w:t>
      </w:r>
      <w:r w:rsidR="00356A95">
        <w:fldChar w:fldCharType="begin"/>
      </w:r>
      <w:r w:rsidR="00356A95">
        <w:instrText xml:space="preserve"> XE "Regional Assemblies and Partnerships" </w:instrText>
      </w:r>
      <w:r w:rsidR="00356A95">
        <w:fldChar w:fldCharType="end"/>
      </w:r>
      <w:r w:rsidRPr="00E878B6">
        <w:t>.</w:t>
      </w:r>
    </w:p>
    <w:p w:rsidR="00552DFA" w:rsidRPr="00E878B6" w:rsidRDefault="00552DFA" w:rsidP="00423C3D">
      <w:pPr>
        <w:rPr>
          <w:b/>
          <w:bCs/>
          <w:caps/>
        </w:rPr>
      </w:pPr>
      <w:r w:rsidRPr="00E878B6">
        <w:t xml:space="preserve">This budget continues the Government’s investment strategy to plan capital programs over the medium term with funding allocated beyond the forward estimates. By expanding the capital horizon to </w:t>
      </w:r>
      <w:r w:rsidR="00F40B68">
        <w:t>10</w:t>
      </w:r>
      <w:r w:rsidRPr="00E878B6">
        <w:t xml:space="preserve"> years, our strategic planning strikes a balance between investing in infrastructure needed such as the M80 Ring Road</w:t>
      </w:r>
      <w:r w:rsidR="00356A95">
        <w:fldChar w:fldCharType="begin"/>
      </w:r>
      <w:r w:rsidR="00356A95">
        <w:instrText xml:space="preserve"> XE "M80 Ring Road" </w:instrText>
      </w:r>
      <w:r w:rsidR="00356A95">
        <w:fldChar w:fldCharType="end"/>
      </w:r>
      <w:r w:rsidRPr="00E878B6">
        <w:t xml:space="preserve"> and the Mordialloc Bypass</w:t>
      </w:r>
      <w:r w:rsidR="00356A95">
        <w:fldChar w:fldCharType="begin"/>
      </w:r>
      <w:r w:rsidR="00356A95">
        <w:instrText xml:space="preserve"> XE "Mordialloc Bypass" </w:instrText>
      </w:r>
      <w:r w:rsidR="00356A95">
        <w:fldChar w:fldCharType="end"/>
      </w:r>
      <w:r w:rsidRPr="00E878B6">
        <w:t xml:space="preserve">, while growing investments in existing services. </w:t>
      </w:r>
    </w:p>
    <w:p w:rsidR="00552DFA" w:rsidRPr="00E878B6" w:rsidRDefault="00552DFA">
      <w:pPr>
        <w:keepLines w:val="0"/>
        <w:rPr>
          <w:rFonts w:asciiTheme="majorHAnsi" w:eastAsiaTheme="majorEastAsia" w:hAnsiTheme="majorHAnsi" w:cstheme="majorBidi"/>
          <w:b/>
          <w:bCs/>
          <w:caps/>
          <w:spacing w:val="-2"/>
          <w:sz w:val="26"/>
          <w:szCs w:val="28"/>
        </w:rPr>
      </w:pPr>
      <w:r w:rsidRPr="00E878B6">
        <w:br w:type="page"/>
      </w:r>
    </w:p>
    <w:p w:rsidR="00552DFA" w:rsidRPr="00E878B6" w:rsidRDefault="00552DFA" w:rsidP="00423C3D">
      <w:pPr>
        <w:pStyle w:val="Heading10"/>
      </w:pPr>
      <w:bookmarkStart w:id="5" w:name="_Toc481160556"/>
      <w:bookmarkStart w:id="6" w:name="_Toc481246464"/>
      <w:r w:rsidRPr="00E878B6">
        <w:lastRenderedPageBreak/>
        <w:t>A strong, growing economy</w:t>
      </w:r>
      <w:bookmarkEnd w:id="5"/>
      <w:bookmarkEnd w:id="6"/>
    </w:p>
    <w:p w:rsidR="00552DFA" w:rsidRPr="00E878B6" w:rsidRDefault="00552DFA" w:rsidP="00423C3D">
      <w:pPr>
        <w:pStyle w:val="Heading20"/>
      </w:pPr>
      <w:r w:rsidRPr="00E878B6">
        <w:t>Strong growth in our economy and population</w:t>
      </w:r>
    </w:p>
    <w:p w:rsidR="00552DFA" w:rsidRPr="00E878B6" w:rsidRDefault="00552DFA" w:rsidP="00423C3D">
      <w:r w:rsidRPr="00E878B6">
        <w:t>Victoria’s economy remains strong. Victoria’s GSP grew by 3.3 per cent in 2015</w:t>
      </w:r>
      <w:r>
        <w:noBreakHyphen/>
      </w:r>
      <w:r w:rsidRPr="00E878B6">
        <w:t>16, compared with Australian gross domestic product (GDP) growth of 2.7 per cent over the same period (Chart 1.1). Economic growth</w:t>
      </w:r>
      <w:r w:rsidR="00356A95">
        <w:fldChar w:fldCharType="begin"/>
      </w:r>
      <w:r w:rsidR="00356A95">
        <w:instrText xml:space="preserve"> XE "Economic growth" </w:instrText>
      </w:r>
      <w:r w:rsidR="00356A95">
        <w:fldChar w:fldCharType="end"/>
      </w:r>
      <w:r w:rsidRPr="00E878B6">
        <w:t xml:space="preserve"> has picked up significantly since 2014, with GSP consistently outgrowing Australian GDP for the first time in a decade. The budget forecasts robust economic growth to continue over the next four years. </w:t>
      </w:r>
    </w:p>
    <w:p w:rsidR="00552DFA" w:rsidRPr="00E878B6" w:rsidRDefault="00552DFA" w:rsidP="00423C3D">
      <w:pPr>
        <w:pStyle w:val="TableHeading"/>
      </w:pPr>
      <w:r w:rsidRPr="00E878B6">
        <w:rPr>
          <w:noProof/>
          <w:lang w:eastAsia="en-AU"/>
        </w:rPr>
        <w:t>Chart 1.1:</w:t>
      </w:r>
      <w:r w:rsidRPr="00E878B6">
        <w:rPr>
          <w:noProof/>
          <w:lang w:eastAsia="en-AU"/>
        </w:rPr>
        <w:tab/>
      </w:r>
      <w:r w:rsidRPr="00E878B6">
        <w:t>Victorian gross state product growth compared with Australian gross domestic product growth, 2009</w:t>
      </w:r>
      <w:r>
        <w:noBreakHyphen/>
      </w:r>
      <w:r w:rsidRPr="00E878B6">
        <w:t>10 to 2015</w:t>
      </w:r>
      <w:r>
        <w:noBreakHyphen/>
      </w:r>
      <w:r w:rsidRPr="00E878B6">
        <w:t xml:space="preserve">16 (chain volume) </w:t>
      </w:r>
    </w:p>
    <w:p w:rsidR="00552DFA" w:rsidRPr="00E878B6" w:rsidRDefault="0049535D" w:rsidP="00423C3D">
      <w:pPr>
        <w:pStyle w:val="Sourc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6pt;height:254.5pt">
            <v:imagedata r:id="rId15" o:title="" croptop="1315f" cropbottom="1146f" cropleft="1229f"/>
          </v:shape>
        </w:pict>
      </w:r>
    </w:p>
    <w:p w:rsidR="00552DFA" w:rsidRPr="00E878B6" w:rsidRDefault="00552DFA" w:rsidP="00423C3D">
      <w:pPr>
        <w:pStyle w:val="Source"/>
      </w:pPr>
      <w:r w:rsidRPr="00E878B6">
        <w:t>Source: Australian Bureau of Statistics</w:t>
      </w:r>
    </w:p>
    <w:p w:rsidR="00552DFA" w:rsidRPr="00E878B6" w:rsidRDefault="00552DFA" w:rsidP="00423C3D"/>
    <w:p w:rsidR="00552DFA" w:rsidRPr="00E878B6" w:rsidRDefault="00552DFA" w:rsidP="00423C3D">
      <w:pPr>
        <w:rPr>
          <w:rFonts w:ascii="Times New Roman" w:eastAsia="Times New Roman" w:hAnsi="Times New Roman" w:cs="Times New Roman"/>
          <w:sz w:val="24"/>
          <w:szCs w:val="24"/>
          <w:lang w:eastAsia="en-AU"/>
        </w:rPr>
      </w:pPr>
      <w:r w:rsidRPr="00E878B6">
        <w:rPr>
          <w:lang w:eastAsia="en-AU"/>
        </w:rPr>
        <w:t>Continuing to contribute to strong growth in the Victorian economy are household consumption, business investment and dwelling investment supported by low interest rates. Business sentiment</w:t>
      </w:r>
      <w:r w:rsidR="00356A95">
        <w:rPr>
          <w:lang w:eastAsia="en-AU"/>
        </w:rPr>
        <w:fldChar w:fldCharType="begin"/>
      </w:r>
      <w:r w:rsidR="00356A95">
        <w:rPr>
          <w:lang w:eastAsia="en-AU"/>
        </w:rPr>
        <w:instrText xml:space="preserve"> XE "</w:instrText>
      </w:r>
      <w:r w:rsidR="00356A95">
        <w:instrText>Business sentiment"</w:instrText>
      </w:r>
      <w:r w:rsidR="00356A95">
        <w:rPr>
          <w:lang w:eastAsia="en-AU"/>
        </w:rPr>
        <w:instrText xml:space="preserve"> </w:instrText>
      </w:r>
      <w:r w:rsidR="00356A95">
        <w:rPr>
          <w:lang w:eastAsia="en-AU"/>
        </w:rPr>
        <w:fldChar w:fldCharType="end"/>
      </w:r>
      <w:r w:rsidRPr="00E878B6">
        <w:rPr>
          <w:lang w:eastAsia="en-AU"/>
        </w:rPr>
        <w:t xml:space="preserve"> has improved. Wages</w:t>
      </w:r>
      <w:r w:rsidR="00356A95">
        <w:rPr>
          <w:lang w:eastAsia="en-AU"/>
        </w:rPr>
        <w:fldChar w:fldCharType="begin"/>
      </w:r>
      <w:r w:rsidR="00356A95">
        <w:rPr>
          <w:lang w:eastAsia="en-AU"/>
        </w:rPr>
        <w:instrText xml:space="preserve"> XE "</w:instrText>
      </w:r>
      <w:r w:rsidR="00356A95">
        <w:instrText>Wages"</w:instrText>
      </w:r>
      <w:r w:rsidR="00356A95">
        <w:rPr>
          <w:lang w:eastAsia="en-AU"/>
        </w:rPr>
        <w:instrText xml:space="preserve"> </w:instrText>
      </w:r>
      <w:r w:rsidR="00356A95">
        <w:rPr>
          <w:lang w:eastAsia="en-AU"/>
        </w:rPr>
        <w:fldChar w:fldCharType="end"/>
      </w:r>
      <w:r w:rsidRPr="00E878B6">
        <w:rPr>
          <w:lang w:eastAsia="en-AU"/>
        </w:rPr>
        <w:t xml:space="preserve"> have also been increasing moderately and this is forecast to continue over the next four years. Our exports are rising – service exports grew by 4 per cent in 2015</w:t>
      </w:r>
      <w:r>
        <w:rPr>
          <w:lang w:eastAsia="en-AU"/>
        </w:rPr>
        <w:noBreakHyphen/>
      </w:r>
      <w:r w:rsidRPr="00E878B6">
        <w:rPr>
          <w:lang w:eastAsia="en-AU"/>
        </w:rPr>
        <w:t xml:space="preserve">16 and are expected to continue to grow at trend. These trends underpin continued growth in our economy and in employment. </w:t>
      </w:r>
    </w:p>
    <w:p w:rsidR="00552DFA" w:rsidRPr="00E878B6" w:rsidRDefault="00552DFA" w:rsidP="00423C3D">
      <w:r w:rsidRPr="00E878B6">
        <w:t>Victoria’s population has been growing quickly at 2.1 per cent over 2015</w:t>
      </w:r>
      <w:r>
        <w:noBreakHyphen/>
      </w:r>
      <w:r w:rsidRPr="00E878B6">
        <w:t>16, reflecting our economic opportunities and attractiveness as a place to live. Our growing population is a major driver in supporting our economic strength; it injects new skills and new ideas into our communities. The Government is managing Victoria’s growth with significant investments in infrastructure and in our people.</w:t>
      </w:r>
    </w:p>
    <w:p w:rsidR="00552DFA" w:rsidRPr="00E878B6" w:rsidRDefault="00552DFA" w:rsidP="00423C3D">
      <w:pPr>
        <w:ind w:right="-284"/>
        <w:rPr>
          <w:noProof/>
          <w:lang w:eastAsia="en-AU"/>
        </w:rPr>
      </w:pPr>
      <w:r w:rsidRPr="00E878B6">
        <w:lastRenderedPageBreak/>
        <w:t xml:space="preserve">Victoria continues to lead the nation in job creation. </w:t>
      </w:r>
      <w:r w:rsidR="007A7D78">
        <w:t>More than</w:t>
      </w:r>
      <w:r w:rsidRPr="00E878B6">
        <w:t xml:space="preserve"> 200 000 jobs have been created in Victoria since this Government was elected. In the year to March 2017, employment grew by an average of 3.4 per cent. This was the strongest among the states, and a stark contrast to average employment growth for the rest of the nation, at only 0.6 per cent (Chart 1.2). Victoria’s regional labour market is one of the strongest in the nation – employment grew by 2.1 per cent in 2016. Demonstrating the significant improvement in Victorians’ job prospects, the labour force participation rate is at its highest since 2011, averaging more than 65 per cent in 2016. Unemployment</w:t>
      </w:r>
      <w:r w:rsidR="00356A95">
        <w:fldChar w:fldCharType="begin"/>
      </w:r>
      <w:r w:rsidR="00356A95">
        <w:instrText xml:space="preserve"> XE "Unemployment" </w:instrText>
      </w:r>
      <w:r w:rsidR="00356A95">
        <w:fldChar w:fldCharType="end"/>
      </w:r>
      <w:r w:rsidRPr="00E878B6">
        <w:t xml:space="preserve"> has declined from the recent highs seen in October 2014. </w:t>
      </w:r>
    </w:p>
    <w:p w:rsidR="00552DFA" w:rsidRPr="00E878B6" w:rsidRDefault="00552DFA" w:rsidP="00423C3D">
      <w:pPr>
        <w:pStyle w:val="TableHeading"/>
        <w:rPr>
          <w:noProof/>
          <w:lang w:eastAsia="en-AU"/>
        </w:rPr>
      </w:pPr>
      <w:r w:rsidRPr="00E878B6">
        <w:rPr>
          <w:noProof/>
          <w:lang w:eastAsia="en-AU"/>
        </w:rPr>
        <w:t>Chart 1.2:</w:t>
      </w:r>
      <w:r w:rsidRPr="00E878B6">
        <w:rPr>
          <w:noProof/>
          <w:lang w:eastAsia="en-AU"/>
        </w:rPr>
        <w:tab/>
        <w:t>Employment growth</w:t>
      </w:r>
      <w:r w:rsidR="00356A95">
        <w:rPr>
          <w:noProof/>
          <w:lang w:eastAsia="en-AU"/>
        </w:rPr>
        <w:fldChar w:fldCharType="begin"/>
      </w:r>
      <w:r w:rsidR="00356A95">
        <w:rPr>
          <w:noProof/>
          <w:lang w:eastAsia="en-AU"/>
        </w:rPr>
        <w:instrText xml:space="preserve"> XE "</w:instrText>
      </w:r>
      <w:r w:rsidR="00356A95">
        <w:instrText>Labour market:</w:instrText>
      </w:r>
      <w:r w:rsidR="00356A95" w:rsidRPr="002E35BB">
        <w:instrText>Employment growth</w:instrText>
      </w:r>
      <w:r w:rsidR="00356A95">
        <w:instrText>"</w:instrText>
      </w:r>
      <w:r w:rsidR="00356A95">
        <w:rPr>
          <w:noProof/>
          <w:lang w:eastAsia="en-AU"/>
        </w:rPr>
        <w:instrText xml:space="preserve"> </w:instrText>
      </w:r>
      <w:r w:rsidR="00356A95">
        <w:rPr>
          <w:noProof/>
          <w:lang w:eastAsia="en-AU"/>
        </w:rPr>
        <w:fldChar w:fldCharType="end"/>
      </w:r>
      <w:r w:rsidR="00356A95">
        <w:rPr>
          <w:noProof/>
          <w:lang w:eastAsia="en-AU"/>
        </w:rPr>
        <w:fldChar w:fldCharType="begin"/>
      </w:r>
      <w:r w:rsidR="00356A95">
        <w:rPr>
          <w:noProof/>
          <w:lang w:eastAsia="en-AU"/>
        </w:rPr>
        <w:instrText xml:space="preserve"> XE "</w:instrText>
      </w:r>
      <w:r w:rsidR="00356A95">
        <w:instrText>Employment:Growth"</w:instrText>
      </w:r>
      <w:r w:rsidR="00356A95">
        <w:rPr>
          <w:noProof/>
          <w:lang w:eastAsia="en-AU"/>
        </w:rPr>
        <w:instrText xml:space="preserve"> </w:instrText>
      </w:r>
      <w:r w:rsidR="00356A95">
        <w:rPr>
          <w:noProof/>
          <w:lang w:eastAsia="en-AU"/>
        </w:rPr>
        <w:fldChar w:fldCharType="end"/>
      </w:r>
      <w:r w:rsidRPr="00E878B6">
        <w:rPr>
          <w:noProof/>
          <w:lang w:eastAsia="en-AU"/>
        </w:rPr>
        <w:t>, Victoria and rest of Australia, 12</w:t>
      </w:r>
      <w:r>
        <w:rPr>
          <w:noProof/>
          <w:lang w:eastAsia="en-AU"/>
        </w:rPr>
        <w:noBreakHyphen/>
      </w:r>
      <w:r w:rsidRPr="00E878B6">
        <w:rPr>
          <w:noProof/>
          <w:lang w:eastAsia="en-AU"/>
        </w:rPr>
        <w:t>month moving average, 2011</w:t>
      </w:r>
      <w:r>
        <w:rPr>
          <w:noProof/>
          <w:lang w:eastAsia="en-AU"/>
        </w:rPr>
        <w:noBreakHyphen/>
      </w:r>
      <w:r w:rsidRPr="00E878B6">
        <w:rPr>
          <w:noProof/>
          <w:lang w:eastAsia="en-AU"/>
        </w:rPr>
        <w:t>2017</w:t>
      </w:r>
    </w:p>
    <w:p w:rsidR="00552DFA" w:rsidRPr="00E878B6" w:rsidRDefault="0049535D" w:rsidP="00423C3D">
      <w:pPr>
        <w:pStyle w:val="Source"/>
      </w:pPr>
      <w:r>
        <w:rPr>
          <w:noProof/>
          <w:lang w:eastAsia="en-AU"/>
        </w:rPr>
        <w:pict>
          <v:shape id="_x0000_i1026" type="#_x0000_t75" style="width:386.8pt;height:257.85pt">
            <v:imagedata r:id="rId16" o:title="" cropbottom="2067f"/>
          </v:shape>
        </w:pict>
      </w:r>
      <w:r w:rsidR="00552DFA" w:rsidRPr="00E878B6">
        <w:t>Source: Australian Bureau of Statistics</w:t>
      </w:r>
    </w:p>
    <w:p w:rsidR="00552DFA" w:rsidRPr="00E878B6" w:rsidRDefault="00552DFA">
      <w:pPr>
        <w:keepLines w:val="0"/>
        <w:rPr>
          <w:rFonts w:asciiTheme="majorHAnsi" w:eastAsiaTheme="majorEastAsia" w:hAnsiTheme="majorHAnsi" w:cstheme="majorBidi"/>
          <w:b/>
          <w:spacing w:val="-2"/>
          <w:sz w:val="26"/>
          <w:szCs w:val="26"/>
        </w:rPr>
      </w:pPr>
      <w:r w:rsidRPr="00E878B6">
        <w:br w:type="page"/>
      </w:r>
    </w:p>
    <w:p w:rsidR="00552DFA" w:rsidRPr="00E878B6" w:rsidRDefault="00552DFA" w:rsidP="00423C3D">
      <w:pPr>
        <w:pStyle w:val="Heading20"/>
      </w:pPr>
      <w:r w:rsidRPr="00E878B6">
        <w:lastRenderedPageBreak/>
        <w:t>A financially sound position</w:t>
      </w:r>
    </w:p>
    <w:p w:rsidR="00552DFA" w:rsidRPr="00E878B6" w:rsidRDefault="00552DFA" w:rsidP="00423C3D">
      <w:r w:rsidRPr="00E878B6">
        <w:t xml:space="preserve">The </w:t>
      </w:r>
      <w:r w:rsidRPr="00E878B6">
        <w:rPr>
          <w:i/>
        </w:rPr>
        <w:t>2017</w:t>
      </w:r>
      <w:r>
        <w:rPr>
          <w:i/>
        </w:rPr>
        <w:noBreakHyphen/>
      </w:r>
      <w:r w:rsidRPr="00E878B6">
        <w:rPr>
          <w:i/>
        </w:rPr>
        <w:t>18 Budget</w:t>
      </w:r>
      <w:r w:rsidRPr="00E878B6">
        <w:t xml:space="preserve"> continues the Government’s commitment to maintain a strong fiscal position to set Victoria up for the future, by ensuring revenue growth exceeds expenditure growth</w:t>
      </w:r>
      <w:r w:rsidR="008D7D39">
        <w:t>,</w:t>
      </w:r>
      <w:r w:rsidRPr="00E878B6">
        <w:t xml:space="preserve"> and a </w:t>
      </w:r>
      <w:r w:rsidR="005303B7">
        <w:t xml:space="preserve">net </w:t>
      </w:r>
      <w:r w:rsidRPr="00E878B6">
        <w:t xml:space="preserve">debt to GSP ratio </w:t>
      </w:r>
      <w:r w:rsidR="008D7D39">
        <w:t>of no more than its peak over the past five years by the end of the forward estimates</w:t>
      </w:r>
      <w:r w:rsidR="005303B7">
        <w:t>.</w:t>
      </w:r>
      <w:r w:rsidRPr="00E878B6">
        <w:t xml:space="preserve"> This budget invests in services required for a growing population and in the communities where people work and live. It continues to invest in infrastructure to support growth in the long term, recognising the importance of prudent spending and saving when conditions are favourable. </w:t>
      </w:r>
    </w:p>
    <w:p w:rsidR="00552DFA" w:rsidRPr="00E878B6" w:rsidRDefault="00552DFA" w:rsidP="00423C3D">
      <w:r w:rsidRPr="00E878B6">
        <w:t>The general government sector operating surplus (net result from transactions) is estimated to be $1.2 billion in 2017</w:t>
      </w:r>
      <w:r>
        <w:noBreakHyphen/>
      </w:r>
      <w:r w:rsidRPr="00E878B6">
        <w:t>18, growing to $2.7</w:t>
      </w:r>
      <w:r>
        <w:t> </w:t>
      </w:r>
      <w:r w:rsidRPr="00E878B6">
        <w:t>b</w:t>
      </w:r>
      <w:r>
        <w:t>illion</w:t>
      </w:r>
      <w:r w:rsidRPr="00E878B6">
        <w:t xml:space="preserve"> by 2020</w:t>
      </w:r>
      <w:r>
        <w:noBreakHyphen/>
      </w:r>
      <w:r w:rsidRPr="00E878B6">
        <w:t>21, putting Victoria in a stronger fiscal position each year. Over the budget and forward estimates, expenses are expected to grow by 3.2 per cent a year on average compared with revenue growth of 3.7 per cent on average. Net debt</w:t>
      </w:r>
      <w:r w:rsidR="00356A95">
        <w:fldChar w:fldCharType="begin"/>
      </w:r>
      <w:r w:rsidR="00356A95">
        <w:instrText xml:space="preserve"> XE "Debt:Net debt" </w:instrText>
      </w:r>
      <w:r w:rsidR="00356A95">
        <w:fldChar w:fldCharType="end"/>
      </w:r>
      <w:r w:rsidRPr="00E878B6">
        <w:t xml:space="preserve"> as a percentage of GSP remains below the level </w:t>
      </w:r>
      <w:r w:rsidR="005303B7">
        <w:t xml:space="preserve">of 6.2 per cent </w:t>
      </w:r>
      <w:r w:rsidRPr="00E878B6">
        <w:t>inherited by this Government.</w:t>
      </w:r>
    </w:p>
    <w:p w:rsidR="00552DFA" w:rsidRPr="00E878B6" w:rsidRDefault="00552DFA" w:rsidP="00423C3D">
      <w:r w:rsidRPr="00E878B6">
        <w:t xml:space="preserve">The </w:t>
      </w:r>
      <w:r w:rsidRPr="00E878B6">
        <w:rPr>
          <w:i/>
        </w:rPr>
        <w:t>2017</w:t>
      </w:r>
      <w:r>
        <w:rPr>
          <w:i/>
        </w:rPr>
        <w:noBreakHyphen/>
      </w:r>
      <w:r w:rsidRPr="00E878B6">
        <w:rPr>
          <w:i/>
        </w:rPr>
        <w:t xml:space="preserve">18 Budget </w:t>
      </w:r>
      <w:r w:rsidRPr="00E878B6">
        <w:t xml:space="preserve">funds $9.6 billion of new output initiatives, with a socially progressive, inclusive agenda for health, education, family violence, police and housing. </w:t>
      </w:r>
    </w:p>
    <w:p w:rsidR="00552DFA" w:rsidRPr="00E878B6" w:rsidRDefault="00552DFA" w:rsidP="00423C3D">
      <w:r w:rsidRPr="00E878B6">
        <w:t>The Government is also investing up to $6.1</w:t>
      </w:r>
      <w:r>
        <w:t> </w:t>
      </w:r>
      <w:r w:rsidRPr="00E878B6">
        <w:t>b</w:t>
      </w:r>
      <w:r>
        <w:t>illion</w:t>
      </w:r>
      <w:r w:rsidRPr="00E878B6">
        <w:t xml:space="preserve"> in new asset initiatives, continuing to support the Government’s track record of investment in infrastructure to improve the lives of all Victorians. Government infrastructure investment</w:t>
      </w:r>
      <w:r w:rsidR="00356A95">
        <w:fldChar w:fldCharType="begin"/>
      </w:r>
      <w:r w:rsidR="00356A95">
        <w:instrText xml:space="preserve"> XE "Infrastructure investment:Government infrastructure investment" </w:instrText>
      </w:r>
      <w:r w:rsidR="00356A95">
        <w:fldChar w:fldCharType="end"/>
      </w:r>
      <w:r w:rsidRPr="00E878B6">
        <w:t xml:space="preserve"> will surge over the next four years, averaging $9.6 billion a year compared with an average of $5.6 billion a year over the decade to 2016</w:t>
      </w:r>
      <w:r>
        <w:noBreakHyphen/>
      </w:r>
      <w:r w:rsidRPr="00E878B6">
        <w:t>17.</w:t>
      </w:r>
    </w:p>
    <w:p w:rsidR="00552DFA" w:rsidRPr="00E878B6" w:rsidRDefault="00552DFA" w:rsidP="00423C3D">
      <w:r w:rsidRPr="00E878B6">
        <w:t>The decisions taken by the Government in this budget are consistent with the metrics that underpin a triple</w:t>
      </w:r>
      <w:r>
        <w:noBreakHyphen/>
      </w:r>
      <w:r w:rsidRPr="00E878B6">
        <w:t xml:space="preserve">A credit rating. </w:t>
      </w:r>
    </w:p>
    <w:p w:rsidR="00552DFA" w:rsidRPr="00E878B6" w:rsidRDefault="00552DFA">
      <w:pPr>
        <w:keepLines w:val="0"/>
        <w:rPr>
          <w:rFonts w:asciiTheme="majorHAnsi" w:eastAsiaTheme="majorEastAsia" w:hAnsiTheme="majorHAnsi" w:cstheme="majorBidi"/>
          <w:b/>
          <w:bCs/>
          <w:caps/>
          <w:spacing w:val="-2"/>
          <w:sz w:val="26"/>
          <w:szCs w:val="28"/>
        </w:rPr>
      </w:pPr>
      <w:r w:rsidRPr="00E878B6">
        <w:br w:type="page"/>
      </w:r>
    </w:p>
    <w:p w:rsidR="00552DFA" w:rsidRPr="00E878B6" w:rsidRDefault="00552DFA" w:rsidP="00423C3D">
      <w:pPr>
        <w:pStyle w:val="Heading10"/>
      </w:pPr>
      <w:bookmarkStart w:id="7" w:name="_Toc481160557"/>
      <w:bookmarkStart w:id="8" w:name="_Toc481246465"/>
      <w:r w:rsidRPr="00E878B6">
        <w:lastRenderedPageBreak/>
        <w:t>Creating and protecting jobs</w:t>
      </w:r>
      <w:bookmarkEnd w:id="7"/>
      <w:bookmarkEnd w:id="8"/>
    </w:p>
    <w:p w:rsidR="00552DFA" w:rsidRPr="00E878B6" w:rsidRDefault="00552DFA" w:rsidP="00BC7AB1">
      <w:pPr>
        <w:ind w:right="-113"/>
      </w:pPr>
      <w:r w:rsidRPr="00E878B6">
        <w:t xml:space="preserve">The Government has an enviable record of jobs growth, with </w:t>
      </w:r>
      <w:r w:rsidR="007A7D78">
        <w:t>more than</w:t>
      </w:r>
      <w:r w:rsidRPr="00E878B6">
        <w:t xml:space="preserve"> 200 000 new jobs created since November 2014. New jobs have been created across the economy</w:t>
      </w:r>
      <w:r w:rsidR="00BC7AB1">
        <w:t>. Chart </w:t>
      </w:r>
      <w:r w:rsidRPr="00E878B6">
        <w:t>1.3 shows the industries in which these new jobs are being created, with the number of new jobs shown by circle size, and industries in the top right quadrant having higher average wages and skills.</w:t>
      </w:r>
      <w:r w:rsidR="003B670B">
        <w:t xml:space="preserve"> </w:t>
      </w:r>
    </w:p>
    <w:p w:rsidR="00552DFA" w:rsidRPr="00E878B6" w:rsidRDefault="00552DFA" w:rsidP="00423C3D">
      <w:pPr>
        <w:pStyle w:val="TableHeading"/>
      </w:pPr>
      <w:r w:rsidRPr="00E878B6">
        <w:t>Chart 1.3:</w:t>
      </w:r>
      <w:r w:rsidRPr="00E878B6">
        <w:tab/>
        <w:t xml:space="preserve">Number of new jobs in Victoria, by skill and wage characteristics of industries, November 2014 – February 2017 (selected industries) </w:t>
      </w:r>
      <w:r w:rsidRPr="00E878B6">
        <w:rPr>
          <w:vertAlign w:val="superscript"/>
        </w:rPr>
        <w:t>(a)</w:t>
      </w:r>
    </w:p>
    <w:p w:rsidR="00552DFA" w:rsidRPr="00E878B6" w:rsidRDefault="00552DFA" w:rsidP="00423C3D">
      <w:pPr>
        <w:pStyle w:val="Source"/>
      </w:pPr>
      <w:r w:rsidRPr="00E878B6">
        <w:t xml:space="preserve"> </w:t>
      </w:r>
      <w:r w:rsidR="0049535D">
        <w:pict>
          <v:shape id="_x0000_i1027" type="#_x0000_t75" style="width:380.95pt;height:261.2pt">
            <v:imagedata r:id="rId17" o:title=""/>
          </v:shape>
        </w:pict>
      </w:r>
      <w:r w:rsidRPr="00E878B6">
        <w:t>Source: Department of Treasury and Finance and Australian Bureau of Statistics</w:t>
      </w:r>
    </w:p>
    <w:p w:rsidR="00552DFA" w:rsidRPr="00E878B6" w:rsidRDefault="00552DFA" w:rsidP="00423C3D">
      <w:pPr>
        <w:pStyle w:val="Note"/>
      </w:pPr>
      <w:r w:rsidRPr="00E878B6">
        <w:t>Note:</w:t>
      </w:r>
    </w:p>
    <w:p w:rsidR="00552DFA" w:rsidRDefault="00552DFA" w:rsidP="00423C3D">
      <w:pPr>
        <w:pStyle w:val="Note"/>
      </w:pPr>
      <w:r w:rsidRPr="00E878B6">
        <w:t>(a)</w:t>
      </w:r>
      <w:r w:rsidRPr="00E878B6">
        <w:tab/>
        <w:t>Size of bubble represents the change in the level of employment over a 27</w:t>
      </w:r>
      <w:r>
        <w:noBreakHyphen/>
      </w:r>
      <w:r w:rsidRPr="00E878B6">
        <w:t xml:space="preserve">month period. Industries have been excluded where they make up less than 2.75 per cent of State gross value added. </w:t>
      </w:r>
    </w:p>
    <w:p w:rsidR="00CD716F" w:rsidRPr="00E878B6" w:rsidRDefault="00CD716F" w:rsidP="00423C3D">
      <w:pPr>
        <w:pStyle w:val="Note"/>
      </w:pPr>
    </w:p>
    <w:p w:rsidR="00552DFA" w:rsidRPr="00E878B6" w:rsidRDefault="00552DFA" w:rsidP="00423C3D">
      <w:r w:rsidRPr="00E878B6">
        <w:t xml:space="preserve">By supporting efficient and reliable infrastructure; skilled, innovative and healthy people; and an economy that allows all families and communities to share in the benefits of growth, the </w:t>
      </w:r>
      <w:r w:rsidRPr="00E878B6">
        <w:rPr>
          <w:i/>
        </w:rPr>
        <w:t>2017</w:t>
      </w:r>
      <w:r>
        <w:rPr>
          <w:i/>
        </w:rPr>
        <w:noBreakHyphen/>
      </w:r>
      <w:r w:rsidRPr="00E878B6">
        <w:rPr>
          <w:i/>
        </w:rPr>
        <w:t xml:space="preserve">18 Budget </w:t>
      </w:r>
      <w:r w:rsidRPr="00E878B6">
        <w:t xml:space="preserve">supports growth that delivers for all Victorians. </w:t>
      </w:r>
    </w:p>
    <w:p w:rsidR="00552DFA" w:rsidRPr="00E878B6" w:rsidRDefault="00552DFA">
      <w:pPr>
        <w:keepLines w:val="0"/>
        <w:rPr>
          <w:rFonts w:asciiTheme="majorHAnsi" w:eastAsiaTheme="majorEastAsia" w:hAnsiTheme="majorHAnsi" w:cstheme="majorBidi"/>
          <w:b/>
          <w:spacing w:val="-2"/>
          <w:sz w:val="26"/>
          <w:szCs w:val="26"/>
        </w:rPr>
      </w:pPr>
      <w:r w:rsidRPr="00E878B6">
        <w:br w:type="page"/>
      </w:r>
    </w:p>
    <w:p w:rsidR="00552DFA" w:rsidRPr="00E878B6" w:rsidRDefault="00552DFA" w:rsidP="00423C3D">
      <w:pPr>
        <w:pStyle w:val="Heading20"/>
      </w:pPr>
      <w:r w:rsidRPr="00E878B6">
        <w:lastRenderedPageBreak/>
        <w:t>Infrastructure investment</w:t>
      </w:r>
      <w:r w:rsidR="00356A95">
        <w:fldChar w:fldCharType="begin"/>
      </w:r>
      <w:r w:rsidR="00356A95">
        <w:instrText xml:space="preserve"> XE "Infrastructure investment" </w:instrText>
      </w:r>
      <w:r w:rsidR="00356A95">
        <w:fldChar w:fldCharType="end"/>
      </w:r>
      <w:r w:rsidRPr="00E878B6">
        <w:t xml:space="preserve"> is creating and protecting jobs</w:t>
      </w:r>
    </w:p>
    <w:p w:rsidR="00552DFA" w:rsidRPr="00E878B6" w:rsidRDefault="00552DFA" w:rsidP="00423C3D">
      <w:r w:rsidRPr="00E878B6">
        <w:t xml:space="preserve">The growth in Victoria’s population has placed additional demands on our infrastructure, and the Government’s response is critical to ensuring that Victorians can access employment, education and public services easily and safely. </w:t>
      </w:r>
    </w:p>
    <w:p w:rsidR="00552DFA" w:rsidRPr="00E878B6" w:rsidRDefault="00552DFA" w:rsidP="00423C3D">
      <w:r w:rsidRPr="00E878B6">
        <w:t>The Government’s first two budgets prioritised the infrastructure investment that Victoria needed, which will benefit Victorians for many years to come. The Government has a strong infrastructure pipeline, and in 2017</w:t>
      </w:r>
      <w:r>
        <w:noBreakHyphen/>
      </w:r>
      <w:r w:rsidRPr="00E878B6">
        <w:t xml:space="preserve">18 the Government will continue its major infrastructure program to build Victoria and deliver services to the community. </w:t>
      </w:r>
    </w:p>
    <w:p w:rsidR="00552DFA" w:rsidRPr="00E878B6" w:rsidRDefault="00552DFA" w:rsidP="00423C3D">
      <w:r w:rsidRPr="00E878B6">
        <w:t xml:space="preserve">The </w:t>
      </w:r>
      <w:r w:rsidR="00F516FF">
        <w:t>$5.</w:t>
      </w:r>
      <w:r w:rsidR="00D708DC">
        <w:t>5</w:t>
      </w:r>
      <w:r w:rsidR="00F516FF">
        <w:t xml:space="preserve"> billion </w:t>
      </w:r>
      <w:r w:rsidRPr="00E878B6">
        <w:t>West Gate Tunnel Project</w:t>
      </w:r>
      <w:r w:rsidR="00356A95">
        <w:fldChar w:fldCharType="begin"/>
      </w:r>
      <w:r w:rsidR="00356A95">
        <w:instrText xml:space="preserve"> XE "West Gate Tunnel Project" </w:instrText>
      </w:r>
      <w:r w:rsidR="00356A95">
        <w:fldChar w:fldCharType="end"/>
      </w:r>
      <w:r w:rsidRPr="00E878B6">
        <w:t xml:space="preserve"> alone is estimated to add more than 6 000 new jobs, including for apprentices and former auto workers. The </w:t>
      </w:r>
      <w:r w:rsidR="00F516FF">
        <w:t xml:space="preserve">$10.9 billion </w:t>
      </w:r>
      <w:r w:rsidRPr="00E878B6">
        <w:t>Metro Tunnel</w:t>
      </w:r>
      <w:r w:rsidR="00356A95">
        <w:fldChar w:fldCharType="begin"/>
      </w:r>
      <w:r w:rsidR="00356A95">
        <w:instrText xml:space="preserve"> XE "Metro Tunnel" </w:instrText>
      </w:r>
      <w:r w:rsidR="00356A95">
        <w:fldChar w:fldCharType="end"/>
      </w:r>
      <w:r w:rsidRPr="00E878B6">
        <w:t xml:space="preserve"> has commenced and is estimated to contribute 4 700 new jobs. </w:t>
      </w:r>
    </w:p>
    <w:p w:rsidR="00552DFA" w:rsidRPr="00E878B6" w:rsidRDefault="00552DFA" w:rsidP="00423C3D">
      <w:r w:rsidRPr="00E878B6">
        <w:t xml:space="preserve">The </w:t>
      </w:r>
      <w:r w:rsidRPr="00E878B6">
        <w:rPr>
          <w:i/>
        </w:rPr>
        <w:t>2017</w:t>
      </w:r>
      <w:r>
        <w:rPr>
          <w:i/>
        </w:rPr>
        <w:noBreakHyphen/>
      </w:r>
      <w:r w:rsidRPr="00E878B6">
        <w:rPr>
          <w:i/>
        </w:rPr>
        <w:t>18 Budget</w:t>
      </w:r>
      <w:r w:rsidRPr="00E878B6">
        <w:t xml:space="preserve"> invests more than $2 billion in major infrastructure projects that will create thousands of jobs for Victorians, including in regional areas. In total, this Government has announced new infrastructure investment that is expected to generate </w:t>
      </w:r>
      <w:r w:rsidR="007A7D78">
        <w:t>more than</w:t>
      </w:r>
      <w:r w:rsidRPr="00E878B6">
        <w:t xml:space="preserve"> 50 000 jobs.</w:t>
      </w:r>
    </w:p>
    <w:p w:rsidR="00552DFA" w:rsidRPr="00E878B6" w:rsidRDefault="00552DFA" w:rsidP="00423C3D">
      <w:r w:rsidRPr="00E878B6">
        <w:t xml:space="preserve">The Government’s commitment to delivering infrastructure will grow our economy, create and protect jobs and deliver benefits for Victorians well into the future. </w:t>
      </w:r>
    </w:p>
    <w:p w:rsidR="00552DFA" w:rsidRPr="00E878B6" w:rsidRDefault="00552DFA" w:rsidP="00423C3D">
      <w:pPr>
        <w:pStyle w:val="Heading20"/>
      </w:pPr>
      <w:r w:rsidRPr="00E878B6">
        <w:t>Investing in businesses and Victorian jobs</w:t>
      </w:r>
    </w:p>
    <w:p w:rsidR="00552DFA" w:rsidRPr="00E878B6" w:rsidRDefault="00552DFA" w:rsidP="00423C3D">
      <w:r w:rsidRPr="00E878B6">
        <w:t xml:space="preserve">The Government is making prudent investments to support jobs and workers with new opportunities well into the future. The </w:t>
      </w:r>
      <w:r w:rsidRPr="00E878B6">
        <w:rPr>
          <w:i/>
        </w:rPr>
        <w:t>2017</w:t>
      </w:r>
      <w:r>
        <w:rPr>
          <w:i/>
        </w:rPr>
        <w:noBreakHyphen/>
      </w:r>
      <w:r w:rsidRPr="00E878B6">
        <w:rPr>
          <w:i/>
        </w:rPr>
        <w:t>18 Budget</w:t>
      </w:r>
      <w:r w:rsidRPr="00E878B6">
        <w:t xml:space="preserve"> facilitates investment throughout Victoria, and particularly for Victorians who need additional support. The budget continues to facilitate a pipeline of private sector investment and job creation in Victoria, with $90 million to support jobs in key strategic and priority sectors, and locations with high levels of disadvantage; and $10.2</w:t>
      </w:r>
      <w:r>
        <w:t> </w:t>
      </w:r>
      <w:r w:rsidRPr="00E878B6">
        <w:t>m</w:t>
      </w:r>
      <w:r>
        <w:t>illion</w:t>
      </w:r>
      <w:r w:rsidRPr="00E878B6">
        <w:t xml:space="preserve"> for Jobs Victoria</w:t>
      </w:r>
      <w:r w:rsidR="00356A95">
        <w:fldChar w:fldCharType="begin"/>
      </w:r>
      <w:r w:rsidR="00356A95">
        <w:instrText xml:space="preserve"> XE "Jobs:Jobs Victoria" </w:instrText>
      </w:r>
      <w:r w:rsidR="00356A95">
        <w:fldChar w:fldCharType="end"/>
      </w:r>
      <w:r w:rsidRPr="00E878B6">
        <w:t xml:space="preserve"> to increase the impact of social enterprises and assist retrenched workers across Victoria to find new jobs with tailored support services.</w:t>
      </w:r>
    </w:p>
    <w:p w:rsidR="00552DFA" w:rsidRPr="00E878B6" w:rsidRDefault="00552DFA" w:rsidP="00423C3D">
      <w:r w:rsidRPr="00E878B6">
        <w:t>This budget supports businesses by bringing forward the payroll tax</w:t>
      </w:r>
      <w:r>
        <w:noBreakHyphen/>
      </w:r>
      <w:r w:rsidRPr="00E878B6">
        <w:t>free threshold increase by one year, making it easier for approximately 37 800 businesses to invest and create new jobs sooner. The payroll tax</w:t>
      </w:r>
      <w:r>
        <w:noBreakHyphen/>
      </w:r>
      <w:r w:rsidRPr="00E878B6">
        <w:t>free threshold will now increase to $625 000 in 2017</w:t>
      </w:r>
      <w:r>
        <w:noBreakHyphen/>
      </w:r>
      <w:r w:rsidRPr="00E878B6">
        <w:t>18 and $650 000 in 2018</w:t>
      </w:r>
      <w:r>
        <w:noBreakHyphen/>
      </w:r>
      <w:r w:rsidRPr="00E878B6">
        <w:t xml:space="preserve">19, one year earlier than previously scheduled. In an Australian first, the Government will incentivise job creation in regional Victoria by reducing the payroll tax rate from 4.85 per cent to 3.65 per cent for businesses where 85 per cent of their payroll comprises employees working in regional areas. Around 4 000 businesses will be able to reinvest these savings in their local economies, to ensure that the benefits of economic growth are shared with our regions. </w:t>
      </w:r>
    </w:p>
    <w:p w:rsidR="00552DFA" w:rsidRPr="00E878B6" w:rsidRDefault="00552DFA" w:rsidP="00423C3D">
      <w:r w:rsidRPr="00E878B6">
        <w:t>Tourism</w:t>
      </w:r>
      <w:r w:rsidR="00356A95">
        <w:fldChar w:fldCharType="begin"/>
      </w:r>
      <w:r w:rsidR="00356A95">
        <w:instrText xml:space="preserve"> XE "Tourism" </w:instrText>
      </w:r>
      <w:r w:rsidR="00356A95">
        <w:fldChar w:fldCharType="end"/>
      </w:r>
      <w:r w:rsidRPr="00E878B6">
        <w:t xml:space="preserve"> is an important export industry for Victoria. Over the year to December 2016, Victoria welcomed 2.7</w:t>
      </w:r>
      <w:r>
        <w:t> </w:t>
      </w:r>
      <w:r w:rsidRPr="00E878B6">
        <w:t>m</w:t>
      </w:r>
      <w:r>
        <w:t>illion</w:t>
      </w:r>
      <w:r w:rsidRPr="00E878B6">
        <w:t xml:space="preserve"> international visitors who spent a total of $6.9</w:t>
      </w:r>
      <w:r>
        <w:t> </w:t>
      </w:r>
      <w:r w:rsidRPr="00E878B6">
        <w:t>b</w:t>
      </w:r>
      <w:r>
        <w:t>illion</w:t>
      </w:r>
      <w:r w:rsidRPr="00E878B6">
        <w:t>. A further $24.8</w:t>
      </w:r>
      <w:r>
        <w:t> </w:t>
      </w:r>
      <w:r w:rsidRPr="00E878B6">
        <w:t>m</w:t>
      </w:r>
      <w:r>
        <w:t>illion</w:t>
      </w:r>
      <w:r w:rsidRPr="00E878B6">
        <w:t xml:space="preserve"> on tourism initiatives will boost Victoria’s economy, attracting interstate and overseas visitors. The funding will enable Visit Victoria</w:t>
      </w:r>
      <w:r w:rsidR="00356A95">
        <w:fldChar w:fldCharType="begin"/>
      </w:r>
      <w:r w:rsidR="00356A95">
        <w:instrText xml:space="preserve"> XE "Visit Victoria" </w:instrText>
      </w:r>
      <w:r w:rsidR="00356A95">
        <w:fldChar w:fldCharType="end"/>
      </w:r>
      <w:r w:rsidRPr="00E878B6">
        <w:t xml:space="preserve"> to expand and fund campaigns to attract visitors from around the world. </w:t>
      </w:r>
    </w:p>
    <w:p w:rsidR="00552DFA" w:rsidRPr="00E878B6" w:rsidRDefault="00552DFA" w:rsidP="00423C3D">
      <w:pPr>
        <w:ind w:right="-57"/>
      </w:pPr>
      <w:r w:rsidRPr="00E878B6">
        <w:lastRenderedPageBreak/>
        <w:t xml:space="preserve">The Government is increasing the reliability, affordability and sustainability of Victoria’s energy supplies by providing $122 million to advance new technologies and build our knowledge and skills in important industries for Victoria’s future. The budget includes funding to inform Victorians about improving energy efficiency and comparing prices; help energy consumers and businesses with energy efficiency upgrades; invest in the solar </w:t>
      </w:r>
      <w:r>
        <w:t>t</w:t>
      </w:r>
      <w:r w:rsidRPr="00E878B6">
        <w:t>ram program to promote renewable energy; and trial and advance new large</w:t>
      </w:r>
      <w:r>
        <w:noBreakHyphen/>
      </w:r>
      <w:r w:rsidRPr="00E878B6">
        <w:t xml:space="preserve">scale energy storage initiatives. </w:t>
      </w:r>
    </w:p>
    <w:p w:rsidR="00552DFA" w:rsidRPr="00E878B6" w:rsidRDefault="00552DFA" w:rsidP="00423C3D">
      <w:pPr>
        <w:pStyle w:val="Heading30"/>
        <w:rPr>
          <w:strike/>
        </w:rPr>
      </w:pPr>
      <w:r w:rsidRPr="00E878B6">
        <w:t>Protecting Victorian jobs</w:t>
      </w:r>
    </w:p>
    <w:p w:rsidR="00552DFA" w:rsidRPr="00E878B6" w:rsidRDefault="00552DFA" w:rsidP="00423C3D">
      <w:r w:rsidRPr="00E878B6">
        <w:t>Economic transformation has benefited many Victorians, but there has also been change for some workers and regions. The Government has helped affected regions through these difficult times. Since the reduction of motor vehicle manufacturing in Geelong, the Government’s direct assistance has contributed to a reduced unemployment rate in that region in line with the State’s average of 6 per cent. The Latrobe</w:t>
      </w:r>
      <w:r>
        <w:noBreakHyphen/>
      </w:r>
      <w:r w:rsidRPr="00E878B6">
        <w:t xml:space="preserve">Gippsland labour market has improved in the past </w:t>
      </w:r>
      <w:r w:rsidR="007A7D78">
        <w:t>six</w:t>
      </w:r>
      <w:r w:rsidRPr="00E878B6">
        <w:t xml:space="preserve"> months. In the six months to the March quarter 2017, employment grew by 12.8</w:t>
      </w:r>
      <w:r>
        <w:t> per cent</w:t>
      </w:r>
      <w:r w:rsidRPr="00E878B6">
        <w:t>.</w:t>
      </w:r>
      <w:r w:rsidR="007A7D78">
        <w:t xml:space="preserve"> </w:t>
      </w:r>
    </w:p>
    <w:p w:rsidR="00F516FF" w:rsidRDefault="00552DFA" w:rsidP="00CD716F">
      <w:r w:rsidRPr="00E878B6">
        <w:t>The Government is continuing to help communities in transition. This budget extends support for businesses with $15</w:t>
      </w:r>
      <w:r>
        <w:t> </w:t>
      </w:r>
      <w:r w:rsidRPr="00E878B6">
        <w:t>m</w:t>
      </w:r>
      <w:r>
        <w:t>illion</w:t>
      </w:r>
      <w:r w:rsidRPr="00E878B6">
        <w:t xml:space="preserve"> through the Future Industries Manufacturing Program</w:t>
      </w:r>
      <w:r w:rsidR="00356A95">
        <w:fldChar w:fldCharType="begin"/>
      </w:r>
      <w:r w:rsidR="00356A95">
        <w:instrText xml:space="preserve"> XE "Future Industries Manufacturing Program" </w:instrText>
      </w:r>
      <w:r w:rsidR="00356A95">
        <w:fldChar w:fldCharType="end"/>
      </w:r>
      <w:r w:rsidRPr="00E878B6">
        <w:t xml:space="preserve"> (FIMP) and Local Industry Fund for Transition</w:t>
      </w:r>
      <w:r w:rsidR="00356A95">
        <w:fldChar w:fldCharType="begin"/>
      </w:r>
      <w:r w:rsidR="00356A95">
        <w:instrText xml:space="preserve"> XE "Local Industry Fund for Transition" </w:instrText>
      </w:r>
      <w:r w:rsidR="00356A95">
        <w:fldChar w:fldCharType="end"/>
      </w:r>
      <w:r w:rsidRPr="00E878B6">
        <w:t xml:space="preserve"> (LIFT) grant programs. These programs respectively support businesses to invest in new manufacturing processes and technologies, and support businesses in the Geelong, </w:t>
      </w:r>
      <w:r w:rsidR="007A7D78" w:rsidRPr="00E878B6">
        <w:t>north, west and south</w:t>
      </w:r>
      <w:r w:rsidR="007A7D78">
        <w:noBreakHyphen/>
      </w:r>
      <w:r w:rsidR="007A7D78" w:rsidRPr="00E878B6">
        <w:t xml:space="preserve">east </w:t>
      </w:r>
      <w:r w:rsidRPr="00E878B6">
        <w:t xml:space="preserve">Melbourne regions affected by automotive manufacturing closures. </w:t>
      </w:r>
      <w:r w:rsidR="00F516FF">
        <w:t>The budget also provides $110 million for plantation establishment, to support Victorian timber industry workers in the Latrobe Valley</w:t>
      </w:r>
      <w:r w:rsidR="00F516FF">
        <w:fldChar w:fldCharType="begin"/>
      </w:r>
      <w:r w:rsidR="00F516FF">
        <w:instrText xml:space="preserve"> XE "Latrobe Valley" </w:instrText>
      </w:r>
      <w:r w:rsidR="00F516FF">
        <w:fldChar w:fldCharType="end"/>
      </w:r>
      <w:r w:rsidR="00F516FF">
        <w:t>.</w:t>
      </w:r>
    </w:p>
    <w:p w:rsidR="00552DFA" w:rsidRPr="00E878B6" w:rsidRDefault="00552DFA" w:rsidP="00423C3D">
      <w:pPr>
        <w:pStyle w:val="Heading10"/>
      </w:pPr>
      <w:bookmarkStart w:id="9" w:name="_Toc481160558"/>
      <w:bookmarkStart w:id="10" w:name="_Toc481246466"/>
      <w:r w:rsidRPr="00E878B6">
        <w:t>Quality transport</w:t>
      </w:r>
      <w:bookmarkEnd w:id="9"/>
      <w:bookmarkEnd w:id="10"/>
    </w:p>
    <w:p w:rsidR="00552DFA" w:rsidRPr="00E878B6" w:rsidRDefault="00552DFA" w:rsidP="00423C3D">
      <w:r w:rsidRPr="00E878B6">
        <w:t>The Government is investing to deliver more transport infrastructure. The biggest public transport project in Australia – the Metro Tunnel</w:t>
      </w:r>
      <w:r w:rsidR="00356A95">
        <w:fldChar w:fldCharType="begin"/>
      </w:r>
      <w:r w:rsidR="00356A95">
        <w:instrText xml:space="preserve"> XE "Metro Tunnel" </w:instrText>
      </w:r>
      <w:r w:rsidR="00356A95">
        <w:fldChar w:fldCharType="end"/>
      </w:r>
      <w:r w:rsidRPr="00E878B6">
        <w:t xml:space="preserve"> – is well underway. Victorians are already beginning to see the results of the Government’s ambitious Level Crossing Removal Program</w:t>
      </w:r>
      <w:r w:rsidR="00356A95">
        <w:fldChar w:fldCharType="begin"/>
      </w:r>
      <w:r w:rsidR="00356A95">
        <w:instrText xml:space="preserve"> XE "Level Crossing Removal Program" </w:instrText>
      </w:r>
      <w:r w:rsidR="00356A95">
        <w:fldChar w:fldCharType="end"/>
      </w:r>
      <w:r w:rsidRPr="00E878B6">
        <w:t>, with 10 level crossings removed. These projects help to achieve a safer, faster and more efficient road and rail network, which improves productivity and allows Victorians to spend more time with their families.</w:t>
      </w:r>
    </w:p>
    <w:p w:rsidR="00552DFA" w:rsidRPr="00E878B6" w:rsidRDefault="00552DFA" w:rsidP="00423C3D">
      <w:pPr>
        <w:pStyle w:val="Heading20"/>
      </w:pPr>
      <w:r w:rsidRPr="00E878B6">
        <w:t>Public transport</w:t>
      </w:r>
      <w:r w:rsidR="00356A95">
        <w:fldChar w:fldCharType="begin"/>
      </w:r>
      <w:r w:rsidR="00356A95">
        <w:instrText xml:space="preserve"> XE "Public transport" </w:instrText>
      </w:r>
      <w:r w:rsidR="00356A95">
        <w:fldChar w:fldCharType="end"/>
      </w:r>
    </w:p>
    <w:p w:rsidR="00552DFA" w:rsidRPr="00E878B6" w:rsidRDefault="00552DFA" w:rsidP="00423C3D">
      <w:r w:rsidRPr="00E878B6">
        <w:t xml:space="preserve">The Government is helping Victorians to get home safer and sooner by investing in Victoria’s public transport network. </w:t>
      </w:r>
    </w:p>
    <w:p w:rsidR="00552DFA" w:rsidRPr="00E878B6" w:rsidRDefault="00552DFA" w:rsidP="00423C3D">
      <w:r w:rsidRPr="00E878B6">
        <w:t xml:space="preserve">The </w:t>
      </w:r>
      <w:r w:rsidRPr="00E878B6">
        <w:rPr>
          <w:i/>
        </w:rPr>
        <w:t>2017</w:t>
      </w:r>
      <w:r>
        <w:rPr>
          <w:i/>
        </w:rPr>
        <w:noBreakHyphen/>
      </w:r>
      <w:r w:rsidRPr="00E878B6">
        <w:rPr>
          <w:i/>
        </w:rPr>
        <w:t>18 Budget</w:t>
      </w:r>
      <w:r w:rsidRPr="00E878B6">
        <w:t xml:space="preserve"> includes a $1.1 billion regional public transport investment. Along with a number of initiatives to deliver major maintenance, assets and upgrades, the Government is investing in a Regional Rail Revival plan with a $435</w:t>
      </w:r>
      <w:r>
        <w:t> </w:t>
      </w:r>
      <w:r w:rsidRPr="00E878B6">
        <w:t>m</w:t>
      </w:r>
      <w:r>
        <w:t>illion</w:t>
      </w:r>
      <w:r w:rsidRPr="00E878B6">
        <w:t xml:space="preserve"> Gippsland Rail</w:t>
      </w:r>
      <w:r w:rsidR="00356A95">
        <w:fldChar w:fldCharType="begin"/>
      </w:r>
      <w:r w:rsidR="00356A95">
        <w:instrText xml:space="preserve"> XE "Gippsland Rail" </w:instrText>
      </w:r>
      <w:r w:rsidR="00356A95">
        <w:fldChar w:fldCharType="end"/>
      </w:r>
      <w:r w:rsidRPr="00E878B6">
        <w:t xml:space="preserve"> Upgrade to increase frequency, reliability, punctuality, and safety along the Gippsland train line. </w:t>
      </w:r>
    </w:p>
    <w:p w:rsidR="00552DFA" w:rsidRPr="00E878B6" w:rsidRDefault="00552DFA" w:rsidP="00423C3D">
      <w:pPr>
        <w:rPr>
          <w:i/>
        </w:rPr>
      </w:pPr>
      <w:r w:rsidRPr="00E878B6">
        <w:lastRenderedPageBreak/>
        <w:t>This is part of a $1.5</w:t>
      </w:r>
      <w:r>
        <w:t> </w:t>
      </w:r>
      <w:r w:rsidRPr="00E878B6">
        <w:t>b</w:t>
      </w:r>
      <w:r>
        <w:t>illion</w:t>
      </w:r>
      <w:r w:rsidRPr="00E878B6">
        <w:t xml:space="preserve"> plan, which will better connect communities, mean more frequent and reliable train travel for regional Victorians, and help create thousands of new jobs across regional Victoria. Funding of further initiatives under the </w:t>
      </w:r>
      <w:r w:rsidR="007A7D78" w:rsidRPr="00E878B6">
        <w:t xml:space="preserve">plan </w:t>
      </w:r>
      <w:r w:rsidRPr="00E878B6">
        <w:t xml:space="preserve">requires full receipt of Victoria’s entitlement under the National Partnership Agreement on Asset Recycling from the Commonwealth (Box 1.1). </w:t>
      </w:r>
    </w:p>
    <w:p w:rsidR="00552DFA" w:rsidRPr="00E878B6" w:rsidRDefault="00552DFA" w:rsidP="00423C3D">
      <w:r w:rsidRPr="00A95794">
        <w:t xml:space="preserve">This </w:t>
      </w:r>
      <w:r w:rsidR="007A7D78" w:rsidRPr="00A95794">
        <w:t xml:space="preserve">budget </w:t>
      </w:r>
      <w:r w:rsidRPr="00A95794">
        <w:t>invests nearly $8</w:t>
      </w:r>
      <w:r>
        <w:t>79.5 </w:t>
      </w:r>
      <w:r w:rsidRPr="00A95794">
        <w:t>m</w:t>
      </w:r>
      <w:r>
        <w:t>illion</w:t>
      </w:r>
      <w:r w:rsidRPr="00A95794">
        <w:t xml:space="preserve"> in new metropolitan and associated public transport services and infrastructure that will provide more t</w:t>
      </w:r>
      <w:r>
        <w:t xml:space="preserve">rains, trams and bus services, </w:t>
      </w:r>
      <w:r w:rsidRPr="00A95794">
        <w:t>improve safety and access to stations and plan for future services to address demand growth.</w:t>
      </w:r>
      <w:r w:rsidRPr="00E878B6">
        <w:t xml:space="preserve"> Major new initiatives include: </w:t>
      </w:r>
    </w:p>
    <w:p w:rsidR="00552DFA" w:rsidRPr="00E878B6" w:rsidRDefault="00552DFA" w:rsidP="00423C3D">
      <w:pPr>
        <w:pStyle w:val="ListBullet"/>
      </w:pPr>
      <w:r w:rsidRPr="00E878B6">
        <w:t>$218.1</w:t>
      </w:r>
      <w:r>
        <w:t> </w:t>
      </w:r>
      <w:r w:rsidRPr="00E878B6">
        <w:t>m</w:t>
      </w:r>
      <w:r>
        <w:t>illion</w:t>
      </w:r>
      <w:r w:rsidRPr="00E878B6">
        <w:t xml:space="preserve"> over the next four years to order 10 more E</w:t>
      </w:r>
      <w:r>
        <w:noBreakHyphen/>
      </w:r>
      <w:r w:rsidRPr="00E878B6">
        <w:t>Class trams – built in Dandenong – and provide new infrastructure to support Melbourne’s modern tram network;</w:t>
      </w:r>
    </w:p>
    <w:p w:rsidR="00552DFA" w:rsidRPr="00E878B6" w:rsidRDefault="00552DFA" w:rsidP="00423C3D">
      <w:pPr>
        <w:pStyle w:val="ListBullet"/>
      </w:pPr>
      <w:r w:rsidRPr="00E878B6">
        <w:t>extension of the Night Network</w:t>
      </w:r>
      <w:r w:rsidR="00356A95">
        <w:fldChar w:fldCharType="begin"/>
      </w:r>
      <w:r w:rsidR="00356A95">
        <w:instrText xml:space="preserve"> XE "Night Network" </w:instrText>
      </w:r>
      <w:r w:rsidR="00356A95">
        <w:fldChar w:fldCharType="end"/>
      </w:r>
      <w:r w:rsidRPr="00E878B6">
        <w:t>, with $193.2 million allocated to provide safe, 24</w:t>
      </w:r>
      <w:r>
        <w:noBreakHyphen/>
      </w:r>
      <w:r w:rsidRPr="00E878B6">
        <w:t xml:space="preserve">hour public transport on weekends in Melbourne and some regional locations, </w:t>
      </w:r>
      <w:r w:rsidRPr="00E878B6">
        <w:rPr>
          <w:rFonts w:ascii="Garamond" w:hAnsi="Garamond" w:cs="Garamond"/>
        </w:rPr>
        <w:t>to give Victorians more options to work and socialise, improve safety and contribute to the night</w:t>
      </w:r>
      <w:r>
        <w:rPr>
          <w:rFonts w:ascii="Garamond" w:hAnsi="Garamond" w:cs="Garamond"/>
        </w:rPr>
        <w:noBreakHyphen/>
      </w:r>
      <w:r w:rsidRPr="00E878B6">
        <w:rPr>
          <w:rFonts w:ascii="Garamond" w:hAnsi="Garamond" w:cs="Garamond"/>
        </w:rPr>
        <w:t>time economy</w:t>
      </w:r>
      <w:r w:rsidRPr="00E878B6">
        <w:t xml:space="preserve">; </w:t>
      </w:r>
    </w:p>
    <w:p w:rsidR="00552DFA" w:rsidRPr="00E878B6" w:rsidRDefault="00552DFA" w:rsidP="00423C3D">
      <w:pPr>
        <w:pStyle w:val="ListBullet"/>
      </w:pPr>
      <w:r w:rsidRPr="00E878B6">
        <w:t xml:space="preserve">$187.4 million to construct new train stabling facilities at </w:t>
      </w:r>
      <w:proofErr w:type="spellStart"/>
      <w:r w:rsidRPr="00E878B6">
        <w:t>Kananook</w:t>
      </w:r>
      <w:proofErr w:type="spellEnd"/>
      <w:r w:rsidRPr="00E878B6">
        <w:t xml:space="preserve"> to prepare for longer term growth of the Frankston Line;</w:t>
      </w:r>
    </w:p>
    <w:p w:rsidR="00552DFA" w:rsidRPr="00E878B6" w:rsidRDefault="00552DFA" w:rsidP="00423C3D">
      <w:pPr>
        <w:pStyle w:val="ListBullet"/>
      </w:pPr>
      <w:r w:rsidRPr="00E878B6">
        <w:t>preparing and planning for network</w:t>
      </w:r>
      <w:r>
        <w:noBreakHyphen/>
      </w:r>
      <w:r w:rsidRPr="00E878B6">
        <w:t>wide improvements to Melbourne’s rail services through a $84.9 million network transition program;</w:t>
      </w:r>
    </w:p>
    <w:p w:rsidR="00552DFA" w:rsidRPr="00E878B6" w:rsidRDefault="00552DFA" w:rsidP="00423C3D">
      <w:pPr>
        <w:pStyle w:val="ListBullet"/>
      </w:pPr>
      <w:r w:rsidRPr="00E878B6">
        <w:t>adding to services across Melbourne’s train, tram and bus network, providing additional station carparks, and investing in Melbourne’s busiest stations to reduce travel times and improve the commuter experience, with $84.4</w:t>
      </w:r>
      <w:r>
        <w:t> </w:t>
      </w:r>
      <w:r w:rsidRPr="00E878B6">
        <w:t>m</w:t>
      </w:r>
      <w:r>
        <w:t>illion</w:t>
      </w:r>
      <w:r w:rsidRPr="00E878B6">
        <w:t>; and</w:t>
      </w:r>
    </w:p>
    <w:p w:rsidR="00552DFA" w:rsidRPr="00E878B6" w:rsidRDefault="00552DFA" w:rsidP="00423C3D">
      <w:pPr>
        <w:pStyle w:val="ListBullet"/>
      </w:pPr>
      <w:r w:rsidRPr="00E878B6">
        <w:t>investing $67 million to improve passenger safety on the train network.</w:t>
      </w:r>
    </w:p>
    <w:p w:rsidR="00552DFA" w:rsidRPr="00E878B6" w:rsidRDefault="00552DFA" w:rsidP="00423C3D">
      <w:r w:rsidRPr="00E878B6">
        <w:t>Better rail and public transport in regional Victoria ensures communities are well connected and all Victorians can get where they need to go, regardless of where they live.</w:t>
      </w:r>
    </w:p>
    <w:p w:rsidR="00552DFA" w:rsidRPr="00E878B6" w:rsidRDefault="00552DFA" w:rsidP="00423C3D">
      <w:pPr>
        <w:pStyle w:val="Heading20"/>
      </w:pPr>
      <w:r w:rsidRPr="00E878B6">
        <w:t>Roads</w:t>
      </w:r>
      <w:r w:rsidR="00356A95">
        <w:fldChar w:fldCharType="begin"/>
      </w:r>
      <w:r w:rsidR="00356A95">
        <w:instrText xml:space="preserve"> XE "Roads" </w:instrText>
      </w:r>
      <w:r w:rsidR="00356A95">
        <w:fldChar w:fldCharType="end"/>
      </w:r>
    </w:p>
    <w:p w:rsidR="00552DFA" w:rsidRPr="00E878B6" w:rsidRDefault="00552DFA" w:rsidP="00423C3D">
      <w:r w:rsidRPr="00E878B6">
        <w:t>Victoria’s growing population is demanding more of our road network. This budget invests over $1.9 billion in our roads, and, in 2017</w:t>
      </w:r>
      <w:r>
        <w:noBreakHyphen/>
      </w:r>
      <w:r w:rsidRPr="00E878B6">
        <w:t>18 alone, the Government will spend $384 million fixing roads across the State to improve safety and reliability, including bridge strengthening and road re</w:t>
      </w:r>
      <w:r>
        <w:noBreakHyphen/>
      </w:r>
      <w:r w:rsidRPr="00E878B6">
        <w:t xml:space="preserve">surfacing. </w:t>
      </w:r>
    </w:p>
    <w:p w:rsidR="00552DFA" w:rsidRPr="00E878B6" w:rsidRDefault="00552DFA" w:rsidP="00423C3D">
      <w:r w:rsidRPr="00E878B6">
        <w:t>This budget invests in a significant road upgrade package, with $700 million towards the M80 Ring Road</w:t>
      </w:r>
      <w:r w:rsidR="00356A95">
        <w:fldChar w:fldCharType="begin"/>
      </w:r>
      <w:r w:rsidR="00356A95">
        <w:instrText xml:space="preserve"> XE "M80 Ring Road" </w:instrText>
      </w:r>
      <w:r w:rsidR="00356A95">
        <w:fldChar w:fldCharType="end"/>
      </w:r>
      <w:r w:rsidRPr="00E878B6">
        <w:t xml:space="preserve"> </w:t>
      </w:r>
      <w:r w:rsidR="007A7D78" w:rsidRPr="00E878B6">
        <w:t>Upgrade</w:t>
      </w:r>
      <w:r w:rsidRPr="00E878B6">
        <w:t>. Sections of the M80 will be widened and enhanced with cutting edge traffic management infrastructure to improve safety and combat congestion for 160 000 drivers who use the freeway every day. The Government has committed $100 million to deliver pre</w:t>
      </w:r>
      <w:r>
        <w:noBreakHyphen/>
      </w:r>
      <w:r w:rsidRPr="00E878B6">
        <w:t>construction activities for the North East Link</w:t>
      </w:r>
      <w:r w:rsidR="00356A95">
        <w:fldChar w:fldCharType="begin"/>
      </w:r>
      <w:r w:rsidR="00356A95">
        <w:instrText xml:space="preserve"> XE "North East Link" </w:instrText>
      </w:r>
      <w:r w:rsidR="00356A95">
        <w:fldChar w:fldCharType="end"/>
      </w:r>
      <w:r w:rsidRPr="00E878B6">
        <w:t>, which will help to better connect Melbourne and relieve congestion in Melbourne’s north, south and east, complementing the Government’s West Gate Tunnel Project</w:t>
      </w:r>
      <w:r w:rsidR="00356A95">
        <w:fldChar w:fldCharType="begin"/>
      </w:r>
      <w:r w:rsidR="00356A95">
        <w:instrText xml:space="preserve"> XE "West Gate Tunnel Project" </w:instrText>
      </w:r>
      <w:r w:rsidR="00356A95">
        <w:fldChar w:fldCharType="end"/>
      </w:r>
      <w:r w:rsidRPr="00E878B6">
        <w:t>. A further $300</w:t>
      </w:r>
      <w:r>
        <w:t> </w:t>
      </w:r>
      <w:r w:rsidRPr="00E878B6">
        <w:t>m</w:t>
      </w:r>
      <w:r>
        <w:t>illion</w:t>
      </w:r>
      <w:r w:rsidRPr="00E878B6">
        <w:t xml:space="preserve"> in funding has been committed for the Mordialloc Bypass</w:t>
      </w:r>
      <w:r w:rsidR="00356A95">
        <w:fldChar w:fldCharType="begin"/>
      </w:r>
      <w:r w:rsidR="00356A95">
        <w:instrText xml:space="preserve"> XE "Mordialloc Bypass" </w:instrText>
      </w:r>
      <w:r w:rsidR="00356A95">
        <w:fldChar w:fldCharType="end"/>
      </w:r>
      <w:r w:rsidRPr="00E878B6">
        <w:t>.</w:t>
      </w:r>
    </w:p>
    <w:p w:rsidR="00552DFA" w:rsidRPr="00E878B6" w:rsidRDefault="00552DFA" w:rsidP="00423C3D">
      <w:r w:rsidRPr="00E878B6">
        <w:lastRenderedPageBreak/>
        <w:t>Over the next four years, the Government is also spending $5</w:t>
      </w:r>
      <w:r w:rsidR="00423C3D">
        <w:t>30.6</w:t>
      </w:r>
      <w:r>
        <w:t> </w:t>
      </w:r>
      <w:r w:rsidRPr="00E878B6">
        <w:t>m</w:t>
      </w:r>
      <w:r>
        <w:t>illion</w:t>
      </w:r>
      <w:r w:rsidRPr="00E878B6">
        <w:t xml:space="preserve"> </w:t>
      </w:r>
      <w:r w:rsidR="00423C3D">
        <w:t>to maintain and upgrade regional roads and bridges</w:t>
      </w:r>
      <w:r w:rsidR="004A4429">
        <w:t>.</w:t>
      </w:r>
      <w:r w:rsidR="00423C3D">
        <w:t xml:space="preserve"> This includes a </w:t>
      </w:r>
      <w:r w:rsidRPr="00E878B6">
        <w:t>suite of initiatives to ensure that regional roads are safe and connect Victorians across the State, including the South Gippsland Highway, the Great Ocean Road, roads servicing the Port of Portland, and the Shepparton Bypass. The Government is also developing a pipeline of projects across Victoria to implement its response to Infrastructure Victoria</w:t>
      </w:r>
      <w:r w:rsidR="00356A95">
        <w:fldChar w:fldCharType="begin"/>
      </w:r>
      <w:r w:rsidR="00356A95">
        <w:instrText xml:space="preserve"> XE "Infrastructure Victoria" </w:instrText>
      </w:r>
      <w:r w:rsidR="00356A95">
        <w:fldChar w:fldCharType="end"/>
      </w:r>
      <w:r w:rsidRPr="00E878B6">
        <w:t>’s 30</w:t>
      </w:r>
      <w:r>
        <w:noBreakHyphen/>
      </w:r>
      <w:r w:rsidRPr="00E878B6">
        <w:t xml:space="preserve">year infrastructure strategy. </w:t>
      </w:r>
    </w:p>
    <w:p w:rsidR="00552DFA" w:rsidRPr="00E878B6" w:rsidRDefault="00552DFA" w:rsidP="00CD716F">
      <w:pPr>
        <w:rPr>
          <w:rFonts w:asciiTheme="majorHAnsi" w:hAnsiTheme="majorHAnsi"/>
          <w:b/>
          <w:sz w:val="24"/>
        </w:rPr>
      </w:pPr>
      <w:r w:rsidRPr="00E878B6">
        <w:t>The Commonwealth Government is providing support towards some of these initiatives, however the level of funding is well below that being received by most other states and territories, especially as a share of population (see Box 1.1).</w:t>
      </w:r>
    </w:p>
    <w:p w:rsidR="00552DFA" w:rsidRPr="00E878B6" w:rsidRDefault="00552DFA" w:rsidP="00423C3D">
      <w:pPr>
        <w:pStyle w:val="HighlightBoxText"/>
        <w:tabs>
          <w:tab w:val="left" w:pos="993"/>
        </w:tabs>
        <w:rPr>
          <w:rFonts w:asciiTheme="majorHAnsi" w:hAnsiTheme="majorHAnsi"/>
          <w:b/>
        </w:rPr>
      </w:pPr>
      <w:r w:rsidRPr="00E878B6">
        <w:rPr>
          <w:rFonts w:asciiTheme="majorHAnsi" w:hAnsiTheme="majorHAnsi"/>
          <w:b/>
        </w:rPr>
        <w:t xml:space="preserve">Box 1.1: </w:t>
      </w:r>
      <w:r w:rsidRPr="00E878B6">
        <w:rPr>
          <w:rFonts w:asciiTheme="majorHAnsi" w:hAnsiTheme="majorHAnsi"/>
          <w:b/>
        </w:rPr>
        <w:tab/>
        <w:t xml:space="preserve">Commonwealth funding </w:t>
      </w:r>
    </w:p>
    <w:p w:rsidR="00552DFA" w:rsidRPr="00E878B6" w:rsidRDefault="00552DFA" w:rsidP="00423C3D">
      <w:pPr>
        <w:pStyle w:val="HighlightBoxText"/>
      </w:pPr>
      <w:r w:rsidRPr="00E878B6">
        <w:t>Victoria has the fastest growing population in Australia but continues to receive significantly less than its fair share of Commonwealth infrastructure grant funding. Despite accounting for around 25</w:t>
      </w:r>
      <w:r>
        <w:t> per cent</w:t>
      </w:r>
      <w:r w:rsidRPr="00E878B6">
        <w:t xml:space="preserve"> of the Australian population, Victoria has historically received well below its fair share of Commonwealth infrastructure funding. Based on the latest Commonwealth budget publication, the </w:t>
      </w:r>
      <w:r w:rsidRPr="00E878B6">
        <w:rPr>
          <w:i/>
        </w:rPr>
        <w:t>Mid</w:t>
      </w:r>
      <w:r>
        <w:rPr>
          <w:i/>
        </w:rPr>
        <w:noBreakHyphen/>
      </w:r>
      <w:r w:rsidRPr="00E878B6">
        <w:rPr>
          <w:i/>
        </w:rPr>
        <w:t>Year Economic and Fiscal Outlook</w:t>
      </w:r>
      <w:r w:rsidRPr="00E878B6">
        <w:t>, Victoria will only receive 8.5</w:t>
      </w:r>
      <w:r>
        <w:t> per cent</w:t>
      </w:r>
      <w:r w:rsidRPr="00E878B6">
        <w:t xml:space="preserve"> of allocated Commonwealth infrastructure funding to the states and territories between 2015</w:t>
      </w:r>
      <w:r>
        <w:noBreakHyphen/>
      </w:r>
      <w:r w:rsidRPr="00E878B6">
        <w:t>16 and 2019</w:t>
      </w:r>
      <w:r>
        <w:noBreakHyphen/>
      </w:r>
      <w:r w:rsidRPr="00E878B6">
        <w:t xml:space="preserve">20 (Chart 1.4). </w:t>
      </w:r>
    </w:p>
    <w:p w:rsidR="00552DFA" w:rsidRDefault="00552DFA" w:rsidP="00A95794">
      <w:pPr>
        <w:pStyle w:val="HighlightBoxText"/>
        <w:tabs>
          <w:tab w:val="left" w:pos="993"/>
        </w:tabs>
        <w:rPr>
          <w:rFonts w:asciiTheme="majorHAnsi" w:hAnsiTheme="majorHAnsi"/>
          <w:b/>
        </w:rPr>
      </w:pPr>
      <w:r w:rsidRPr="00E878B6">
        <w:rPr>
          <w:rFonts w:asciiTheme="majorHAnsi" w:hAnsiTheme="majorHAnsi"/>
          <w:b/>
        </w:rPr>
        <w:t>Chart 1.4:</w:t>
      </w:r>
      <w:r w:rsidRPr="00E878B6">
        <w:rPr>
          <w:rFonts w:asciiTheme="majorHAnsi" w:hAnsiTheme="majorHAnsi"/>
          <w:b/>
        </w:rPr>
        <w:tab/>
        <w:t>Share of Commonwealth infrastructure funding 2015</w:t>
      </w:r>
      <w:r>
        <w:rPr>
          <w:rFonts w:asciiTheme="majorHAnsi" w:hAnsiTheme="majorHAnsi"/>
          <w:b/>
        </w:rPr>
        <w:noBreakHyphen/>
      </w:r>
      <w:r w:rsidRPr="00E878B6">
        <w:rPr>
          <w:rFonts w:asciiTheme="majorHAnsi" w:hAnsiTheme="majorHAnsi"/>
          <w:b/>
        </w:rPr>
        <w:t>16 to 2019</w:t>
      </w:r>
      <w:r>
        <w:rPr>
          <w:rFonts w:asciiTheme="majorHAnsi" w:hAnsiTheme="majorHAnsi"/>
          <w:b/>
        </w:rPr>
        <w:noBreakHyphen/>
      </w:r>
      <w:r w:rsidRPr="00E878B6">
        <w:rPr>
          <w:rFonts w:asciiTheme="majorHAnsi" w:hAnsiTheme="majorHAnsi"/>
          <w:b/>
        </w:rPr>
        <w:t>20</w:t>
      </w:r>
    </w:p>
    <w:p w:rsidR="00552DFA" w:rsidRDefault="0049535D" w:rsidP="00423C3D">
      <w:pPr>
        <w:pStyle w:val="HighlightBoxText"/>
        <w:tabs>
          <w:tab w:val="left" w:pos="993"/>
        </w:tabs>
        <w:rPr>
          <w:rFonts w:asciiTheme="majorHAnsi" w:hAnsiTheme="majorHAnsi"/>
          <w:b/>
        </w:rPr>
      </w:pPr>
      <w:r>
        <w:rPr>
          <w:rFonts w:asciiTheme="majorHAnsi" w:hAnsiTheme="majorHAnsi"/>
          <w:b/>
        </w:rPr>
        <w:pict>
          <v:shape id="_x0000_i1028" type="#_x0000_t75" style="width:384.3pt;height:265.4pt">
            <v:imagedata r:id="rId18" o:title=""/>
          </v:shape>
        </w:pict>
      </w:r>
    </w:p>
    <w:p w:rsidR="00552DFA" w:rsidRPr="00E878B6" w:rsidRDefault="00552DFA" w:rsidP="00423C3D">
      <w:pPr>
        <w:pStyle w:val="HighlightBoxText"/>
        <w:rPr>
          <w:rFonts w:asciiTheme="majorHAnsi" w:hAnsiTheme="majorHAnsi"/>
          <w:i/>
          <w:color w:val="000000" w:themeColor="text1"/>
          <w:sz w:val="14"/>
        </w:rPr>
      </w:pPr>
      <w:r w:rsidRPr="00E878B6">
        <w:rPr>
          <w:rFonts w:asciiTheme="majorHAnsi" w:hAnsiTheme="majorHAnsi"/>
          <w:i/>
          <w:color w:val="000000" w:themeColor="text1"/>
          <w:sz w:val="14"/>
        </w:rPr>
        <w:t>Source: Department of Treasury and Finance</w:t>
      </w:r>
    </w:p>
    <w:p w:rsidR="00552DFA" w:rsidRPr="00E878B6" w:rsidRDefault="00552DFA" w:rsidP="00423C3D">
      <w:pPr>
        <w:pStyle w:val="HighlightBoxText"/>
      </w:pPr>
      <w:r w:rsidRPr="00E878B6">
        <w:rPr>
          <w:color w:val="000000" w:themeColor="text1"/>
        </w:rPr>
        <w:lastRenderedPageBreak/>
        <w:t xml:space="preserve">Assuming other states’ funding remains the same, Victoria would need to receive an additional $6.6 billion in Commonwealth infrastructure grant funding over this period to achieve its population share. </w:t>
      </w:r>
      <w:r w:rsidRPr="00E878B6">
        <w:t>Payment in full of the $1.5</w:t>
      </w:r>
      <w:r>
        <w:t> </w:t>
      </w:r>
      <w:r w:rsidRPr="00E878B6">
        <w:t>b</w:t>
      </w:r>
      <w:r>
        <w:t>illion</w:t>
      </w:r>
      <w:r w:rsidRPr="00E878B6">
        <w:t xml:space="preserve"> owed to Victoria under the National Partnership on Asset Recycling</w:t>
      </w:r>
      <w:r w:rsidR="00356A95">
        <w:fldChar w:fldCharType="begin"/>
      </w:r>
      <w:r w:rsidR="00356A95">
        <w:instrText xml:space="preserve"> XE "National Partnership on Asset Recycling" </w:instrText>
      </w:r>
      <w:r w:rsidR="00356A95">
        <w:fldChar w:fldCharType="end"/>
      </w:r>
      <w:r w:rsidRPr="00E878B6">
        <w:t xml:space="preserve"> would be a first step in addressing this imbalance. The Commonwealth Government has shown that it is unwilling to fully honour the National Partnership on Asset Recycling</w:t>
      </w:r>
      <w:r w:rsidR="00C27041">
        <w:t>,</w:t>
      </w:r>
      <w:r w:rsidRPr="00E878B6">
        <w:t xml:space="preserve"> which was entered into in good faith. </w:t>
      </w:r>
    </w:p>
    <w:p w:rsidR="00552DFA" w:rsidRPr="00E878B6" w:rsidRDefault="00552DFA" w:rsidP="00A95794">
      <w:pPr>
        <w:pStyle w:val="HighlightBoxText"/>
      </w:pPr>
      <w:r w:rsidRPr="00E878B6">
        <w:t xml:space="preserve">The clauses in the Asset Recycling National Partnership are unambiguous that the Commonwealth will provide funding to participating states based on the actual value of assets sold – with an initial payment made based on estimated value, and a second payment to adjust for the final result. Despite this, the Commonwealth has yet to provide Victoria with any payment consistent with the terms of the agreement. </w:t>
      </w:r>
    </w:p>
    <w:p w:rsidR="00552DFA" w:rsidRPr="00E878B6" w:rsidRDefault="00552DFA" w:rsidP="00423C3D">
      <w:pPr>
        <w:pStyle w:val="HighlightBoxText"/>
        <w:rPr>
          <w:b/>
          <w:bCs/>
          <w:caps/>
        </w:rPr>
      </w:pPr>
      <w:r w:rsidRPr="00E878B6">
        <w:t>These payments are not a windfall gain to the states, but were designed to compensate participating states for the value of lost dividends and income tax equivalent payments when assets are transferred from the public to private sectors. As the Commonwealth receives additional company tax revenue following any asset lease or sale, it is appropriate that this revenue is returned to the states so they are not left worse off for pursuing important reforms. This revenue should be returned to Victoria as originally intended, and as required under the terms of the National Partnership on Asset Recycling</w:t>
      </w:r>
      <w:r w:rsidR="00356A95">
        <w:fldChar w:fldCharType="begin"/>
      </w:r>
      <w:r w:rsidR="00356A95">
        <w:instrText xml:space="preserve"> XE "National Partnership on Asset Recycling" </w:instrText>
      </w:r>
      <w:r w:rsidR="00356A95">
        <w:fldChar w:fldCharType="end"/>
      </w:r>
      <w:r w:rsidRPr="00E878B6">
        <w:t>.</w:t>
      </w:r>
    </w:p>
    <w:p w:rsidR="00552DFA" w:rsidRPr="00E878B6" w:rsidRDefault="00552DFA" w:rsidP="00E14B35">
      <w:pPr>
        <w:pStyle w:val="Heading10"/>
      </w:pPr>
      <w:bookmarkStart w:id="11" w:name="_Toc481160559"/>
      <w:bookmarkStart w:id="12" w:name="_Toc481246467"/>
      <w:r>
        <w:t>Fair, equitable and t</w:t>
      </w:r>
      <w:r w:rsidRPr="00E878B6">
        <w:t>hriving communities</w:t>
      </w:r>
      <w:bookmarkEnd w:id="11"/>
      <w:bookmarkEnd w:id="12"/>
    </w:p>
    <w:p w:rsidR="00552DFA" w:rsidRPr="00E878B6" w:rsidRDefault="00552DFA" w:rsidP="00423C3D">
      <w:r w:rsidRPr="00E878B6">
        <w:t>Fairness and equity are fundamental building blocks for Victorian society. This Government believes all Victorians deserve the opportunity to thrive – regardless of where they are or what their background is. As Victoria’s economy grows, all Victorians must share in the benefits.</w:t>
      </w:r>
    </w:p>
    <w:p w:rsidR="00552DFA" w:rsidRPr="00E878B6" w:rsidRDefault="00552DFA" w:rsidP="00423C3D">
      <w:pPr>
        <w:pStyle w:val="Heading20"/>
      </w:pPr>
      <w:r w:rsidRPr="00E878B6">
        <w:t>Family violence</w:t>
      </w:r>
      <w:r w:rsidR="00356A95">
        <w:fldChar w:fldCharType="begin"/>
      </w:r>
      <w:r w:rsidR="00356A95">
        <w:instrText xml:space="preserve"> XE "Family violence" </w:instrText>
      </w:r>
      <w:r w:rsidR="00356A95">
        <w:fldChar w:fldCharType="end"/>
      </w:r>
    </w:p>
    <w:p w:rsidR="00552DFA" w:rsidRPr="00E878B6" w:rsidRDefault="00552DFA" w:rsidP="00423C3D">
      <w:r w:rsidRPr="00E878B6">
        <w:t xml:space="preserve">The </w:t>
      </w:r>
      <w:r w:rsidRPr="00E878B6">
        <w:rPr>
          <w:i/>
        </w:rPr>
        <w:t>2017</w:t>
      </w:r>
      <w:r>
        <w:rPr>
          <w:i/>
        </w:rPr>
        <w:noBreakHyphen/>
      </w:r>
      <w:r w:rsidRPr="00E878B6">
        <w:rPr>
          <w:i/>
        </w:rPr>
        <w:t xml:space="preserve">18 Budget </w:t>
      </w:r>
      <w:r w:rsidRPr="00E878B6">
        <w:t>has made dealing with family violence a priority, building on funding $572 million in last year’s budget for housing and modernised crisis refuges to create safe, liveable spaces. It also funded counsellors, prevention programs and provided support for families.</w:t>
      </w:r>
    </w:p>
    <w:p w:rsidR="00552DFA" w:rsidRPr="00E878B6" w:rsidRDefault="00552DFA" w:rsidP="00423C3D">
      <w:r w:rsidRPr="00E878B6">
        <w:t xml:space="preserve">This budget makes an unprecedented investment of an additional $1.9 billion to implement </w:t>
      </w:r>
      <w:r w:rsidRPr="00E878B6">
        <w:rPr>
          <w:i/>
        </w:rPr>
        <w:t>Ending Family Violence: Victoria’s Plan for Change,</w:t>
      </w:r>
      <w:r w:rsidRPr="00E878B6">
        <w:t xml:space="preserve"> the next stage of a decade</w:t>
      </w:r>
      <w:r>
        <w:noBreakHyphen/>
      </w:r>
      <w:r w:rsidRPr="00E878B6">
        <w:t xml:space="preserve">long agenda of action and investment to protect victims, hold perpetrators to account, and change community attitudes. </w:t>
      </w:r>
    </w:p>
    <w:p w:rsidR="00552DFA" w:rsidRPr="00E878B6" w:rsidRDefault="00552DFA" w:rsidP="00423C3D">
      <w:r w:rsidRPr="00E878B6">
        <w:t>It will establish Support and Safety Hubs</w:t>
      </w:r>
      <w:r w:rsidR="00356A95">
        <w:fldChar w:fldCharType="begin"/>
      </w:r>
      <w:r w:rsidR="00356A95">
        <w:instrText xml:space="preserve"> XE "Family violence:Support and Safety Hubs" </w:instrText>
      </w:r>
      <w:r w:rsidR="00356A95">
        <w:fldChar w:fldCharType="end"/>
      </w:r>
      <w:r w:rsidRPr="00E878B6">
        <w:t xml:space="preserve"> – crucial contact and referral points for survivors to get the support and services they need.</w:t>
      </w:r>
      <w:r w:rsidR="00C27041">
        <w:t xml:space="preserve"> They will be established at 17 </w:t>
      </w:r>
      <w:r w:rsidRPr="00E878B6">
        <w:t xml:space="preserve">locations around Victoria, starting with Barwon, Bayside Peninsula, Inner Gippsland, Mallee and </w:t>
      </w:r>
      <w:r w:rsidR="00C27041" w:rsidRPr="00E878B6">
        <w:t>north</w:t>
      </w:r>
      <w:r w:rsidR="00C27041">
        <w:noBreakHyphen/>
      </w:r>
      <w:r w:rsidR="00C27041" w:rsidRPr="00E878B6">
        <w:t>ea</w:t>
      </w:r>
      <w:r w:rsidRPr="00E878B6">
        <w:t xml:space="preserve">st Melbourne regions from late 2017, with funding of </w:t>
      </w:r>
      <w:r w:rsidRPr="00E878B6">
        <w:rPr>
          <w:rFonts w:ascii="Garamond" w:eastAsia="Garamond" w:hAnsi="Garamond" w:cs="Times New Roman"/>
        </w:rPr>
        <w:t>$448.1</w:t>
      </w:r>
      <w:r>
        <w:rPr>
          <w:rFonts w:ascii="Garamond" w:eastAsia="Garamond" w:hAnsi="Garamond" w:cs="Times New Roman"/>
        </w:rPr>
        <w:t> </w:t>
      </w:r>
      <w:r w:rsidRPr="00E878B6">
        <w:rPr>
          <w:rFonts w:ascii="Garamond" w:eastAsia="Garamond" w:hAnsi="Garamond" w:cs="Times New Roman"/>
        </w:rPr>
        <w:t>m</w:t>
      </w:r>
      <w:r>
        <w:rPr>
          <w:rFonts w:ascii="Garamond" w:eastAsia="Garamond" w:hAnsi="Garamond" w:cs="Times New Roman"/>
        </w:rPr>
        <w:t>illion</w:t>
      </w:r>
      <w:r w:rsidRPr="00E878B6">
        <w:t>. There will also be $270.8 million made available to assist victims, with after</w:t>
      </w:r>
      <w:r>
        <w:noBreakHyphen/>
      </w:r>
      <w:r w:rsidRPr="00E878B6">
        <w:t>hours crisis support and financial counselling and therapeutic support, including a focus on children and Aboriginal</w:t>
      </w:r>
      <w:r w:rsidR="00356A95">
        <w:fldChar w:fldCharType="begin"/>
      </w:r>
      <w:r w:rsidR="00356A95">
        <w:instrText xml:space="preserve"> XE "Aboriginal and Torres Strait Islander Victorians" </w:instrText>
      </w:r>
      <w:r w:rsidR="00356A95">
        <w:fldChar w:fldCharType="end"/>
      </w:r>
      <w:r w:rsidRPr="00E878B6">
        <w:t xml:space="preserve"> victims. </w:t>
      </w:r>
    </w:p>
    <w:p w:rsidR="00552DFA" w:rsidRPr="00E878B6" w:rsidRDefault="00552DFA" w:rsidP="00423C3D">
      <w:r w:rsidRPr="00E878B6">
        <w:lastRenderedPageBreak/>
        <w:t>Victims of family violence often need a safe place to stay to start their recovery. The budget will provide $133.2 million on housing support for victims of family violence, to establish long</w:t>
      </w:r>
      <w:r>
        <w:noBreakHyphen/>
      </w:r>
      <w:r w:rsidRPr="00E878B6">
        <w:t>term social housing and finish the job of modernising family violence refuges. This will include new Aboriginal</w:t>
      </w:r>
      <w:r w:rsidR="00356A95">
        <w:fldChar w:fldCharType="begin"/>
      </w:r>
      <w:r w:rsidR="00356A95">
        <w:instrText xml:space="preserve"> XE "Aboriginal and Torres Strait Islander Victorians" </w:instrText>
      </w:r>
      <w:r w:rsidR="00356A95">
        <w:fldChar w:fldCharType="end"/>
      </w:r>
      <w:r w:rsidRPr="00E878B6">
        <w:t xml:space="preserve"> family violence refuges. </w:t>
      </w:r>
    </w:p>
    <w:p w:rsidR="00552DFA" w:rsidRPr="00E878B6" w:rsidRDefault="00552DFA" w:rsidP="00423C3D">
      <w:r w:rsidRPr="00E878B6">
        <w:t>Specialist Family Violence Courts will be funded with $130.3 million, to provide increased safety, support and services to family violence victim survivors and perpetrators. These will be fully implemented in Ballarat, Frankston, Shepparton, Moorabbin and Heidelberg.</w:t>
      </w:r>
    </w:p>
    <w:p w:rsidR="00552DFA" w:rsidRPr="00E878B6" w:rsidRDefault="00552DFA" w:rsidP="00423C3D">
      <w:r w:rsidRPr="00E878B6">
        <w:t xml:space="preserve">The Government’s family violence agenda requires continued effort – both to implement </w:t>
      </w:r>
      <w:r w:rsidRPr="00E878B6">
        <w:rPr>
          <w:i/>
        </w:rPr>
        <w:t>Free from violence: Victoria’s strategy to prevent family violence and forms of violence against women</w:t>
      </w:r>
      <w:r w:rsidRPr="00E878B6">
        <w:t>, as well as continually looking at new ways of preventing family violence. The Government is</w:t>
      </w:r>
      <w:r w:rsidRPr="00E878B6">
        <w:rPr>
          <w:rFonts w:ascii="Garamond" w:eastAsia="Garamond" w:hAnsi="Garamond" w:cs="Times New Roman"/>
        </w:rPr>
        <w:t xml:space="preserve"> investing $50.7</w:t>
      </w:r>
      <w:r>
        <w:rPr>
          <w:rFonts w:ascii="Garamond" w:eastAsia="Garamond" w:hAnsi="Garamond" w:cs="Times New Roman"/>
        </w:rPr>
        <w:t> </w:t>
      </w:r>
      <w:r w:rsidRPr="00E878B6">
        <w:rPr>
          <w:rFonts w:ascii="Garamond" w:eastAsia="Garamond" w:hAnsi="Garamond" w:cs="Times New Roman"/>
        </w:rPr>
        <w:t>m</w:t>
      </w:r>
      <w:r>
        <w:rPr>
          <w:rFonts w:ascii="Garamond" w:eastAsia="Garamond" w:hAnsi="Garamond" w:cs="Times New Roman"/>
        </w:rPr>
        <w:t>illion</w:t>
      </w:r>
      <w:r w:rsidRPr="00E878B6">
        <w:rPr>
          <w:rFonts w:ascii="Garamond" w:eastAsia="Garamond" w:hAnsi="Garamond" w:cs="Times New Roman"/>
          <w:b/>
        </w:rPr>
        <w:t xml:space="preserve"> </w:t>
      </w:r>
      <w:r w:rsidRPr="00E878B6">
        <w:rPr>
          <w:rFonts w:ascii="Garamond" w:eastAsia="Garamond" w:hAnsi="Garamond" w:cs="Times New Roman"/>
        </w:rPr>
        <w:t xml:space="preserve">in this strategy and the establishment of a dedicated prevention agency. </w:t>
      </w:r>
    </w:p>
    <w:p w:rsidR="00552DFA" w:rsidRPr="00E878B6" w:rsidRDefault="00552DFA" w:rsidP="00423C3D">
      <w:pPr>
        <w:pStyle w:val="Heading20"/>
      </w:pPr>
      <w:r w:rsidRPr="00E878B6">
        <w:t>Healthy communities</w:t>
      </w:r>
    </w:p>
    <w:p w:rsidR="00552DFA" w:rsidRPr="00E878B6" w:rsidRDefault="00552DFA" w:rsidP="00423C3D">
      <w:r w:rsidRPr="00E878B6">
        <w:t xml:space="preserve">The </w:t>
      </w:r>
      <w:r w:rsidRPr="00E878B6">
        <w:rPr>
          <w:i/>
        </w:rPr>
        <w:t>2017</w:t>
      </w:r>
      <w:r>
        <w:rPr>
          <w:i/>
        </w:rPr>
        <w:noBreakHyphen/>
      </w:r>
      <w:r w:rsidRPr="00E878B6">
        <w:rPr>
          <w:i/>
        </w:rPr>
        <w:t>18 Budget</w:t>
      </w:r>
      <w:r w:rsidRPr="00E878B6">
        <w:t xml:space="preserve"> builds on investment in the Government’s previous two budgets with an additional $2.9 billion to ensure Victorians receive world</w:t>
      </w:r>
      <w:r>
        <w:noBreakHyphen/>
      </w:r>
      <w:r w:rsidRPr="00E878B6">
        <w:t xml:space="preserve">class healthcare, regardless of where they live. </w:t>
      </w:r>
    </w:p>
    <w:p w:rsidR="00552DFA" w:rsidRPr="00E878B6" w:rsidRDefault="00552DFA" w:rsidP="00423C3D">
      <w:r w:rsidRPr="00E878B6">
        <w:t>This includes a massive injection of almost $1.6 billion over four years (including funding from the Commonwealth) to respond to the growing patient demand across Victoria in all facets of health care including: emergency departments, intensive care and maternity admissions, specialist clinics, palliative care services, chemotherapy treatments, radiotherapy treatments and sub</w:t>
      </w:r>
      <w:r>
        <w:noBreakHyphen/>
      </w:r>
      <w:r w:rsidRPr="00E878B6">
        <w:t>acute care services.</w:t>
      </w:r>
    </w:p>
    <w:p w:rsidR="00552DFA" w:rsidRPr="00E878B6" w:rsidRDefault="00552DFA" w:rsidP="00423C3D">
      <w:pPr>
        <w:pStyle w:val="Heading30"/>
      </w:pPr>
      <w:r w:rsidRPr="00E878B6">
        <w:t>Improving our hospitals</w:t>
      </w:r>
    </w:p>
    <w:p w:rsidR="00552DFA" w:rsidRPr="00E878B6" w:rsidRDefault="00552DFA" w:rsidP="00423C3D">
      <w:r w:rsidRPr="00E878B6">
        <w:t>The budget sets aside funding for a number of upgrades to Victoria’s hospitals and equipment. It funds:</w:t>
      </w:r>
    </w:p>
    <w:p w:rsidR="00552DFA" w:rsidRPr="00E878B6" w:rsidRDefault="00552DFA" w:rsidP="00423C3D">
      <w:pPr>
        <w:pStyle w:val="ListBullet"/>
      </w:pPr>
      <w:r w:rsidRPr="00E878B6">
        <w:t>a $162.7 million expansion of the Northern Hospital</w:t>
      </w:r>
      <w:r w:rsidR="00356A95">
        <w:fldChar w:fldCharType="begin"/>
      </w:r>
      <w:r w:rsidR="00356A95">
        <w:instrText xml:space="preserve"> XE "Northern Hospital" </w:instrText>
      </w:r>
      <w:r w:rsidR="00356A95">
        <w:fldChar w:fldCharType="end"/>
      </w:r>
      <w:r w:rsidRPr="00E878B6">
        <w:t>, with 96 new in</w:t>
      </w:r>
      <w:r>
        <w:noBreakHyphen/>
      </w:r>
      <w:r w:rsidRPr="00E878B6">
        <w:t xml:space="preserve">patient beds, three new operating theatres and space for future expansion; </w:t>
      </w:r>
    </w:p>
    <w:p w:rsidR="00552DFA" w:rsidRPr="00E878B6" w:rsidRDefault="00552DFA" w:rsidP="00423C3D">
      <w:pPr>
        <w:pStyle w:val="ListBullet"/>
        <w:numPr>
          <w:ilvl w:val="0"/>
          <w:numId w:val="18"/>
        </w:numPr>
      </w:pPr>
      <w:r w:rsidRPr="00E878B6">
        <w:t xml:space="preserve">$69.8 million to upgrade key infrastructure at the Austin and Royal Melbourne </w:t>
      </w:r>
      <w:r w:rsidR="005867EE" w:rsidRPr="00E878B6">
        <w:t>hospitals</w:t>
      </w:r>
      <w:r w:rsidRPr="00E878B6">
        <w:t>;</w:t>
      </w:r>
    </w:p>
    <w:p w:rsidR="00552DFA" w:rsidRPr="00E878B6" w:rsidRDefault="00552DFA" w:rsidP="00423C3D">
      <w:pPr>
        <w:pStyle w:val="ListBullet"/>
        <w:numPr>
          <w:ilvl w:val="0"/>
          <w:numId w:val="18"/>
        </w:numPr>
      </w:pPr>
      <w:r w:rsidRPr="00E878B6">
        <w:t>$63.2</w:t>
      </w:r>
      <w:r>
        <w:t> </w:t>
      </w:r>
      <w:r w:rsidRPr="00E878B6">
        <w:t>m</w:t>
      </w:r>
      <w:r>
        <w:t>illion</w:t>
      </w:r>
      <w:r w:rsidRPr="00E878B6">
        <w:t xml:space="preserve"> to upgrade the Monash Medical Centre</w:t>
      </w:r>
      <w:r w:rsidR="00356A95">
        <w:fldChar w:fldCharType="begin"/>
      </w:r>
      <w:r w:rsidR="00356A95">
        <w:instrText xml:space="preserve"> XE "Monash Medical Centre" </w:instrText>
      </w:r>
      <w:r w:rsidR="00356A95">
        <w:fldChar w:fldCharType="end"/>
      </w:r>
      <w:r w:rsidRPr="00E878B6">
        <w:t xml:space="preserve"> with an emergency </w:t>
      </w:r>
      <w:r w:rsidRPr="00E878B6">
        <w:br/>
        <w:t>department that caters for both adults and children. Upgrades will include an additional 24 emergency department cubicles and an extra 10 short</w:t>
      </w:r>
      <w:r>
        <w:noBreakHyphen/>
      </w:r>
      <w:r w:rsidRPr="00E878B6">
        <w:t>stay beds;</w:t>
      </w:r>
    </w:p>
    <w:p w:rsidR="00552DFA" w:rsidRPr="00E878B6" w:rsidRDefault="00552DFA" w:rsidP="00423C3D">
      <w:pPr>
        <w:pStyle w:val="ListBullet"/>
        <w:numPr>
          <w:ilvl w:val="0"/>
          <w:numId w:val="18"/>
        </w:numPr>
      </w:pPr>
      <w:r w:rsidRPr="00E878B6">
        <w:t>$50 million to improve the current Footscray Hospital</w:t>
      </w:r>
      <w:r w:rsidR="00356A95">
        <w:fldChar w:fldCharType="begin"/>
      </w:r>
      <w:r w:rsidR="00356A95">
        <w:instrText xml:space="preserve"> XE "Health:Hospitals" </w:instrText>
      </w:r>
      <w:r w:rsidR="00356A95">
        <w:fldChar w:fldCharType="end"/>
      </w:r>
      <w:r w:rsidR="00356A95">
        <w:fldChar w:fldCharType="begin"/>
      </w:r>
      <w:r w:rsidR="00356A95">
        <w:instrText xml:space="preserve"> XE "Footscray Hospital" </w:instrText>
      </w:r>
      <w:r w:rsidR="00356A95">
        <w:fldChar w:fldCharType="end"/>
      </w:r>
      <w:r w:rsidRPr="00E878B6">
        <w:t xml:space="preserve"> and start planning for a new Footscray Hospital to service the growing population in Melbourne’s inner west; and</w:t>
      </w:r>
    </w:p>
    <w:p w:rsidR="00552DFA" w:rsidRPr="00E878B6" w:rsidRDefault="00552DFA" w:rsidP="00423C3D">
      <w:pPr>
        <w:pStyle w:val="ListBullet"/>
        <w:numPr>
          <w:ilvl w:val="0"/>
          <w:numId w:val="18"/>
        </w:numPr>
      </w:pPr>
      <w:r w:rsidRPr="00E878B6">
        <w:t>$35 million for upgrading specialist medical equipment, including magnetic resonance imaging (MRI) and computed tomography (CT) scanners in metropolitan and regional hospitals.</w:t>
      </w:r>
    </w:p>
    <w:p w:rsidR="00552DFA" w:rsidRPr="00E878B6" w:rsidRDefault="00552DFA" w:rsidP="00423C3D">
      <w:r w:rsidRPr="00E878B6">
        <w:t>This budget also provides a total of $319.9</w:t>
      </w:r>
      <w:r>
        <w:t> </w:t>
      </w:r>
      <w:r w:rsidRPr="00E878B6">
        <w:t>m</w:t>
      </w:r>
      <w:r>
        <w:t>illion</w:t>
      </w:r>
      <w:r w:rsidRPr="00E878B6">
        <w:t xml:space="preserve"> to reduce waiting times for elective surgery, including $174.3</w:t>
      </w:r>
      <w:r>
        <w:t> </w:t>
      </w:r>
      <w:r w:rsidRPr="00E878B6">
        <w:t>m</w:t>
      </w:r>
      <w:r>
        <w:t>illion</w:t>
      </w:r>
      <w:r w:rsidRPr="00E878B6">
        <w:t xml:space="preserve"> in 2017</w:t>
      </w:r>
      <w:r>
        <w:noBreakHyphen/>
      </w:r>
      <w:r w:rsidRPr="00E878B6">
        <w:t>18 to deliver an additional 6 600 procedures.</w:t>
      </w:r>
    </w:p>
    <w:p w:rsidR="00552DFA" w:rsidRPr="00E878B6" w:rsidRDefault="00552DFA" w:rsidP="00423C3D">
      <w:pPr>
        <w:pStyle w:val="Heading30"/>
      </w:pPr>
      <w:r w:rsidRPr="00E878B6">
        <w:lastRenderedPageBreak/>
        <w:t>Better</w:t>
      </w:r>
      <w:r w:rsidR="003E06FF">
        <w:t>,</w:t>
      </w:r>
      <w:r w:rsidRPr="00E878B6">
        <w:t xml:space="preserve"> Safer Care</w:t>
      </w:r>
      <w:r w:rsidR="00356A95">
        <w:fldChar w:fldCharType="begin"/>
      </w:r>
      <w:r w:rsidR="00356A95">
        <w:instrText xml:space="preserve"> XE "Health:Care" </w:instrText>
      </w:r>
      <w:r w:rsidR="00356A95">
        <w:fldChar w:fldCharType="end"/>
      </w:r>
    </w:p>
    <w:p w:rsidR="00552DFA" w:rsidRPr="00E878B6" w:rsidRDefault="00552DFA" w:rsidP="00CD716F">
      <w:pPr>
        <w:rPr>
          <w:rFonts w:asciiTheme="majorHAnsi" w:eastAsiaTheme="majorEastAsia" w:hAnsiTheme="majorHAnsi" w:cstheme="majorBidi"/>
          <w:b/>
          <w:bCs/>
          <w:spacing w:val="-2"/>
          <w:szCs w:val="26"/>
        </w:rPr>
      </w:pPr>
      <w:r w:rsidRPr="00E878B6">
        <w:t xml:space="preserve">The </w:t>
      </w:r>
      <w:r w:rsidRPr="00E878B6">
        <w:rPr>
          <w:i/>
        </w:rPr>
        <w:t>2017</w:t>
      </w:r>
      <w:r>
        <w:rPr>
          <w:i/>
        </w:rPr>
        <w:noBreakHyphen/>
      </w:r>
      <w:r w:rsidRPr="00E878B6">
        <w:rPr>
          <w:i/>
        </w:rPr>
        <w:t>18 Budget</w:t>
      </w:r>
      <w:r w:rsidRPr="00E878B6">
        <w:t xml:space="preserve"> invests $215 million to implement the </w:t>
      </w:r>
      <w:r w:rsidRPr="00E878B6">
        <w:rPr>
          <w:i/>
        </w:rPr>
        <w:t>Better</w:t>
      </w:r>
      <w:r w:rsidR="003E06FF">
        <w:rPr>
          <w:i/>
        </w:rPr>
        <w:t>,</w:t>
      </w:r>
      <w:r w:rsidRPr="00E878B6">
        <w:rPr>
          <w:i/>
        </w:rPr>
        <w:t xml:space="preserve"> Safer Care</w:t>
      </w:r>
      <w:r w:rsidR="00356A95">
        <w:rPr>
          <w:i/>
        </w:rPr>
        <w:fldChar w:fldCharType="begin"/>
      </w:r>
      <w:r w:rsidR="00356A95">
        <w:rPr>
          <w:i/>
        </w:rPr>
        <w:instrText xml:space="preserve"> XE "</w:instrText>
      </w:r>
      <w:r w:rsidR="00356A95">
        <w:instrText>Health:Care"</w:instrText>
      </w:r>
      <w:r w:rsidR="00356A95">
        <w:rPr>
          <w:i/>
        </w:rPr>
        <w:instrText xml:space="preserve"> </w:instrText>
      </w:r>
      <w:r w:rsidR="00356A95">
        <w:rPr>
          <w:i/>
        </w:rPr>
        <w:fldChar w:fldCharType="end"/>
      </w:r>
      <w:r w:rsidRPr="00E878B6">
        <w:t xml:space="preserve"> reforms to put patient safety first, eliminate avoidable harm and strengthen quality of health care across the State. This funding will help to implement the Government’s vision for quality and safety in Victoria’s health system.</w:t>
      </w:r>
    </w:p>
    <w:p w:rsidR="00552DFA" w:rsidRPr="00E878B6" w:rsidRDefault="00552DFA" w:rsidP="00423C3D">
      <w:pPr>
        <w:pStyle w:val="Heading30"/>
      </w:pPr>
      <w:r w:rsidRPr="00E878B6">
        <w:t>Emergency prevention and readiness</w:t>
      </w:r>
    </w:p>
    <w:p w:rsidR="00552DFA" w:rsidRPr="00E878B6" w:rsidRDefault="00552DFA" w:rsidP="00423C3D">
      <w:r w:rsidRPr="00E878B6">
        <w:t xml:space="preserve">This budget invests in a range of initiatives to improve the ability of our health services to respond to emergencies. </w:t>
      </w:r>
    </w:p>
    <w:p w:rsidR="00552DFA" w:rsidRPr="00E878B6" w:rsidRDefault="00552DFA" w:rsidP="00423C3D">
      <w:r w:rsidRPr="00E878B6">
        <w:t>Following the tragic deaths of nine people in a freak storm on 21 November 2016, $15.6 million will be invested in preparing for future thunderstorm asthma and other extreme weather events. Education campaigns will help communities prepare for extreme weather, and the Government will fund investment in better pollen monitoring and research to prevent future outbreaks.</w:t>
      </w:r>
    </w:p>
    <w:p w:rsidR="00552DFA" w:rsidRPr="00E878B6" w:rsidRDefault="00552DFA" w:rsidP="00423C3D">
      <w:r w:rsidRPr="00E878B6">
        <w:t xml:space="preserve">A further $26.5 million will be invested in ambulance services to meet demand from a growing population and improve community access. </w:t>
      </w:r>
    </w:p>
    <w:p w:rsidR="00552DFA" w:rsidRPr="00E878B6" w:rsidRDefault="00552DFA" w:rsidP="00423C3D">
      <w:pPr>
        <w:pStyle w:val="Heading30"/>
      </w:pPr>
      <w:r>
        <w:t>Victorians with</w:t>
      </w:r>
      <w:r w:rsidR="005867EE">
        <w:t xml:space="preserve"> disability</w:t>
      </w:r>
    </w:p>
    <w:p w:rsidR="00552DFA" w:rsidRPr="00E878B6" w:rsidRDefault="00552DFA" w:rsidP="00423C3D">
      <w:r w:rsidRPr="00E878B6">
        <w:t xml:space="preserve">People living with disability deserve choice and control over their support services. As part of the </w:t>
      </w:r>
      <w:r w:rsidRPr="00E878B6">
        <w:rPr>
          <w:i/>
        </w:rPr>
        <w:t>2017</w:t>
      </w:r>
      <w:r>
        <w:rPr>
          <w:i/>
        </w:rPr>
        <w:noBreakHyphen/>
      </w:r>
      <w:r w:rsidRPr="00E878B6">
        <w:rPr>
          <w:i/>
        </w:rPr>
        <w:t>18 Budget</w:t>
      </w:r>
      <w:r w:rsidR="005867EE" w:rsidRPr="005867EE">
        <w:t>,</w:t>
      </w:r>
      <w:r w:rsidRPr="00E878B6">
        <w:t xml:space="preserve"> the Government will invest an additional $166.2 million in disability</w:t>
      </w:r>
      <w:r>
        <w:noBreakHyphen/>
      </w:r>
      <w:r w:rsidRPr="00E878B6">
        <w:t>related initiatives, getting Victoria ready for the National Disability Insurance Scheme</w:t>
      </w:r>
      <w:r w:rsidR="00356A95">
        <w:fldChar w:fldCharType="begin"/>
      </w:r>
      <w:r w:rsidR="00356A95">
        <w:instrText xml:space="preserve"> XE "National Disability Insurance Scheme" </w:instrText>
      </w:r>
      <w:r w:rsidR="00356A95">
        <w:fldChar w:fldCharType="end"/>
      </w:r>
      <w:r w:rsidRPr="00E878B6">
        <w:t>. We are committed to the success of</w:t>
      </w:r>
      <w:r>
        <w:t xml:space="preserve"> the scheme for people with</w:t>
      </w:r>
      <w:r w:rsidRPr="00E878B6">
        <w:t xml:space="preserve"> disability and their families.</w:t>
      </w:r>
    </w:p>
    <w:p w:rsidR="00552DFA" w:rsidRPr="00E878B6" w:rsidRDefault="00552DFA" w:rsidP="00423C3D">
      <w:pPr>
        <w:pStyle w:val="Heading30"/>
      </w:pPr>
      <w:r w:rsidRPr="00E878B6">
        <w:t xml:space="preserve">Mental health </w:t>
      </w:r>
    </w:p>
    <w:p w:rsidR="00552DFA" w:rsidRPr="00E878B6" w:rsidRDefault="00552DFA" w:rsidP="00423C3D">
      <w:r w:rsidRPr="00E878B6">
        <w:t>In November 2015</w:t>
      </w:r>
      <w:r w:rsidR="005867EE">
        <w:t>,</w:t>
      </w:r>
      <w:r w:rsidRPr="00E878B6">
        <w:t xml:space="preserve"> the Government launched </w:t>
      </w:r>
      <w:r w:rsidRPr="00E878B6">
        <w:rPr>
          <w:i/>
        </w:rPr>
        <w:t>Victoria’s 10</w:t>
      </w:r>
      <w:r>
        <w:rPr>
          <w:i/>
        </w:rPr>
        <w:noBreakHyphen/>
      </w:r>
      <w:r w:rsidRPr="00E878B6">
        <w:rPr>
          <w:i/>
        </w:rPr>
        <w:t>year Mental Health Plan</w:t>
      </w:r>
      <w:r w:rsidRPr="00E878B6">
        <w:t xml:space="preserve"> to guide investment and drive better mental health outcomes for Victorians. The Government is continuing to implement this plan, boosting mental health services across the State, with $199.5 million set aside to meet an urgent need for services. This builds on the significant additional investment for mental health in last year’s budget. This funding will provide 579 additional inpatient services and tens of thousands of hours of community care.</w:t>
      </w:r>
    </w:p>
    <w:p w:rsidR="00552DFA" w:rsidRPr="00E878B6" w:rsidRDefault="00552DFA" w:rsidP="00423C3D">
      <w:r w:rsidRPr="00E878B6">
        <w:t>Forensic mental health services will be expanded with $45.2</w:t>
      </w:r>
      <w:r>
        <w:t> </w:t>
      </w:r>
      <w:r w:rsidRPr="00E878B6">
        <w:t>m</w:t>
      </w:r>
      <w:r>
        <w:t>illion</w:t>
      </w:r>
      <w:r w:rsidRPr="00E878B6">
        <w:t>. This will help to make Victoria safer by improving access to assessment, diversion and appropriate treatment for mental illness. This additional investment is intended to help patients to get the care and treatment they need to stay out of the criminal justice system.</w:t>
      </w:r>
    </w:p>
    <w:p w:rsidR="00552DFA" w:rsidRPr="00E878B6" w:rsidRDefault="00552DFA" w:rsidP="00423C3D">
      <w:r w:rsidRPr="00E878B6">
        <w:t>More medical and allied staff in acute admitted settings will be available on weekends to improve continuity of care and provide more timely treatment and discharge of mental health clients.</w:t>
      </w:r>
    </w:p>
    <w:p w:rsidR="00552DFA" w:rsidRPr="00E878B6" w:rsidRDefault="00552DFA" w:rsidP="00423C3D">
      <w:pPr>
        <w:pStyle w:val="Heading30"/>
      </w:pPr>
      <w:r w:rsidRPr="00E878B6">
        <w:lastRenderedPageBreak/>
        <w:t>Treating the victims of alcohol and other drugs</w:t>
      </w:r>
    </w:p>
    <w:p w:rsidR="00552DFA" w:rsidRPr="00E878B6" w:rsidRDefault="00552DFA" w:rsidP="00423C3D">
      <w:r w:rsidRPr="00E878B6">
        <w:t xml:space="preserve">Communities are being hurt by the scourge of drugs, particularly in regional Victoria. To support the impact of the Government’s </w:t>
      </w:r>
      <w:r w:rsidRPr="00E878B6">
        <w:rPr>
          <w:i/>
        </w:rPr>
        <w:t>Ice Action Plan</w:t>
      </w:r>
      <w:r w:rsidR="00356A95">
        <w:rPr>
          <w:i/>
        </w:rPr>
        <w:fldChar w:fldCharType="begin"/>
      </w:r>
      <w:r w:rsidR="00356A95">
        <w:rPr>
          <w:i/>
        </w:rPr>
        <w:instrText xml:space="preserve"> XE "</w:instrText>
      </w:r>
      <w:r w:rsidR="00356A95">
        <w:instrText>Ice Action Plan"</w:instrText>
      </w:r>
      <w:r w:rsidR="00356A95">
        <w:rPr>
          <w:i/>
        </w:rPr>
        <w:instrText xml:space="preserve"> </w:instrText>
      </w:r>
      <w:r w:rsidR="00356A95">
        <w:rPr>
          <w:i/>
        </w:rPr>
        <w:fldChar w:fldCharType="end"/>
      </w:r>
      <w:r w:rsidRPr="00E878B6">
        <w:t>, this budget commits a further $78.4 million to treating substance abuse. This includes $12.4 million to expand services for people transitioning into and out of alcohol and other drug treatment programs, especially those at risk of overdose.</w:t>
      </w:r>
    </w:p>
    <w:p w:rsidR="00552DFA" w:rsidRPr="00E878B6" w:rsidRDefault="00552DFA" w:rsidP="00423C3D">
      <w:pPr>
        <w:pStyle w:val="Heading20"/>
      </w:pPr>
      <w:r w:rsidRPr="00E878B6">
        <w:t>Educated communities</w:t>
      </w:r>
    </w:p>
    <w:p w:rsidR="00552DFA" w:rsidRPr="00E878B6" w:rsidRDefault="00552DFA" w:rsidP="00423C3D">
      <w:r w:rsidRPr="00E878B6">
        <w:t xml:space="preserve">The </w:t>
      </w:r>
      <w:r w:rsidRPr="00E878B6">
        <w:rPr>
          <w:i/>
        </w:rPr>
        <w:t>2017</w:t>
      </w:r>
      <w:r>
        <w:rPr>
          <w:i/>
        </w:rPr>
        <w:noBreakHyphen/>
      </w:r>
      <w:r w:rsidRPr="00E878B6">
        <w:rPr>
          <w:i/>
        </w:rPr>
        <w:t xml:space="preserve">18 Budget </w:t>
      </w:r>
      <w:r w:rsidRPr="00E878B6">
        <w:t xml:space="preserve">commits a further $1.3 billion over the next four years to continue the revitalisation of our education system for all children across Victoria. </w:t>
      </w:r>
    </w:p>
    <w:p w:rsidR="00552DFA" w:rsidRPr="00E878B6" w:rsidRDefault="00552DFA" w:rsidP="00423C3D">
      <w:pPr>
        <w:pStyle w:val="Heading30"/>
      </w:pPr>
      <w:r w:rsidRPr="00E878B6">
        <w:t>Building and upgrading our schools</w:t>
      </w:r>
    </w:p>
    <w:p w:rsidR="00552DFA" w:rsidRPr="00E878B6" w:rsidRDefault="00552DFA" w:rsidP="00423C3D">
      <w:r w:rsidRPr="00E878B6">
        <w:t>A $685</w:t>
      </w:r>
      <w:r>
        <w:t> </w:t>
      </w:r>
      <w:r w:rsidRPr="00E878B6">
        <w:t>m</w:t>
      </w:r>
      <w:r>
        <w:t>illion</w:t>
      </w:r>
      <w:r w:rsidRPr="00E878B6">
        <w:t xml:space="preserve"> capital investment in our schools in 2017</w:t>
      </w:r>
      <w:r>
        <w:noBreakHyphen/>
      </w:r>
      <w:r w:rsidRPr="00E878B6">
        <w:t>18 expands on funding in the Government’s previous two budgets of $1.8 billion, bringing our total investment in improving Victoria’s schools to more than $2.5 billion – this will make an enormous difference to the lives of children now, and in many years to come. The</w:t>
      </w:r>
      <w:r w:rsidRPr="00E878B6">
        <w:rPr>
          <w:i/>
        </w:rPr>
        <w:t xml:space="preserve"> 2017</w:t>
      </w:r>
      <w:r>
        <w:rPr>
          <w:i/>
        </w:rPr>
        <w:noBreakHyphen/>
      </w:r>
      <w:r w:rsidRPr="00E878B6">
        <w:rPr>
          <w:i/>
        </w:rPr>
        <w:t xml:space="preserve">18 Budget </w:t>
      </w:r>
      <w:r w:rsidRPr="00E878B6">
        <w:t>will:</w:t>
      </w:r>
    </w:p>
    <w:p w:rsidR="00552DFA" w:rsidRPr="00E878B6" w:rsidRDefault="00552DFA" w:rsidP="00423C3D">
      <w:pPr>
        <w:pStyle w:val="ListBullet"/>
      </w:pPr>
      <w:r w:rsidRPr="00E878B6">
        <w:t xml:space="preserve">build new schools, by allocating $269.6 million to construct, plan and buy land for new schools, including many in identified growth areas; </w:t>
      </w:r>
    </w:p>
    <w:p w:rsidR="00552DFA" w:rsidRPr="00E878B6" w:rsidRDefault="00552DFA" w:rsidP="00423C3D">
      <w:pPr>
        <w:pStyle w:val="ListBullet"/>
      </w:pPr>
      <w:r w:rsidRPr="00E878B6">
        <w:t>improve our existing schools, with $239.6 million for school upgrades – this includes $64.1</w:t>
      </w:r>
      <w:r>
        <w:t> </w:t>
      </w:r>
      <w:r w:rsidRPr="00E878B6">
        <w:t>m</w:t>
      </w:r>
      <w:r>
        <w:t>illion</w:t>
      </w:r>
      <w:r w:rsidRPr="00E878B6">
        <w:t xml:space="preserve"> for rural and regional schools and $44.4 million to upgrade six special schools across Victoria;</w:t>
      </w:r>
    </w:p>
    <w:p w:rsidR="00552DFA" w:rsidRPr="00E878B6" w:rsidRDefault="00552DFA" w:rsidP="00423C3D">
      <w:pPr>
        <w:pStyle w:val="ListBullet"/>
      </w:pPr>
      <w:r w:rsidRPr="00E878B6">
        <w:t>invest a further $85 million for asbestos removal, as well as $75 million for new relocatable classrooms; and</w:t>
      </w:r>
    </w:p>
    <w:p w:rsidR="00552DFA" w:rsidRPr="00E878B6" w:rsidRDefault="00552DFA" w:rsidP="00423C3D">
      <w:pPr>
        <w:pStyle w:val="ListBullet"/>
      </w:pPr>
      <w:r w:rsidRPr="00E878B6">
        <w:t>support improved learning outcomes through reliable access to digital services in classrooms, with $84.3 million for information technology upgrades across our schools.</w:t>
      </w:r>
    </w:p>
    <w:p w:rsidR="00552DFA" w:rsidRPr="00E878B6" w:rsidRDefault="00552DFA" w:rsidP="00423C3D">
      <w:pPr>
        <w:pStyle w:val="Heading30"/>
      </w:pPr>
      <w:r w:rsidRPr="00E878B6">
        <w:t>Early years</w:t>
      </w:r>
    </w:p>
    <w:p w:rsidR="00552DFA" w:rsidRPr="00E878B6" w:rsidRDefault="00552DFA" w:rsidP="00423C3D">
      <w:r w:rsidRPr="00E878B6">
        <w:t xml:space="preserve">This budget invests a further $196.7 million for parents and young children to assist early childhood development. </w:t>
      </w:r>
    </w:p>
    <w:p w:rsidR="00552DFA" w:rsidRPr="00E878B6" w:rsidRDefault="00552DFA" w:rsidP="00423C3D">
      <w:r w:rsidRPr="00E878B6">
        <w:t xml:space="preserve">Participating in early childhood programs and kindergarten makes a big difference to children’s lives. School readiness funding </w:t>
      </w:r>
      <w:r w:rsidRPr="00E14B35">
        <w:t>of $87.1</w:t>
      </w:r>
      <w:r>
        <w:t> </w:t>
      </w:r>
      <w:r w:rsidRPr="00E14B35">
        <w:t>m</w:t>
      </w:r>
      <w:r>
        <w:t>illion</w:t>
      </w:r>
      <w:r w:rsidRPr="00E878B6">
        <w:t xml:space="preserve"> will be invested to support three and four</w:t>
      </w:r>
      <w:r w:rsidR="00896969">
        <w:noBreakHyphen/>
      </w:r>
      <w:r w:rsidRPr="00E878B6">
        <w:t xml:space="preserve">year olds in funded kindergarten programs to better support educationally disadvantaged children. </w:t>
      </w:r>
    </w:p>
    <w:p w:rsidR="00552DFA" w:rsidRPr="00E878B6" w:rsidRDefault="00552DFA" w:rsidP="00423C3D">
      <w:r w:rsidRPr="00E878B6">
        <w:t>More support will be delivered to new parents, including those with babies born prematurely, unsupported young parents, or families facing particular disadvantage. $81.</w:t>
      </w:r>
      <w:r>
        <w:t>1</w:t>
      </w:r>
      <w:r w:rsidRPr="00E878B6">
        <w:t xml:space="preserve"> million will be provided over four years to fund enhanced Maternal and Child Health (MCH) services, additional supported playgroups, and an additional MCH visit to identify and support women and children at risk of family violence. </w:t>
      </w:r>
    </w:p>
    <w:p w:rsidR="00552DFA" w:rsidRPr="00E878B6" w:rsidRDefault="00552DFA" w:rsidP="00423C3D">
      <w:pPr>
        <w:pStyle w:val="Heading20"/>
      </w:pPr>
      <w:r w:rsidRPr="00E878B6">
        <w:lastRenderedPageBreak/>
        <w:t>Thriving regional Victorian communities</w:t>
      </w:r>
    </w:p>
    <w:p w:rsidR="00552DFA" w:rsidRPr="00E878B6" w:rsidRDefault="00552DFA" w:rsidP="00423C3D">
      <w:r w:rsidRPr="00E878B6">
        <w:t xml:space="preserve">The Government is investing in regional and rural communities to ensure that all Victorians have the services and support they need to thrive. This budget includes </w:t>
      </w:r>
      <w:r w:rsidR="00896969">
        <w:t>more than</w:t>
      </w:r>
      <w:r w:rsidRPr="00E878B6">
        <w:t xml:space="preserve"> $1</w:t>
      </w:r>
      <w:r>
        <w:t> </w:t>
      </w:r>
      <w:r w:rsidRPr="00E878B6">
        <w:t>b</w:t>
      </w:r>
      <w:r>
        <w:t>illion</w:t>
      </w:r>
      <w:r w:rsidRPr="00E878B6">
        <w:t xml:space="preserve"> in regional and rural infrastructure projects, acquitting the Government’s commitment to invest 10 per cent of the proceeds from the successful leasing of the Port of Melbourne</w:t>
      </w:r>
      <w:r w:rsidR="00356A95">
        <w:fldChar w:fldCharType="begin"/>
      </w:r>
      <w:r w:rsidR="00356A95">
        <w:instrText xml:space="preserve"> XE "Port of Melbourne" </w:instrText>
      </w:r>
      <w:r w:rsidR="00356A95">
        <w:fldChar w:fldCharType="end"/>
      </w:r>
      <w:r w:rsidRPr="00E878B6">
        <w:t xml:space="preserve"> across regional Victoria.</w:t>
      </w:r>
    </w:p>
    <w:p w:rsidR="00552DFA" w:rsidRPr="00E878B6" w:rsidRDefault="00552DFA" w:rsidP="00423C3D">
      <w:r w:rsidRPr="00E878B6">
        <w:t xml:space="preserve">Victorians living in the regional and rural communities of our State will benefit from the Government’s investments across all areas. </w:t>
      </w:r>
    </w:p>
    <w:p w:rsidR="00552DFA" w:rsidRPr="00E878B6" w:rsidRDefault="00552DFA" w:rsidP="00423C3D">
      <w:pPr>
        <w:pStyle w:val="Heading30"/>
      </w:pPr>
      <w:r w:rsidRPr="00E878B6">
        <w:t>Jobs and infrastructure</w:t>
      </w:r>
    </w:p>
    <w:p w:rsidR="00552DFA" w:rsidRPr="00E878B6" w:rsidRDefault="00552DFA" w:rsidP="00423C3D">
      <w:r w:rsidRPr="00E878B6">
        <w:t xml:space="preserve">The Ballarat </w:t>
      </w:r>
      <w:proofErr w:type="spellStart"/>
      <w:r w:rsidRPr="00E878B6">
        <w:t>GovHub</w:t>
      </w:r>
      <w:proofErr w:type="spellEnd"/>
      <w:r w:rsidR="00356A95">
        <w:fldChar w:fldCharType="begin"/>
      </w:r>
      <w:r w:rsidR="00356A95">
        <w:instrText xml:space="preserve"> XE "Ballarat GovHub" </w:instrText>
      </w:r>
      <w:r w:rsidR="00356A95">
        <w:fldChar w:fldCharType="end"/>
      </w:r>
      <w:r w:rsidRPr="00E878B6">
        <w:t xml:space="preserve"> will be developed, with $47.8 million to house local Victorian public service agencies. These hubs support jobs and growth in our regions, building on the </w:t>
      </w:r>
      <w:r w:rsidRPr="00E878B6">
        <w:rPr>
          <w:i/>
        </w:rPr>
        <w:t>2016</w:t>
      </w:r>
      <w:r>
        <w:rPr>
          <w:i/>
        </w:rPr>
        <w:noBreakHyphen/>
      </w:r>
      <w:r w:rsidRPr="00E878B6">
        <w:rPr>
          <w:i/>
        </w:rPr>
        <w:t>17 Budget</w:t>
      </w:r>
      <w:r w:rsidRPr="00896969">
        <w:t>’s</w:t>
      </w:r>
      <w:r w:rsidRPr="00E878B6">
        <w:rPr>
          <w:i/>
        </w:rPr>
        <w:t xml:space="preserve"> </w:t>
      </w:r>
      <w:r w:rsidRPr="00E878B6">
        <w:t>investment in a government hub in the Latrobe Valley</w:t>
      </w:r>
      <w:r w:rsidR="00356A95">
        <w:fldChar w:fldCharType="begin"/>
      </w:r>
      <w:r w:rsidR="00356A95">
        <w:instrText xml:space="preserve"> XE "Latrobe Valley" </w:instrText>
      </w:r>
      <w:r w:rsidR="00356A95">
        <w:fldChar w:fldCharType="end"/>
      </w:r>
      <w:r w:rsidRPr="00E878B6">
        <w:t>, expected to bring 150 government jobs to the region. City Deal</w:t>
      </w:r>
      <w:r w:rsidR="00356A95">
        <w:fldChar w:fldCharType="begin"/>
      </w:r>
      <w:r w:rsidR="00356A95">
        <w:instrText xml:space="preserve"> XE "City Deal" </w:instrText>
      </w:r>
      <w:r w:rsidR="00356A95">
        <w:fldChar w:fldCharType="end"/>
      </w:r>
      <w:r w:rsidRPr="00E878B6">
        <w:t xml:space="preserve"> seed funding will be provided for Latrobe, Bendigo, Ballarat and Geelong.</w:t>
      </w:r>
    </w:p>
    <w:p w:rsidR="00552DFA" w:rsidRPr="00E878B6" w:rsidRDefault="00552DFA" w:rsidP="00423C3D">
      <w:pPr>
        <w:pStyle w:val="Heading30"/>
      </w:pPr>
      <w:r w:rsidRPr="00E878B6">
        <w:t>Agriculture</w:t>
      </w:r>
      <w:r w:rsidR="00AE2BEA">
        <w:t xml:space="preserve"> and water</w:t>
      </w:r>
    </w:p>
    <w:p w:rsidR="00552DFA" w:rsidRPr="00E878B6" w:rsidRDefault="00552DFA" w:rsidP="00423C3D">
      <w:r w:rsidRPr="00E878B6">
        <w:t xml:space="preserve">The </w:t>
      </w:r>
      <w:r w:rsidRPr="00E878B6">
        <w:rPr>
          <w:i/>
        </w:rPr>
        <w:t>2017</w:t>
      </w:r>
      <w:r>
        <w:rPr>
          <w:i/>
        </w:rPr>
        <w:noBreakHyphen/>
      </w:r>
      <w:r w:rsidRPr="00E878B6">
        <w:rPr>
          <w:i/>
        </w:rPr>
        <w:t>18 Budget</w:t>
      </w:r>
      <w:r w:rsidRPr="00E878B6">
        <w:t xml:space="preserve"> is supporting farmers and primary producers to protect Victoria’s biosecurity. Biosecurity</w:t>
      </w:r>
      <w:r w:rsidR="00356A95">
        <w:fldChar w:fldCharType="begin"/>
      </w:r>
      <w:r w:rsidR="00356A95">
        <w:instrText xml:space="preserve"> XE "Biosecurity" </w:instrText>
      </w:r>
      <w:r w:rsidR="00356A95">
        <w:fldChar w:fldCharType="end"/>
      </w:r>
      <w:r w:rsidRPr="00E878B6">
        <w:t xml:space="preserve"> services will receive $44.4</w:t>
      </w:r>
      <w:r>
        <w:t> </w:t>
      </w:r>
      <w:r w:rsidRPr="00E878B6">
        <w:t>m</w:t>
      </w:r>
      <w:r>
        <w:t>illion</w:t>
      </w:r>
      <w:r w:rsidRPr="00E878B6">
        <w:t xml:space="preserve"> to maintain market access and productivity, and manage the risks to the environment and the community from animal and plant pests and diseases. </w:t>
      </w:r>
    </w:p>
    <w:p w:rsidR="00552DFA" w:rsidRPr="00E878B6" w:rsidRDefault="00552DFA" w:rsidP="00423C3D">
      <w:r w:rsidRPr="00E878B6">
        <w:t>The budget also sets aside $21.5</w:t>
      </w:r>
      <w:r>
        <w:t> </w:t>
      </w:r>
      <w:r w:rsidRPr="00E878B6">
        <w:t>m</w:t>
      </w:r>
      <w:r>
        <w:t>illion</w:t>
      </w:r>
      <w:r w:rsidRPr="00E878B6">
        <w:t xml:space="preserve"> to assist sheep and goat farmers to transition to electronic tagging – which will help to reduce risks from disease or a food safety emergency. </w:t>
      </w:r>
    </w:p>
    <w:p w:rsidR="00552DFA" w:rsidRPr="00E878B6" w:rsidRDefault="00552DFA" w:rsidP="00423C3D">
      <w:r w:rsidRPr="00E878B6">
        <w:t>The Government is contributing $19.2</w:t>
      </w:r>
      <w:r>
        <w:t> </w:t>
      </w:r>
      <w:r w:rsidRPr="00E878B6">
        <w:t>m</w:t>
      </w:r>
      <w:r>
        <w:t>illion</w:t>
      </w:r>
      <w:r w:rsidRPr="00E878B6">
        <w:t xml:space="preserve"> to a national program to eradicate the red imported fire ant, before it becomes a threat to all of Australia. </w:t>
      </w:r>
    </w:p>
    <w:p w:rsidR="00552DFA" w:rsidRDefault="00552DFA" w:rsidP="00423C3D">
      <w:r w:rsidRPr="00E878B6">
        <w:t>The Government is also supporting farmers and primary producers who insure their agricultural products against damage from flood, fire and other accidents, by abolishing insurance duty for these policies.</w:t>
      </w:r>
    </w:p>
    <w:p w:rsidR="00AE2BEA" w:rsidRPr="00E878B6" w:rsidRDefault="00AE2BEA" w:rsidP="00AE2BEA">
      <w:pPr>
        <w:rPr>
          <w:rFonts w:asciiTheme="majorHAnsi" w:eastAsiaTheme="majorEastAsia" w:hAnsiTheme="majorHAnsi" w:cstheme="majorBidi"/>
          <w:b/>
          <w:bCs/>
          <w:spacing w:val="-2"/>
          <w:szCs w:val="26"/>
        </w:rPr>
      </w:pPr>
      <w:r w:rsidRPr="00E878B6">
        <w:t xml:space="preserve">$115.7 million will be invested on water initiatives, including </w:t>
      </w:r>
      <w:r w:rsidRPr="00E878B6">
        <w:rPr>
          <w:i/>
        </w:rPr>
        <w:t>Water for Victoria</w:t>
      </w:r>
      <w:r>
        <w:rPr>
          <w:i/>
        </w:rPr>
        <w:fldChar w:fldCharType="begin"/>
      </w:r>
      <w:r>
        <w:rPr>
          <w:i/>
        </w:rPr>
        <w:instrText xml:space="preserve"> XE "</w:instrText>
      </w:r>
      <w:r>
        <w:instrText>Water for Victoria"</w:instrText>
      </w:r>
      <w:r>
        <w:rPr>
          <w:i/>
        </w:rPr>
        <w:instrText xml:space="preserve"> </w:instrText>
      </w:r>
      <w:r>
        <w:rPr>
          <w:i/>
        </w:rPr>
        <w:fldChar w:fldCharType="end"/>
      </w:r>
      <w:r w:rsidRPr="00E878B6">
        <w:t>, the Government’s plan to support more liveable Victorian communities through smarter water management and bolstering the water grid.</w:t>
      </w:r>
    </w:p>
    <w:p w:rsidR="00552DFA" w:rsidRPr="00E878B6" w:rsidRDefault="00552DFA" w:rsidP="00423C3D">
      <w:pPr>
        <w:pStyle w:val="Heading30"/>
      </w:pPr>
      <w:r w:rsidRPr="00E878B6">
        <w:t>Regional Partnerships</w:t>
      </w:r>
    </w:p>
    <w:p w:rsidR="00552DFA" w:rsidRPr="00E878B6" w:rsidRDefault="00552DFA" w:rsidP="00423C3D">
      <w:r w:rsidRPr="00E878B6">
        <w:t>The Government is continuing to support the Regional Partnerships process – this budget provides $2</w:t>
      </w:r>
      <w:r>
        <w:t>9 </w:t>
      </w:r>
      <w:r w:rsidRPr="00E878B6">
        <w:t>m</w:t>
      </w:r>
      <w:r>
        <w:t>illion</w:t>
      </w:r>
      <w:r w:rsidRPr="00E878B6">
        <w:t xml:space="preserve"> to identify, develop and deliver Regional Partnerships priorities, including local infrastructure proj</w:t>
      </w:r>
      <w:r w:rsidR="003B79C5">
        <w:t>ects, master plans and programs, in addition to funding a range of initiatives in each of the nine Regional Partnership</w:t>
      </w:r>
      <w:r w:rsidR="00CD3AC2">
        <w:t>s</w:t>
      </w:r>
      <w:r w:rsidR="003B79C5">
        <w:t xml:space="preserve"> areas.</w:t>
      </w:r>
    </w:p>
    <w:p w:rsidR="00552DFA" w:rsidRPr="00E878B6" w:rsidRDefault="00552DFA" w:rsidP="00423C3D">
      <w:pPr>
        <w:pStyle w:val="Heading30"/>
      </w:pPr>
      <w:r w:rsidRPr="00E878B6">
        <w:lastRenderedPageBreak/>
        <w:t>Connecting regional communities</w:t>
      </w:r>
    </w:p>
    <w:p w:rsidR="00552DFA" w:rsidRPr="00E878B6" w:rsidRDefault="00552DFA" w:rsidP="00423C3D">
      <w:r w:rsidRPr="00E878B6">
        <w:t>Regional Victoria</w:t>
      </w:r>
      <w:r w:rsidR="00356A95">
        <w:fldChar w:fldCharType="begin"/>
      </w:r>
      <w:r w:rsidR="00356A95">
        <w:instrText xml:space="preserve"> XE "Regional Victoria" </w:instrText>
      </w:r>
      <w:r w:rsidR="00356A95">
        <w:fldChar w:fldCharType="end"/>
      </w:r>
      <w:r w:rsidRPr="00E878B6">
        <w:t xml:space="preserve">n homes and businesses will be supported to access mobile and broadband technologies and participate in the digital economy, with $45 million to fund major initiatives, including: </w:t>
      </w:r>
    </w:p>
    <w:p w:rsidR="00552DFA" w:rsidRPr="00E878B6" w:rsidRDefault="00552DFA" w:rsidP="00423C3D">
      <w:pPr>
        <w:pStyle w:val="ListBullet"/>
      </w:pPr>
      <w:r w:rsidRPr="00E878B6">
        <w:t>a Mobile Black Spots Program</w:t>
      </w:r>
      <w:r w:rsidR="00356A95">
        <w:fldChar w:fldCharType="begin"/>
      </w:r>
      <w:r w:rsidR="00356A95">
        <w:instrText xml:space="preserve"> XE "Mobile Black Spots Program" </w:instrText>
      </w:r>
      <w:r w:rsidR="00356A95">
        <w:fldChar w:fldCharType="end"/>
      </w:r>
      <w:r w:rsidRPr="00E878B6">
        <w:t xml:space="preserve"> to increase mobile telephone coverage in flood and fire prone areas with poor coverage; </w:t>
      </w:r>
    </w:p>
    <w:p w:rsidR="00552DFA" w:rsidRPr="00E878B6" w:rsidRDefault="00552DFA" w:rsidP="00423C3D">
      <w:pPr>
        <w:pStyle w:val="ListBullet"/>
      </w:pPr>
      <w:r w:rsidRPr="00E878B6">
        <w:t>support for the adoption of internet enabled on</w:t>
      </w:r>
      <w:r>
        <w:noBreakHyphen/>
      </w:r>
      <w:r w:rsidRPr="00E878B6">
        <w:t>farm technologies in Victoria’s north</w:t>
      </w:r>
      <w:r>
        <w:noBreakHyphen/>
      </w:r>
      <w:r w:rsidRPr="00E878B6">
        <w:t>west, the Macalister Irrigation District, the Murray</w:t>
      </w:r>
      <w:r>
        <w:noBreakHyphen/>
      </w:r>
      <w:r w:rsidRPr="00E878B6">
        <w:t>Darling Basin and Serpentine; as well as</w:t>
      </w:r>
    </w:p>
    <w:p w:rsidR="00552DFA" w:rsidRPr="00E878B6" w:rsidRDefault="00552DFA" w:rsidP="00423C3D">
      <w:pPr>
        <w:pStyle w:val="ListBullet"/>
      </w:pPr>
      <w:r w:rsidRPr="00E878B6">
        <w:t>regional enhanced broadband projects in Morwell, North Geelong and Horsham.</w:t>
      </w:r>
    </w:p>
    <w:p w:rsidR="00552DFA" w:rsidRPr="00E878B6" w:rsidRDefault="00552DFA" w:rsidP="00423C3D">
      <w:pPr>
        <w:pStyle w:val="Heading30"/>
      </w:pPr>
      <w:r w:rsidRPr="00E878B6">
        <w:t xml:space="preserve">Health </w:t>
      </w:r>
    </w:p>
    <w:p w:rsidR="00552DFA" w:rsidRPr="00E878B6" w:rsidRDefault="00552DFA" w:rsidP="00423C3D">
      <w:r w:rsidRPr="00E878B6">
        <w:t>As part of our commitment to ensure that all Victorians can access the best health care, the Government is providing significant additional funding across our health system. Specific measures for regional Victoria include $9.7 million to plan and purchase three new regional sites for drug rehabilitation in the Gippsland, Hume and Barwon regions and $8.3 million for a new 12</w:t>
      </w:r>
      <w:r>
        <w:noBreakHyphen/>
      </w:r>
      <w:r w:rsidRPr="00E878B6">
        <w:t>bedroom mental health facility for adults with acute mental illness in Ballarat.</w:t>
      </w:r>
    </w:p>
    <w:p w:rsidR="00552DFA" w:rsidRPr="00E878B6" w:rsidRDefault="00552DFA" w:rsidP="00423C3D">
      <w:pPr>
        <w:pStyle w:val="Heading30"/>
      </w:pPr>
      <w:r w:rsidRPr="00E878B6">
        <w:t>Education</w:t>
      </w:r>
    </w:p>
    <w:p w:rsidR="00552DFA" w:rsidRPr="00E878B6" w:rsidRDefault="00552DFA" w:rsidP="00423C3D">
      <w:r w:rsidRPr="00E878B6">
        <w:t xml:space="preserve">The Government’s </w:t>
      </w:r>
      <w:proofErr w:type="spellStart"/>
      <w:r w:rsidRPr="00E878B6">
        <w:t>statewide</w:t>
      </w:r>
      <w:proofErr w:type="spellEnd"/>
      <w:r w:rsidRPr="00E878B6">
        <w:t xml:space="preserve"> investment of $1.3</w:t>
      </w:r>
      <w:r>
        <w:t> </w:t>
      </w:r>
      <w:r w:rsidRPr="00E878B6">
        <w:t>b</w:t>
      </w:r>
      <w:r>
        <w:t>illion</w:t>
      </w:r>
      <w:r w:rsidRPr="00E878B6">
        <w:t xml:space="preserve"> in education will benefit regional Victorians, including by upgrading information technology and digital services in classrooms, providing new relocatable classrooms and removing asbestos. </w:t>
      </w:r>
    </w:p>
    <w:p w:rsidR="00552DFA" w:rsidRPr="00E878B6" w:rsidRDefault="00552DFA" w:rsidP="00423C3D">
      <w:r w:rsidRPr="00E878B6">
        <w:t xml:space="preserve">The </w:t>
      </w:r>
      <w:r w:rsidRPr="00E878B6">
        <w:rPr>
          <w:i/>
        </w:rPr>
        <w:t>2017</w:t>
      </w:r>
      <w:r>
        <w:rPr>
          <w:i/>
        </w:rPr>
        <w:noBreakHyphen/>
      </w:r>
      <w:r w:rsidRPr="00E878B6">
        <w:rPr>
          <w:i/>
        </w:rPr>
        <w:t>18 Budget</w:t>
      </w:r>
      <w:r w:rsidRPr="00E878B6">
        <w:t xml:space="preserve"> funds a specific package of $64.1 million for 59 rural and regional school upgrades. </w:t>
      </w:r>
    </w:p>
    <w:p w:rsidR="00552DFA" w:rsidRPr="00E878B6" w:rsidRDefault="00552DFA" w:rsidP="00423C3D">
      <w:pPr>
        <w:pStyle w:val="Heading30"/>
        <w:spacing w:before="180"/>
      </w:pPr>
      <w:r w:rsidRPr="00E878B6">
        <w:t>Regional transport</w:t>
      </w:r>
    </w:p>
    <w:p w:rsidR="00552DFA" w:rsidRPr="00E878B6" w:rsidRDefault="00552DFA" w:rsidP="00423C3D">
      <w:r w:rsidRPr="00E878B6">
        <w:t xml:space="preserve">The </w:t>
      </w:r>
      <w:r w:rsidRPr="00E878B6">
        <w:rPr>
          <w:i/>
        </w:rPr>
        <w:t>2017</w:t>
      </w:r>
      <w:r>
        <w:rPr>
          <w:i/>
        </w:rPr>
        <w:noBreakHyphen/>
      </w:r>
      <w:r w:rsidRPr="00E878B6">
        <w:rPr>
          <w:i/>
        </w:rPr>
        <w:t>18 Budget</w:t>
      </w:r>
      <w:r w:rsidRPr="00E878B6">
        <w:t xml:space="preserve"> will help to ensure safe and productive connections between metropolitan and regional centres, and all over rural and regional Victoria. </w:t>
      </w:r>
    </w:p>
    <w:p w:rsidR="005160F4" w:rsidRDefault="00552DFA" w:rsidP="00423C3D">
      <w:r w:rsidRPr="00E878B6">
        <w:t>The Government is making major investments in regional transport infrastructure, with $1.1</w:t>
      </w:r>
      <w:r>
        <w:t> </w:t>
      </w:r>
      <w:r w:rsidRPr="00E878B6">
        <w:t>b</w:t>
      </w:r>
      <w:r>
        <w:t>illion</w:t>
      </w:r>
      <w:r w:rsidRPr="00E878B6">
        <w:t xml:space="preserve"> for public transport</w:t>
      </w:r>
      <w:r w:rsidR="005160F4">
        <w:t xml:space="preserve"> and</w:t>
      </w:r>
      <w:r w:rsidRPr="00E878B6">
        <w:t xml:space="preserve"> </w:t>
      </w:r>
      <w:r w:rsidR="005160F4" w:rsidRPr="00E878B6">
        <w:t>$5</w:t>
      </w:r>
      <w:r w:rsidR="005160F4">
        <w:t>30.6 </w:t>
      </w:r>
      <w:r w:rsidR="005160F4" w:rsidRPr="00E878B6">
        <w:t>m</w:t>
      </w:r>
      <w:r w:rsidR="005160F4">
        <w:t>illion</w:t>
      </w:r>
      <w:r w:rsidR="005160F4" w:rsidRPr="00E878B6">
        <w:t xml:space="preserve"> </w:t>
      </w:r>
      <w:r w:rsidR="005160F4">
        <w:t>to maintain and upgrade regional roads and bridges, and plan for future expansions to cater for regional growth, as well as improve travel times and safety on Victoria’s roads.</w:t>
      </w:r>
      <w:r w:rsidRPr="00E878B6">
        <w:t xml:space="preserve"> </w:t>
      </w:r>
    </w:p>
    <w:p w:rsidR="00B37B2E" w:rsidRDefault="00B37B2E">
      <w:pPr>
        <w:keepLines w:val="0"/>
      </w:pPr>
      <w:r>
        <w:br w:type="page"/>
      </w:r>
    </w:p>
    <w:p w:rsidR="00552DFA" w:rsidRPr="00E878B6" w:rsidRDefault="00552DFA" w:rsidP="00423C3D">
      <w:r w:rsidRPr="00E878B6">
        <w:lastRenderedPageBreak/>
        <w:t>Significant public transport projects include:</w:t>
      </w:r>
    </w:p>
    <w:p w:rsidR="00552DFA" w:rsidRPr="00E878B6" w:rsidRDefault="00552DFA" w:rsidP="00423C3D">
      <w:pPr>
        <w:pStyle w:val="ListBullet"/>
        <w:spacing w:before="40"/>
      </w:pPr>
      <w:r w:rsidRPr="00E878B6">
        <w:t>a $435</w:t>
      </w:r>
      <w:r>
        <w:t> </w:t>
      </w:r>
      <w:r w:rsidRPr="00E878B6">
        <w:t>m</w:t>
      </w:r>
      <w:r>
        <w:t>illion</w:t>
      </w:r>
      <w:r w:rsidRPr="00E878B6">
        <w:t xml:space="preserve"> investment in Gippsland rail infrastructure. These infrastructure works will create hundreds of jobs in regional Victoria and include track duplication, crossing loops, a second platform at Traralgon, stabling at Morwell and other upgrades; </w:t>
      </w:r>
    </w:p>
    <w:p w:rsidR="00552DFA" w:rsidRPr="00E878B6" w:rsidRDefault="00552DFA" w:rsidP="00423C3D">
      <w:pPr>
        <w:pStyle w:val="ListBullet"/>
        <w:spacing w:before="40"/>
      </w:pPr>
      <w:r w:rsidRPr="00E878B6">
        <w:t>boosting major periodic maintenance on the regional rail network with $316.4</w:t>
      </w:r>
      <w:r>
        <w:t> </w:t>
      </w:r>
      <w:r w:rsidRPr="00E878B6">
        <w:t>m</w:t>
      </w:r>
      <w:r>
        <w:t>illion</w:t>
      </w:r>
      <w:r w:rsidRPr="00E878B6">
        <w:t xml:space="preserve"> to further improve service performance and reliability for regional rail commuters; </w:t>
      </w:r>
    </w:p>
    <w:p w:rsidR="00552DFA" w:rsidRPr="00E878B6" w:rsidRDefault="00552DFA" w:rsidP="00423C3D">
      <w:pPr>
        <w:pStyle w:val="ListBullet"/>
        <w:spacing w:before="40"/>
      </w:pPr>
      <w:r w:rsidRPr="00E878B6">
        <w:t>investing in additional regional rolling stock, with $311.1</w:t>
      </w:r>
      <w:r>
        <w:t> </w:t>
      </w:r>
      <w:r w:rsidRPr="00E878B6">
        <w:t>m</w:t>
      </w:r>
      <w:r>
        <w:t>illion</w:t>
      </w:r>
      <w:r w:rsidRPr="00E878B6">
        <w:t xml:space="preserve"> to procure 39 additional </w:t>
      </w:r>
      <w:proofErr w:type="spellStart"/>
      <w:r w:rsidRPr="00E878B6">
        <w:t>VLocity</w:t>
      </w:r>
      <w:proofErr w:type="spellEnd"/>
      <w:r w:rsidRPr="00E878B6">
        <w:t xml:space="preserve"> carriages</w:t>
      </w:r>
      <w:r w:rsidR="00356A95">
        <w:fldChar w:fldCharType="begin"/>
      </w:r>
      <w:r w:rsidR="00356A95">
        <w:instrText xml:space="preserve"> XE "VLocity carriages" </w:instrText>
      </w:r>
      <w:r w:rsidR="00356A95">
        <w:fldChar w:fldCharType="end"/>
      </w:r>
      <w:r w:rsidRPr="00E878B6">
        <w:t>; and</w:t>
      </w:r>
    </w:p>
    <w:p w:rsidR="00552DFA" w:rsidRPr="00E878B6" w:rsidRDefault="00552DFA" w:rsidP="00423C3D">
      <w:pPr>
        <w:pStyle w:val="ListBullet"/>
        <w:spacing w:before="40"/>
      </w:pPr>
      <w:r w:rsidRPr="00E878B6">
        <w:t xml:space="preserve">upgrading the Shepparton line and providing additional services. </w:t>
      </w:r>
    </w:p>
    <w:p w:rsidR="00552DFA" w:rsidRPr="00E878B6" w:rsidRDefault="00552DFA" w:rsidP="00423C3D">
      <w:r w:rsidRPr="00E878B6">
        <w:t xml:space="preserve">The Government will also negotiate with the Commonwealth to obtain the funding owed to Victoria under the </w:t>
      </w:r>
      <w:r w:rsidR="00A657E6" w:rsidRPr="00E878B6">
        <w:t xml:space="preserve">National Partnership </w:t>
      </w:r>
      <w:r w:rsidR="00A657E6">
        <w:t xml:space="preserve">on </w:t>
      </w:r>
      <w:r w:rsidRPr="00E878B6">
        <w:t>Asset Recycling</w:t>
      </w:r>
      <w:r w:rsidR="00356A95">
        <w:fldChar w:fldCharType="begin"/>
      </w:r>
      <w:r w:rsidR="00356A95">
        <w:instrText xml:space="preserve"> XE "National Partnership on Asset Recycling" </w:instrText>
      </w:r>
      <w:r w:rsidR="00356A95">
        <w:fldChar w:fldCharType="end"/>
      </w:r>
      <w:r w:rsidRPr="00E878B6">
        <w:t xml:space="preserve"> which would enable the Regional Rail Revival plan to proceed. If successful, this would enable additional investment in the Surf Coast Rail project and upgrades to the Warrnambool, Ballarat and Bendigo lines.</w:t>
      </w:r>
    </w:p>
    <w:p w:rsidR="00552DFA" w:rsidRPr="00E878B6" w:rsidRDefault="00552DFA" w:rsidP="00423C3D">
      <w:r w:rsidRPr="00E878B6">
        <w:t xml:space="preserve">The </w:t>
      </w:r>
      <w:r w:rsidRPr="00E878B6">
        <w:rPr>
          <w:i/>
        </w:rPr>
        <w:t>2017</w:t>
      </w:r>
      <w:r>
        <w:rPr>
          <w:i/>
        </w:rPr>
        <w:noBreakHyphen/>
      </w:r>
      <w:r w:rsidRPr="00E878B6">
        <w:rPr>
          <w:i/>
        </w:rPr>
        <w:t>18 Budget</w:t>
      </w:r>
      <w:r w:rsidRPr="00E878B6">
        <w:t xml:space="preserve"> also invests in major projects on regional and rural roads, by:</w:t>
      </w:r>
    </w:p>
    <w:p w:rsidR="00552DFA" w:rsidRPr="00E878B6" w:rsidRDefault="00552DFA" w:rsidP="00423C3D">
      <w:pPr>
        <w:pStyle w:val="ListBullet"/>
        <w:spacing w:before="40"/>
      </w:pPr>
      <w:r w:rsidRPr="00E878B6">
        <w:t xml:space="preserve">making major safety improvements to the South Gippsland Highway; </w:t>
      </w:r>
    </w:p>
    <w:p w:rsidR="00552DFA" w:rsidRPr="00E878B6" w:rsidRDefault="00552DFA" w:rsidP="00423C3D">
      <w:pPr>
        <w:pStyle w:val="ListBullet"/>
        <w:spacing w:before="40"/>
      </w:pPr>
      <w:r w:rsidRPr="00E878B6">
        <w:t>improving narrow seal arterial roads in south</w:t>
      </w:r>
      <w:r>
        <w:noBreakHyphen/>
      </w:r>
      <w:r w:rsidRPr="00E878B6">
        <w:t xml:space="preserve">western Victoria; </w:t>
      </w:r>
    </w:p>
    <w:p w:rsidR="00552DFA" w:rsidRPr="00E878B6" w:rsidRDefault="00552DFA" w:rsidP="00423C3D">
      <w:pPr>
        <w:pStyle w:val="ListBullet"/>
        <w:spacing w:before="40"/>
      </w:pPr>
      <w:r w:rsidRPr="00E878B6">
        <w:t xml:space="preserve">addressing the impact of rain and flooding on roads, including on the Great Ocean Road; </w:t>
      </w:r>
    </w:p>
    <w:p w:rsidR="00552DFA" w:rsidRPr="00E878B6" w:rsidRDefault="00552DFA" w:rsidP="00423C3D">
      <w:pPr>
        <w:pStyle w:val="ListBullet"/>
        <w:spacing w:before="40"/>
      </w:pPr>
      <w:r w:rsidRPr="00E878B6">
        <w:t>strengthening and resurfacing key roads servicing the Port of Portland – including Henty Highway, Portland Ring Road, and the Portland</w:t>
      </w:r>
      <w:r>
        <w:noBreakHyphen/>
      </w:r>
      <w:r w:rsidRPr="00E878B6">
        <w:t xml:space="preserve">Nelson Road; </w:t>
      </w:r>
    </w:p>
    <w:p w:rsidR="00552DFA" w:rsidRPr="00E878B6" w:rsidRDefault="00552DFA" w:rsidP="00423C3D">
      <w:pPr>
        <w:pStyle w:val="ListBullet"/>
        <w:spacing w:before="40"/>
      </w:pPr>
      <w:r w:rsidRPr="00E878B6">
        <w:t>strengthening and replacing key road bridges and culverts to improve productivity and safety on major freight routes;</w:t>
      </w:r>
    </w:p>
    <w:p w:rsidR="00552DFA" w:rsidRPr="00E878B6" w:rsidRDefault="00552DFA" w:rsidP="00423C3D">
      <w:pPr>
        <w:pStyle w:val="ListBullet"/>
        <w:spacing w:before="40"/>
      </w:pPr>
      <w:r w:rsidRPr="00E878B6">
        <w:t>improving the main infrastructure corridor in Phillip Island; and</w:t>
      </w:r>
    </w:p>
    <w:p w:rsidR="00552DFA" w:rsidRPr="00E878B6" w:rsidRDefault="00552DFA" w:rsidP="00423C3D">
      <w:pPr>
        <w:pStyle w:val="ListBullet"/>
        <w:spacing w:before="40"/>
      </w:pPr>
      <w:r w:rsidRPr="00E878B6">
        <w:t>commencing Stage 1 of the Shepparton Bypass.</w:t>
      </w:r>
    </w:p>
    <w:p w:rsidR="00552DFA" w:rsidRPr="00E878B6" w:rsidRDefault="00552DFA" w:rsidP="00423C3D">
      <w:pPr>
        <w:pStyle w:val="Heading20"/>
      </w:pPr>
      <w:r w:rsidRPr="00E878B6">
        <w:t>Safe communities</w:t>
      </w:r>
    </w:p>
    <w:p w:rsidR="00552DFA" w:rsidRPr="00E878B6" w:rsidRDefault="00552DFA" w:rsidP="00423C3D">
      <w:r w:rsidRPr="00E878B6">
        <w:t>Reducing the harm the Victorian community experiences as a result of crime and improving community safety are key priorities of the Victorian Government. This budget supports Victoria Police</w:t>
      </w:r>
      <w:r w:rsidR="00356A95">
        <w:fldChar w:fldCharType="begin"/>
      </w:r>
      <w:r w:rsidR="00356A95">
        <w:instrText xml:space="preserve"> XE "Victoria Police" </w:instrText>
      </w:r>
      <w:r w:rsidR="00356A95">
        <w:fldChar w:fldCharType="end"/>
      </w:r>
      <w:r w:rsidRPr="00E878B6">
        <w:t xml:space="preserve">, our </w:t>
      </w:r>
      <w:r w:rsidR="00A657E6" w:rsidRPr="00E878B6">
        <w:t xml:space="preserve">courts </w:t>
      </w:r>
      <w:r w:rsidRPr="00E878B6">
        <w:t xml:space="preserve">and our prisons to protect our communities. </w:t>
      </w:r>
    </w:p>
    <w:p w:rsidR="00552DFA" w:rsidRPr="00E878B6" w:rsidRDefault="00552DFA" w:rsidP="00423C3D">
      <w:pPr>
        <w:pStyle w:val="Heading30"/>
      </w:pPr>
      <w:r w:rsidRPr="00E878B6">
        <w:t>Police</w:t>
      </w:r>
    </w:p>
    <w:p w:rsidR="00552DFA" w:rsidRPr="00E878B6" w:rsidRDefault="00552DFA" w:rsidP="00423C3D">
      <w:r w:rsidRPr="00E878B6">
        <w:t xml:space="preserve">On 4 December 2016, the Government announced the recruitment of 2 729 new sworn police over four years. This is the biggest recruitment in police history. This comes on top of 406 police funded in the </w:t>
      </w:r>
      <w:r w:rsidRPr="00A95794">
        <w:rPr>
          <w:i/>
        </w:rPr>
        <w:t>2016</w:t>
      </w:r>
      <w:r>
        <w:rPr>
          <w:i/>
        </w:rPr>
        <w:noBreakHyphen/>
      </w:r>
      <w:r w:rsidRPr="00A95794">
        <w:rPr>
          <w:i/>
        </w:rPr>
        <w:t>17 Budget</w:t>
      </w:r>
      <w:r w:rsidRPr="00E878B6">
        <w:t>.</w:t>
      </w:r>
    </w:p>
    <w:p w:rsidR="00552DFA" w:rsidRPr="00E878B6" w:rsidRDefault="00552DFA" w:rsidP="00423C3D">
      <w:r w:rsidRPr="00E878B6">
        <w:t xml:space="preserve">The </w:t>
      </w:r>
      <w:r w:rsidRPr="00E878B6">
        <w:rPr>
          <w:i/>
        </w:rPr>
        <w:t>2017</w:t>
      </w:r>
      <w:r>
        <w:rPr>
          <w:i/>
        </w:rPr>
        <w:noBreakHyphen/>
      </w:r>
      <w:r w:rsidRPr="00E878B6">
        <w:rPr>
          <w:i/>
        </w:rPr>
        <w:t>18 Budget</w:t>
      </w:r>
      <w:r w:rsidRPr="00E878B6">
        <w:t xml:space="preserve"> cements these commitments and enables Victoria Police</w:t>
      </w:r>
      <w:r w:rsidR="00356A95">
        <w:fldChar w:fldCharType="begin"/>
      </w:r>
      <w:r w:rsidR="00356A95">
        <w:instrText xml:space="preserve"> XE "Victoria Police" </w:instrText>
      </w:r>
      <w:r w:rsidR="00356A95">
        <w:fldChar w:fldCharType="end"/>
      </w:r>
      <w:r w:rsidRPr="00E878B6">
        <w:t xml:space="preserve"> to respond to law and order challenges with an additional $2 billion over four years. This funding allows for the recruitment of these additional police officers, including 415 specialist family violence officers and 42 new youth specialist officers. </w:t>
      </w:r>
    </w:p>
    <w:p w:rsidR="00552DFA" w:rsidRPr="00E878B6" w:rsidRDefault="00552DFA" w:rsidP="00423C3D">
      <w:r w:rsidRPr="00E878B6">
        <w:lastRenderedPageBreak/>
        <w:t xml:space="preserve">It also funds 100 Protective Service Officers for the transport network, replacement of 10 police stations across the </w:t>
      </w:r>
      <w:r w:rsidR="00416B0D" w:rsidRPr="00E878B6">
        <w:t xml:space="preserve">State </w:t>
      </w:r>
      <w:r w:rsidRPr="00E878B6">
        <w:t>and a new Air Wing unit, including three helicopters and a fixed</w:t>
      </w:r>
      <w:r>
        <w:noBreakHyphen/>
      </w:r>
      <w:r w:rsidRPr="00E878B6">
        <w:t>wing plane. Measures are funded to improve police capability, increase their connection with the community and hold offenders to account. Aboriginal</w:t>
      </w:r>
      <w:r w:rsidR="00356A95">
        <w:fldChar w:fldCharType="begin"/>
      </w:r>
      <w:r w:rsidR="00356A95">
        <w:instrText xml:space="preserve"> XE "Aboriginal and Torres Strait Islander Victorians" </w:instrText>
      </w:r>
      <w:r w:rsidR="00356A95">
        <w:fldChar w:fldCharType="end"/>
      </w:r>
      <w:r w:rsidRPr="00E878B6">
        <w:t xml:space="preserve"> Community Liaison Officers will be recruited to expand positive engagement with Aboriginal Victorians.</w:t>
      </w:r>
    </w:p>
    <w:p w:rsidR="00552DFA" w:rsidRPr="00E878B6" w:rsidRDefault="00552DFA" w:rsidP="00423C3D">
      <w:pPr>
        <w:pStyle w:val="Heading30"/>
      </w:pPr>
      <w:r w:rsidRPr="00E878B6">
        <w:t>Community safety</w:t>
      </w:r>
    </w:p>
    <w:p w:rsidR="00552DFA" w:rsidRPr="00E878B6" w:rsidRDefault="00552DFA" w:rsidP="00423C3D">
      <w:pPr>
        <w:ind w:right="-227"/>
      </w:pPr>
      <w:r w:rsidRPr="00E878B6">
        <w:t>The budget also provides funding to ensure serious crimes are punished and offenders are housed safely and effectively. This is evident in the Government’s unprecedented commitment to address family violence with $1.9</w:t>
      </w:r>
      <w:r>
        <w:t> </w:t>
      </w:r>
      <w:r w:rsidRPr="00E878B6">
        <w:t>b</w:t>
      </w:r>
      <w:r>
        <w:t>illion</w:t>
      </w:r>
      <w:r w:rsidRPr="00E878B6">
        <w:t xml:space="preserve"> for comprehensive reforms throughout the system.</w:t>
      </w:r>
    </w:p>
    <w:p w:rsidR="00552DFA" w:rsidRPr="00E878B6" w:rsidRDefault="00552DFA" w:rsidP="00423C3D">
      <w:pPr>
        <w:ind w:right="-227"/>
      </w:pPr>
      <w:r w:rsidRPr="00E878B6">
        <w:t xml:space="preserve">The </w:t>
      </w:r>
      <w:r w:rsidRPr="00E878B6">
        <w:rPr>
          <w:i/>
        </w:rPr>
        <w:t>2017</w:t>
      </w:r>
      <w:r>
        <w:rPr>
          <w:i/>
        </w:rPr>
        <w:noBreakHyphen/>
      </w:r>
      <w:r w:rsidRPr="00E878B6">
        <w:rPr>
          <w:i/>
        </w:rPr>
        <w:t>18 Budget</w:t>
      </w:r>
      <w:r w:rsidRPr="00E878B6">
        <w:t xml:space="preserve"> funds $308.1 million to deliver more intensive supervision, m</w:t>
      </w:r>
      <w:r w:rsidR="00416B0D">
        <w:t>onitoring and detention of high</w:t>
      </w:r>
      <w:r w:rsidR="00416B0D">
        <w:noBreakHyphen/>
      </w:r>
      <w:r w:rsidRPr="00E878B6">
        <w:t xml:space="preserve">risk offenders. </w:t>
      </w:r>
    </w:p>
    <w:p w:rsidR="00552DFA" w:rsidRPr="00E878B6" w:rsidRDefault="00552DFA" w:rsidP="00423C3D">
      <w:pPr>
        <w:ind w:right="-227"/>
      </w:pPr>
      <w:r w:rsidRPr="00E878B6">
        <w:t>To bolster the broader prison system, $186.3 million will be provided to help to ensure prisoner, staff and community safety, and reduce the likelihood of reoffending. This includes upgraded security and health services and expanded program capacity in Victoria’s prisons.</w:t>
      </w:r>
    </w:p>
    <w:p w:rsidR="00552DFA" w:rsidRPr="00E878B6" w:rsidRDefault="00552DFA" w:rsidP="00423C3D">
      <w:pPr>
        <w:ind w:right="-227"/>
      </w:pPr>
      <w:r w:rsidRPr="00E878B6">
        <w:t>The budget also includes $360.7</w:t>
      </w:r>
      <w:r>
        <w:t> </w:t>
      </w:r>
      <w:r w:rsidRPr="00E878B6">
        <w:t>m</w:t>
      </w:r>
      <w:r>
        <w:t>illion</w:t>
      </w:r>
      <w:r w:rsidRPr="00E878B6">
        <w:t xml:space="preserve"> to strengthen youth justice precincts in Parkville and Malmsbury, and build a new fit</w:t>
      </w:r>
      <w:r>
        <w:noBreakHyphen/>
      </w:r>
      <w:r w:rsidRPr="00E878B6">
        <w:t>for</w:t>
      </w:r>
      <w:r>
        <w:noBreakHyphen/>
      </w:r>
      <w:r w:rsidRPr="00E878B6">
        <w:t xml:space="preserve">purpose, high security youth justice centre. </w:t>
      </w:r>
    </w:p>
    <w:p w:rsidR="00552DFA" w:rsidRPr="00E878B6" w:rsidRDefault="00552DFA" w:rsidP="00423C3D">
      <w:r w:rsidRPr="00E878B6">
        <w:t xml:space="preserve">Funding of $7.6 million in this year’s budget will be provided for Court Services Victoria to plan for the modernisation and expansion of the Werribee Law Court and Bendigo Law Court as part of the Wyndham Justice Precinct development, so they can manage demand now and into the future. </w:t>
      </w:r>
    </w:p>
    <w:p w:rsidR="00552DFA" w:rsidRPr="00E878B6" w:rsidRDefault="00552DFA" w:rsidP="00423C3D">
      <w:r w:rsidRPr="00E878B6">
        <w:t>An additional $85.2</w:t>
      </w:r>
      <w:r>
        <w:t> </w:t>
      </w:r>
      <w:r w:rsidRPr="00E878B6">
        <w:t>m</w:t>
      </w:r>
      <w:r>
        <w:t>illion</w:t>
      </w:r>
      <w:r w:rsidRPr="00E878B6">
        <w:t xml:space="preserve"> will also be allocated to improve public safety and care for those offenders with a mental illness. </w:t>
      </w:r>
    </w:p>
    <w:p w:rsidR="00552DFA" w:rsidRPr="00E878B6" w:rsidRDefault="00552DFA" w:rsidP="00423C3D">
      <w:pPr>
        <w:pStyle w:val="Heading30"/>
      </w:pPr>
      <w:r w:rsidRPr="00E878B6">
        <w:t>Managing emergencies</w:t>
      </w:r>
    </w:p>
    <w:p w:rsidR="00552DFA" w:rsidRPr="00E878B6" w:rsidRDefault="00552DFA" w:rsidP="00423C3D">
      <w:r w:rsidRPr="00E878B6">
        <w:t>The Government is investing in the resources the men and women of our emergency services need to do their job. To support specialist services to be ready for any emergency, the Government is providing:</w:t>
      </w:r>
    </w:p>
    <w:p w:rsidR="00552DFA" w:rsidRPr="00E878B6" w:rsidRDefault="00552DFA" w:rsidP="00423C3D">
      <w:pPr>
        <w:pStyle w:val="ListBullet"/>
        <w:numPr>
          <w:ilvl w:val="0"/>
          <w:numId w:val="18"/>
        </w:numPr>
      </w:pPr>
      <w:r w:rsidRPr="00E878B6">
        <w:t>$273.3 million to reduce the impact of bushfires on Victorian communities, the economy and the environment by targeting high</w:t>
      </w:r>
      <w:r>
        <w:noBreakHyphen/>
      </w:r>
      <w:r w:rsidRPr="00E878B6">
        <w:t>risk areas, lifting firefighting capacity, and increasing the use of Aboriginal</w:t>
      </w:r>
      <w:r w:rsidR="00356A95">
        <w:fldChar w:fldCharType="begin"/>
      </w:r>
      <w:r w:rsidR="00356A95">
        <w:instrText xml:space="preserve"> XE "Aboriginal and Torres Strait Islander Victorians" </w:instrText>
      </w:r>
      <w:r w:rsidR="00356A95">
        <w:fldChar w:fldCharType="end"/>
      </w:r>
      <w:r w:rsidRPr="00E878B6">
        <w:t xml:space="preserve"> fire management practices; </w:t>
      </w:r>
    </w:p>
    <w:p w:rsidR="00552DFA" w:rsidRPr="00E878B6" w:rsidRDefault="00552DFA" w:rsidP="00423C3D">
      <w:pPr>
        <w:pStyle w:val="ListBullet"/>
        <w:numPr>
          <w:ilvl w:val="0"/>
          <w:numId w:val="18"/>
        </w:numPr>
      </w:pPr>
      <w:r w:rsidRPr="00E878B6">
        <w:t>$72.3 million to respond to community demand for emergency call</w:t>
      </w:r>
      <w:r>
        <w:noBreakHyphen/>
      </w:r>
      <w:r w:rsidRPr="00E878B6">
        <w:t>taking and dispatch services, and emergency services communications, including radio coverage in the Melbourne Underground Rail Loop and the national telephone warning system;</w:t>
      </w:r>
      <w:r>
        <w:t xml:space="preserve"> and</w:t>
      </w:r>
    </w:p>
    <w:p w:rsidR="00552DFA" w:rsidRPr="00E878B6" w:rsidRDefault="00552DFA" w:rsidP="00423C3D">
      <w:pPr>
        <w:pStyle w:val="ListBullet"/>
        <w:numPr>
          <w:ilvl w:val="0"/>
          <w:numId w:val="18"/>
        </w:numPr>
      </w:pPr>
      <w:r w:rsidRPr="00E878B6">
        <w:t>$34.3</w:t>
      </w:r>
      <w:r>
        <w:t> </w:t>
      </w:r>
      <w:r w:rsidRPr="00E878B6">
        <w:t>m</w:t>
      </w:r>
      <w:r>
        <w:t>illion</w:t>
      </w:r>
      <w:r w:rsidRPr="00E878B6">
        <w:t xml:space="preserve"> to the Victorian State Emergency Service</w:t>
      </w:r>
      <w:r w:rsidR="00356A95">
        <w:fldChar w:fldCharType="begin"/>
      </w:r>
      <w:r w:rsidR="00356A95">
        <w:instrText xml:space="preserve"> XE "State Emergency Service" </w:instrText>
      </w:r>
      <w:r w:rsidR="00356A95">
        <w:fldChar w:fldCharType="end"/>
      </w:r>
      <w:r w:rsidRPr="00E878B6">
        <w:t xml:space="preserve"> to fund new headquarters, vehicles, equipment and facilities to meet growing community demand for its services.</w:t>
      </w:r>
    </w:p>
    <w:p w:rsidR="00552DFA" w:rsidRPr="00E878B6" w:rsidRDefault="00552DFA" w:rsidP="00423C3D">
      <w:pPr>
        <w:pStyle w:val="Heading20"/>
      </w:pPr>
      <w:r w:rsidRPr="00E878B6">
        <w:lastRenderedPageBreak/>
        <w:t>Homes for Victorians</w:t>
      </w:r>
      <w:r w:rsidR="00356A95">
        <w:fldChar w:fldCharType="begin"/>
      </w:r>
      <w:r w:rsidR="00356A95">
        <w:instrText xml:space="preserve"> XE "Homes for Victorians" </w:instrText>
      </w:r>
      <w:r w:rsidR="00356A95">
        <w:fldChar w:fldCharType="end"/>
      </w:r>
    </w:p>
    <w:p w:rsidR="00552DFA" w:rsidRPr="00E878B6" w:rsidRDefault="00552DFA" w:rsidP="00423C3D">
      <w:r w:rsidRPr="00E878B6">
        <w:t xml:space="preserve">All Victorians deserve the safety and security of a home. </w:t>
      </w:r>
      <w:r w:rsidRPr="00E878B6">
        <w:rPr>
          <w:i/>
        </w:rPr>
        <w:t>Homes for Victorians</w:t>
      </w:r>
      <w:r w:rsidR="00356A95">
        <w:rPr>
          <w:i/>
        </w:rPr>
        <w:fldChar w:fldCharType="begin"/>
      </w:r>
      <w:r w:rsidR="00356A95">
        <w:rPr>
          <w:i/>
        </w:rPr>
        <w:instrText xml:space="preserve"> XE "</w:instrText>
      </w:r>
      <w:r w:rsidR="00356A95">
        <w:instrText>Homes for Victorians"</w:instrText>
      </w:r>
      <w:r w:rsidR="00356A95">
        <w:rPr>
          <w:i/>
        </w:rPr>
        <w:instrText xml:space="preserve"> </w:instrText>
      </w:r>
      <w:r w:rsidR="00356A95">
        <w:rPr>
          <w:i/>
        </w:rPr>
        <w:fldChar w:fldCharType="end"/>
      </w:r>
      <w:r w:rsidRPr="00E878B6">
        <w:t xml:space="preserve"> contains a number of initiatives to help Victorians access housing – whether they are looking to purchase their own home, find a secure and affordable rental property, or access social housing or housing services. </w:t>
      </w:r>
    </w:p>
    <w:p w:rsidR="00552DFA" w:rsidRPr="00E878B6" w:rsidRDefault="00552DFA" w:rsidP="00423C3D">
      <w:r w:rsidRPr="00E878B6">
        <w:t>The Government recognises that finding a home can be difficult for many young Victorians. To ensure housing is more affordable for around 25 000 Victorians buying their first home, stamp duty is to be abolished for first</w:t>
      </w:r>
      <w:r>
        <w:noBreakHyphen/>
      </w:r>
      <w:r w:rsidRPr="00E878B6">
        <w:t xml:space="preserve">time buyers of both new and established homes up to $600 000, and a tapered discount will apply between $600 000 and $750 000. </w:t>
      </w:r>
    </w:p>
    <w:p w:rsidR="00552DFA" w:rsidRPr="00E878B6" w:rsidRDefault="00552DFA" w:rsidP="00423C3D">
      <w:r w:rsidRPr="00E878B6">
        <w:t>Doubling the First Home Owner Grant</w:t>
      </w:r>
      <w:r w:rsidR="00356A95">
        <w:fldChar w:fldCharType="begin"/>
      </w:r>
      <w:r w:rsidR="00356A95">
        <w:instrText xml:space="preserve"> XE "First Home Owner Grant" </w:instrText>
      </w:r>
      <w:r w:rsidR="00356A95">
        <w:fldChar w:fldCharType="end"/>
      </w:r>
      <w:r w:rsidRPr="00E878B6">
        <w:t xml:space="preserve"> to $20 000 in regional Victoria for three years will make it easier for thousands of regional Victorians to build and stay in their community and support local jobs. </w:t>
      </w:r>
    </w:p>
    <w:p w:rsidR="00552DFA" w:rsidRPr="00E878B6" w:rsidRDefault="00552DFA" w:rsidP="00423C3D">
      <w:r w:rsidRPr="00E878B6">
        <w:t>The Government is contributing to help first home buyers co</w:t>
      </w:r>
      <w:r>
        <w:noBreakHyphen/>
      </w:r>
      <w:r w:rsidRPr="00E878B6">
        <w:t xml:space="preserve">purchase a home, bringing </w:t>
      </w:r>
      <w:r w:rsidR="00416B0D">
        <w:rPr>
          <w:i/>
        </w:rPr>
        <w:t>Buy </w:t>
      </w:r>
      <w:r w:rsidRPr="00416B0D">
        <w:rPr>
          <w:i/>
        </w:rPr>
        <w:t>Assist</w:t>
      </w:r>
      <w:r w:rsidR="00356A95">
        <w:rPr>
          <w:i/>
        </w:rPr>
        <w:fldChar w:fldCharType="begin"/>
      </w:r>
      <w:r w:rsidR="00356A95">
        <w:rPr>
          <w:i/>
        </w:rPr>
        <w:instrText xml:space="preserve"> XE "</w:instrText>
      </w:r>
      <w:r w:rsidR="00356A95">
        <w:instrText>Buy Assist"</w:instrText>
      </w:r>
      <w:r w:rsidR="00356A95">
        <w:rPr>
          <w:i/>
        </w:rPr>
        <w:instrText xml:space="preserve"> </w:instrText>
      </w:r>
      <w:r w:rsidR="00356A95">
        <w:rPr>
          <w:i/>
        </w:rPr>
        <w:fldChar w:fldCharType="end"/>
      </w:r>
      <w:r w:rsidRPr="00E878B6">
        <w:t>, a national community sector shared equity scheme, to Victoria. In addition, a new two</w:t>
      </w:r>
      <w:r>
        <w:noBreakHyphen/>
      </w:r>
      <w:r w:rsidRPr="00E878B6">
        <w:t xml:space="preserve">year pilot scheme called </w:t>
      </w:r>
      <w:proofErr w:type="spellStart"/>
      <w:r w:rsidRPr="00416B0D">
        <w:rPr>
          <w:i/>
        </w:rPr>
        <w:t>HomesVic</w:t>
      </w:r>
      <w:proofErr w:type="spellEnd"/>
      <w:r w:rsidRPr="00416B0D">
        <w:rPr>
          <w:i/>
        </w:rPr>
        <w:t xml:space="preserve"> </w:t>
      </w:r>
      <w:r w:rsidRPr="00E878B6">
        <w:t>will co</w:t>
      </w:r>
      <w:r>
        <w:noBreakHyphen/>
      </w:r>
      <w:r w:rsidRPr="00E878B6">
        <w:t>pur</w:t>
      </w:r>
      <w:r w:rsidR="00416B0D">
        <w:t>chase properties with up to 400 </w:t>
      </w:r>
      <w:r w:rsidRPr="00E878B6">
        <w:t xml:space="preserve">first home buyers who meet the criteria for a bank loan, but lack a big enough deposit. </w:t>
      </w:r>
    </w:p>
    <w:p w:rsidR="00552DFA" w:rsidRPr="00E878B6" w:rsidRDefault="00552DFA" w:rsidP="00423C3D">
      <w:r w:rsidRPr="00E878B6">
        <w:t xml:space="preserve">To improve the supply of new housing, the Government will extend previous funding to provide further assistance to councils over four years to accelerate planning and approval processes to increase the supply of new housing in Victoria. The existing </w:t>
      </w:r>
      <w:proofErr w:type="spellStart"/>
      <w:r w:rsidRPr="00E878B6">
        <w:t>VicSmart</w:t>
      </w:r>
      <w:proofErr w:type="spellEnd"/>
      <w:r w:rsidRPr="00E878B6">
        <w:t xml:space="preserve"> initiative will also be extended to streamline the process for planning permit applications and amendments to introduce categories of minor approvals. </w:t>
      </w:r>
    </w:p>
    <w:p w:rsidR="00552DFA" w:rsidRPr="00E878B6" w:rsidRDefault="00552DFA" w:rsidP="00423C3D">
      <w:r w:rsidRPr="00E878B6">
        <w:t>The Government is committed to supporting the growth of the community housing sector and social housing to support vulnerable Victorians. The budget establishes a revolving loan facility to increase the capacity of the community housing sector. It will also enable the transfer of management responsibility for 4 000 public housing dwellings to community housing agencies on a long</w:t>
      </w:r>
      <w:r>
        <w:noBreakHyphen/>
      </w:r>
      <w:r w:rsidRPr="00E878B6">
        <w:t>term basis. In addition, a $1 billion Social Housing Growth Fund</w:t>
      </w:r>
      <w:r w:rsidR="00356A95">
        <w:fldChar w:fldCharType="begin"/>
      </w:r>
      <w:r w:rsidR="00356A95">
        <w:instrText xml:space="preserve"> XE "Social Housing Growth Fund" </w:instrText>
      </w:r>
      <w:r w:rsidR="00356A95">
        <w:fldChar w:fldCharType="end"/>
      </w:r>
      <w:r w:rsidRPr="00E878B6">
        <w:t xml:space="preserve"> will be established to support up to 2 200 new social housing places over five years. Victoria’s most vulnerable will also be supported into modern, safe and secure accommodation with a $20 million investment in upgrading rooming houses in both the government and community sectors. </w:t>
      </w:r>
    </w:p>
    <w:p w:rsidR="00552DFA" w:rsidRPr="00E878B6" w:rsidRDefault="00552DFA" w:rsidP="00423C3D">
      <w:r w:rsidRPr="00E878B6">
        <w:t>For renters, the Government is working to improve long</w:t>
      </w:r>
      <w:r>
        <w:noBreakHyphen/>
      </w:r>
      <w:r w:rsidRPr="00E878B6">
        <w:t>term security, by establishing new initiatives to support renters and landlords to take up long</w:t>
      </w:r>
      <w:r>
        <w:noBreakHyphen/>
      </w:r>
      <w:r w:rsidRPr="00E878B6">
        <w:t xml:space="preserve">term leases. The </w:t>
      </w:r>
      <w:r>
        <w:t>g</w:t>
      </w:r>
      <w:r w:rsidRPr="00E878B6">
        <w:t xml:space="preserve">overnment is also introducing a Vacant Residential Property Tax to provide an incentive to reduce the high number of houses and apartments being left vacant in the inner and middle ring of Melbourne. This is intended to increase rental supply and improve affordability. </w:t>
      </w:r>
    </w:p>
    <w:p w:rsidR="00552DFA" w:rsidRPr="00E878B6" w:rsidRDefault="00552DFA" w:rsidP="00423C3D">
      <w:pPr>
        <w:pStyle w:val="Heading20"/>
      </w:pPr>
      <w:r w:rsidRPr="00E878B6">
        <w:lastRenderedPageBreak/>
        <w:t>Protecting our natural resources</w:t>
      </w:r>
    </w:p>
    <w:p w:rsidR="00552DFA" w:rsidRPr="00E878B6" w:rsidRDefault="00552DFA" w:rsidP="00423C3D">
      <w:r w:rsidRPr="00E878B6">
        <w:t xml:space="preserve">Victoria is leading Australia in protecting our precious biodiversity in the face of climate change. In this budget, the Government will invest $86.3 million on </w:t>
      </w:r>
      <w:r w:rsidRPr="00E878B6">
        <w:rPr>
          <w:i/>
        </w:rPr>
        <w:t>Biodiversity 2037</w:t>
      </w:r>
      <w:r w:rsidRPr="00E878B6">
        <w:t>, which will protect and re</w:t>
      </w:r>
      <w:r>
        <w:noBreakHyphen/>
      </w:r>
      <w:r w:rsidRPr="00E878B6">
        <w:t>establish vulnerable ecosystems through targeted actions such as revegetation, predator and pest control, and restoration of shellfish habitat in Port Phillip Bay.</w:t>
      </w:r>
    </w:p>
    <w:p w:rsidR="00552DFA" w:rsidRPr="00E878B6" w:rsidRDefault="00552DFA" w:rsidP="00423C3D">
      <w:r w:rsidRPr="00E878B6">
        <w:t>The Environment Protection Agency will be modernised with $162.5</w:t>
      </w:r>
      <w:r>
        <w:t> </w:t>
      </w:r>
      <w:r w:rsidRPr="00E878B6">
        <w:t>m</w:t>
      </w:r>
      <w:r>
        <w:t>illion</w:t>
      </w:r>
      <w:r w:rsidRPr="00E878B6">
        <w:t xml:space="preserve">, along with an overhaul of the </w:t>
      </w:r>
      <w:r w:rsidRPr="00E878B6">
        <w:rPr>
          <w:i/>
        </w:rPr>
        <w:t>Environment Protection Act 1970</w:t>
      </w:r>
      <w:r w:rsidRPr="00E878B6">
        <w:t xml:space="preserve">, to increase the EPA’s enforcement capability and ensure it can meet current and future obligations. </w:t>
      </w:r>
    </w:p>
    <w:p w:rsidR="00552DFA" w:rsidRPr="00E878B6" w:rsidRDefault="00552DFA" w:rsidP="00423C3D">
      <w:r w:rsidRPr="00E878B6">
        <w:t>Extra resources will be provided for Victoria’s parks, forests and wildlife. Protection of these vital assets will be strengthened with $36.3</w:t>
      </w:r>
      <w:r>
        <w:t> </w:t>
      </w:r>
      <w:r w:rsidRPr="00E878B6">
        <w:t>m</w:t>
      </w:r>
      <w:r>
        <w:t>illion</w:t>
      </w:r>
      <w:r w:rsidRPr="00E878B6">
        <w:t xml:space="preserve"> to improve regulatory compliance and enforcement, including addressing increased illegal marketing of endangered Victorian animals; and Parks Victoria will be provided with an additional $31.8</w:t>
      </w:r>
      <w:r>
        <w:t> </w:t>
      </w:r>
      <w:r w:rsidRPr="00E878B6">
        <w:t>m</w:t>
      </w:r>
      <w:r>
        <w:t>illion</w:t>
      </w:r>
      <w:r w:rsidRPr="00E878B6">
        <w:t xml:space="preserve"> to improve usability and provide additional information for park users across the </w:t>
      </w:r>
      <w:r w:rsidR="004D37BB" w:rsidRPr="00E878B6">
        <w:t>State</w:t>
      </w:r>
      <w:r w:rsidRPr="00E878B6">
        <w:t>.</w:t>
      </w:r>
    </w:p>
    <w:p w:rsidR="00552DFA" w:rsidRPr="00E878B6" w:rsidRDefault="00552DFA" w:rsidP="00423C3D">
      <w:r w:rsidRPr="00E878B6">
        <w:t xml:space="preserve">This budget also invests $12.8 million to help the Government make better decisions in response to climate change, including </w:t>
      </w:r>
      <w:proofErr w:type="spellStart"/>
      <w:r w:rsidRPr="00E878B6">
        <w:t>statewide</w:t>
      </w:r>
      <w:proofErr w:type="spellEnd"/>
      <w:r w:rsidRPr="00E878B6">
        <w:t xml:space="preserve"> emission reduction targets and engagement with local governments to contribute to the Government’s target of net zero emissions by 2050. It also sets aside $12.6</w:t>
      </w:r>
      <w:r>
        <w:t> </w:t>
      </w:r>
      <w:r w:rsidRPr="00E878B6">
        <w:t>m</w:t>
      </w:r>
      <w:r>
        <w:t>illion</w:t>
      </w:r>
      <w:r w:rsidRPr="00E878B6">
        <w:t xml:space="preserve"> for implementing elements of </w:t>
      </w:r>
      <w:r w:rsidRPr="00E878B6">
        <w:rPr>
          <w:i/>
        </w:rPr>
        <w:t>Victoria’s Climate Change Adaptation Plan 2017</w:t>
      </w:r>
      <w:r>
        <w:rPr>
          <w:i/>
        </w:rPr>
        <w:noBreakHyphen/>
      </w:r>
      <w:r w:rsidRPr="00E878B6">
        <w:rPr>
          <w:i/>
        </w:rPr>
        <w:t>2020</w:t>
      </w:r>
      <w:r w:rsidRPr="00E878B6">
        <w:t xml:space="preserve">. </w:t>
      </w:r>
    </w:p>
    <w:p w:rsidR="00552DFA" w:rsidRPr="00E878B6" w:rsidRDefault="00552DFA" w:rsidP="00423C3D">
      <w:pPr>
        <w:pStyle w:val="Heading30"/>
      </w:pPr>
      <w:r w:rsidRPr="00E878B6">
        <w:t>Arts and culture</w:t>
      </w:r>
    </w:p>
    <w:p w:rsidR="00552DFA" w:rsidRPr="00E878B6" w:rsidRDefault="00552DFA" w:rsidP="00423C3D">
      <w:r w:rsidRPr="00E878B6">
        <w:t>Victoria’s arts, culture, screen, music and design sectors ensure our reputation as Australia’s creative capital.</w:t>
      </w:r>
    </w:p>
    <w:p w:rsidR="00552DFA" w:rsidRPr="00E878B6" w:rsidRDefault="00552DFA" w:rsidP="00423C3D">
      <w:r w:rsidRPr="00E878B6">
        <w:t xml:space="preserve">The Government is continuing to support our creative industries with $106.6 million in the </w:t>
      </w:r>
      <w:r w:rsidRPr="00E878B6">
        <w:rPr>
          <w:i/>
        </w:rPr>
        <w:t>2017</w:t>
      </w:r>
      <w:r>
        <w:rPr>
          <w:i/>
        </w:rPr>
        <w:noBreakHyphen/>
      </w:r>
      <w:r w:rsidRPr="00E878B6">
        <w:rPr>
          <w:i/>
        </w:rPr>
        <w:t>18 Budget,</w:t>
      </w:r>
      <w:r w:rsidRPr="00E878B6">
        <w:t xml:space="preserve"> including to fund summer exhibitions at the National Gallery of Victoria</w:t>
      </w:r>
      <w:r w:rsidR="00356A95">
        <w:fldChar w:fldCharType="begin"/>
      </w:r>
      <w:r w:rsidR="00356A95">
        <w:instrText xml:space="preserve"> XE "National Gallery of Victoria" </w:instrText>
      </w:r>
      <w:r w:rsidR="00356A95">
        <w:fldChar w:fldCharType="end"/>
      </w:r>
      <w:r w:rsidRPr="00E878B6">
        <w:t xml:space="preserve">, the Triennial of Contemporary Art and Design, and permanent exhibitions; as well as upgrades to our iconic Arts Centre. </w:t>
      </w:r>
    </w:p>
    <w:p w:rsidR="00552DFA" w:rsidRPr="00E878B6" w:rsidRDefault="00552DFA" w:rsidP="00423C3D">
      <w:pPr>
        <w:pStyle w:val="Heading30"/>
      </w:pPr>
      <w:r w:rsidRPr="00E878B6">
        <w:t>Sport</w:t>
      </w:r>
    </w:p>
    <w:p w:rsidR="00552DFA" w:rsidRPr="00E878B6" w:rsidRDefault="00552DFA" w:rsidP="00423C3D">
      <w:r w:rsidRPr="00E878B6">
        <w:t>Victoria is the home of the sporting capital of the world, and Victorians love to watch and participate in sport. This budget supports Victorians’ love of sport with $272 million for the final stage of redevelopment of Melbourne Park</w:t>
      </w:r>
      <w:r w:rsidR="00356A95">
        <w:fldChar w:fldCharType="begin"/>
      </w:r>
      <w:r w:rsidR="00356A95">
        <w:instrText xml:space="preserve"> XE "Melbourne Park" </w:instrText>
      </w:r>
      <w:r w:rsidR="00356A95">
        <w:fldChar w:fldCharType="end"/>
      </w:r>
      <w:r w:rsidRPr="00E878B6">
        <w:t xml:space="preserve">, which will secure the Australian Open until 2036. </w:t>
      </w:r>
    </w:p>
    <w:p w:rsidR="00552DFA" w:rsidRPr="00E878B6" w:rsidRDefault="00552DFA" w:rsidP="00423C3D">
      <w:r w:rsidRPr="00E878B6">
        <w:t>The budget also sets aside $20.1</w:t>
      </w:r>
      <w:r>
        <w:t> </w:t>
      </w:r>
      <w:r w:rsidRPr="00E878B6">
        <w:t>m</w:t>
      </w:r>
      <w:r>
        <w:t>illion</w:t>
      </w:r>
      <w:r w:rsidRPr="00E878B6">
        <w:t xml:space="preserve"> for a Sports Infrastructure Fund</w:t>
      </w:r>
      <w:r w:rsidR="00356A95">
        <w:fldChar w:fldCharType="begin"/>
      </w:r>
      <w:r w:rsidR="00356A95">
        <w:instrText xml:space="preserve"> XE "Sports Infrastructure Fund" </w:instrText>
      </w:r>
      <w:r w:rsidR="00356A95">
        <w:fldChar w:fldCharType="end"/>
      </w:r>
      <w:r w:rsidRPr="00E878B6">
        <w:t>. In 2017</w:t>
      </w:r>
      <w:r>
        <w:noBreakHyphen/>
      </w:r>
      <w:r w:rsidRPr="00E878B6">
        <w:t>18 and 2018</w:t>
      </w:r>
      <w:r>
        <w:noBreakHyphen/>
      </w:r>
      <w:r w:rsidRPr="00E878B6">
        <w:t xml:space="preserve">19, local sporting clubs will be able to access grants to develop new facilities or upgrade their existing facilities. The funding includes an expansion of the existing Female Friendly Facilities Program, so that sporting clubs can build or upgrade additional women’s change rooms and facilities. </w:t>
      </w:r>
    </w:p>
    <w:p w:rsidR="00552DFA" w:rsidRPr="00E878B6" w:rsidRDefault="00552DFA" w:rsidP="00423C3D">
      <w:r w:rsidRPr="00E878B6">
        <w:t xml:space="preserve">The budget also sets aside $6.2 million to increase female participation in sport, including the Change our Game Champions Program to drive change in sporting organisations, promote female role models, and identify and support emerging female sporting leaders and coaches. </w:t>
      </w:r>
    </w:p>
    <w:p w:rsidR="00552DFA" w:rsidRPr="00E878B6" w:rsidRDefault="00552DFA" w:rsidP="00423C3D">
      <w:pPr>
        <w:pStyle w:val="Heading30"/>
      </w:pPr>
      <w:r w:rsidRPr="00E878B6">
        <w:lastRenderedPageBreak/>
        <w:t>Cultural diversity</w:t>
      </w:r>
    </w:p>
    <w:p w:rsidR="00552DFA" w:rsidRPr="00E878B6" w:rsidRDefault="00552DFA" w:rsidP="00423C3D">
      <w:r w:rsidRPr="00E878B6">
        <w:t>The Government is proud of Victoria’s cultural diversity, and wants to ensure all Victorians, including those who have recently joined us, can proudly call Victoria home. The Government’s Multicultural Policy Statement</w:t>
      </w:r>
      <w:r w:rsidR="00356A95">
        <w:fldChar w:fldCharType="begin"/>
      </w:r>
      <w:r w:rsidR="00356A95">
        <w:instrText xml:space="preserve"> XE "Multicultural Policy Statement" </w:instrText>
      </w:r>
      <w:r w:rsidR="00356A95">
        <w:fldChar w:fldCharType="end"/>
      </w:r>
      <w:r w:rsidRPr="00E878B6">
        <w:t xml:space="preserve"> invests $19.0 million to promote the value of multiculturalism to the general community and to support social cohesion. </w:t>
      </w:r>
    </w:p>
    <w:p w:rsidR="00552DFA" w:rsidRPr="00E878B6" w:rsidRDefault="00552DFA" w:rsidP="00423C3D">
      <w:r w:rsidRPr="00E878B6">
        <w:t>Also, Victoria’s first government funded migrant workers’ centre will be established in Melbourne to advocate for workers who are exploited in the workplace.</w:t>
      </w:r>
      <w:r w:rsidR="003B670B">
        <w:t xml:space="preserve"> </w:t>
      </w:r>
    </w:p>
    <w:p w:rsidR="00552DFA" w:rsidRPr="00E878B6" w:rsidRDefault="00552DFA" w:rsidP="00423C3D">
      <w:pPr>
        <w:pStyle w:val="Heading30"/>
      </w:pPr>
      <w:r w:rsidRPr="00E878B6">
        <w:t>Aboriginal</w:t>
      </w:r>
      <w:r w:rsidR="00356A95">
        <w:fldChar w:fldCharType="begin"/>
      </w:r>
      <w:r w:rsidR="00356A95">
        <w:instrText xml:space="preserve"> XE "Aboriginal and Torres Strait Islander Victorians" </w:instrText>
      </w:r>
      <w:r w:rsidR="00356A95">
        <w:fldChar w:fldCharType="end"/>
      </w:r>
      <w:r w:rsidRPr="00E878B6">
        <w:t xml:space="preserve"> and Torres Strait Islander Victorians</w:t>
      </w:r>
    </w:p>
    <w:p w:rsidR="00552DFA" w:rsidRPr="00E878B6" w:rsidRDefault="00552DFA" w:rsidP="00423C3D">
      <w:r w:rsidRPr="00E878B6">
        <w:t>The Government is working hard to close the gap between Aboriginal</w:t>
      </w:r>
      <w:r w:rsidR="00356A95">
        <w:fldChar w:fldCharType="begin"/>
      </w:r>
      <w:r w:rsidR="00356A95">
        <w:instrText xml:space="preserve"> XE "Aboriginal and Torres Strait Islander Victorians" </w:instrText>
      </w:r>
      <w:r w:rsidR="00356A95">
        <w:fldChar w:fldCharType="end"/>
      </w:r>
      <w:r w:rsidRPr="00E878B6">
        <w:t xml:space="preserve"> and non</w:t>
      </w:r>
      <w:r>
        <w:noBreakHyphen/>
      </w:r>
      <w:r w:rsidRPr="00E878B6">
        <w:t>Aboriginal Victorians and is committed to supporting Aboriginal self</w:t>
      </w:r>
      <w:r>
        <w:noBreakHyphen/>
      </w:r>
      <w:r w:rsidRPr="00E878B6">
        <w:t xml:space="preserve">determination and empowering Aboriginal communities. The </w:t>
      </w:r>
      <w:r w:rsidRPr="00E878B6">
        <w:rPr>
          <w:i/>
        </w:rPr>
        <w:t>2017</w:t>
      </w:r>
      <w:r>
        <w:rPr>
          <w:i/>
        </w:rPr>
        <w:noBreakHyphen/>
      </w:r>
      <w:r w:rsidRPr="00E878B6">
        <w:rPr>
          <w:i/>
        </w:rPr>
        <w:t>18 Budget</w:t>
      </w:r>
      <w:r w:rsidRPr="00E878B6">
        <w:t xml:space="preserve"> commits $100.6</w:t>
      </w:r>
      <w:r>
        <w:t> </w:t>
      </w:r>
      <w:r w:rsidRPr="00E878B6">
        <w:t>m</w:t>
      </w:r>
      <w:r>
        <w:t>illion</w:t>
      </w:r>
      <w:r w:rsidRPr="00E878B6">
        <w:t xml:space="preserve"> to achieve long</w:t>
      </w:r>
      <w:r>
        <w:noBreakHyphen/>
      </w:r>
      <w:r w:rsidRPr="00E878B6">
        <w:t>term generational change and improved outcomes.</w:t>
      </w:r>
    </w:p>
    <w:p w:rsidR="00552DFA" w:rsidRPr="00E878B6" w:rsidRDefault="00552DFA" w:rsidP="00423C3D">
      <w:r w:rsidRPr="00E878B6">
        <w:t>The budget provides $68.2</w:t>
      </w:r>
      <w:r>
        <w:t> </w:t>
      </w:r>
      <w:r w:rsidRPr="00E878B6">
        <w:t>m</w:t>
      </w:r>
      <w:r>
        <w:t>illion</w:t>
      </w:r>
      <w:r w:rsidRPr="00E878B6">
        <w:t xml:space="preserve"> to support Aboriginal</w:t>
      </w:r>
      <w:r w:rsidR="00356A95">
        <w:fldChar w:fldCharType="begin"/>
      </w:r>
      <w:r w:rsidR="00356A95">
        <w:instrText xml:space="preserve"> XE "Aboriginal and Torres Strait Islander Victorians" </w:instrText>
      </w:r>
      <w:r w:rsidR="00356A95">
        <w:fldChar w:fldCharType="end"/>
      </w:r>
      <w:r w:rsidRPr="00E878B6">
        <w:t xml:space="preserve"> Victorians to build strong foundations and prepare for self</w:t>
      </w:r>
      <w:r>
        <w:noBreakHyphen/>
      </w:r>
      <w:r w:rsidRPr="00E878B6">
        <w:t>determination and treaty. This includes establishing an interim Treaty Commissioner, creating an Aboriginal Leadership academy, embedding self</w:t>
      </w:r>
      <w:r>
        <w:noBreakHyphen/>
      </w:r>
      <w:r w:rsidRPr="00E878B6">
        <w:t>determination across government and administering sector capacity grants to Aboriginal organisations. The Government will further support self</w:t>
      </w:r>
      <w:r>
        <w:noBreakHyphen/>
      </w:r>
      <w:r w:rsidRPr="00E878B6">
        <w:t>determination by creating an Aboriginal Community Infrastructure Fund to provide funding for significant Victorian Aboriginal community infrastructure projects, and continuing funding for the Koori Youth Council and Local Aboriginal Networks to support current and future generations of leaders.</w:t>
      </w:r>
    </w:p>
    <w:p w:rsidR="00552DFA" w:rsidRPr="00E878B6" w:rsidRDefault="00552DFA" w:rsidP="00423C3D">
      <w:r w:rsidRPr="00E878B6">
        <w:t>The budget also includes $32.4 million in initiatives to support Aboriginal</w:t>
      </w:r>
      <w:r w:rsidR="00356A95">
        <w:fldChar w:fldCharType="begin"/>
      </w:r>
      <w:r w:rsidR="00356A95">
        <w:instrText xml:space="preserve"> XE "Aboriginal and Torres Strait Islander Victorians" </w:instrText>
      </w:r>
      <w:r w:rsidR="00356A95">
        <w:fldChar w:fldCharType="end"/>
      </w:r>
      <w:r w:rsidRPr="00E878B6">
        <w:t xml:space="preserve"> social and emotional wellbeing and mental health through establishment of a culturally appropriate workforce, specialist support for alcohol and drug services in Aboriginal communities, and support for vulnerable young people to develop skills, relationships and networks to keep them connected to culture, families and friends.</w:t>
      </w:r>
    </w:p>
    <w:p w:rsidR="00552DFA" w:rsidRPr="00E878B6" w:rsidRDefault="00552DFA" w:rsidP="00423C3D">
      <w:pPr>
        <w:pStyle w:val="Heading30"/>
      </w:pPr>
      <w:r w:rsidRPr="00E878B6">
        <w:t>LGBTI Victorians</w:t>
      </w:r>
    </w:p>
    <w:p w:rsidR="00552DFA" w:rsidRPr="00E878B6" w:rsidRDefault="00552DFA" w:rsidP="00423C3D">
      <w:r w:rsidRPr="00E878B6">
        <w:t>The Government is committed to an equal Victoria for lesbian, gay, bisexual, trans and intersex (LGBTI) Victorians. Funding of $2</w:t>
      </w:r>
      <w:r>
        <w:t> </w:t>
      </w:r>
      <w:r w:rsidRPr="00E878B6">
        <w:t>m</w:t>
      </w:r>
      <w:r>
        <w:t>illion</w:t>
      </w:r>
      <w:r w:rsidRPr="00E878B6">
        <w:t xml:space="preserve"> will deliver a suite of initiatives that support the Government’s commitment to an equal Victoria and improve the health and wellbeing of LGBTI Victorians. </w:t>
      </w:r>
    </w:p>
    <w:p w:rsidR="004D13C3" w:rsidRDefault="00552DFA" w:rsidP="00486125">
      <w:pPr>
        <w:rPr>
          <w:rFonts w:asciiTheme="majorHAnsi" w:eastAsiaTheme="majorEastAsia" w:hAnsiTheme="majorHAnsi" w:cstheme="majorBidi"/>
          <w:b/>
          <w:bCs/>
          <w:caps/>
          <w:spacing w:val="-2"/>
          <w:sz w:val="26"/>
          <w:szCs w:val="28"/>
        </w:rPr>
      </w:pPr>
      <w:r w:rsidRPr="00E878B6">
        <w:t>The budget also provides $5.3</w:t>
      </w:r>
      <w:r>
        <w:t> </w:t>
      </w:r>
      <w:r w:rsidRPr="00E878B6">
        <w:t>m</w:t>
      </w:r>
      <w:r>
        <w:t>illion</w:t>
      </w:r>
      <w:r w:rsidRPr="00E878B6">
        <w:t xml:space="preserve"> to improve the way that the family violence service system responds to people from LGBTI communities who are experiencing family violence.</w:t>
      </w:r>
      <w:bookmarkStart w:id="13" w:name="_Toc481160560"/>
    </w:p>
    <w:p w:rsidR="00B37B2E" w:rsidRDefault="00B37B2E">
      <w:pPr>
        <w:keepLines w:val="0"/>
        <w:rPr>
          <w:rFonts w:asciiTheme="majorHAnsi" w:eastAsiaTheme="majorEastAsia" w:hAnsiTheme="majorHAnsi" w:cstheme="majorBidi"/>
          <w:b/>
          <w:bCs/>
          <w:caps/>
          <w:spacing w:val="-2"/>
          <w:sz w:val="26"/>
          <w:szCs w:val="28"/>
        </w:rPr>
      </w:pPr>
      <w:r>
        <w:br w:type="page"/>
      </w:r>
    </w:p>
    <w:p w:rsidR="00552DFA" w:rsidRPr="00E878B6" w:rsidRDefault="00552DFA" w:rsidP="00423C3D">
      <w:pPr>
        <w:pStyle w:val="Heading10"/>
        <w:spacing w:before="240"/>
      </w:pPr>
      <w:bookmarkStart w:id="14" w:name="_Toc481246468"/>
      <w:r w:rsidRPr="00E878B6">
        <w:lastRenderedPageBreak/>
        <w:t>Responsible financial management</w:t>
      </w:r>
      <w:bookmarkEnd w:id="13"/>
      <w:bookmarkEnd w:id="14"/>
    </w:p>
    <w:p w:rsidR="00552DFA" w:rsidRPr="00E878B6" w:rsidRDefault="00552DFA" w:rsidP="00423C3D">
      <w:pPr>
        <w:ind w:right="-170"/>
      </w:pPr>
      <w:r w:rsidRPr="00E878B6">
        <w:t xml:space="preserve">The </w:t>
      </w:r>
      <w:r w:rsidRPr="00E878B6">
        <w:rPr>
          <w:i/>
        </w:rPr>
        <w:t>2017</w:t>
      </w:r>
      <w:r>
        <w:rPr>
          <w:i/>
        </w:rPr>
        <w:noBreakHyphen/>
      </w:r>
      <w:r w:rsidRPr="00E878B6">
        <w:rPr>
          <w:i/>
        </w:rPr>
        <w:t>18 Budget</w:t>
      </w:r>
      <w:r w:rsidRPr="00E878B6">
        <w:t xml:space="preserve"> prioritises a responsible fiscal position to set Victoria up for the future, while investing in services that people need, in the communities where they live. It continues to invest in infrastructure to support growth in the long term, recognising the importance of prudent spending and saving when conditions are good. </w:t>
      </w:r>
    </w:p>
    <w:p w:rsidR="00552DFA" w:rsidRPr="00E878B6" w:rsidRDefault="00552DFA" w:rsidP="00423C3D">
      <w:r w:rsidRPr="00E878B6">
        <w:t>The general government sector operating surplus (net result from transactions) is estimated to be $1.2 billion in 2017</w:t>
      </w:r>
      <w:r>
        <w:noBreakHyphen/>
      </w:r>
      <w:r w:rsidRPr="00E878B6">
        <w:t>18, growing to $2.7 billion in 2020</w:t>
      </w:r>
      <w:r>
        <w:noBreakHyphen/>
      </w:r>
      <w:r w:rsidRPr="00E878B6">
        <w:t xml:space="preserve">21. </w:t>
      </w:r>
    </w:p>
    <w:p w:rsidR="00552DFA" w:rsidRPr="00E878B6" w:rsidRDefault="00552DFA" w:rsidP="00423C3D">
      <w:pPr>
        <w:ind w:right="-113"/>
      </w:pPr>
      <w:r w:rsidRPr="00E878B6">
        <w:t>Net debt</w:t>
      </w:r>
      <w:r w:rsidR="00356A95">
        <w:fldChar w:fldCharType="begin"/>
      </w:r>
      <w:r w:rsidR="00356A95">
        <w:instrText xml:space="preserve"> XE "Debt:Net debt" </w:instrText>
      </w:r>
      <w:r w:rsidR="00356A95">
        <w:fldChar w:fldCharType="end"/>
      </w:r>
      <w:r w:rsidRPr="00E878B6">
        <w:t xml:space="preserve"> as a proportion of GSP is expected to be 4.6</w:t>
      </w:r>
      <w:r>
        <w:t> per cent</w:t>
      </w:r>
      <w:r w:rsidRPr="00E878B6">
        <w:t xml:space="preserve"> at June 2017 and to increase to 6.0</w:t>
      </w:r>
      <w:r>
        <w:t> per cent</w:t>
      </w:r>
      <w:r w:rsidRPr="00E878B6">
        <w:t xml:space="preserve"> by June 2021. This increase reflects the Government’s significant investment in productivity</w:t>
      </w:r>
      <w:r>
        <w:noBreakHyphen/>
      </w:r>
      <w:r w:rsidRPr="00E878B6">
        <w:t>enhancing infrastructure, yet maintains manageable levels of net debt consistent with a triple</w:t>
      </w:r>
      <w:r>
        <w:noBreakHyphen/>
      </w:r>
      <w:r w:rsidRPr="00E878B6">
        <w:t>A credit rating (see Table 1.1).</w:t>
      </w:r>
    </w:p>
    <w:p w:rsidR="00552DFA" w:rsidRPr="00E878B6" w:rsidRDefault="00552DFA" w:rsidP="00423C3D">
      <w:pPr>
        <w:pStyle w:val="TableHeading"/>
      </w:pPr>
      <w:r w:rsidRPr="00E878B6">
        <w:t>Table 1.1:</w:t>
      </w:r>
      <w:r w:rsidRPr="00E878B6">
        <w:tab/>
        <w:t xml:space="preserve">General government fiscal aggregates </w:t>
      </w:r>
    </w:p>
    <w:tbl>
      <w:tblPr>
        <w:tblStyle w:val="DTFTable"/>
        <w:tblW w:w="7767" w:type="dxa"/>
        <w:tblInd w:w="45" w:type="dxa"/>
        <w:tblLayout w:type="fixed"/>
        <w:tblCellMar>
          <w:left w:w="45" w:type="dxa"/>
          <w:right w:w="45" w:type="dxa"/>
        </w:tblCellMar>
        <w:tblLook w:val="06E0" w:firstRow="1" w:lastRow="1" w:firstColumn="1" w:lastColumn="0" w:noHBand="1" w:noVBand="1"/>
      </w:tblPr>
      <w:tblGrid>
        <w:gridCol w:w="1985"/>
        <w:gridCol w:w="826"/>
        <w:gridCol w:w="826"/>
        <w:gridCol w:w="826"/>
        <w:gridCol w:w="826"/>
        <w:gridCol w:w="826"/>
        <w:gridCol w:w="826"/>
        <w:gridCol w:w="826"/>
      </w:tblGrid>
      <w:tr w:rsidR="00552DFA" w:rsidRPr="00E878B6" w:rsidTr="00423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nil"/>
            </w:tcBorders>
            <w:shd w:val="solid" w:color="000000" w:fill="auto"/>
          </w:tcPr>
          <w:p w:rsidR="00552DFA" w:rsidRPr="00E878B6" w:rsidRDefault="00552DFA" w:rsidP="00423C3D">
            <w:pPr>
              <w:autoSpaceDE w:val="0"/>
              <w:autoSpaceDN w:val="0"/>
              <w:adjustRightInd w:val="0"/>
              <w:rPr>
                <w:rFonts w:eastAsiaTheme="minorEastAsia" w:cs="Calibri"/>
                <w:i w:val="0"/>
                <w:iCs/>
                <w:color w:val="000000"/>
                <w:szCs w:val="17"/>
                <w:lang w:eastAsia="en-AU"/>
              </w:rPr>
            </w:pPr>
          </w:p>
        </w:tc>
        <w:tc>
          <w:tcPr>
            <w:tcW w:w="826" w:type="dxa"/>
            <w:tcBorders>
              <w:top w:val="nil"/>
              <w:left w:val="nil"/>
              <w:bottom w:val="nil"/>
              <w:right w:val="nil"/>
            </w:tcBorders>
            <w:shd w:val="solid" w:color="000000" w:fill="auto"/>
          </w:tcPr>
          <w:p w:rsidR="00552DFA" w:rsidRPr="00E878B6" w:rsidRDefault="00552DFA" w:rsidP="00423C3D">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17"/>
                <w:lang w:eastAsia="en-AU"/>
              </w:rPr>
            </w:pPr>
            <w:r w:rsidRPr="00E878B6">
              <w:rPr>
                <w:rFonts w:eastAsiaTheme="minorEastAsia" w:cs="Calibri"/>
                <w:iCs/>
                <w:color w:val="FFFFFF"/>
                <w:szCs w:val="17"/>
                <w:lang w:eastAsia="en-AU"/>
              </w:rPr>
              <w:t>Unit of measure</w:t>
            </w:r>
          </w:p>
        </w:tc>
        <w:tc>
          <w:tcPr>
            <w:tcW w:w="826" w:type="dxa"/>
            <w:tcBorders>
              <w:top w:val="nil"/>
              <w:left w:val="nil"/>
              <w:bottom w:val="nil"/>
              <w:right w:val="nil"/>
            </w:tcBorders>
            <w:shd w:val="solid" w:color="000000" w:fill="auto"/>
          </w:tcPr>
          <w:p w:rsidR="00552DFA" w:rsidRPr="00E878B6"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17"/>
                <w:lang w:eastAsia="en-AU"/>
              </w:rPr>
            </w:pPr>
            <w:r w:rsidRPr="00E878B6">
              <w:rPr>
                <w:rFonts w:eastAsiaTheme="minorEastAsia" w:cs="Calibri"/>
                <w:iCs/>
                <w:color w:val="FFFFFF"/>
                <w:szCs w:val="17"/>
                <w:lang w:eastAsia="en-AU"/>
              </w:rPr>
              <w:t>2015</w:t>
            </w:r>
            <w:r w:rsidRPr="00E878B6">
              <w:rPr>
                <w:rFonts w:eastAsia="MS Gothic" w:cs="MS Gothic" w:hint="eastAsia"/>
                <w:iCs/>
                <w:color w:val="FFFFFF"/>
                <w:szCs w:val="17"/>
                <w:lang w:eastAsia="en-AU"/>
              </w:rPr>
              <w:t>‑</w:t>
            </w:r>
            <w:r w:rsidRPr="00E878B6">
              <w:rPr>
                <w:rFonts w:eastAsiaTheme="minorEastAsia" w:cs="Calibri"/>
                <w:iCs/>
                <w:color w:val="FFFFFF"/>
                <w:szCs w:val="17"/>
                <w:lang w:eastAsia="en-AU"/>
              </w:rPr>
              <w:t>16 actual</w:t>
            </w:r>
          </w:p>
        </w:tc>
        <w:tc>
          <w:tcPr>
            <w:tcW w:w="826" w:type="dxa"/>
            <w:tcBorders>
              <w:top w:val="nil"/>
              <w:left w:val="nil"/>
              <w:bottom w:val="nil"/>
              <w:right w:val="nil"/>
            </w:tcBorders>
            <w:shd w:val="solid" w:color="000000" w:fill="auto"/>
          </w:tcPr>
          <w:p w:rsidR="00552DFA" w:rsidRPr="00E878B6"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17"/>
                <w:lang w:eastAsia="en-AU"/>
              </w:rPr>
            </w:pPr>
            <w:r w:rsidRPr="00E878B6">
              <w:rPr>
                <w:rFonts w:eastAsiaTheme="minorEastAsia" w:cs="Calibri"/>
                <w:iCs/>
                <w:color w:val="FFFFFF"/>
                <w:szCs w:val="17"/>
                <w:lang w:eastAsia="en-AU"/>
              </w:rPr>
              <w:t>2016</w:t>
            </w:r>
            <w:r w:rsidRPr="00E878B6">
              <w:rPr>
                <w:rFonts w:eastAsia="MS Gothic" w:cs="MS Gothic" w:hint="eastAsia"/>
                <w:iCs/>
                <w:color w:val="FFFFFF"/>
                <w:szCs w:val="17"/>
                <w:lang w:eastAsia="en-AU"/>
              </w:rPr>
              <w:t>‑</w:t>
            </w:r>
            <w:r w:rsidRPr="00E878B6">
              <w:rPr>
                <w:rFonts w:eastAsiaTheme="minorEastAsia" w:cs="Calibri"/>
                <w:iCs/>
                <w:color w:val="FFFFFF"/>
                <w:szCs w:val="17"/>
                <w:lang w:eastAsia="en-AU"/>
              </w:rPr>
              <w:t xml:space="preserve">17 revised </w:t>
            </w:r>
          </w:p>
        </w:tc>
        <w:tc>
          <w:tcPr>
            <w:tcW w:w="826" w:type="dxa"/>
            <w:tcBorders>
              <w:top w:val="nil"/>
              <w:left w:val="nil"/>
              <w:bottom w:val="nil"/>
              <w:right w:val="nil"/>
            </w:tcBorders>
            <w:shd w:val="solid" w:color="000000" w:fill="auto"/>
          </w:tcPr>
          <w:p w:rsidR="00552DFA" w:rsidRPr="00E878B6"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17"/>
                <w:lang w:eastAsia="en-AU"/>
              </w:rPr>
            </w:pPr>
            <w:r w:rsidRPr="00E878B6">
              <w:rPr>
                <w:rFonts w:eastAsiaTheme="minorEastAsia" w:cs="Calibri"/>
                <w:iCs/>
                <w:color w:val="FFFFFF"/>
                <w:szCs w:val="17"/>
                <w:lang w:eastAsia="en-AU"/>
              </w:rPr>
              <w:t>2017</w:t>
            </w:r>
            <w:r w:rsidRPr="00E878B6">
              <w:rPr>
                <w:rFonts w:eastAsia="MS Gothic" w:cs="MS Gothic" w:hint="eastAsia"/>
                <w:iCs/>
                <w:color w:val="FFFFFF"/>
                <w:szCs w:val="17"/>
                <w:lang w:eastAsia="en-AU"/>
              </w:rPr>
              <w:t>‑</w:t>
            </w:r>
            <w:r w:rsidRPr="00E878B6">
              <w:rPr>
                <w:rFonts w:eastAsiaTheme="minorEastAsia" w:cs="Calibri"/>
                <w:iCs/>
                <w:color w:val="FFFFFF"/>
                <w:szCs w:val="17"/>
                <w:lang w:eastAsia="en-AU"/>
              </w:rPr>
              <w:t>18 budget</w:t>
            </w:r>
          </w:p>
        </w:tc>
        <w:tc>
          <w:tcPr>
            <w:tcW w:w="826" w:type="dxa"/>
            <w:tcBorders>
              <w:top w:val="nil"/>
              <w:left w:val="nil"/>
              <w:bottom w:val="nil"/>
              <w:right w:val="nil"/>
            </w:tcBorders>
            <w:shd w:val="solid" w:color="000000" w:fill="auto"/>
          </w:tcPr>
          <w:p w:rsidR="00552DFA" w:rsidRPr="00E878B6"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17"/>
                <w:lang w:eastAsia="en-AU"/>
              </w:rPr>
            </w:pPr>
            <w:r w:rsidRPr="00E878B6">
              <w:rPr>
                <w:rFonts w:eastAsiaTheme="minorEastAsia" w:cs="Calibri"/>
                <w:iCs/>
                <w:color w:val="FFFFFF"/>
                <w:szCs w:val="17"/>
                <w:lang w:eastAsia="en-AU"/>
              </w:rPr>
              <w:t>2018</w:t>
            </w:r>
            <w:r w:rsidRPr="00E878B6">
              <w:rPr>
                <w:rFonts w:eastAsia="MS Gothic" w:cs="MS Gothic" w:hint="eastAsia"/>
                <w:iCs/>
                <w:color w:val="FFFFFF"/>
                <w:szCs w:val="17"/>
                <w:lang w:eastAsia="en-AU"/>
              </w:rPr>
              <w:t>‑</w:t>
            </w:r>
            <w:r w:rsidRPr="00E878B6">
              <w:rPr>
                <w:rFonts w:eastAsiaTheme="minorEastAsia" w:cs="Calibri"/>
                <w:iCs/>
                <w:color w:val="FFFFFF"/>
                <w:szCs w:val="17"/>
                <w:lang w:eastAsia="en-AU"/>
              </w:rPr>
              <w:t>19 estimate</w:t>
            </w:r>
          </w:p>
        </w:tc>
        <w:tc>
          <w:tcPr>
            <w:tcW w:w="826" w:type="dxa"/>
            <w:tcBorders>
              <w:top w:val="nil"/>
              <w:left w:val="nil"/>
              <w:bottom w:val="nil"/>
              <w:right w:val="nil"/>
            </w:tcBorders>
            <w:shd w:val="solid" w:color="000000" w:fill="auto"/>
          </w:tcPr>
          <w:p w:rsidR="00552DFA" w:rsidRPr="00E878B6" w:rsidRDefault="00552DFA" w:rsidP="00423C3D">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17"/>
                <w:lang w:eastAsia="en-AU"/>
              </w:rPr>
            </w:pPr>
            <w:r w:rsidRPr="00E878B6">
              <w:rPr>
                <w:rFonts w:eastAsiaTheme="minorEastAsia" w:cs="Calibri"/>
                <w:iCs/>
                <w:color w:val="FFFFFF"/>
                <w:szCs w:val="17"/>
                <w:lang w:eastAsia="en-AU"/>
              </w:rPr>
              <w:t>2019</w:t>
            </w:r>
            <w:r w:rsidRPr="00E878B6">
              <w:rPr>
                <w:rFonts w:eastAsia="MS Gothic" w:cs="MS Gothic" w:hint="eastAsia"/>
                <w:iCs/>
                <w:color w:val="FFFFFF"/>
                <w:szCs w:val="17"/>
                <w:lang w:eastAsia="en-AU"/>
              </w:rPr>
              <w:t>‑</w:t>
            </w:r>
            <w:r w:rsidRPr="00E878B6">
              <w:rPr>
                <w:rFonts w:eastAsiaTheme="minorEastAsia" w:cs="Calibri"/>
                <w:iCs/>
                <w:color w:val="FFFFFF"/>
                <w:szCs w:val="17"/>
                <w:lang w:eastAsia="en-AU"/>
              </w:rPr>
              <w:t>20 estimate</w:t>
            </w:r>
          </w:p>
        </w:tc>
        <w:tc>
          <w:tcPr>
            <w:tcW w:w="826" w:type="dxa"/>
            <w:tcBorders>
              <w:top w:val="nil"/>
              <w:left w:val="nil"/>
              <w:bottom w:val="nil"/>
              <w:right w:val="nil"/>
            </w:tcBorders>
            <w:shd w:val="solid" w:color="000000" w:fill="auto"/>
          </w:tcPr>
          <w:p w:rsidR="00552DFA" w:rsidRPr="00E878B6" w:rsidRDefault="00552DFA" w:rsidP="00423C3D">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17"/>
                <w:lang w:eastAsia="en-AU"/>
              </w:rPr>
            </w:pPr>
            <w:r w:rsidRPr="00E878B6">
              <w:rPr>
                <w:rFonts w:eastAsiaTheme="minorEastAsia" w:cs="Calibri"/>
                <w:iCs/>
                <w:color w:val="FFFFFF"/>
                <w:szCs w:val="17"/>
                <w:lang w:eastAsia="en-AU"/>
              </w:rPr>
              <w:t>2020</w:t>
            </w:r>
            <w:r w:rsidRPr="00E878B6">
              <w:rPr>
                <w:rFonts w:eastAsia="MS Gothic" w:cs="MS Gothic" w:hint="eastAsia"/>
                <w:iCs/>
                <w:color w:val="FFFFFF"/>
                <w:szCs w:val="17"/>
                <w:lang w:eastAsia="en-AU"/>
              </w:rPr>
              <w:t>‑</w:t>
            </w:r>
            <w:r w:rsidRPr="00E878B6">
              <w:rPr>
                <w:rFonts w:eastAsiaTheme="minorEastAsia" w:cs="Calibri"/>
                <w:iCs/>
                <w:color w:val="FFFFFF"/>
                <w:szCs w:val="17"/>
                <w:lang w:eastAsia="en-AU"/>
              </w:rPr>
              <w:t>21 estimate</w:t>
            </w:r>
          </w:p>
        </w:tc>
      </w:tr>
      <w:tr w:rsidR="00552DFA" w:rsidRPr="00E878B6" w:rsidTr="00423C3D">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nil"/>
            </w:tcBorders>
          </w:tcPr>
          <w:p w:rsidR="00552DFA" w:rsidRPr="00E878B6" w:rsidRDefault="00552DFA" w:rsidP="00423C3D">
            <w:pPr>
              <w:keepLines w:val="0"/>
              <w:autoSpaceDE w:val="0"/>
              <w:autoSpaceDN w:val="0"/>
              <w:adjustRightInd w:val="0"/>
              <w:rPr>
                <w:rFonts w:eastAsiaTheme="minorEastAsia" w:cs="Calibri"/>
                <w:color w:val="000000"/>
                <w:szCs w:val="17"/>
                <w:lang w:eastAsia="en-AU"/>
              </w:rPr>
            </w:pPr>
            <w:r w:rsidRPr="00E878B6">
              <w:rPr>
                <w:rFonts w:eastAsiaTheme="minorEastAsia" w:cs="Calibri"/>
                <w:color w:val="000000"/>
                <w:szCs w:val="17"/>
                <w:lang w:eastAsia="en-AU"/>
              </w:rPr>
              <w:t>Net result from transactions</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 billion</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2.7</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1.3</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1.2</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2.0</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2.4</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2.7</w:t>
            </w:r>
          </w:p>
        </w:tc>
      </w:tr>
      <w:tr w:rsidR="00552DFA" w:rsidRPr="00E878B6" w:rsidTr="00423C3D">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nil"/>
            </w:tcBorders>
          </w:tcPr>
          <w:p w:rsidR="00552DFA" w:rsidRPr="00E878B6" w:rsidRDefault="00552DFA" w:rsidP="00423C3D">
            <w:pPr>
              <w:keepLines w:val="0"/>
              <w:autoSpaceDE w:val="0"/>
              <w:autoSpaceDN w:val="0"/>
              <w:adjustRightInd w:val="0"/>
              <w:rPr>
                <w:rFonts w:eastAsiaTheme="minorEastAsia" w:cs="Calibri"/>
                <w:color w:val="000000"/>
                <w:szCs w:val="17"/>
                <w:vertAlign w:val="superscript"/>
                <w:lang w:eastAsia="en-AU"/>
              </w:rPr>
            </w:pPr>
            <w:r w:rsidRPr="00E878B6">
              <w:rPr>
                <w:rFonts w:eastAsiaTheme="minorEastAsia" w:cs="Calibri"/>
                <w:color w:val="000000"/>
                <w:szCs w:val="17"/>
                <w:lang w:eastAsia="en-AU"/>
              </w:rPr>
              <w:t>Government infrastructure investment</w:t>
            </w:r>
            <w:r w:rsidR="00356A95">
              <w:rPr>
                <w:rFonts w:eastAsiaTheme="minorEastAsia" w:cs="Calibri"/>
                <w:color w:val="000000"/>
                <w:szCs w:val="17"/>
                <w:lang w:eastAsia="en-AU"/>
              </w:rPr>
              <w:fldChar w:fldCharType="begin"/>
            </w:r>
            <w:r w:rsidR="00356A95">
              <w:rPr>
                <w:rFonts w:eastAsiaTheme="minorEastAsia" w:cs="Calibri"/>
                <w:color w:val="000000"/>
                <w:szCs w:val="17"/>
                <w:lang w:eastAsia="en-AU"/>
              </w:rPr>
              <w:instrText xml:space="preserve"> XE "</w:instrText>
            </w:r>
            <w:r w:rsidR="00356A95">
              <w:instrText>Infrastructure investment:Government infrastructure investment"</w:instrText>
            </w:r>
            <w:r w:rsidR="00356A95">
              <w:rPr>
                <w:rFonts w:eastAsiaTheme="minorEastAsia" w:cs="Calibri"/>
                <w:color w:val="000000"/>
                <w:szCs w:val="17"/>
                <w:lang w:eastAsia="en-AU"/>
              </w:rPr>
              <w:instrText xml:space="preserve"> </w:instrText>
            </w:r>
            <w:r w:rsidR="00356A95">
              <w:rPr>
                <w:rFonts w:eastAsiaTheme="minorEastAsia" w:cs="Calibri"/>
                <w:color w:val="000000"/>
                <w:szCs w:val="17"/>
                <w:lang w:eastAsia="en-AU"/>
              </w:rPr>
              <w:fldChar w:fldCharType="end"/>
            </w:r>
            <w:r w:rsidRPr="00E878B6">
              <w:rPr>
                <w:rFonts w:eastAsiaTheme="minorEastAsia" w:cs="Calibri"/>
                <w:color w:val="000000"/>
                <w:szCs w:val="17"/>
                <w:lang w:eastAsia="en-AU"/>
              </w:rPr>
              <w:t xml:space="preserve"> </w:t>
            </w:r>
            <w:r w:rsidRPr="00E878B6">
              <w:rPr>
                <w:rFonts w:eastAsiaTheme="minorEastAsia" w:cs="Calibri"/>
                <w:color w:val="000000"/>
                <w:szCs w:val="17"/>
                <w:vertAlign w:val="superscript"/>
                <w:lang w:eastAsia="en-AU"/>
              </w:rPr>
              <w:t>(a)(b)</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 billion</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4.8</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9.3</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10.1</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9.8</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10.1</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8.4</w:t>
            </w:r>
          </w:p>
        </w:tc>
      </w:tr>
      <w:tr w:rsidR="00552DFA" w:rsidRPr="00E878B6" w:rsidTr="00423C3D">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nil"/>
            </w:tcBorders>
          </w:tcPr>
          <w:p w:rsidR="00552DFA" w:rsidRPr="00E878B6" w:rsidRDefault="00552DFA" w:rsidP="00423C3D">
            <w:pPr>
              <w:keepLines w:val="0"/>
              <w:autoSpaceDE w:val="0"/>
              <w:autoSpaceDN w:val="0"/>
              <w:adjustRightInd w:val="0"/>
              <w:rPr>
                <w:rFonts w:eastAsiaTheme="minorEastAsia" w:cs="Calibri"/>
                <w:color w:val="000000"/>
                <w:szCs w:val="17"/>
                <w:lang w:eastAsia="en-AU"/>
              </w:rPr>
            </w:pPr>
            <w:r w:rsidRPr="00E878B6">
              <w:rPr>
                <w:rFonts w:eastAsiaTheme="minorEastAsia" w:cs="Calibri"/>
                <w:color w:val="000000"/>
                <w:szCs w:val="17"/>
                <w:lang w:eastAsia="en-AU"/>
              </w:rPr>
              <w:t>Net debt</w:t>
            </w:r>
            <w:r w:rsidR="00356A95">
              <w:rPr>
                <w:rFonts w:eastAsiaTheme="minorEastAsia" w:cs="Calibri"/>
                <w:color w:val="000000"/>
                <w:szCs w:val="17"/>
                <w:lang w:eastAsia="en-AU"/>
              </w:rPr>
              <w:fldChar w:fldCharType="begin"/>
            </w:r>
            <w:r w:rsidR="00356A95">
              <w:rPr>
                <w:rFonts w:eastAsiaTheme="minorEastAsia" w:cs="Calibri"/>
                <w:color w:val="000000"/>
                <w:szCs w:val="17"/>
                <w:lang w:eastAsia="en-AU"/>
              </w:rPr>
              <w:instrText xml:space="preserve"> XE "</w:instrText>
            </w:r>
            <w:r w:rsidR="00356A95">
              <w:instrText>Debt:Net debt"</w:instrText>
            </w:r>
            <w:r w:rsidR="00356A95">
              <w:rPr>
                <w:rFonts w:eastAsiaTheme="minorEastAsia" w:cs="Calibri"/>
                <w:color w:val="000000"/>
                <w:szCs w:val="17"/>
                <w:lang w:eastAsia="en-AU"/>
              </w:rPr>
              <w:instrText xml:space="preserve"> </w:instrText>
            </w:r>
            <w:r w:rsidR="00356A95">
              <w:rPr>
                <w:rFonts w:eastAsiaTheme="minorEastAsia" w:cs="Calibri"/>
                <w:color w:val="000000"/>
                <w:szCs w:val="17"/>
                <w:lang w:eastAsia="en-AU"/>
              </w:rPr>
              <w:fldChar w:fldCharType="end"/>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 billion</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22.3</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18.1</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23.8</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25.1</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27.4</w:t>
            </w:r>
          </w:p>
        </w:tc>
        <w:tc>
          <w:tcPr>
            <w:tcW w:w="826" w:type="dxa"/>
            <w:tcBorders>
              <w:top w:val="nil"/>
              <w:left w:val="nil"/>
              <w:bottom w:val="nil"/>
              <w:right w:val="nil"/>
            </w:tcBorders>
          </w:tcPr>
          <w:p w:rsidR="00552DFA" w:rsidRPr="00E878B6"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E878B6">
              <w:rPr>
                <w:rFonts w:eastAsiaTheme="minorEastAsia" w:cs="Calibri"/>
                <w:color w:val="000000"/>
                <w:szCs w:val="17"/>
                <w:lang w:eastAsia="en-AU"/>
              </w:rPr>
              <w:t>28.9</w:t>
            </w:r>
          </w:p>
        </w:tc>
      </w:tr>
      <w:tr w:rsidR="00552DFA" w:rsidRPr="00E878B6" w:rsidTr="00423C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il"/>
              <w:bottom w:val="single" w:sz="12" w:space="0" w:color="000000"/>
            </w:tcBorders>
          </w:tcPr>
          <w:p w:rsidR="00552DFA" w:rsidRPr="00E878B6" w:rsidRDefault="00552DFA" w:rsidP="00423C3D">
            <w:pPr>
              <w:keepLines w:val="0"/>
              <w:autoSpaceDE w:val="0"/>
              <w:autoSpaceDN w:val="0"/>
              <w:adjustRightInd w:val="0"/>
              <w:rPr>
                <w:rFonts w:eastAsiaTheme="minorEastAsia" w:cs="Calibri"/>
                <w:b w:val="0"/>
                <w:bCs/>
                <w:color w:val="000000"/>
                <w:szCs w:val="17"/>
                <w:lang w:eastAsia="en-AU"/>
              </w:rPr>
            </w:pPr>
            <w:r w:rsidRPr="00E878B6">
              <w:rPr>
                <w:rFonts w:eastAsiaTheme="minorEastAsia" w:cs="Calibri"/>
                <w:b w:val="0"/>
                <w:bCs/>
                <w:color w:val="000000"/>
                <w:szCs w:val="17"/>
                <w:lang w:eastAsia="en-AU"/>
              </w:rPr>
              <w:t>Net debt</w:t>
            </w:r>
            <w:r w:rsidR="00356A95">
              <w:rPr>
                <w:rFonts w:eastAsiaTheme="minorEastAsia" w:cs="Calibri"/>
                <w:bCs/>
                <w:color w:val="000000"/>
                <w:szCs w:val="17"/>
                <w:lang w:eastAsia="en-AU"/>
              </w:rPr>
              <w:fldChar w:fldCharType="begin"/>
            </w:r>
            <w:r w:rsidR="00356A95">
              <w:rPr>
                <w:rFonts w:eastAsiaTheme="minorEastAsia" w:cs="Calibri"/>
                <w:b w:val="0"/>
                <w:bCs/>
                <w:color w:val="000000"/>
                <w:szCs w:val="17"/>
                <w:lang w:eastAsia="en-AU"/>
              </w:rPr>
              <w:instrText xml:space="preserve"> XE "</w:instrText>
            </w:r>
            <w:r w:rsidR="00356A95">
              <w:instrText>Debt:Net debt"</w:instrText>
            </w:r>
            <w:r w:rsidR="00356A95">
              <w:rPr>
                <w:rFonts w:eastAsiaTheme="minorEastAsia" w:cs="Calibri"/>
                <w:b w:val="0"/>
                <w:bCs/>
                <w:color w:val="000000"/>
                <w:szCs w:val="17"/>
                <w:lang w:eastAsia="en-AU"/>
              </w:rPr>
              <w:instrText xml:space="preserve"> </w:instrText>
            </w:r>
            <w:r w:rsidR="00356A95">
              <w:rPr>
                <w:rFonts w:eastAsiaTheme="minorEastAsia" w:cs="Calibri"/>
                <w:bCs/>
                <w:color w:val="000000"/>
                <w:szCs w:val="17"/>
                <w:lang w:eastAsia="en-AU"/>
              </w:rPr>
              <w:fldChar w:fldCharType="end"/>
            </w:r>
            <w:r w:rsidRPr="00E878B6">
              <w:rPr>
                <w:rFonts w:eastAsiaTheme="minorEastAsia" w:cs="Calibri"/>
                <w:b w:val="0"/>
                <w:bCs/>
                <w:color w:val="000000"/>
                <w:szCs w:val="17"/>
                <w:lang w:eastAsia="en-AU"/>
              </w:rPr>
              <w:t xml:space="preserve"> to GSP</w:t>
            </w:r>
          </w:p>
        </w:tc>
        <w:tc>
          <w:tcPr>
            <w:tcW w:w="826" w:type="dxa"/>
            <w:tcBorders>
              <w:top w:val="nil"/>
              <w:bottom w:val="single" w:sz="12" w:space="0" w:color="000000"/>
            </w:tcBorders>
          </w:tcPr>
          <w:p w:rsidR="00552DFA" w:rsidRPr="00E878B6" w:rsidRDefault="00552DFA" w:rsidP="00423C3D">
            <w:pPr>
              <w:keepLines w:val="0"/>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eastAsiaTheme="minorEastAsia" w:cs="Calibri"/>
                <w:b w:val="0"/>
                <w:bCs/>
                <w:color w:val="000000"/>
                <w:szCs w:val="17"/>
                <w:lang w:eastAsia="en-AU"/>
              </w:rPr>
            </w:pPr>
            <w:r w:rsidRPr="00E878B6">
              <w:rPr>
                <w:rFonts w:eastAsiaTheme="minorEastAsia" w:cs="Calibri"/>
                <w:b w:val="0"/>
                <w:bCs/>
                <w:color w:val="000000"/>
                <w:szCs w:val="17"/>
                <w:lang w:eastAsia="en-AU"/>
              </w:rPr>
              <w:t>per cent</w:t>
            </w:r>
          </w:p>
        </w:tc>
        <w:tc>
          <w:tcPr>
            <w:tcW w:w="826" w:type="dxa"/>
            <w:tcBorders>
              <w:top w:val="nil"/>
              <w:bottom w:val="single" w:sz="12" w:space="0" w:color="000000"/>
            </w:tcBorders>
          </w:tcPr>
          <w:p w:rsidR="00552DFA" w:rsidRPr="00E878B6"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bCs/>
                <w:color w:val="000000"/>
                <w:szCs w:val="17"/>
                <w:lang w:eastAsia="en-AU"/>
              </w:rPr>
            </w:pPr>
            <w:r w:rsidRPr="00E878B6">
              <w:rPr>
                <w:rFonts w:eastAsiaTheme="minorEastAsia" w:cs="Calibri"/>
                <w:b w:val="0"/>
                <w:bCs/>
                <w:color w:val="000000"/>
                <w:szCs w:val="17"/>
                <w:lang w:eastAsia="en-AU"/>
              </w:rPr>
              <w:t>6.0</w:t>
            </w:r>
          </w:p>
        </w:tc>
        <w:tc>
          <w:tcPr>
            <w:tcW w:w="826" w:type="dxa"/>
            <w:tcBorders>
              <w:top w:val="nil"/>
              <w:bottom w:val="single" w:sz="12" w:space="0" w:color="000000"/>
            </w:tcBorders>
          </w:tcPr>
          <w:p w:rsidR="00552DFA" w:rsidRPr="00E878B6"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bCs/>
                <w:color w:val="000000"/>
                <w:szCs w:val="17"/>
                <w:lang w:eastAsia="en-AU"/>
              </w:rPr>
            </w:pPr>
            <w:r w:rsidRPr="00E878B6">
              <w:rPr>
                <w:rFonts w:eastAsiaTheme="minorEastAsia" w:cs="Calibri"/>
                <w:b w:val="0"/>
                <w:bCs/>
                <w:color w:val="000000"/>
                <w:szCs w:val="17"/>
                <w:lang w:eastAsia="en-AU"/>
              </w:rPr>
              <w:t>4.6</w:t>
            </w:r>
          </w:p>
        </w:tc>
        <w:tc>
          <w:tcPr>
            <w:tcW w:w="826" w:type="dxa"/>
            <w:tcBorders>
              <w:top w:val="nil"/>
              <w:bottom w:val="single" w:sz="12" w:space="0" w:color="000000"/>
            </w:tcBorders>
          </w:tcPr>
          <w:p w:rsidR="00552DFA" w:rsidRPr="00E878B6"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bCs/>
                <w:color w:val="000000"/>
                <w:szCs w:val="17"/>
                <w:lang w:eastAsia="en-AU"/>
              </w:rPr>
            </w:pPr>
            <w:r w:rsidRPr="00E878B6">
              <w:rPr>
                <w:rFonts w:eastAsiaTheme="minorEastAsia" w:cs="Calibri"/>
                <w:b w:val="0"/>
                <w:bCs/>
                <w:color w:val="000000"/>
                <w:szCs w:val="17"/>
                <w:lang w:eastAsia="en-AU"/>
              </w:rPr>
              <w:t>5.8</w:t>
            </w:r>
          </w:p>
        </w:tc>
        <w:tc>
          <w:tcPr>
            <w:tcW w:w="826" w:type="dxa"/>
            <w:tcBorders>
              <w:top w:val="nil"/>
              <w:bottom w:val="single" w:sz="12" w:space="0" w:color="000000"/>
            </w:tcBorders>
          </w:tcPr>
          <w:p w:rsidR="00552DFA" w:rsidRPr="00E878B6"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bCs/>
                <w:color w:val="000000"/>
                <w:szCs w:val="17"/>
                <w:lang w:eastAsia="en-AU"/>
              </w:rPr>
            </w:pPr>
            <w:r w:rsidRPr="00E878B6">
              <w:rPr>
                <w:rFonts w:eastAsiaTheme="minorEastAsia" w:cs="Calibri"/>
                <w:b w:val="0"/>
                <w:bCs/>
                <w:color w:val="000000"/>
                <w:szCs w:val="17"/>
                <w:lang w:eastAsia="en-AU"/>
              </w:rPr>
              <w:t>5.8</w:t>
            </w:r>
          </w:p>
        </w:tc>
        <w:tc>
          <w:tcPr>
            <w:tcW w:w="826" w:type="dxa"/>
            <w:tcBorders>
              <w:top w:val="nil"/>
              <w:bottom w:val="single" w:sz="12" w:space="0" w:color="000000"/>
            </w:tcBorders>
          </w:tcPr>
          <w:p w:rsidR="00552DFA" w:rsidRPr="00E878B6"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bCs/>
                <w:color w:val="000000"/>
                <w:szCs w:val="17"/>
                <w:lang w:eastAsia="en-AU"/>
              </w:rPr>
            </w:pPr>
            <w:r w:rsidRPr="00E878B6">
              <w:rPr>
                <w:rFonts w:eastAsiaTheme="minorEastAsia" w:cs="Calibri"/>
                <w:b w:val="0"/>
                <w:bCs/>
                <w:color w:val="000000"/>
                <w:szCs w:val="17"/>
                <w:lang w:eastAsia="en-AU"/>
              </w:rPr>
              <w:t>6.0</w:t>
            </w:r>
          </w:p>
        </w:tc>
        <w:tc>
          <w:tcPr>
            <w:tcW w:w="826" w:type="dxa"/>
            <w:tcBorders>
              <w:top w:val="nil"/>
              <w:bottom w:val="single" w:sz="12" w:space="0" w:color="000000"/>
            </w:tcBorders>
          </w:tcPr>
          <w:p w:rsidR="00552DFA" w:rsidRPr="00E878B6"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bCs/>
                <w:color w:val="000000"/>
                <w:szCs w:val="17"/>
                <w:lang w:eastAsia="en-AU"/>
              </w:rPr>
            </w:pPr>
            <w:r w:rsidRPr="00E878B6">
              <w:rPr>
                <w:rFonts w:eastAsiaTheme="minorEastAsia" w:cs="Calibri"/>
                <w:b w:val="0"/>
                <w:bCs/>
                <w:color w:val="000000"/>
                <w:szCs w:val="17"/>
                <w:lang w:eastAsia="en-AU"/>
              </w:rPr>
              <w:t>6.0</w:t>
            </w:r>
          </w:p>
        </w:tc>
      </w:tr>
    </w:tbl>
    <w:p w:rsidR="00552DFA" w:rsidRPr="00E878B6" w:rsidRDefault="00552DFA" w:rsidP="00423C3D">
      <w:pPr>
        <w:pStyle w:val="Source"/>
      </w:pPr>
      <w:r w:rsidRPr="00E878B6">
        <w:t>Source: Department of Treasury and Finance</w:t>
      </w:r>
    </w:p>
    <w:p w:rsidR="00552DFA" w:rsidRPr="00E878B6" w:rsidRDefault="00552DFA" w:rsidP="00423C3D">
      <w:pPr>
        <w:pStyle w:val="Note"/>
      </w:pPr>
      <w:r w:rsidRPr="00E878B6">
        <w:t>Notes:</w:t>
      </w:r>
    </w:p>
    <w:p w:rsidR="00552DFA" w:rsidRPr="00E878B6" w:rsidRDefault="00552DFA" w:rsidP="00423C3D">
      <w:pPr>
        <w:pStyle w:val="Note"/>
      </w:pPr>
      <w:r w:rsidRPr="00E878B6">
        <w:t xml:space="preserve">(a) </w:t>
      </w:r>
      <w:r w:rsidRPr="00E878B6">
        <w:tab/>
        <w:t xml:space="preserve">Includes general government net infrastructure investment and estimated </w:t>
      </w:r>
      <w:proofErr w:type="spellStart"/>
      <w:r w:rsidRPr="00E878B6">
        <w:t>cashflows</w:t>
      </w:r>
      <w:proofErr w:type="spellEnd"/>
      <w:r w:rsidRPr="00E878B6">
        <w:t xml:space="preserve"> for Partnerships Victoria projects and the State contribution to the West Gate Tunnel Project</w:t>
      </w:r>
      <w:r w:rsidR="00356A95">
        <w:fldChar w:fldCharType="begin"/>
      </w:r>
      <w:r w:rsidR="00356A95">
        <w:instrText xml:space="preserve"> XE "West Gate Tunnel Project" </w:instrText>
      </w:r>
      <w:r w:rsidR="00356A95">
        <w:fldChar w:fldCharType="end"/>
      </w:r>
      <w:r w:rsidRPr="00E878B6">
        <w:t>.</w:t>
      </w:r>
    </w:p>
    <w:p w:rsidR="0064521D" w:rsidRDefault="00552DFA" w:rsidP="00423C3D">
      <w:pPr>
        <w:pStyle w:val="Note"/>
      </w:pPr>
      <w:r w:rsidRPr="00E878B6">
        <w:t>(b</w:t>
      </w:r>
      <w:r w:rsidRPr="00E878B6">
        <w:rPr>
          <w:rFonts w:ascii="Calibri" w:hAnsi="Calibri"/>
          <w:sz w:val="15"/>
        </w:rPr>
        <w:t>)</w:t>
      </w:r>
      <w:r w:rsidRPr="00E878B6">
        <w:rPr>
          <w:rFonts w:ascii="Calibri" w:hAnsi="Calibri"/>
          <w:sz w:val="15"/>
        </w:rPr>
        <w:tab/>
      </w:r>
      <w:r w:rsidRPr="00E878B6">
        <w:t>Excludes the impact of the medium</w:t>
      </w:r>
      <w:r>
        <w:noBreakHyphen/>
      </w:r>
      <w:r w:rsidRPr="00E878B6">
        <w:t>term lease over the operations of the Port of Melbourne</w:t>
      </w:r>
      <w:r w:rsidR="00C6657B">
        <w:t>.</w:t>
      </w:r>
      <w:r w:rsidRPr="00E878B6">
        <w:t xml:space="preserve"> </w:t>
      </w:r>
    </w:p>
    <w:p w:rsidR="00C6657B" w:rsidRPr="00E878B6" w:rsidRDefault="00C6657B" w:rsidP="00423C3D">
      <w:pPr>
        <w:pStyle w:val="Note"/>
        <w:rPr>
          <w:rFonts w:ascii="Calibri" w:hAnsi="Calibri"/>
          <w:sz w:val="15"/>
        </w:rPr>
      </w:pPr>
    </w:p>
    <w:p w:rsidR="00552DFA" w:rsidRPr="00E878B6" w:rsidRDefault="00552DFA" w:rsidP="00423C3D">
      <w:pPr>
        <w:spacing w:before="180"/>
      </w:pPr>
      <w:r w:rsidRPr="00E878B6">
        <w:t xml:space="preserve">The </w:t>
      </w:r>
      <w:r w:rsidRPr="00E878B6">
        <w:rPr>
          <w:i/>
        </w:rPr>
        <w:t>2017</w:t>
      </w:r>
      <w:r>
        <w:rPr>
          <w:i/>
        </w:rPr>
        <w:noBreakHyphen/>
      </w:r>
      <w:r w:rsidRPr="00E878B6">
        <w:rPr>
          <w:i/>
        </w:rPr>
        <w:t>18 Budget</w:t>
      </w:r>
      <w:r w:rsidRPr="00E878B6">
        <w:t xml:space="preserve"> includes $9.6</w:t>
      </w:r>
      <w:r>
        <w:t> </w:t>
      </w:r>
      <w:r w:rsidRPr="00E878B6">
        <w:t>b</w:t>
      </w:r>
      <w:r>
        <w:t>illion</w:t>
      </w:r>
      <w:r w:rsidRPr="00E878B6">
        <w:t xml:space="preserve"> in new output initiatives, which focus on improving community safety and supporting better health for Victorians. It also includes new asset initiatives of up to $6.1 billion total estimated investment (TEI</w:t>
      </w:r>
      <w:r w:rsidR="00356A95">
        <w:fldChar w:fldCharType="begin"/>
      </w:r>
      <w:r w:rsidR="00356A95">
        <w:instrText xml:space="preserve"> XE "Total Estimated Investment (TEI)" </w:instrText>
      </w:r>
      <w:r w:rsidR="00356A95">
        <w:fldChar w:fldCharType="end"/>
      </w:r>
      <w:r w:rsidRPr="00E878B6">
        <w:t>), building on the significant infrastructure investment committed by the Government in the previous two budgets, including for the Metro Tunnel</w:t>
      </w:r>
      <w:r w:rsidR="00356A95">
        <w:fldChar w:fldCharType="begin"/>
      </w:r>
      <w:r w:rsidR="00356A95">
        <w:instrText xml:space="preserve"> XE "Metro Tunnel" </w:instrText>
      </w:r>
      <w:r w:rsidR="00356A95">
        <w:fldChar w:fldCharType="end"/>
      </w:r>
      <w:r w:rsidRPr="00E878B6">
        <w:t>, the Level Crossing Removal Program</w:t>
      </w:r>
      <w:r w:rsidR="00356A95">
        <w:fldChar w:fldCharType="begin"/>
      </w:r>
      <w:r w:rsidR="00356A95">
        <w:instrText xml:space="preserve"> XE "Level Crossing Removal Program" </w:instrText>
      </w:r>
      <w:r w:rsidR="00356A95">
        <w:fldChar w:fldCharType="end"/>
      </w:r>
      <w:r w:rsidRPr="00E878B6">
        <w:t xml:space="preserve"> and the Western Suburbs Roads Package</w:t>
      </w:r>
      <w:r w:rsidR="00356A95">
        <w:fldChar w:fldCharType="begin"/>
      </w:r>
      <w:r w:rsidR="00356A95">
        <w:instrText xml:space="preserve"> XE "</w:instrText>
      </w:r>
      <w:r w:rsidR="00356A95" w:rsidRPr="00FE6453">
        <w:instrText>Western Suburbs Roads Package</w:instrText>
      </w:r>
      <w:r w:rsidR="00356A95">
        <w:instrText xml:space="preserve">" </w:instrText>
      </w:r>
      <w:r w:rsidR="00356A95">
        <w:fldChar w:fldCharType="end"/>
      </w:r>
      <w:r w:rsidRPr="00E878B6">
        <w:t>.</w:t>
      </w:r>
    </w:p>
    <w:p w:rsidR="00552DFA" w:rsidRPr="00E878B6" w:rsidRDefault="00552DFA" w:rsidP="00423C3D">
      <w:r w:rsidRPr="00E878B6">
        <w:t xml:space="preserve">The Government continues to prioritise sound financial management, which allows this budget to make prudent investments in services and consolidate our infrastructure investment from our previous two budgets. </w:t>
      </w:r>
    </w:p>
    <w:p w:rsidR="00B37B2E" w:rsidRDefault="00B37B2E">
      <w:pPr>
        <w:keepLines w:val="0"/>
      </w:pPr>
      <w:r>
        <w:br w:type="page"/>
      </w:r>
    </w:p>
    <w:p w:rsidR="004D13C3" w:rsidRDefault="00552DFA" w:rsidP="00486125">
      <w:pPr>
        <w:rPr>
          <w:rFonts w:asciiTheme="majorHAnsi" w:hAnsiTheme="majorHAnsi"/>
          <w:b/>
          <w:sz w:val="20"/>
          <w:szCs w:val="20"/>
        </w:rPr>
      </w:pPr>
      <w:r w:rsidRPr="00E878B6">
        <w:lastRenderedPageBreak/>
        <w:t xml:space="preserve">The </w:t>
      </w:r>
      <w:r w:rsidRPr="00E878B6">
        <w:rPr>
          <w:i/>
        </w:rPr>
        <w:t>2017</w:t>
      </w:r>
      <w:r>
        <w:rPr>
          <w:i/>
        </w:rPr>
        <w:noBreakHyphen/>
      </w:r>
      <w:r w:rsidRPr="00E878B6">
        <w:rPr>
          <w:i/>
        </w:rPr>
        <w:t>18 Budget</w:t>
      </w:r>
      <w:r w:rsidRPr="00E878B6">
        <w:t xml:space="preserve"> reflects this Government’s long</w:t>
      </w:r>
      <w:r>
        <w:noBreakHyphen/>
      </w:r>
      <w:r w:rsidRPr="00E878B6">
        <w:t>term financial management objectives (Table 1.2).</w:t>
      </w:r>
    </w:p>
    <w:p w:rsidR="00552DFA" w:rsidRPr="00E878B6" w:rsidRDefault="00552DFA" w:rsidP="00423C3D">
      <w:pPr>
        <w:pStyle w:val="TableHeading"/>
      </w:pPr>
      <w:r w:rsidRPr="00E878B6">
        <w:t>Table 1.2:</w:t>
      </w:r>
      <w:r w:rsidRPr="00E878B6">
        <w:tab/>
        <w:t>Long</w:t>
      </w:r>
      <w:r>
        <w:noBreakHyphen/>
      </w:r>
      <w:r w:rsidRPr="00E878B6">
        <w:t xml:space="preserve">term financial management objectives </w:t>
      </w:r>
    </w:p>
    <w:tbl>
      <w:tblPr>
        <w:tblStyle w:val="DTFTextTable"/>
        <w:tblW w:w="7767" w:type="dxa"/>
        <w:tblLayout w:type="fixed"/>
        <w:tblLook w:val="06A0" w:firstRow="1" w:lastRow="0" w:firstColumn="1" w:lastColumn="0" w:noHBand="1" w:noVBand="1"/>
      </w:tblPr>
      <w:tblGrid>
        <w:gridCol w:w="1496"/>
        <w:gridCol w:w="6271"/>
      </w:tblGrid>
      <w:tr w:rsidR="00552DFA" w:rsidRPr="00E14B35" w:rsidTr="002D4E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rsidR="00552DFA" w:rsidRPr="00E14B35" w:rsidRDefault="00552DFA" w:rsidP="00E14B35">
            <w:pPr>
              <w:ind w:left="0" w:firstLine="0"/>
              <w:rPr>
                <w:sz w:val="17"/>
              </w:rPr>
            </w:pPr>
            <w:r w:rsidRPr="00E14B35">
              <w:rPr>
                <w:sz w:val="17"/>
              </w:rPr>
              <w:t>Priority</w:t>
            </w:r>
          </w:p>
        </w:tc>
        <w:tc>
          <w:tcPr>
            <w:tcW w:w="6288" w:type="dxa"/>
          </w:tcPr>
          <w:p w:rsidR="00552DFA" w:rsidRPr="00E14B35" w:rsidRDefault="00552DFA" w:rsidP="00E14B35">
            <w:pPr>
              <w:cnfStyle w:val="100000000000" w:firstRow="1" w:lastRow="0" w:firstColumn="0" w:lastColumn="0" w:oddVBand="0" w:evenVBand="0" w:oddHBand="0" w:evenHBand="0" w:firstRowFirstColumn="0" w:firstRowLastColumn="0" w:lastRowFirstColumn="0" w:lastRowLastColumn="0"/>
              <w:rPr>
                <w:sz w:val="17"/>
              </w:rPr>
            </w:pPr>
            <w:r w:rsidRPr="00E14B35">
              <w:rPr>
                <w:sz w:val="17"/>
              </w:rPr>
              <w:t>Objective</w:t>
            </w:r>
          </w:p>
        </w:tc>
      </w:tr>
      <w:tr w:rsidR="00552DFA" w:rsidRPr="00E14B35" w:rsidTr="002D4EE8">
        <w:tc>
          <w:tcPr>
            <w:cnfStyle w:val="001000000000" w:firstRow="0" w:lastRow="0" w:firstColumn="1" w:lastColumn="0" w:oddVBand="0" w:evenVBand="0" w:oddHBand="0" w:evenHBand="0" w:firstRowFirstColumn="0" w:firstRowLastColumn="0" w:lastRowFirstColumn="0" w:lastRowLastColumn="0"/>
            <w:tcW w:w="1500" w:type="dxa"/>
          </w:tcPr>
          <w:p w:rsidR="00552DFA" w:rsidRPr="00E14B35" w:rsidRDefault="00552DFA" w:rsidP="00E14B35">
            <w:pPr>
              <w:spacing w:after="20"/>
              <w:ind w:left="0" w:firstLine="0"/>
              <w:rPr>
                <w:sz w:val="17"/>
              </w:rPr>
            </w:pPr>
            <w:r w:rsidRPr="00E14B35">
              <w:rPr>
                <w:sz w:val="17"/>
              </w:rPr>
              <w:t>Sound financial management</w:t>
            </w:r>
          </w:p>
        </w:tc>
        <w:tc>
          <w:tcPr>
            <w:tcW w:w="6288" w:type="dxa"/>
          </w:tcPr>
          <w:p w:rsidR="00552DFA" w:rsidRPr="00E14B35" w:rsidRDefault="00552DFA" w:rsidP="00E14B35">
            <w:pPr>
              <w:spacing w:after="20"/>
              <w:cnfStyle w:val="000000000000" w:firstRow="0" w:lastRow="0" w:firstColumn="0" w:lastColumn="0" w:oddVBand="0" w:evenVBand="0" w:oddHBand="0" w:evenHBand="0" w:firstRowFirstColumn="0" w:firstRowLastColumn="0" w:lastRowFirstColumn="0" w:lastRowLastColumn="0"/>
              <w:rPr>
                <w:sz w:val="17"/>
              </w:rPr>
            </w:pPr>
            <w:r w:rsidRPr="00E14B35">
              <w:rPr>
                <w:sz w:val="17"/>
              </w:rPr>
              <w:t>Victoria’s finances will be managed in a responsible manner to provide capacity to fund services and infrastructure at levels consistent with maintaining a triple</w:t>
            </w:r>
            <w:r w:rsidRPr="00E14B35">
              <w:rPr>
                <w:rFonts w:eastAsia="MS Gothic" w:cs="MS Gothic" w:hint="eastAsia"/>
                <w:sz w:val="17"/>
              </w:rPr>
              <w:t>‑</w:t>
            </w:r>
            <w:r w:rsidRPr="00E14B35">
              <w:rPr>
                <w:sz w:val="17"/>
              </w:rPr>
              <w:t>A credit rating.</w:t>
            </w:r>
          </w:p>
        </w:tc>
      </w:tr>
      <w:tr w:rsidR="00552DFA" w:rsidRPr="00E14B35" w:rsidTr="002D4EE8">
        <w:tc>
          <w:tcPr>
            <w:cnfStyle w:val="001000000000" w:firstRow="0" w:lastRow="0" w:firstColumn="1" w:lastColumn="0" w:oddVBand="0" w:evenVBand="0" w:oddHBand="0" w:evenHBand="0" w:firstRowFirstColumn="0" w:firstRowLastColumn="0" w:lastRowFirstColumn="0" w:lastRowLastColumn="0"/>
            <w:tcW w:w="1500" w:type="dxa"/>
          </w:tcPr>
          <w:p w:rsidR="00552DFA" w:rsidRPr="00E14B35" w:rsidRDefault="00552DFA" w:rsidP="00E14B35">
            <w:pPr>
              <w:spacing w:after="20"/>
              <w:ind w:left="0" w:firstLine="0"/>
              <w:rPr>
                <w:sz w:val="17"/>
              </w:rPr>
            </w:pPr>
            <w:r w:rsidRPr="00E14B35">
              <w:rPr>
                <w:sz w:val="17"/>
              </w:rPr>
              <w:t>Improving services</w:t>
            </w:r>
          </w:p>
        </w:tc>
        <w:tc>
          <w:tcPr>
            <w:tcW w:w="6288" w:type="dxa"/>
          </w:tcPr>
          <w:p w:rsidR="00552DFA" w:rsidRPr="00E14B35" w:rsidRDefault="00552DFA" w:rsidP="00E14B35">
            <w:pPr>
              <w:spacing w:after="20"/>
              <w:cnfStyle w:val="000000000000" w:firstRow="0" w:lastRow="0" w:firstColumn="0" w:lastColumn="0" w:oddVBand="0" w:evenVBand="0" w:oddHBand="0" w:evenHBand="0" w:firstRowFirstColumn="0" w:firstRowLastColumn="0" w:lastRowFirstColumn="0" w:lastRowLastColumn="0"/>
              <w:rPr>
                <w:sz w:val="17"/>
              </w:rPr>
            </w:pPr>
            <w:r w:rsidRPr="00E14B35">
              <w:rPr>
                <w:sz w:val="17"/>
              </w:rPr>
              <w:t>Public services will improve over time.</w:t>
            </w:r>
          </w:p>
        </w:tc>
      </w:tr>
      <w:tr w:rsidR="00552DFA" w:rsidRPr="00E14B35" w:rsidTr="002D4EE8">
        <w:tc>
          <w:tcPr>
            <w:cnfStyle w:val="001000000000" w:firstRow="0" w:lastRow="0" w:firstColumn="1" w:lastColumn="0" w:oddVBand="0" w:evenVBand="0" w:oddHBand="0" w:evenHBand="0" w:firstRowFirstColumn="0" w:firstRowLastColumn="0" w:lastRowFirstColumn="0" w:lastRowLastColumn="0"/>
            <w:tcW w:w="1500" w:type="dxa"/>
          </w:tcPr>
          <w:p w:rsidR="00552DFA" w:rsidRPr="00E14B35" w:rsidRDefault="00552DFA" w:rsidP="00E14B35">
            <w:pPr>
              <w:spacing w:after="20"/>
              <w:ind w:left="0" w:firstLine="0"/>
              <w:rPr>
                <w:sz w:val="17"/>
              </w:rPr>
            </w:pPr>
            <w:r w:rsidRPr="00E14B35">
              <w:rPr>
                <w:sz w:val="17"/>
              </w:rPr>
              <w:t>Building infrastructure</w:t>
            </w:r>
          </w:p>
        </w:tc>
        <w:tc>
          <w:tcPr>
            <w:tcW w:w="6288" w:type="dxa"/>
          </w:tcPr>
          <w:p w:rsidR="00552DFA" w:rsidRPr="00E14B35" w:rsidRDefault="00552DFA" w:rsidP="00E14B35">
            <w:pPr>
              <w:spacing w:after="20"/>
              <w:cnfStyle w:val="000000000000" w:firstRow="0" w:lastRow="0" w:firstColumn="0" w:lastColumn="0" w:oddVBand="0" w:evenVBand="0" w:oddHBand="0" w:evenHBand="0" w:firstRowFirstColumn="0" w:firstRowLastColumn="0" w:lastRowFirstColumn="0" w:lastRowLastColumn="0"/>
              <w:rPr>
                <w:sz w:val="17"/>
              </w:rPr>
            </w:pPr>
            <w:r w:rsidRPr="00E14B35">
              <w:rPr>
                <w:sz w:val="17"/>
              </w:rPr>
              <w:t>Public infrastructure will grow steadily over time to meet the needs of a growing population.</w:t>
            </w:r>
          </w:p>
        </w:tc>
      </w:tr>
      <w:tr w:rsidR="00552DFA" w:rsidRPr="00E14B35" w:rsidTr="002D4EE8">
        <w:tc>
          <w:tcPr>
            <w:cnfStyle w:val="001000000000" w:firstRow="0" w:lastRow="0" w:firstColumn="1" w:lastColumn="0" w:oddVBand="0" w:evenVBand="0" w:oddHBand="0" w:evenHBand="0" w:firstRowFirstColumn="0" w:firstRowLastColumn="0" w:lastRowFirstColumn="0" w:lastRowLastColumn="0"/>
            <w:tcW w:w="1500" w:type="dxa"/>
          </w:tcPr>
          <w:p w:rsidR="00552DFA" w:rsidRPr="00E14B35" w:rsidRDefault="00552DFA" w:rsidP="00E14B35">
            <w:pPr>
              <w:spacing w:after="20"/>
              <w:ind w:left="0" w:firstLine="0"/>
              <w:rPr>
                <w:sz w:val="17"/>
              </w:rPr>
            </w:pPr>
            <w:r w:rsidRPr="00E14B35">
              <w:rPr>
                <w:sz w:val="17"/>
              </w:rPr>
              <w:t>Efficient use of public resources</w:t>
            </w:r>
          </w:p>
        </w:tc>
        <w:tc>
          <w:tcPr>
            <w:tcW w:w="6288" w:type="dxa"/>
          </w:tcPr>
          <w:p w:rsidR="00552DFA" w:rsidRPr="00E14B35" w:rsidRDefault="00552DFA" w:rsidP="00E14B35">
            <w:pPr>
              <w:spacing w:after="20"/>
              <w:cnfStyle w:val="000000000000" w:firstRow="0" w:lastRow="0" w:firstColumn="0" w:lastColumn="0" w:oddVBand="0" w:evenVBand="0" w:oddHBand="0" w:evenHBand="0" w:firstRowFirstColumn="0" w:firstRowLastColumn="0" w:lastRowFirstColumn="0" w:lastRowLastColumn="0"/>
              <w:rPr>
                <w:sz w:val="17"/>
              </w:rPr>
            </w:pPr>
            <w:r w:rsidRPr="00E14B35">
              <w:rPr>
                <w:sz w:val="17"/>
              </w:rPr>
              <w:t>Public sector resources will be invested in services and infrastructure to maximise the economic, social and environmental benefits.</w:t>
            </w:r>
          </w:p>
        </w:tc>
      </w:tr>
    </w:tbl>
    <w:p w:rsidR="00552DFA" w:rsidRDefault="00552DFA" w:rsidP="00423C3D"/>
    <w:p w:rsidR="00552DFA" w:rsidRPr="00E878B6" w:rsidRDefault="00552DFA" w:rsidP="00423C3D">
      <w:r w:rsidRPr="00E878B6">
        <w:t>Progress towards these long</w:t>
      </w:r>
      <w:r>
        <w:noBreakHyphen/>
      </w:r>
      <w:r w:rsidRPr="00E878B6">
        <w:t xml:space="preserve">term financial management objectives is supported by the following financial measures and targets (Table 1.3). </w:t>
      </w:r>
    </w:p>
    <w:p w:rsidR="00552DFA" w:rsidRPr="00E878B6" w:rsidRDefault="00552DFA" w:rsidP="00423C3D">
      <w:pPr>
        <w:pStyle w:val="TableHeading"/>
      </w:pPr>
      <w:r w:rsidRPr="00E878B6">
        <w:t>Table 1.3:</w:t>
      </w:r>
      <w:r w:rsidRPr="00E878B6">
        <w:tab/>
        <w:t xml:space="preserve">Financial measures and targets for the </w:t>
      </w:r>
      <w:r w:rsidRPr="00E878B6">
        <w:rPr>
          <w:i/>
        </w:rPr>
        <w:t>2017</w:t>
      </w:r>
      <w:r>
        <w:rPr>
          <w:i/>
        </w:rPr>
        <w:noBreakHyphen/>
      </w:r>
      <w:r w:rsidRPr="00E878B6">
        <w:rPr>
          <w:i/>
        </w:rPr>
        <w:t>18 Budget</w:t>
      </w:r>
      <w:r w:rsidRPr="00E878B6">
        <w:t xml:space="preserve"> </w:t>
      </w:r>
    </w:p>
    <w:tbl>
      <w:tblPr>
        <w:tblStyle w:val="DTFTextTable"/>
        <w:tblW w:w="7767" w:type="dxa"/>
        <w:tblLayout w:type="fixed"/>
        <w:tblLook w:val="06A0" w:firstRow="1" w:lastRow="0" w:firstColumn="1" w:lastColumn="0" w:noHBand="1" w:noVBand="1"/>
      </w:tblPr>
      <w:tblGrid>
        <w:gridCol w:w="2009"/>
        <w:gridCol w:w="5758"/>
      </w:tblGrid>
      <w:tr w:rsidR="00552DFA" w:rsidRPr="00E14B35" w:rsidTr="002D4E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8" w:type="dxa"/>
          </w:tcPr>
          <w:p w:rsidR="00552DFA" w:rsidRPr="00E14B35" w:rsidRDefault="00552DFA" w:rsidP="00E14B35">
            <w:pPr>
              <w:ind w:left="0" w:firstLine="0"/>
              <w:rPr>
                <w:sz w:val="17"/>
              </w:rPr>
            </w:pPr>
            <w:r w:rsidRPr="00E14B35">
              <w:rPr>
                <w:sz w:val="17"/>
              </w:rPr>
              <w:t xml:space="preserve">Financial measures </w:t>
            </w:r>
          </w:p>
        </w:tc>
        <w:tc>
          <w:tcPr>
            <w:tcW w:w="5905" w:type="dxa"/>
          </w:tcPr>
          <w:p w:rsidR="00552DFA" w:rsidRPr="00E14B35" w:rsidRDefault="00552DFA" w:rsidP="00E14B35">
            <w:pPr>
              <w:cnfStyle w:val="100000000000" w:firstRow="1" w:lastRow="0" w:firstColumn="0" w:lastColumn="0" w:oddVBand="0" w:evenVBand="0" w:oddHBand="0" w:evenHBand="0" w:firstRowFirstColumn="0" w:firstRowLastColumn="0" w:lastRowFirstColumn="0" w:lastRowLastColumn="0"/>
              <w:rPr>
                <w:sz w:val="17"/>
              </w:rPr>
            </w:pPr>
            <w:r w:rsidRPr="00E14B35">
              <w:rPr>
                <w:sz w:val="17"/>
              </w:rPr>
              <w:t>Target</w:t>
            </w:r>
          </w:p>
        </w:tc>
      </w:tr>
      <w:tr w:rsidR="00552DFA" w:rsidRPr="00E14B35" w:rsidTr="002D4EE8">
        <w:tc>
          <w:tcPr>
            <w:cnfStyle w:val="001000000000" w:firstRow="0" w:lastRow="0" w:firstColumn="1" w:lastColumn="0" w:oddVBand="0" w:evenVBand="0" w:oddHBand="0" w:evenHBand="0" w:firstRowFirstColumn="0" w:firstRowLastColumn="0" w:lastRowFirstColumn="0" w:lastRowLastColumn="0"/>
            <w:tcW w:w="2058" w:type="dxa"/>
          </w:tcPr>
          <w:p w:rsidR="00552DFA" w:rsidRPr="00E14B35" w:rsidRDefault="00552DFA" w:rsidP="00E14B35">
            <w:pPr>
              <w:spacing w:after="20"/>
              <w:ind w:left="0" w:firstLine="0"/>
              <w:rPr>
                <w:sz w:val="17"/>
              </w:rPr>
            </w:pPr>
            <w:r w:rsidRPr="00E14B35">
              <w:rPr>
                <w:sz w:val="17"/>
              </w:rPr>
              <w:t>Net debt</w:t>
            </w:r>
            <w:r w:rsidR="00356A95">
              <w:rPr>
                <w:sz w:val="17"/>
              </w:rPr>
              <w:fldChar w:fldCharType="begin"/>
            </w:r>
            <w:r w:rsidR="00356A95">
              <w:rPr>
                <w:sz w:val="17"/>
              </w:rPr>
              <w:instrText xml:space="preserve"> XE "</w:instrText>
            </w:r>
            <w:r w:rsidR="00356A95">
              <w:instrText>Debt:Net debt"</w:instrText>
            </w:r>
            <w:r w:rsidR="00356A95">
              <w:rPr>
                <w:sz w:val="17"/>
              </w:rPr>
              <w:instrText xml:space="preserve"> </w:instrText>
            </w:r>
            <w:r w:rsidR="00356A95">
              <w:rPr>
                <w:sz w:val="17"/>
              </w:rPr>
              <w:fldChar w:fldCharType="end"/>
            </w:r>
          </w:p>
        </w:tc>
        <w:tc>
          <w:tcPr>
            <w:tcW w:w="5905" w:type="dxa"/>
          </w:tcPr>
          <w:p w:rsidR="00552DFA" w:rsidRPr="00E14B35" w:rsidRDefault="00552DFA" w:rsidP="00E14B35">
            <w:pPr>
              <w:spacing w:after="20"/>
              <w:cnfStyle w:val="000000000000" w:firstRow="0" w:lastRow="0" w:firstColumn="0" w:lastColumn="0" w:oddVBand="0" w:evenVBand="0" w:oddHBand="0" w:evenHBand="0" w:firstRowFirstColumn="0" w:firstRowLastColumn="0" w:lastRowFirstColumn="0" w:lastRowLastColumn="0"/>
              <w:rPr>
                <w:sz w:val="17"/>
              </w:rPr>
            </w:pPr>
            <w:r w:rsidRPr="00E14B35">
              <w:rPr>
                <w:sz w:val="17"/>
              </w:rPr>
              <w:t>General government net debt</w:t>
            </w:r>
            <w:r w:rsidR="00356A95">
              <w:rPr>
                <w:sz w:val="17"/>
              </w:rPr>
              <w:fldChar w:fldCharType="begin"/>
            </w:r>
            <w:r w:rsidR="00356A95">
              <w:rPr>
                <w:sz w:val="17"/>
              </w:rPr>
              <w:instrText xml:space="preserve"> XE "</w:instrText>
            </w:r>
            <w:r w:rsidR="00356A95">
              <w:instrText>Debt:General government net debt"</w:instrText>
            </w:r>
            <w:r w:rsidR="00356A95">
              <w:rPr>
                <w:sz w:val="17"/>
              </w:rPr>
              <w:instrText xml:space="preserve"> </w:instrText>
            </w:r>
            <w:r w:rsidR="00356A95">
              <w:rPr>
                <w:sz w:val="17"/>
              </w:rPr>
              <w:fldChar w:fldCharType="end"/>
            </w:r>
            <w:r w:rsidRPr="00E14B35">
              <w:rPr>
                <w:sz w:val="17"/>
              </w:rPr>
              <w:t xml:space="preserve"> as a percentage of GSP to be maintained at a sustainable level over the medium term.</w:t>
            </w:r>
          </w:p>
        </w:tc>
      </w:tr>
      <w:tr w:rsidR="00552DFA" w:rsidRPr="00E14B35" w:rsidTr="002D4EE8">
        <w:tc>
          <w:tcPr>
            <w:cnfStyle w:val="001000000000" w:firstRow="0" w:lastRow="0" w:firstColumn="1" w:lastColumn="0" w:oddVBand="0" w:evenVBand="0" w:oddHBand="0" w:evenHBand="0" w:firstRowFirstColumn="0" w:firstRowLastColumn="0" w:lastRowFirstColumn="0" w:lastRowLastColumn="0"/>
            <w:tcW w:w="2058" w:type="dxa"/>
          </w:tcPr>
          <w:p w:rsidR="00552DFA" w:rsidRPr="00E14B35" w:rsidRDefault="00552DFA" w:rsidP="00E14B35">
            <w:pPr>
              <w:spacing w:after="20"/>
              <w:ind w:left="0" w:firstLine="0"/>
              <w:rPr>
                <w:sz w:val="17"/>
              </w:rPr>
            </w:pPr>
            <w:r w:rsidRPr="00E14B35">
              <w:rPr>
                <w:sz w:val="17"/>
              </w:rPr>
              <w:t>Superannuation liabilities</w:t>
            </w:r>
          </w:p>
        </w:tc>
        <w:tc>
          <w:tcPr>
            <w:tcW w:w="5905" w:type="dxa"/>
          </w:tcPr>
          <w:p w:rsidR="00552DFA" w:rsidRPr="00E14B35" w:rsidRDefault="00552DFA" w:rsidP="00E14B35">
            <w:pPr>
              <w:spacing w:after="20"/>
              <w:cnfStyle w:val="000000000000" w:firstRow="0" w:lastRow="0" w:firstColumn="0" w:lastColumn="0" w:oddVBand="0" w:evenVBand="0" w:oddHBand="0" w:evenHBand="0" w:firstRowFirstColumn="0" w:firstRowLastColumn="0" w:lastRowFirstColumn="0" w:lastRowLastColumn="0"/>
              <w:rPr>
                <w:sz w:val="17"/>
              </w:rPr>
            </w:pPr>
            <w:r w:rsidRPr="00E14B35">
              <w:rPr>
                <w:sz w:val="17"/>
              </w:rPr>
              <w:t>Fully fund the unfunded superannuation liability by 2035.</w:t>
            </w:r>
          </w:p>
        </w:tc>
      </w:tr>
      <w:tr w:rsidR="00552DFA" w:rsidRPr="00E14B35" w:rsidTr="002D4EE8">
        <w:tc>
          <w:tcPr>
            <w:cnfStyle w:val="001000000000" w:firstRow="0" w:lastRow="0" w:firstColumn="1" w:lastColumn="0" w:oddVBand="0" w:evenVBand="0" w:oddHBand="0" w:evenHBand="0" w:firstRowFirstColumn="0" w:firstRowLastColumn="0" w:lastRowFirstColumn="0" w:lastRowLastColumn="0"/>
            <w:tcW w:w="2058" w:type="dxa"/>
          </w:tcPr>
          <w:p w:rsidR="00552DFA" w:rsidRPr="00E14B35" w:rsidRDefault="00552DFA" w:rsidP="00E14B35">
            <w:pPr>
              <w:spacing w:after="20"/>
              <w:ind w:left="0" w:firstLine="0"/>
              <w:rPr>
                <w:sz w:val="17"/>
              </w:rPr>
            </w:pPr>
            <w:r w:rsidRPr="00E14B35">
              <w:rPr>
                <w:sz w:val="17"/>
              </w:rPr>
              <w:t>Operating surplus</w:t>
            </w:r>
            <w:r w:rsidR="00356A95">
              <w:rPr>
                <w:sz w:val="17"/>
              </w:rPr>
              <w:fldChar w:fldCharType="begin"/>
            </w:r>
            <w:r w:rsidR="00356A95">
              <w:rPr>
                <w:sz w:val="17"/>
              </w:rPr>
              <w:instrText xml:space="preserve"> XE "</w:instrText>
            </w:r>
            <w:r w:rsidR="00356A95">
              <w:instrText>Operating surplus"</w:instrText>
            </w:r>
            <w:r w:rsidR="00356A95">
              <w:rPr>
                <w:sz w:val="17"/>
              </w:rPr>
              <w:instrText xml:space="preserve"> </w:instrText>
            </w:r>
            <w:r w:rsidR="00356A95">
              <w:rPr>
                <w:sz w:val="17"/>
              </w:rPr>
              <w:fldChar w:fldCharType="end"/>
            </w:r>
          </w:p>
        </w:tc>
        <w:tc>
          <w:tcPr>
            <w:tcW w:w="5905" w:type="dxa"/>
          </w:tcPr>
          <w:p w:rsidR="00552DFA" w:rsidRPr="00E14B35" w:rsidRDefault="00552DFA" w:rsidP="00E14B35">
            <w:pPr>
              <w:spacing w:after="20"/>
              <w:cnfStyle w:val="000000000000" w:firstRow="0" w:lastRow="0" w:firstColumn="0" w:lastColumn="0" w:oddVBand="0" w:evenVBand="0" w:oddHBand="0" w:evenHBand="0" w:firstRowFirstColumn="0" w:firstRowLastColumn="0" w:lastRowFirstColumn="0" w:lastRowLastColumn="0"/>
              <w:rPr>
                <w:sz w:val="17"/>
              </w:rPr>
            </w:pPr>
            <w:r w:rsidRPr="00E14B35">
              <w:rPr>
                <w:sz w:val="17"/>
              </w:rPr>
              <w:t>A net operating surplus consistent with maintaining general government net debt at a sustainable level over the medium term.</w:t>
            </w:r>
          </w:p>
        </w:tc>
      </w:tr>
    </w:tbl>
    <w:p w:rsidR="00552DFA" w:rsidRPr="00E878B6" w:rsidRDefault="00552DFA" w:rsidP="00423C3D"/>
    <w:p w:rsidR="00552DFA" w:rsidRDefault="00552DFA" w:rsidP="00423C3D">
      <w:r w:rsidRPr="00E878B6">
        <w:t xml:space="preserve">Chapter 4 </w:t>
      </w:r>
      <w:r w:rsidRPr="00E878B6">
        <w:rPr>
          <w:i/>
        </w:rPr>
        <w:t>Budget Position and Outlook</w:t>
      </w:r>
      <w:r w:rsidRPr="00E878B6">
        <w:t xml:space="preserve"> outlines the budget position for 2017</w:t>
      </w:r>
      <w:r>
        <w:noBreakHyphen/>
      </w:r>
      <w:r w:rsidRPr="00E878B6">
        <w:t>18 and the forward estimate years (2018</w:t>
      </w:r>
      <w:r>
        <w:noBreakHyphen/>
      </w:r>
      <w:r w:rsidRPr="00E878B6">
        <w:t>19 to 2020</w:t>
      </w:r>
      <w:r>
        <w:noBreakHyphen/>
      </w:r>
      <w:r w:rsidRPr="00E878B6">
        <w:t>21).</w:t>
      </w:r>
      <w:r>
        <w:t xml:space="preserve"> </w:t>
      </w:r>
    </w:p>
    <w:p w:rsidR="004D13C3" w:rsidRDefault="004D13C3">
      <w:pPr>
        <w:keepLines w:val="0"/>
      </w:pPr>
      <w:r>
        <w:br w:type="page"/>
      </w:r>
    </w:p>
    <w:p w:rsidR="004D13C3" w:rsidRDefault="004D13C3" w:rsidP="00423C3D"/>
    <w:p w:rsidR="004D13C3" w:rsidRDefault="004D13C3" w:rsidP="00423C3D"/>
    <w:p w:rsidR="00552DFA" w:rsidRDefault="00552DFA" w:rsidP="00627E95">
      <w:pPr>
        <w:sectPr w:rsidR="00552DFA" w:rsidSect="008E76F5">
          <w:footerReference w:type="even" r:id="rId19"/>
          <w:footerReference w:type="default" r:id="rId20"/>
          <w:type w:val="oddPage"/>
          <w:pgSz w:w="9979" w:h="14175" w:code="34"/>
          <w:pgMar w:top="1138" w:right="1138" w:bottom="1138" w:left="1138" w:header="619" w:footer="562" w:gutter="0"/>
          <w:pgNumType w:start="1"/>
          <w:cols w:sep="1" w:space="567"/>
          <w:docGrid w:linePitch="360"/>
        </w:sectPr>
      </w:pPr>
    </w:p>
    <w:p w:rsidR="00552DFA" w:rsidRDefault="00552DFA" w:rsidP="00423C3D">
      <w:pPr>
        <w:pStyle w:val="Chapterheading"/>
      </w:pPr>
      <w:bookmarkStart w:id="15" w:name="_Toc481160561"/>
      <w:bookmarkStart w:id="16" w:name="_Toc481246469"/>
      <w:r>
        <w:lastRenderedPageBreak/>
        <w:t>Chapter 2 – Economic context</w:t>
      </w:r>
      <w:bookmarkEnd w:id="15"/>
      <w:bookmarkEnd w:id="16"/>
    </w:p>
    <w:p w:rsidR="00552DFA" w:rsidRDefault="00552DFA" w:rsidP="00423C3D">
      <w:pPr>
        <w:pStyle w:val="HighlightBoxBullet"/>
        <w:pBdr>
          <w:top w:val="single" w:sz="6" w:space="1" w:color="auto"/>
          <w:left w:val="single" w:sz="6" w:space="4" w:color="auto"/>
          <w:bottom w:val="single" w:sz="6" w:space="1" w:color="auto"/>
          <w:right w:val="single" w:sz="6" w:space="4" w:color="auto"/>
        </w:pBdr>
      </w:pPr>
      <w:r>
        <w:t>Economic conditions</w:t>
      </w:r>
      <w:r w:rsidR="00356A95">
        <w:fldChar w:fldCharType="begin"/>
      </w:r>
      <w:r w:rsidR="00356A95">
        <w:instrText xml:space="preserve"> XE "Economic conditions" </w:instrText>
      </w:r>
      <w:r w:rsidR="00356A95">
        <w:fldChar w:fldCharType="end"/>
      </w:r>
      <w:r>
        <w:t xml:space="preserve"> in Victoria are strong and growth is forecast to remain robust.</w:t>
      </w:r>
    </w:p>
    <w:p w:rsidR="00552DFA" w:rsidRDefault="00552DFA" w:rsidP="00423C3D">
      <w:pPr>
        <w:pStyle w:val="HighlightBoxBullet"/>
        <w:pBdr>
          <w:top w:val="single" w:sz="6" w:space="1" w:color="auto"/>
          <w:left w:val="single" w:sz="6" w:space="4" w:color="auto"/>
          <w:bottom w:val="single" w:sz="6" w:space="1" w:color="auto"/>
          <w:right w:val="single" w:sz="6" w:space="4" w:color="auto"/>
        </w:pBdr>
      </w:pPr>
      <w:r>
        <w:t>Real gross state product (GSP) is forecast to grow at 2.75 per cent over the forward estimates, driven by population growth and low interest rates.</w:t>
      </w:r>
    </w:p>
    <w:p w:rsidR="00552DFA" w:rsidRDefault="00552DFA" w:rsidP="00423C3D">
      <w:pPr>
        <w:pStyle w:val="HighlightBoxBullet"/>
        <w:pBdr>
          <w:top w:val="single" w:sz="6" w:space="1" w:color="auto"/>
          <w:left w:val="single" w:sz="6" w:space="4" w:color="auto"/>
          <w:bottom w:val="single" w:sz="6" w:space="1" w:color="auto"/>
          <w:right w:val="single" w:sz="6" w:space="4" w:color="auto"/>
        </w:pBdr>
      </w:pPr>
      <w:r>
        <w:t>Victoria’s population increased by 2.1 per cent over the year to June 2016, the highest growth rate of all the states, and is forecast to continue to grow at above average rates.</w:t>
      </w:r>
    </w:p>
    <w:p w:rsidR="00552DFA" w:rsidRDefault="00552DFA" w:rsidP="00423C3D">
      <w:pPr>
        <w:pStyle w:val="HighlightBoxBullet"/>
        <w:pBdr>
          <w:top w:val="single" w:sz="6" w:space="1" w:color="auto"/>
          <w:left w:val="single" w:sz="6" w:space="4" w:color="auto"/>
          <w:bottom w:val="single" w:sz="6" w:space="1" w:color="auto"/>
          <w:right w:val="single" w:sz="6" w:space="4" w:color="auto"/>
        </w:pBdr>
      </w:pPr>
      <w:r>
        <w:t>The near</w:t>
      </w:r>
      <w:r>
        <w:noBreakHyphen/>
        <w:t>term outlook for employment is favourable with growth forecast to be above trend in 2017</w:t>
      </w:r>
      <w:r>
        <w:noBreakHyphen/>
        <w:t>18 before slowly returning to trend over the forward estimates. This is consistent with a modest improvement in the unemployment rate.</w:t>
      </w:r>
    </w:p>
    <w:p w:rsidR="00552DFA" w:rsidRDefault="00552DFA" w:rsidP="00423C3D">
      <w:pPr>
        <w:pStyle w:val="HighlightBoxBullet"/>
        <w:pBdr>
          <w:top w:val="single" w:sz="6" w:space="1" w:color="auto"/>
          <w:left w:val="single" w:sz="6" w:space="4" w:color="auto"/>
          <w:bottom w:val="single" w:sz="6" w:space="1" w:color="auto"/>
          <w:right w:val="single" w:sz="6" w:space="4" w:color="auto"/>
        </w:pBdr>
      </w:pPr>
      <w:r>
        <w:t>Global economic growth was lacklustre in 2016, although activity is expected to pick up</w:t>
      </w:r>
      <w:r w:rsidRPr="00C7761F">
        <w:t xml:space="preserve"> </w:t>
      </w:r>
      <w:r>
        <w:t>moderately. Risks are broadly balanced but global policy uncertainty is high.</w:t>
      </w:r>
    </w:p>
    <w:p w:rsidR="00552DFA" w:rsidRDefault="00552DFA" w:rsidP="00423C3D">
      <w:pPr>
        <w:pStyle w:val="Heading10"/>
      </w:pPr>
      <w:bookmarkStart w:id="17" w:name="_Toc481160562"/>
      <w:bookmarkStart w:id="18" w:name="_Toc481246470"/>
      <w:r>
        <w:t>Victorian economic conditions</w:t>
      </w:r>
      <w:r w:rsidR="00356A95">
        <w:fldChar w:fldCharType="begin"/>
      </w:r>
      <w:r w:rsidR="00356A95">
        <w:instrText xml:space="preserve"> XE "Economic conditions:Victoria" </w:instrText>
      </w:r>
      <w:r w:rsidR="00356A95">
        <w:fldChar w:fldCharType="end"/>
      </w:r>
      <w:r>
        <w:t xml:space="preserve"> and outlook</w:t>
      </w:r>
      <w:bookmarkEnd w:id="17"/>
      <w:bookmarkEnd w:id="18"/>
    </w:p>
    <w:p w:rsidR="00552DFA" w:rsidRDefault="00552DFA" w:rsidP="00423C3D">
      <w:r>
        <w:t>Economic conditions</w:t>
      </w:r>
      <w:r w:rsidR="00356A95">
        <w:fldChar w:fldCharType="begin"/>
      </w:r>
      <w:r w:rsidR="00356A95">
        <w:instrText xml:space="preserve"> XE "Economic conditions" </w:instrText>
      </w:r>
      <w:r w:rsidR="00356A95">
        <w:fldChar w:fldCharType="end"/>
      </w:r>
      <w:r>
        <w:t xml:space="preserve"> in Victoria are strong. In 2015</w:t>
      </w:r>
      <w:r>
        <w:noBreakHyphen/>
        <w:t xml:space="preserve">16, </w:t>
      </w:r>
      <w:r w:rsidRPr="008D5259">
        <w:t>real GSP</w:t>
      </w:r>
      <w:r>
        <w:t xml:space="preserve"> expanded by 3.3 per cent, while employment grew by an average of 3.0 per cent in the year to December 2016. The national transition from mining investment to broader</w:t>
      </w:r>
      <w:r>
        <w:noBreakHyphen/>
        <w:t xml:space="preserve">based sources of growth, including construction and other service industries, is well underway and benefiting Victoria. </w:t>
      </w:r>
    </w:p>
    <w:p w:rsidR="00552DFA" w:rsidRDefault="00552DFA" w:rsidP="00423C3D">
      <w:r>
        <w:t xml:space="preserve">The outlook for the economy is generally positive, with growth forecast to remain robust. </w:t>
      </w:r>
    </w:p>
    <w:p w:rsidR="00552DFA" w:rsidRDefault="00552DFA" w:rsidP="00423C3D">
      <w:r>
        <w:t>Real GSP is expected to remain strong over the forward estimates. Household consumption</w:t>
      </w:r>
      <w:r w:rsidR="00356A95">
        <w:fldChar w:fldCharType="begin"/>
      </w:r>
      <w:r w:rsidR="00356A95">
        <w:instrText xml:space="preserve"> XE "Household consumption" </w:instrText>
      </w:r>
      <w:r w:rsidR="00356A95">
        <w:fldChar w:fldCharType="end"/>
      </w:r>
      <w:r>
        <w:t xml:space="preserve">, business investment, dwelling investment </w:t>
      </w:r>
      <w:r w:rsidRPr="00565049">
        <w:t xml:space="preserve">and the Government’s infrastructure investment </w:t>
      </w:r>
      <w:r>
        <w:t xml:space="preserve">are expected to contribute to growth. The drivers of growth include the positive impact of low interest rates and strong population growth. </w:t>
      </w:r>
    </w:p>
    <w:p w:rsidR="00552DFA" w:rsidRDefault="00552DFA" w:rsidP="00423C3D">
      <w:r>
        <w:t>Household consumption</w:t>
      </w:r>
      <w:r w:rsidR="00356A95">
        <w:fldChar w:fldCharType="begin"/>
      </w:r>
      <w:r w:rsidR="00356A95">
        <w:instrText xml:space="preserve"> XE "Household consumption" </w:instrText>
      </w:r>
      <w:r w:rsidR="00356A95">
        <w:fldChar w:fldCharType="end"/>
      </w:r>
      <w:r>
        <w:t xml:space="preserve"> is anticipated to grow steadily, supported by employment growth and higher household wealth. Construction activity will be driven by an improving pipeline of non</w:t>
      </w:r>
      <w:r>
        <w:noBreakHyphen/>
        <w:t>dwelling investment.</w:t>
      </w:r>
    </w:p>
    <w:p w:rsidR="00552DFA" w:rsidRDefault="00552DFA" w:rsidP="00423C3D">
      <w:r>
        <w:t>Victoria has a resilient and dynamic labour market that is positioned to support economic growth over the forward estimates. Employment is forecast to grow at an above</w:t>
      </w:r>
      <w:r>
        <w:noBreakHyphen/>
        <w:t>trend pace in 2017</w:t>
      </w:r>
      <w:r>
        <w:noBreakHyphen/>
        <w:t>18, driven by strong demand and modest wages growth. With above</w:t>
      </w:r>
      <w:r>
        <w:noBreakHyphen/>
        <w:t>trend employment growth in the near term, the unemployment rate is forecast to decline to 5.5 per cent in 2017</w:t>
      </w:r>
      <w:r>
        <w:noBreakHyphen/>
        <w:t xml:space="preserve">18 and remain at that rate over the forward estimates. </w:t>
      </w:r>
    </w:p>
    <w:p w:rsidR="00552DFA" w:rsidRDefault="00552DFA" w:rsidP="00423C3D">
      <w:r>
        <w:t>Despite trend economic growth, the outlook for inflation is subdued. This is consistent with global trends.</w:t>
      </w:r>
    </w:p>
    <w:p w:rsidR="00552DFA" w:rsidRDefault="00552DFA" w:rsidP="00423C3D">
      <w:r>
        <w:lastRenderedPageBreak/>
        <w:t xml:space="preserve">Victoria’s wage price index rose by 1.9 per cent over the year to December 2016. The wage price index is forecast to gradually increase, but remain below its estimated trend rate of 3.5 per cent, as more people move into jobs from unemployment or outside the labour force and spare capacity is gradually reduced. </w:t>
      </w:r>
    </w:p>
    <w:p w:rsidR="00552DFA" w:rsidRDefault="00552DFA" w:rsidP="00423C3D">
      <w:r>
        <w:t>Population growth</w:t>
      </w:r>
      <w:r w:rsidR="00356A95">
        <w:fldChar w:fldCharType="begin"/>
      </w:r>
      <w:r w:rsidR="00356A95">
        <w:instrText xml:space="preserve"> XE "Population:Growth" </w:instrText>
      </w:r>
      <w:r w:rsidR="00356A95">
        <w:fldChar w:fldCharType="end"/>
      </w:r>
      <w:r>
        <w:t xml:space="preserve"> is forecast to be strong over the forward estimates, although the rate of growth is expected to moderate. Net overseas migration is the largest contributor to population growth and forecast to average around 66 000 persons per year.</w:t>
      </w:r>
    </w:p>
    <w:p w:rsidR="00552DFA" w:rsidRDefault="00552DFA" w:rsidP="00423C3D">
      <w:r>
        <w:t xml:space="preserve">Table 2.1 sets out the economic forecasts for the </w:t>
      </w:r>
      <w:r w:rsidRPr="00C703C3">
        <w:rPr>
          <w:i/>
        </w:rPr>
        <w:t>2017</w:t>
      </w:r>
      <w:r>
        <w:rPr>
          <w:i/>
        </w:rPr>
        <w:noBreakHyphen/>
      </w:r>
      <w:r w:rsidRPr="00C703C3">
        <w:rPr>
          <w:i/>
        </w:rPr>
        <w:t>18 Budget</w:t>
      </w:r>
      <w:r>
        <w:t>. The forecasts are projected to revert toward trend over the final two years of the forward estimates.</w:t>
      </w:r>
    </w:p>
    <w:p w:rsidR="00552DFA" w:rsidRPr="00046D0E" w:rsidRDefault="00552DFA" w:rsidP="00423C3D">
      <w:pPr>
        <w:pStyle w:val="TableHeading"/>
        <w:rPr>
          <w:bCs/>
          <w:lang w:val="en-US"/>
        </w:rPr>
      </w:pPr>
      <w:r>
        <w:t>Table 2.1:</w:t>
      </w:r>
      <w:r>
        <w:tab/>
        <w:t xml:space="preserve">Victorian economic forecasts </w:t>
      </w:r>
      <w:r>
        <w:rPr>
          <w:vertAlign w:val="superscript"/>
        </w:rPr>
        <w:t>(a)</w:t>
      </w:r>
      <w:r>
        <w:rPr>
          <w:vertAlign w:val="superscript"/>
        </w:rPr>
        <w:tab/>
      </w:r>
      <w:r>
        <w:t xml:space="preserve">(per </w:t>
      </w:r>
      <w:r w:rsidRPr="00C703C3">
        <w:t>cent)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850"/>
        <w:gridCol w:w="850"/>
        <w:gridCol w:w="850"/>
        <w:gridCol w:w="850"/>
        <w:gridCol w:w="850"/>
        <w:gridCol w:w="850"/>
      </w:tblGrid>
      <w:tr w:rsidR="00552DFA" w:rsidRPr="00046D0E" w:rsidTr="00423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single" w:sz="12" w:space="0" w:color="000000"/>
              <w:left w:val="single" w:sz="12" w:space="0" w:color="000000"/>
              <w:bottom w:val="nil"/>
              <w:right w:val="nil"/>
            </w:tcBorders>
            <w:shd w:val="solid" w:color="000000" w:fill="auto"/>
          </w:tcPr>
          <w:p w:rsidR="00552DFA" w:rsidRPr="00046D0E" w:rsidRDefault="00552DFA" w:rsidP="00423C3D">
            <w:pPr>
              <w:autoSpaceDE w:val="0"/>
              <w:autoSpaceDN w:val="0"/>
              <w:adjustRightInd w:val="0"/>
              <w:jc w:val="right"/>
              <w:rPr>
                <w:rFonts w:eastAsiaTheme="minorEastAsia" w:cs="Calibri"/>
                <w:iCs/>
                <w:color w:val="000000"/>
                <w:szCs w:val="19"/>
                <w:lang w:eastAsia="en-AU"/>
              </w:rPr>
            </w:pPr>
            <w:r w:rsidRPr="00046D0E">
              <w:rPr>
                <w:rFonts w:eastAsiaTheme="minorEastAsia" w:cs="Calibri"/>
                <w:iCs/>
                <w:color w:val="000000"/>
                <w:szCs w:val="19"/>
                <w:lang w:eastAsia="en-AU"/>
              </w:rPr>
              <w:t xml:space="preserve"> </w:t>
            </w:r>
          </w:p>
        </w:tc>
        <w:tc>
          <w:tcPr>
            <w:tcW w:w="850" w:type="dxa"/>
            <w:tcBorders>
              <w:top w:val="single" w:sz="12" w:space="0" w:color="000000"/>
              <w:left w:val="nil"/>
              <w:bottom w:val="nil"/>
              <w:right w:val="nil"/>
            </w:tcBorders>
            <w:shd w:val="solid" w:color="000000" w:fill="auto"/>
          </w:tcPr>
          <w:p w:rsidR="00552DFA" w:rsidRPr="00046D0E"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046D0E">
              <w:rPr>
                <w:rFonts w:eastAsiaTheme="minorEastAsia" w:cs="Calibri"/>
                <w:iCs/>
                <w:color w:val="FFFFFF"/>
                <w:szCs w:val="20"/>
                <w:lang w:eastAsia="en-AU"/>
              </w:rPr>
              <w:t>2015</w:t>
            </w:r>
            <w:r>
              <w:rPr>
                <w:rFonts w:eastAsiaTheme="minorEastAsia" w:cs="Calibri"/>
                <w:iCs/>
                <w:color w:val="FFFFFF"/>
                <w:szCs w:val="20"/>
                <w:lang w:eastAsia="en-AU"/>
              </w:rPr>
              <w:noBreakHyphen/>
            </w:r>
            <w:r w:rsidRPr="00046D0E">
              <w:rPr>
                <w:rFonts w:eastAsiaTheme="minorEastAsia" w:cs="Calibri"/>
                <w:iCs/>
                <w:color w:val="FFFFFF"/>
                <w:szCs w:val="20"/>
                <w:lang w:eastAsia="en-AU"/>
              </w:rPr>
              <w:t>16</w:t>
            </w:r>
          </w:p>
        </w:tc>
        <w:tc>
          <w:tcPr>
            <w:tcW w:w="850" w:type="dxa"/>
            <w:tcBorders>
              <w:top w:val="single" w:sz="12" w:space="0" w:color="000000"/>
              <w:left w:val="nil"/>
              <w:bottom w:val="nil"/>
              <w:right w:val="nil"/>
            </w:tcBorders>
            <w:shd w:val="solid" w:color="000000" w:fill="auto"/>
          </w:tcPr>
          <w:p w:rsidR="00552DFA" w:rsidRPr="00046D0E"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046D0E">
              <w:rPr>
                <w:rFonts w:eastAsiaTheme="minorEastAsia" w:cs="Calibri"/>
                <w:iCs/>
                <w:color w:val="FFFFFF"/>
                <w:szCs w:val="20"/>
                <w:lang w:eastAsia="en-AU"/>
              </w:rPr>
              <w:t>2016</w:t>
            </w:r>
            <w:r>
              <w:rPr>
                <w:rFonts w:eastAsiaTheme="minorEastAsia" w:cs="Calibri"/>
                <w:iCs/>
                <w:color w:val="FFFFFF"/>
                <w:szCs w:val="20"/>
                <w:lang w:eastAsia="en-AU"/>
              </w:rPr>
              <w:noBreakHyphen/>
            </w:r>
            <w:r w:rsidRPr="00046D0E">
              <w:rPr>
                <w:rFonts w:eastAsiaTheme="minorEastAsia" w:cs="Calibri"/>
                <w:iCs/>
                <w:color w:val="FFFFFF"/>
                <w:szCs w:val="20"/>
                <w:lang w:eastAsia="en-AU"/>
              </w:rPr>
              <w:t>17</w:t>
            </w:r>
          </w:p>
        </w:tc>
        <w:tc>
          <w:tcPr>
            <w:tcW w:w="850" w:type="dxa"/>
            <w:tcBorders>
              <w:top w:val="single" w:sz="12" w:space="0" w:color="000000"/>
              <w:left w:val="nil"/>
              <w:bottom w:val="nil"/>
              <w:right w:val="nil"/>
            </w:tcBorders>
            <w:shd w:val="solid" w:color="000000" w:fill="auto"/>
          </w:tcPr>
          <w:p w:rsidR="00552DFA" w:rsidRPr="00046D0E"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046D0E">
              <w:rPr>
                <w:rFonts w:eastAsiaTheme="minorEastAsia" w:cs="Calibri"/>
                <w:iCs/>
                <w:color w:val="FFFFFF"/>
                <w:szCs w:val="20"/>
                <w:lang w:eastAsia="en-AU"/>
              </w:rPr>
              <w:t>2017</w:t>
            </w:r>
            <w:r>
              <w:rPr>
                <w:rFonts w:eastAsiaTheme="minorEastAsia" w:cs="Calibri"/>
                <w:iCs/>
                <w:color w:val="FFFFFF"/>
                <w:szCs w:val="20"/>
                <w:lang w:eastAsia="en-AU"/>
              </w:rPr>
              <w:noBreakHyphen/>
            </w:r>
            <w:r w:rsidRPr="00046D0E">
              <w:rPr>
                <w:rFonts w:eastAsiaTheme="minorEastAsia" w:cs="Calibri"/>
                <w:iCs/>
                <w:color w:val="FFFFFF"/>
                <w:szCs w:val="20"/>
                <w:lang w:eastAsia="en-AU"/>
              </w:rPr>
              <w:t>18</w:t>
            </w:r>
          </w:p>
        </w:tc>
        <w:tc>
          <w:tcPr>
            <w:tcW w:w="850" w:type="dxa"/>
            <w:tcBorders>
              <w:top w:val="single" w:sz="12" w:space="0" w:color="000000"/>
              <w:left w:val="nil"/>
              <w:bottom w:val="nil"/>
              <w:right w:val="nil"/>
            </w:tcBorders>
            <w:shd w:val="solid" w:color="000000" w:fill="auto"/>
          </w:tcPr>
          <w:p w:rsidR="00552DFA" w:rsidRPr="00046D0E"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046D0E">
              <w:rPr>
                <w:rFonts w:eastAsiaTheme="minorEastAsia" w:cs="Calibri"/>
                <w:iCs/>
                <w:color w:val="FFFFFF"/>
                <w:szCs w:val="20"/>
                <w:lang w:eastAsia="en-AU"/>
              </w:rPr>
              <w:t>2018</w:t>
            </w:r>
            <w:r>
              <w:rPr>
                <w:rFonts w:eastAsiaTheme="minorEastAsia" w:cs="Calibri"/>
                <w:iCs/>
                <w:color w:val="FFFFFF"/>
                <w:szCs w:val="20"/>
                <w:lang w:eastAsia="en-AU"/>
              </w:rPr>
              <w:noBreakHyphen/>
            </w:r>
            <w:r w:rsidRPr="00046D0E">
              <w:rPr>
                <w:rFonts w:eastAsiaTheme="minorEastAsia" w:cs="Calibri"/>
                <w:iCs/>
                <w:color w:val="FFFFFF"/>
                <w:szCs w:val="20"/>
                <w:lang w:eastAsia="en-AU"/>
              </w:rPr>
              <w:t>19</w:t>
            </w:r>
          </w:p>
        </w:tc>
        <w:tc>
          <w:tcPr>
            <w:tcW w:w="850" w:type="dxa"/>
            <w:tcBorders>
              <w:top w:val="single" w:sz="12" w:space="0" w:color="000000"/>
              <w:left w:val="nil"/>
              <w:bottom w:val="nil"/>
              <w:right w:val="nil"/>
            </w:tcBorders>
            <w:shd w:val="solid" w:color="000000" w:fill="auto"/>
          </w:tcPr>
          <w:p w:rsidR="00552DFA" w:rsidRPr="00046D0E"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046D0E">
              <w:rPr>
                <w:rFonts w:eastAsiaTheme="minorEastAsia" w:cs="Calibri"/>
                <w:iCs/>
                <w:color w:val="FFFFFF"/>
                <w:szCs w:val="20"/>
                <w:lang w:eastAsia="en-AU"/>
              </w:rPr>
              <w:t>2019</w:t>
            </w:r>
            <w:r>
              <w:rPr>
                <w:rFonts w:eastAsiaTheme="minorEastAsia" w:cs="Calibri"/>
                <w:iCs/>
                <w:color w:val="FFFFFF"/>
                <w:szCs w:val="20"/>
                <w:lang w:eastAsia="en-AU"/>
              </w:rPr>
              <w:noBreakHyphen/>
            </w:r>
            <w:r w:rsidRPr="00046D0E">
              <w:rPr>
                <w:rFonts w:eastAsiaTheme="minorEastAsia" w:cs="Calibri"/>
                <w:iCs/>
                <w:color w:val="FFFFFF"/>
                <w:szCs w:val="20"/>
                <w:lang w:eastAsia="en-AU"/>
              </w:rPr>
              <w:t>20</w:t>
            </w:r>
          </w:p>
        </w:tc>
        <w:tc>
          <w:tcPr>
            <w:tcW w:w="850" w:type="dxa"/>
            <w:tcBorders>
              <w:top w:val="single" w:sz="12" w:space="0" w:color="000000"/>
              <w:left w:val="nil"/>
              <w:bottom w:val="nil"/>
              <w:right w:val="single" w:sz="12" w:space="0" w:color="000000"/>
            </w:tcBorders>
            <w:shd w:val="solid" w:color="000000" w:fill="auto"/>
          </w:tcPr>
          <w:p w:rsidR="00552DFA" w:rsidRPr="00046D0E"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046D0E">
              <w:rPr>
                <w:rFonts w:eastAsiaTheme="minorEastAsia" w:cs="Calibri"/>
                <w:iCs/>
                <w:color w:val="FFFFFF"/>
                <w:szCs w:val="20"/>
                <w:lang w:eastAsia="en-AU"/>
              </w:rPr>
              <w:t>2020</w:t>
            </w:r>
            <w:r>
              <w:rPr>
                <w:rFonts w:eastAsiaTheme="minorEastAsia" w:cs="Calibri"/>
                <w:iCs/>
                <w:color w:val="FFFFFF"/>
                <w:szCs w:val="20"/>
                <w:lang w:eastAsia="en-AU"/>
              </w:rPr>
              <w:noBreakHyphen/>
            </w:r>
            <w:r w:rsidRPr="00046D0E">
              <w:rPr>
                <w:rFonts w:eastAsiaTheme="minorEastAsia" w:cs="Calibri"/>
                <w:iCs/>
                <w:color w:val="FFFFFF"/>
                <w:szCs w:val="20"/>
                <w:lang w:eastAsia="en-AU"/>
              </w:rPr>
              <w:t>21</w:t>
            </w:r>
          </w:p>
        </w:tc>
      </w:tr>
      <w:tr w:rsidR="00552DFA" w:rsidRPr="00046D0E"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single" w:sz="12" w:space="0" w:color="000000"/>
              <w:bottom w:val="single" w:sz="12" w:space="0" w:color="000000"/>
              <w:right w:val="nil"/>
            </w:tcBorders>
            <w:shd w:val="solid" w:color="000000" w:fill="auto"/>
          </w:tcPr>
          <w:p w:rsidR="00552DFA" w:rsidRPr="00046D0E" w:rsidRDefault="00552DFA" w:rsidP="00423C3D">
            <w:pPr>
              <w:keepLines w:val="0"/>
              <w:autoSpaceDE w:val="0"/>
              <w:autoSpaceDN w:val="0"/>
              <w:adjustRightInd w:val="0"/>
              <w:jc w:val="right"/>
              <w:rPr>
                <w:rFonts w:eastAsiaTheme="minorEastAsia" w:cs="Calibri"/>
                <w:i/>
                <w:iCs/>
                <w:color w:val="000000"/>
                <w:szCs w:val="19"/>
                <w:lang w:eastAsia="en-AU"/>
              </w:rPr>
            </w:pPr>
            <w:r w:rsidRPr="00046D0E">
              <w:rPr>
                <w:rFonts w:eastAsiaTheme="minorEastAsia" w:cs="Calibri"/>
                <w:i/>
                <w:iCs/>
                <w:color w:val="000000"/>
                <w:szCs w:val="19"/>
                <w:lang w:eastAsia="en-AU"/>
              </w:rPr>
              <w:t xml:space="preserve"> </w:t>
            </w:r>
          </w:p>
        </w:tc>
        <w:tc>
          <w:tcPr>
            <w:tcW w:w="850" w:type="dxa"/>
            <w:tcBorders>
              <w:top w:val="nil"/>
              <w:left w:val="nil"/>
              <w:bottom w:val="single" w:sz="12" w:space="0" w:color="000000"/>
              <w:right w:val="nil"/>
            </w:tcBorders>
            <w:shd w:val="solid" w:color="000000" w:fill="auto"/>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046D0E">
              <w:rPr>
                <w:rFonts w:eastAsiaTheme="minorEastAsia" w:cs="Calibri"/>
                <w:i/>
                <w:iCs/>
                <w:color w:val="FFFFFF"/>
                <w:szCs w:val="20"/>
                <w:lang w:eastAsia="en-AU"/>
              </w:rPr>
              <w:t>actual</w:t>
            </w:r>
          </w:p>
        </w:tc>
        <w:tc>
          <w:tcPr>
            <w:tcW w:w="850" w:type="dxa"/>
            <w:tcBorders>
              <w:top w:val="nil"/>
              <w:left w:val="nil"/>
              <w:bottom w:val="single" w:sz="12" w:space="0" w:color="000000"/>
              <w:right w:val="nil"/>
            </w:tcBorders>
            <w:shd w:val="solid" w:color="000000" w:fill="auto"/>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046D0E">
              <w:rPr>
                <w:rFonts w:eastAsiaTheme="minorEastAsia" w:cs="Calibri"/>
                <w:i/>
                <w:iCs/>
                <w:color w:val="FFFFFF"/>
                <w:szCs w:val="20"/>
                <w:lang w:eastAsia="en-AU"/>
              </w:rPr>
              <w:t>forecast</w:t>
            </w:r>
          </w:p>
        </w:tc>
        <w:tc>
          <w:tcPr>
            <w:tcW w:w="850" w:type="dxa"/>
            <w:tcBorders>
              <w:top w:val="nil"/>
              <w:left w:val="nil"/>
              <w:bottom w:val="single" w:sz="12" w:space="0" w:color="000000"/>
              <w:right w:val="nil"/>
            </w:tcBorders>
            <w:shd w:val="solid" w:color="000000" w:fill="auto"/>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046D0E">
              <w:rPr>
                <w:rFonts w:eastAsiaTheme="minorEastAsia" w:cs="Calibri"/>
                <w:i/>
                <w:iCs/>
                <w:color w:val="FFFFFF"/>
                <w:szCs w:val="20"/>
                <w:lang w:eastAsia="en-AU"/>
              </w:rPr>
              <w:t>forecast</w:t>
            </w:r>
          </w:p>
        </w:tc>
        <w:tc>
          <w:tcPr>
            <w:tcW w:w="850" w:type="dxa"/>
            <w:tcBorders>
              <w:top w:val="nil"/>
              <w:left w:val="nil"/>
              <w:bottom w:val="single" w:sz="12" w:space="0" w:color="000000"/>
              <w:right w:val="nil"/>
            </w:tcBorders>
            <w:shd w:val="solid" w:color="000000" w:fill="auto"/>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046D0E">
              <w:rPr>
                <w:rFonts w:eastAsiaTheme="minorEastAsia" w:cs="Calibri"/>
                <w:i/>
                <w:iCs/>
                <w:color w:val="FFFFFF"/>
                <w:szCs w:val="20"/>
                <w:lang w:eastAsia="en-AU"/>
              </w:rPr>
              <w:t>forecast</w:t>
            </w:r>
          </w:p>
        </w:tc>
        <w:tc>
          <w:tcPr>
            <w:tcW w:w="850" w:type="dxa"/>
            <w:tcBorders>
              <w:top w:val="nil"/>
              <w:left w:val="nil"/>
              <w:bottom w:val="single" w:sz="12" w:space="0" w:color="000000"/>
              <w:right w:val="nil"/>
            </w:tcBorders>
            <w:shd w:val="solid" w:color="000000" w:fill="auto"/>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046D0E">
              <w:rPr>
                <w:rFonts w:eastAsiaTheme="minorEastAsia" w:cs="Calibri"/>
                <w:i/>
                <w:iCs/>
                <w:color w:val="FFFFFF"/>
                <w:szCs w:val="20"/>
                <w:lang w:eastAsia="en-AU"/>
              </w:rPr>
              <w:t>projection</w:t>
            </w:r>
          </w:p>
        </w:tc>
        <w:tc>
          <w:tcPr>
            <w:tcW w:w="850" w:type="dxa"/>
            <w:tcBorders>
              <w:top w:val="nil"/>
              <w:left w:val="nil"/>
              <w:bottom w:val="single" w:sz="12" w:space="0" w:color="000000"/>
              <w:right w:val="single" w:sz="12" w:space="0" w:color="000000"/>
            </w:tcBorders>
            <w:shd w:val="solid" w:color="000000" w:fill="auto"/>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046D0E">
              <w:rPr>
                <w:rFonts w:eastAsiaTheme="minorEastAsia" w:cs="Calibri"/>
                <w:i/>
                <w:iCs/>
                <w:color w:val="FFFFFF"/>
                <w:szCs w:val="20"/>
                <w:lang w:eastAsia="en-AU"/>
              </w:rPr>
              <w:t>projection</w:t>
            </w:r>
          </w:p>
        </w:tc>
      </w:tr>
      <w:tr w:rsidR="00552DFA" w:rsidRPr="00046D0E"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046D0E" w:rsidRDefault="00552DFA" w:rsidP="00423C3D">
            <w:pPr>
              <w:keepLines w:val="0"/>
              <w:autoSpaceDE w:val="0"/>
              <w:autoSpaceDN w:val="0"/>
              <w:adjustRightInd w:val="0"/>
              <w:rPr>
                <w:rFonts w:eastAsiaTheme="minorEastAsia" w:cs="Calibri"/>
                <w:color w:val="000000"/>
                <w:szCs w:val="20"/>
                <w:lang w:eastAsia="en-AU"/>
              </w:rPr>
            </w:pPr>
            <w:r w:rsidRPr="00046D0E">
              <w:rPr>
                <w:rFonts w:eastAsiaTheme="minorEastAsia" w:cs="Calibri"/>
                <w:color w:val="000000"/>
                <w:szCs w:val="20"/>
                <w:lang w:eastAsia="en-AU"/>
              </w:rPr>
              <w:t>Real gross state product</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3.3</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3.00</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2.75</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2.75</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2.75</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2.75</w:t>
            </w:r>
          </w:p>
        </w:tc>
      </w:tr>
      <w:tr w:rsidR="00552DFA" w:rsidRPr="00046D0E"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046D0E" w:rsidRDefault="00552DFA" w:rsidP="00423C3D">
            <w:pPr>
              <w:keepLines w:val="0"/>
              <w:autoSpaceDE w:val="0"/>
              <w:autoSpaceDN w:val="0"/>
              <w:adjustRightInd w:val="0"/>
              <w:rPr>
                <w:rFonts w:eastAsiaTheme="minorEastAsia" w:cs="Calibri"/>
                <w:color w:val="000000"/>
                <w:szCs w:val="20"/>
                <w:lang w:eastAsia="en-AU"/>
              </w:rPr>
            </w:pPr>
            <w:r w:rsidRPr="00046D0E">
              <w:rPr>
                <w:rFonts w:eastAsiaTheme="minorEastAsia" w:cs="Calibri"/>
                <w:color w:val="000000"/>
                <w:szCs w:val="20"/>
                <w:lang w:eastAsia="en-AU"/>
              </w:rPr>
              <w:t>Employment</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2.4</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3.25</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2.00</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1.50</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1.50</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1.50</w:t>
            </w:r>
          </w:p>
        </w:tc>
      </w:tr>
      <w:tr w:rsidR="00552DFA" w:rsidRPr="00046D0E"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046D0E" w:rsidRDefault="00552DFA" w:rsidP="00423C3D">
            <w:pPr>
              <w:keepLines w:val="0"/>
              <w:autoSpaceDE w:val="0"/>
              <w:autoSpaceDN w:val="0"/>
              <w:adjustRightInd w:val="0"/>
              <w:rPr>
                <w:rFonts w:eastAsiaTheme="minorEastAsia" w:cs="Calibri"/>
                <w:color w:val="000000"/>
                <w:szCs w:val="20"/>
                <w:vertAlign w:val="superscript"/>
                <w:lang w:eastAsia="en-AU"/>
              </w:rPr>
            </w:pPr>
            <w:r w:rsidRPr="00046D0E">
              <w:rPr>
                <w:rFonts w:eastAsiaTheme="minorEastAsia" w:cs="Calibri"/>
                <w:color w:val="000000"/>
                <w:szCs w:val="20"/>
                <w:lang w:eastAsia="en-AU"/>
              </w:rPr>
              <w:t>Unemployment</w:t>
            </w:r>
            <w:r w:rsidR="00356A95">
              <w:rPr>
                <w:rFonts w:eastAsiaTheme="minorEastAsia" w:cs="Calibri"/>
                <w:color w:val="000000"/>
                <w:szCs w:val="20"/>
                <w:lang w:eastAsia="en-AU"/>
              </w:rPr>
              <w:fldChar w:fldCharType="begin"/>
            </w:r>
            <w:r w:rsidR="00356A95">
              <w:rPr>
                <w:rFonts w:eastAsiaTheme="minorEastAsia" w:cs="Calibri"/>
                <w:color w:val="000000"/>
                <w:szCs w:val="20"/>
                <w:lang w:eastAsia="en-AU"/>
              </w:rPr>
              <w:instrText xml:space="preserve"> XE "</w:instrText>
            </w:r>
            <w:r w:rsidR="00356A95">
              <w:instrText>Unemployment"</w:instrText>
            </w:r>
            <w:r w:rsidR="00356A95">
              <w:rPr>
                <w:rFonts w:eastAsiaTheme="minorEastAsia" w:cs="Calibri"/>
                <w:color w:val="000000"/>
                <w:szCs w:val="20"/>
                <w:lang w:eastAsia="en-AU"/>
              </w:rPr>
              <w:instrText xml:space="preserve"> </w:instrText>
            </w:r>
            <w:r w:rsidR="00356A95">
              <w:rPr>
                <w:rFonts w:eastAsiaTheme="minorEastAsia" w:cs="Calibri"/>
                <w:color w:val="000000"/>
                <w:szCs w:val="20"/>
                <w:lang w:eastAsia="en-AU"/>
              </w:rPr>
              <w:fldChar w:fldCharType="end"/>
            </w:r>
            <w:r w:rsidRPr="00046D0E">
              <w:rPr>
                <w:rFonts w:eastAsiaTheme="minorEastAsia" w:cs="Calibri"/>
                <w:color w:val="000000"/>
                <w:szCs w:val="20"/>
                <w:lang w:eastAsia="en-AU"/>
              </w:rPr>
              <w:t xml:space="preserve"> rate</w:t>
            </w:r>
            <w:r w:rsidR="00356A95">
              <w:rPr>
                <w:rFonts w:eastAsiaTheme="minorEastAsia" w:cs="Calibri"/>
                <w:color w:val="000000"/>
                <w:szCs w:val="20"/>
                <w:lang w:eastAsia="en-AU"/>
              </w:rPr>
              <w:fldChar w:fldCharType="begin"/>
            </w:r>
            <w:r w:rsidR="00356A95">
              <w:rPr>
                <w:rFonts w:eastAsiaTheme="minorEastAsia" w:cs="Calibri"/>
                <w:color w:val="000000"/>
                <w:szCs w:val="20"/>
                <w:lang w:eastAsia="en-AU"/>
              </w:rPr>
              <w:instrText xml:space="preserve"> XE "</w:instrText>
            </w:r>
            <w:r w:rsidR="00356A95">
              <w:instrText>Unemployment:Unemployment rate"</w:instrText>
            </w:r>
            <w:r w:rsidR="00356A95">
              <w:rPr>
                <w:rFonts w:eastAsiaTheme="minorEastAsia" w:cs="Calibri"/>
                <w:color w:val="000000"/>
                <w:szCs w:val="20"/>
                <w:lang w:eastAsia="en-AU"/>
              </w:rPr>
              <w:instrText xml:space="preserve"> </w:instrText>
            </w:r>
            <w:r w:rsidR="00356A95">
              <w:rPr>
                <w:rFonts w:eastAsiaTheme="minorEastAsia" w:cs="Calibri"/>
                <w:color w:val="000000"/>
                <w:szCs w:val="20"/>
                <w:lang w:eastAsia="en-AU"/>
              </w:rPr>
              <w:fldChar w:fldCharType="end"/>
            </w:r>
            <w:r w:rsidRPr="00046D0E">
              <w:rPr>
                <w:rFonts w:eastAsiaTheme="minorEastAsia" w:cs="Calibri"/>
                <w:color w:val="000000"/>
                <w:szCs w:val="20"/>
                <w:lang w:eastAsia="en-AU"/>
              </w:rPr>
              <w:t xml:space="preserve"> </w:t>
            </w:r>
            <w:r w:rsidRPr="00046D0E">
              <w:rPr>
                <w:rFonts w:eastAsiaTheme="minorEastAsia" w:cs="Calibri"/>
                <w:color w:val="000000"/>
                <w:szCs w:val="20"/>
                <w:vertAlign w:val="superscript"/>
                <w:lang w:eastAsia="en-AU"/>
              </w:rPr>
              <w:t>(b)</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5.9</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5.75</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5.50</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5.50</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5.50</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5.50</w:t>
            </w:r>
          </w:p>
        </w:tc>
      </w:tr>
      <w:tr w:rsidR="00552DFA" w:rsidRPr="00046D0E"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046D0E" w:rsidRDefault="00552DFA" w:rsidP="00423C3D">
            <w:pPr>
              <w:keepLines w:val="0"/>
              <w:autoSpaceDE w:val="0"/>
              <w:autoSpaceDN w:val="0"/>
              <w:adjustRightInd w:val="0"/>
            </w:pPr>
            <w:r w:rsidRPr="00046D0E">
              <w:rPr>
                <w:rFonts w:eastAsiaTheme="minorEastAsia" w:cs="Calibri"/>
                <w:color w:val="000000"/>
                <w:szCs w:val="20"/>
                <w:lang w:eastAsia="en-AU"/>
              </w:rPr>
              <w:t>Consumer price index</w:t>
            </w:r>
            <w:r w:rsidR="00356A95">
              <w:rPr>
                <w:rFonts w:eastAsiaTheme="minorEastAsia" w:cs="Calibri"/>
                <w:color w:val="000000"/>
                <w:szCs w:val="20"/>
                <w:lang w:eastAsia="en-AU"/>
              </w:rPr>
              <w:fldChar w:fldCharType="begin"/>
            </w:r>
            <w:r w:rsidR="00356A95">
              <w:rPr>
                <w:rFonts w:eastAsiaTheme="minorEastAsia" w:cs="Calibri"/>
                <w:color w:val="000000"/>
                <w:szCs w:val="20"/>
                <w:lang w:eastAsia="en-AU"/>
              </w:rPr>
              <w:instrText xml:space="preserve"> XE "</w:instrText>
            </w:r>
            <w:r w:rsidR="00356A95">
              <w:instrText>Inflation:Consumer price index"</w:instrText>
            </w:r>
            <w:r w:rsidR="00356A95">
              <w:rPr>
                <w:rFonts w:eastAsiaTheme="minorEastAsia" w:cs="Calibri"/>
                <w:color w:val="000000"/>
                <w:szCs w:val="20"/>
                <w:lang w:eastAsia="en-AU"/>
              </w:rPr>
              <w:instrText xml:space="preserve"> </w:instrText>
            </w:r>
            <w:r w:rsidR="00356A95">
              <w:rPr>
                <w:rFonts w:eastAsiaTheme="minorEastAsia" w:cs="Calibri"/>
                <w:color w:val="000000"/>
                <w:szCs w:val="20"/>
                <w:lang w:eastAsia="en-AU"/>
              </w:rPr>
              <w:fldChar w:fldCharType="end"/>
            </w:r>
            <w:r w:rsidRPr="00046D0E">
              <w:rPr>
                <w:rFonts w:eastAsiaTheme="minorEastAsia" w:cs="Calibri"/>
                <w:color w:val="000000"/>
                <w:szCs w:val="20"/>
                <w:lang w:eastAsia="en-AU"/>
              </w:rPr>
              <w:t xml:space="preserve"> </w:t>
            </w:r>
            <w:r w:rsidRPr="00046D0E">
              <w:rPr>
                <w:rFonts w:eastAsiaTheme="minorEastAsia" w:cs="Calibri"/>
                <w:color w:val="000000"/>
                <w:szCs w:val="20"/>
                <w:vertAlign w:val="superscript"/>
                <w:lang w:eastAsia="en-AU"/>
              </w:rPr>
              <w:t>(c)</w:t>
            </w:r>
            <w:r w:rsidRPr="00046D0E">
              <w:t xml:space="preserve"> </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1.6</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2.00</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2.00</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2.25</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2.50</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2.50</w:t>
            </w:r>
          </w:p>
        </w:tc>
      </w:tr>
      <w:tr w:rsidR="00552DFA" w:rsidRPr="00046D0E"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046D0E" w:rsidRDefault="00552DFA" w:rsidP="00423C3D">
            <w:pPr>
              <w:keepLines w:val="0"/>
              <w:autoSpaceDE w:val="0"/>
              <w:autoSpaceDN w:val="0"/>
              <w:adjustRightInd w:val="0"/>
              <w:rPr>
                <w:rFonts w:eastAsiaTheme="minorEastAsia" w:cs="Calibri"/>
                <w:color w:val="000000"/>
                <w:szCs w:val="20"/>
                <w:vertAlign w:val="superscript"/>
                <w:lang w:eastAsia="en-AU"/>
              </w:rPr>
            </w:pPr>
            <w:r w:rsidRPr="00046D0E">
              <w:rPr>
                <w:rFonts w:eastAsiaTheme="minorEastAsia" w:cs="Calibri"/>
                <w:color w:val="000000"/>
                <w:szCs w:val="20"/>
                <w:lang w:eastAsia="en-AU"/>
              </w:rPr>
              <w:t xml:space="preserve">Wage price index </w:t>
            </w:r>
            <w:r w:rsidRPr="00046D0E">
              <w:rPr>
                <w:rFonts w:eastAsiaTheme="minorEastAsia" w:cs="Calibri"/>
                <w:color w:val="000000"/>
                <w:szCs w:val="20"/>
                <w:vertAlign w:val="superscript"/>
                <w:lang w:eastAsia="en-AU"/>
              </w:rPr>
              <w:t>(d)</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2.3</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2.00</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2.25</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2.75</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3.00</w:t>
            </w:r>
          </w:p>
        </w:tc>
        <w:tc>
          <w:tcPr>
            <w:tcW w:w="850" w:type="dxa"/>
            <w:tcBorders>
              <w:top w:val="nil"/>
              <w:left w:val="nil"/>
              <w:bottom w:val="nil"/>
              <w:right w:val="nil"/>
            </w:tcBorders>
          </w:tcPr>
          <w:p w:rsidR="00552DFA" w:rsidRPr="00046D0E"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46D0E">
              <w:rPr>
                <w:rFonts w:eastAsiaTheme="minorEastAsia" w:cs="Calibri"/>
                <w:color w:val="000000"/>
                <w:szCs w:val="20"/>
                <w:lang w:eastAsia="en-AU"/>
              </w:rPr>
              <w:t>3.25</w:t>
            </w:r>
          </w:p>
        </w:tc>
      </w:tr>
      <w:tr w:rsidR="00552DFA" w:rsidRPr="00046D0E" w:rsidTr="00423C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nil"/>
              <w:bottom w:val="single" w:sz="18" w:space="0" w:color="000000"/>
            </w:tcBorders>
          </w:tcPr>
          <w:p w:rsidR="00552DFA" w:rsidRPr="00046D0E" w:rsidRDefault="00552DFA" w:rsidP="00423C3D">
            <w:pPr>
              <w:keepLines w:val="0"/>
              <w:autoSpaceDE w:val="0"/>
              <w:autoSpaceDN w:val="0"/>
              <w:adjustRightInd w:val="0"/>
              <w:rPr>
                <w:rFonts w:eastAsiaTheme="minorEastAsia" w:cs="Calibri"/>
                <w:b w:val="0"/>
                <w:color w:val="000000"/>
                <w:szCs w:val="20"/>
                <w:vertAlign w:val="superscript"/>
                <w:lang w:eastAsia="en-AU"/>
              </w:rPr>
            </w:pPr>
            <w:r w:rsidRPr="00046D0E">
              <w:rPr>
                <w:rFonts w:eastAsiaTheme="minorEastAsia" w:cs="Calibri"/>
                <w:b w:val="0"/>
                <w:color w:val="000000"/>
                <w:szCs w:val="20"/>
                <w:lang w:eastAsia="en-AU"/>
              </w:rPr>
              <w:t xml:space="preserve">Population </w:t>
            </w:r>
            <w:r w:rsidRPr="00046D0E">
              <w:rPr>
                <w:rFonts w:eastAsiaTheme="minorEastAsia" w:cs="Calibri"/>
                <w:b w:val="0"/>
                <w:color w:val="000000"/>
                <w:szCs w:val="20"/>
                <w:vertAlign w:val="superscript"/>
                <w:lang w:eastAsia="en-AU"/>
              </w:rPr>
              <w:t>(e)</w:t>
            </w:r>
          </w:p>
        </w:tc>
        <w:tc>
          <w:tcPr>
            <w:tcW w:w="850" w:type="dxa"/>
            <w:tcBorders>
              <w:top w:val="nil"/>
              <w:bottom w:val="single" w:sz="18" w:space="0" w:color="000000"/>
            </w:tcBorders>
          </w:tcPr>
          <w:p w:rsidR="00552DFA" w:rsidRPr="00046D0E"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20"/>
                <w:lang w:eastAsia="en-AU"/>
              </w:rPr>
            </w:pPr>
            <w:r w:rsidRPr="00046D0E">
              <w:rPr>
                <w:rFonts w:eastAsiaTheme="minorEastAsia" w:cs="Calibri"/>
                <w:b w:val="0"/>
                <w:color w:val="000000"/>
                <w:szCs w:val="20"/>
                <w:lang w:eastAsia="en-AU"/>
              </w:rPr>
              <w:t>2.1</w:t>
            </w:r>
          </w:p>
        </w:tc>
        <w:tc>
          <w:tcPr>
            <w:tcW w:w="850" w:type="dxa"/>
            <w:tcBorders>
              <w:top w:val="nil"/>
              <w:bottom w:val="single" w:sz="18" w:space="0" w:color="000000"/>
            </w:tcBorders>
          </w:tcPr>
          <w:p w:rsidR="00552DFA" w:rsidRPr="00046D0E"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20"/>
                <w:lang w:eastAsia="en-AU"/>
              </w:rPr>
            </w:pPr>
            <w:r w:rsidRPr="00046D0E">
              <w:rPr>
                <w:rFonts w:eastAsiaTheme="minorEastAsia" w:cs="Calibri"/>
                <w:b w:val="0"/>
                <w:color w:val="000000"/>
                <w:szCs w:val="20"/>
                <w:lang w:eastAsia="en-AU"/>
              </w:rPr>
              <w:t>2.00</w:t>
            </w:r>
          </w:p>
        </w:tc>
        <w:tc>
          <w:tcPr>
            <w:tcW w:w="850" w:type="dxa"/>
            <w:tcBorders>
              <w:top w:val="nil"/>
              <w:bottom w:val="single" w:sz="18" w:space="0" w:color="000000"/>
            </w:tcBorders>
          </w:tcPr>
          <w:p w:rsidR="00552DFA" w:rsidRPr="00046D0E"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20"/>
                <w:lang w:eastAsia="en-AU"/>
              </w:rPr>
            </w:pPr>
            <w:r w:rsidRPr="00046D0E">
              <w:rPr>
                <w:rFonts w:eastAsiaTheme="minorEastAsia" w:cs="Calibri"/>
                <w:b w:val="0"/>
                <w:color w:val="000000"/>
                <w:szCs w:val="20"/>
                <w:lang w:eastAsia="en-AU"/>
              </w:rPr>
              <w:t>1.90</w:t>
            </w:r>
          </w:p>
        </w:tc>
        <w:tc>
          <w:tcPr>
            <w:tcW w:w="850" w:type="dxa"/>
            <w:tcBorders>
              <w:top w:val="nil"/>
              <w:bottom w:val="single" w:sz="18" w:space="0" w:color="000000"/>
            </w:tcBorders>
          </w:tcPr>
          <w:p w:rsidR="00552DFA" w:rsidRPr="00046D0E"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20"/>
                <w:lang w:eastAsia="en-AU"/>
              </w:rPr>
            </w:pPr>
            <w:r w:rsidRPr="00046D0E">
              <w:rPr>
                <w:rFonts w:eastAsiaTheme="minorEastAsia" w:cs="Calibri"/>
                <w:b w:val="0"/>
                <w:color w:val="000000"/>
                <w:szCs w:val="20"/>
                <w:lang w:eastAsia="en-AU"/>
              </w:rPr>
              <w:t>1.80</w:t>
            </w:r>
          </w:p>
        </w:tc>
        <w:tc>
          <w:tcPr>
            <w:tcW w:w="850" w:type="dxa"/>
            <w:tcBorders>
              <w:top w:val="nil"/>
              <w:bottom w:val="single" w:sz="18" w:space="0" w:color="000000"/>
            </w:tcBorders>
          </w:tcPr>
          <w:p w:rsidR="00552DFA" w:rsidRPr="00046D0E"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20"/>
                <w:lang w:eastAsia="en-AU"/>
              </w:rPr>
            </w:pPr>
            <w:r w:rsidRPr="00046D0E">
              <w:rPr>
                <w:rFonts w:eastAsiaTheme="minorEastAsia" w:cs="Calibri"/>
                <w:b w:val="0"/>
                <w:color w:val="000000"/>
                <w:szCs w:val="20"/>
                <w:lang w:eastAsia="en-AU"/>
              </w:rPr>
              <w:t>1.80</w:t>
            </w:r>
          </w:p>
        </w:tc>
        <w:tc>
          <w:tcPr>
            <w:tcW w:w="850" w:type="dxa"/>
            <w:tcBorders>
              <w:top w:val="nil"/>
              <w:bottom w:val="single" w:sz="18" w:space="0" w:color="000000"/>
            </w:tcBorders>
          </w:tcPr>
          <w:p w:rsidR="00552DFA" w:rsidRPr="00046D0E"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20"/>
                <w:lang w:eastAsia="en-AU"/>
              </w:rPr>
            </w:pPr>
            <w:r w:rsidRPr="00046D0E">
              <w:rPr>
                <w:rFonts w:eastAsiaTheme="minorEastAsia" w:cs="Calibri"/>
                <w:b w:val="0"/>
                <w:color w:val="000000"/>
                <w:szCs w:val="20"/>
                <w:lang w:eastAsia="en-AU"/>
              </w:rPr>
              <w:t>1.80</w:t>
            </w:r>
          </w:p>
        </w:tc>
      </w:tr>
    </w:tbl>
    <w:p w:rsidR="00552DFA" w:rsidRDefault="00552DFA" w:rsidP="00423C3D">
      <w:pPr>
        <w:pStyle w:val="Source"/>
      </w:pPr>
      <w:r>
        <w:t>Sources: Department of Treasury and Finance; Australian Bureau of Statistics</w:t>
      </w:r>
    </w:p>
    <w:p w:rsidR="00552DFA" w:rsidRPr="00D06F45" w:rsidRDefault="00552DFA" w:rsidP="00423C3D">
      <w:pPr>
        <w:pStyle w:val="Note"/>
      </w:pPr>
      <w:r w:rsidRPr="00D06F45">
        <w:t xml:space="preserve">Notes: </w:t>
      </w:r>
    </w:p>
    <w:p w:rsidR="00552DFA" w:rsidRPr="00D06F45" w:rsidRDefault="00552DFA" w:rsidP="00423C3D">
      <w:pPr>
        <w:pStyle w:val="Note"/>
      </w:pPr>
      <w:r w:rsidRPr="00D06F45">
        <w:t>(a)</w:t>
      </w:r>
      <w:r w:rsidRPr="00D06F45">
        <w:tab/>
        <w:t xml:space="preserve">Percentage change in year average compared with previous year, except for the unemployment rate (see note </w:t>
      </w:r>
      <w:r>
        <w:t>(b)) and population (see </w:t>
      </w:r>
      <w:r w:rsidRPr="00D06F45">
        <w:t>note (e)). Forecasts are rounded to the nearest 0.25 percentage points, except for population (see note (e)).</w:t>
      </w:r>
    </w:p>
    <w:p w:rsidR="00552DFA" w:rsidRPr="00D06F45" w:rsidRDefault="00552DFA" w:rsidP="00423C3D">
      <w:pPr>
        <w:pStyle w:val="Note"/>
      </w:pPr>
      <w:r w:rsidRPr="00D06F45">
        <w:tab/>
        <w:t>Projections for 2019</w:t>
      </w:r>
      <w:r>
        <w:noBreakHyphen/>
      </w:r>
      <w:r w:rsidRPr="00D06F45">
        <w:t>20 and 2020</w:t>
      </w:r>
      <w:r>
        <w:noBreakHyphen/>
      </w:r>
      <w:r w:rsidRPr="00D06F45">
        <w:t>21 represent trend rates, except for the wage price index</w:t>
      </w:r>
      <w:r>
        <w:t>,</w:t>
      </w:r>
      <w:r w:rsidRPr="00D06F45">
        <w:t xml:space="preserve"> which shows a path towards tr</w:t>
      </w:r>
      <w:r>
        <w:t>end in 2020</w:t>
      </w:r>
      <w:r>
        <w:noBreakHyphen/>
      </w:r>
      <w:r w:rsidRPr="00D06F45">
        <w:t>21.</w:t>
      </w:r>
    </w:p>
    <w:p w:rsidR="00552DFA" w:rsidRPr="00D06F45" w:rsidRDefault="00552DFA" w:rsidP="00423C3D">
      <w:pPr>
        <w:pStyle w:val="Note"/>
      </w:pPr>
      <w:r w:rsidRPr="00D06F45">
        <w:tab/>
        <w:t>The key assumptions underlying the economic forecasts include: interest rates that follow movements in market expectations in the short term, and stabilise thereafter; a trade weighted index of 66.8; and oil prices that follow the path suggested by oil futures.</w:t>
      </w:r>
    </w:p>
    <w:p w:rsidR="00552DFA" w:rsidRPr="00D06F45" w:rsidRDefault="00552DFA" w:rsidP="00423C3D">
      <w:pPr>
        <w:pStyle w:val="Note"/>
      </w:pPr>
      <w:r w:rsidRPr="00D06F45">
        <w:t>(b)</w:t>
      </w:r>
      <w:r w:rsidRPr="00D06F45">
        <w:tab/>
        <w:t>Year average.</w:t>
      </w:r>
    </w:p>
    <w:p w:rsidR="00552DFA" w:rsidRPr="00D06F45" w:rsidRDefault="00552DFA" w:rsidP="00423C3D">
      <w:pPr>
        <w:pStyle w:val="Note"/>
      </w:pPr>
      <w:r w:rsidRPr="00D06F45">
        <w:t>(c)</w:t>
      </w:r>
      <w:r w:rsidRPr="00D06F45">
        <w:tab/>
        <w:t>Melbourne consumer price index.</w:t>
      </w:r>
    </w:p>
    <w:p w:rsidR="00552DFA" w:rsidRPr="00D06F45" w:rsidRDefault="00552DFA" w:rsidP="00423C3D">
      <w:pPr>
        <w:pStyle w:val="Note"/>
      </w:pPr>
      <w:r w:rsidRPr="00D06F45">
        <w:t>(d)</w:t>
      </w:r>
      <w:r w:rsidRPr="00D06F45">
        <w:tab/>
        <w:t xml:space="preserve">Wage </w:t>
      </w:r>
      <w:r>
        <w:t>p</w:t>
      </w:r>
      <w:r w:rsidRPr="00D06F45">
        <w:t xml:space="preserve">rice </w:t>
      </w:r>
      <w:r>
        <w:t>i</w:t>
      </w:r>
      <w:r w:rsidRPr="00D06F45">
        <w:t>ndex, Victoria (based on total hourly rates of pay, excluding bonuses).</w:t>
      </w:r>
    </w:p>
    <w:p w:rsidR="00552DFA" w:rsidRPr="00D06F45" w:rsidRDefault="00552DFA" w:rsidP="00423C3D">
      <w:pPr>
        <w:pStyle w:val="Note"/>
      </w:pPr>
      <w:r w:rsidRPr="00D06F45">
        <w:t>(e)</w:t>
      </w:r>
      <w:r w:rsidRPr="00D06F45">
        <w:tab/>
        <w:t>Percentage change over the year to 30 June. Forecasts are rounded to the nearest 0.1 p</w:t>
      </w:r>
      <w:r>
        <w:t>ercentage point.</w:t>
      </w:r>
    </w:p>
    <w:p w:rsidR="00552DFA" w:rsidRDefault="00552DFA">
      <w:pPr>
        <w:keepLines w:val="0"/>
        <w:rPr>
          <w:rFonts w:asciiTheme="majorHAnsi" w:eastAsiaTheme="majorEastAsia" w:hAnsiTheme="majorHAnsi" w:cstheme="majorBidi"/>
          <w:b/>
          <w:spacing w:val="-2"/>
          <w:sz w:val="26"/>
          <w:szCs w:val="26"/>
        </w:rPr>
      </w:pPr>
    </w:p>
    <w:p w:rsidR="00552DFA" w:rsidRDefault="00552DFA" w:rsidP="00423C3D">
      <w:pPr>
        <w:pStyle w:val="Heading20"/>
      </w:pPr>
      <w:r>
        <w:t>Gross state product</w:t>
      </w:r>
      <w:r w:rsidR="00356A95">
        <w:fldChar w:fldCharType="begin"/>
      </w:r>
      <w:r w:rsidR="00356A95">
        <w:instrText xml:space="preserve"> XE "Gross domestic product" </w:instrText>
      </w:r>
      <w:r w:rsidR="00356A95">
        <w:fldChar w:fldCharType="end"/>
      </w:r>
    </w:p>
    <w:p w:rsidR="00552DFA" w:rsidRDefault="00552DFA" w:rsidP="00423C3D">
      <w:r>
        <w:t>Victoria’s real GSP growth is forecast to be 2.75 per cent in 2017</w:t>
      </w:r>
      <w:r>
        <w:noBreakHyphen/>
        <w:t xml:space="preserve">18 and remain at that rate over the forward estimates. This reflects growth in household consumption, business investment and dwelling investment. </w:t>
      </w:r>
    </w:p>
    <w:p w:rsidR="00552DFA" w:rsidRDefault="00552DFA" w:rsidP="00423C3D">
      <w:r>
        <w:t>Household consumption</w:t>
      </w:r>
      <w:r w:rsidR="00356A95">
        <w:fldChar w:fldCharType="begin"/>
      </w:r>
      <w:r w:rsidR="00356A95">
        <w:instrText xml:space="preserve"> XE "Household consumption" </w:instrText>
      </w:r>
      <w:r w:rsidR="00356A95">
        <w:fldChar w:fldCharType="end"/>
      </w:r>
      <w:r>
        <w:t xml:space="preserve"> is forecast to grow at trend over the forward estimates. Growth will be supported by solid employment growth and higher household wealth, mostly due to higher house prices and positive equity market returns. Interest rates are assumed to rise</w:t>
      </w:r>
      <w:r w:rsidRPr="007D22EC">
        <w:t xml:space="preserve"> </w:t>
      </w:r>
      <w:r>
        <w:t>marginally, consistent with futures pricing, but to remain low by historical standards.</w:t>
      </w:r>
    </w:p>
    <w:p w:rsidR="00552DFA" w:rsidRDefault="00552DFA" w:rsidP="00423C3D">
      <w:r>
        <w:t>Dwelling investment</w:t>
      </w:r>
      <w:r w:rsidR="00356A95">
        <w:fldChar w:fldCharType="begin"/>
      </w:r>
      <w:r w:rsidR="00356A95">
        <w:instrText xml:space="preserve"> XE "</w:instrText>
      </w:r>
      <w:r w:rsidR="00356A95" w:rsidRPr="00864E8B">
        <w:instrText>Dwelling investment</w:instrText>
      </w:r>
      <w:r w:rsidR="00356A95">
        <w:instrText xml:space="preserve">" </w:instrText>
      </w:r>
      <w:r w:rsidR="00356A95">
        <w:fldChar w:fldCharType="end"/>
      </w:r>
      <w:r>
        <w:t xml:space="preserve"> grew 11.1 per cent in 2015</w:t>
      </w:r>
      <w:r>
        <w:noBreakHyphen/>
        <w:t xml:space="preserve">16, the highest growth rate since 2002. The large amount of work in the pipeline should continue to support a high level of dwelling investment for some time. </w:t>
      </w:r>
    </w:p>
    <w:p w:rsidR="00552DFA" w:rsidRDefault="00552DFA" w:rsidP="00423C3D">
      <w:r>
        <w:lastRenderedPageBreak/>
        <w:t>Business investment</w:t>
      </w:r>
      <w:r w:rsidR="00356A95">
        <w:fldChar w:fldCharType="begin"/>
      </w:r>
      <w:r w:rsidR="00356A95">
        <w:instrText xml:space="preserve"> XE "Business investment" </w:instrText>
      </w:r>
      <w:r w:rsidR="00356A95">
        <w:fldChar w:fldCharType="end"/>
      </w:r>
      <w:r>
        <w:t xml:space="preserve"> is forecast to grow in 2017</w:t>
      </w:r>
      <w:r>
        <w:noBreakHyphen/>
        <w:t>18 and over the forward estimates, driven by low borrowing costs and consistent with above average surveyed business conditions. Capacity utilisation has increased since 2013 and is currently above the long</w:t>
      </w:r>
      <w:r>
        <w:noBreakHyphen/>
        <w:t>term average, which is likely to support investment. The pipeline for non</w:t>
      </w:r>
      <w:r>
        <w:noBreakHyphen/>
        <w:t xml:space="preserve">dwelling construction has improved, </w:t>
      </w:r>
      <w:r w:rsidRPr="00F81980">
        <w:t>including in the retail and office sectors</w:t>
      </w:r>
      <w:r>
        <w:t xml:space="preserve">. </w:t>
      </w:r>
    </w:p>
    <w:p w:rsidR="00552DFA" w:rsidRDefault="00552DFA" w:rsidP="00423C3D">
      <w:r w:rsidRPr="00C14CDA">
        <w:t>Merchandise export growth is expected to recover in 2016</w:t>
      </w:r>
      <w:r>
        <w:noBreakHyphen/>
      </w:r>
      <w:r w:rsidRPr="00C14CDA">
        <w:t>17, mostly due to increased agricultural production. Victoria produced a record winter cr</w:t>
      </w:r>
      <w:r>
        <w:t>op of 10 million tonnes in 2016</w:t>
      </w:r>
      <w:r>
        <w:noBreakHyphen/>
      </w:r>
      <w:r w:rsidRPr="00C14CDA">
        <w:t xml:space="preserve">17, </w:t>
      </w:r>
      <w:r>
        <w:t>a 145 per cent increase on 2015</w:t>
      </w:r>
      <w:r>
        <w:noBreakHyphen/>
      </w:r>
      <w:r w:rsidRPr="00C14CDA">
        <w:t>16. The forecasts assume a return to average seasonal conditions in 2017</w:t>
      </w:r>
      <w:r>
        <w:noBreakHyphen/>
      </w:r>
      <w:r w:rsidRPr="00C14CDA">
        <w:t>18. Merchandise exports are forecast to grow at trend in 2017</w:t>
      </w:r>
      <w:r>
        <w:noBreakHyphen/>
      </w:r>
      <w:r w:rsidRPr="00C14CDA">
        <w:t xml:space="preserve">18 and will likely benefit from the </w:t>
      </w:r>
      <w:r>
        <w:t>weaker</w:t>
      </w:r>
      <w:r w:rsidRPr="00C14CDA">
        <w:t xml:space="preserve"> Australian dollar and ongoing </w:t>
      </w:r>
      <w:r>
        <w:t xml:space="preserve">economic </w:t>
      </w:r>
      <w:r w:rsidRPr="00C14CDA">
        <w:t>growth in Australia</w:t>
      </w:r>
      <w:r>
        <w:t>’</w:t>
      </w:r>
      <w:r w:rsidRPr="00C14CDA">
        <w:t xml:space="preserve">s major trading partners. </w:t>
      </w:r>
    </w:p>
    <w:p w:rsidR="00552DFA" w:rsidRDefault="00552DFA" w:rsidP="00423C3D">
      <w:r>
        <w:t>Service exports are forecast to grow above trend in 2016</w:t>
      </w:r>
      <w:r>
        <w:noBreakHyphen/>
        <w:t>17, led by an increase in inbound tourists and international students, before returning to trend in the projection years. Tourism</w:t>
      </w:r>
      <w:r w:rsidR="00356A95">
        <w:fldChar w:fldCharType="begin"/>
      </w:r>
      <w:r w:rsidR="00356A95">
        <w:instrText xml:space="preserve"> XE "Tourism" </w:instrText>
      </w:r>
      <w:r w:rsidR="00356A95">
        <w:fldChar w:fldCharType="end"/>
      </w:r>
      <w:r>
        <w:t xml:space="preserve"> is an important export industry for Victoria. Over the year to December 2016, Victoria welcomed 2.7 million international visitors, a 10.4 per cent increase compared to the previous year, spending a total of $6.9 billion. </w:t>
      </w:r>
    </w:p>
    <w:p w:rsidR="00552DFA" w:rsidRDefault="00552DFA" w:rsidP="00423C3D">
      <w:r>
        <w:t>Imports of goods and services are expected to grow approximately in line with consumption growth over the forward estimates.</w:t>
      </w:r>
    </w:p>
    <w:p w:rsidR="00552DFA" w:rsidRDefault="00552DFA" w:rsidP="00423C3D">
      <w:pPr>
        <w:pStyle w:val="Heading20"/>
      </w:pPr>
      <w:r>
        <w:t>Other economic indicators</w:t>
      </w:r>
    </w:p>
    <w:p w:rsidR="00552DFA" w:rsidRDefault="00552DFA" w:rsidP="00423C3D">
      <w:pPr>
        <w:pStyle w:val="Heading30"/>
      </w:pPr>
      <w:r>
        <w:t>Prices</w:t>
      </w:r>
    </w:p>
    <w:p w:rsidR="00552DFA" w:rsidRDefault="00552DFA" w:rsidP="00423C3D">
      <w:pPr>
        <w:keepLines w:val="0"/>
      </w:pPr>
      <w:r w:rsidRPr="00893E4C">
        <w:t>Austra</w:t>
      </w:r>
      <w:r>
        <w:t>lian and Melbourne inflation have</w:t>
      </w:r>
      <w:r w:rsidRPr="00893E4C">
        <w:t xml:space="preserve"> been weak in recent years. A number of factors have contributed to this, including low inflation expectations and heightened competitive pressure in some product markets.</w:t>
      </w:r>
    </w:p>
    <w:p w:rsidR="00552DFA" w:rsidRPr="001907CD" w:rsidRDefault="00552DFA" w:rsidP="00423C3D">
      <w:pPr>
        <w:keepLines w:val="0"/>
      </w:pPr>
      <w:r w:rsidRPr="001907CD">
        <w:t>Melbourne’s inflation is forecast to gradually increase towards 2.5</w:t>
      </w:r>
      <w:r>
        <w:t> per cent</w:t>
      </w:r>
      <w:r w:rsidRPr="001907CD">
        <w:t xml:space="preserve"> over the forward estimates. This is driven by a gradual normalisation in wages growth and price increases in the utilities, health and insurance sectors. The effect from increased competitive pressure is expected to slowly reduce over the forward estimates as markets stabilise.</w:t>
      </w:r>
    </w:p>
    <w:p w:rsidR="00552DFA" w:rsidRDefault="00552DFA" w:rsidP="00423C3D">
      <w:pPr>
        <w:pStyle w:val="Heading30"/>
      </w:pPr>
      <w:r>
        <w:t>W</w:t>
      </w:r>
      <w:r w:rsidRPr="00893E4C">
        <w:t>ages</w:t>
      </w:r>
      <w:r w:rsidR="00356A95">
        <w:fldChar w:fldCharType="begin"/>
      </w:r>
      <w:r w:rsidR="00356A95">
        <w:instrText xml:space="preserve"> XE "Wages" </w:instrText>
      </w:r>
      <w:r w:rsidR="00356A95">
        <w:fldChar w:fldCharType="end"/>
      </w:r>
    </w:p>
    <w:p w:rsidR="00552DFA" w:rsidRDefault="00552DFA" w:rsidP="00423C3D">
      <w:pPr>
        <w:keepLines w:val="0"/>
      </w:pPr>
      <w:r w:rsidRPr="001907CD">
        <w:t>The outlook for inflation and wages growth is tightly linked. The wage price index is forecast to increase gradually, but to remain below its estimated trend r</w:t>
      </w:r>
      <w:r>
        <w:t>ate of 3.5 per cent. With above</w:t>
      </w:r>
      <w:r>
        <w:noBreakHyphen/>
        <w:t>trend employment growth in 2017</w:t>
      </w:r>
      <w:r>
        <w:noBreakHyphen/>
      </w:r>
      <w:r w:rsidRPr="001907CD">
        <w:t>18, excess capacity in the labour market is expected to be slowly absorbed as more people move into jobs, gradually adding to wage pressure. The forecast 0.5 percentage point increase in the pace of wages growth in 2018</w:t>
      </w:r>
      <w:r>
        <w:noBreakHyphen/>
      </w:r>
      <w:r w:rsidRPr="001907CD">
        <w:t>19 is mostly due to the lagged impact of the earlier reduction in the unemployment rate.</w:t>
      </w:r>
      <w:r>
        <w:t xml:space="preserve"> </w:t>
      </w:r>
    </w:p>
    <w:p w:rsidR="00552DFA" w:rsidRDefault="00552DFA" w:rsidP="00423C3D">
      <w:pPr>
        <w:pStyle w:val="Heading20"/>
      </w:pPr>
      <w:r>
        <w:lastRenderedPageBreak/>
        <w:t>The labour market</w:t>
      </w:r>
    </w:p>
    <w:p w:rsidR="00552DFA" w:rsidRDefault="00552DFA" w:rsidP="00423C3D">
      <w:r>
        <w:t>The Victorian labour market is performing well (Chart 2.1 and Chart 2.2). In 2016, employment grew by an average of 3.0 per cent, the strongest among the states, with positive contributions from both full</w:t>
      </w:r>
      <w:r>
        <w:noBreakHyphen/>
        <w:t>time and part</w:t>
      </w:r>
      <w:r>
        <w:noBreakHyphen/>
        <w:t xml:space="preserve">time employment. This reflects strong growth in labour supply, from both interstate and overseas migration, and strong levels of economic activity, including in the construction industry. </w:t>
      </w:r>
    </w:p>
    <w:p w:rsidR="00552DFA" w:rsidRDefault="00552DFA" w:rsidP="00423C3D">
      <w:r>
        <w:t>Indicators of near</w:t>
      </w:r>
      <w:r>
        <w:noBreakHyphen/>
        <w:t>term activity are positive. Surveyed measures of employment conditions have recovered from lows recorded in 2013 and are currently tracking above the average level recorded since the global financial crisis.</w:t>
      </w:r>
    </w:p>
    <w:p w:rsidR="00552DFA" w:rsidRDefault="00552DFA" w:rsidP="00423C3D">
      <w:pPr>
        <w:pStyle w:val="TableHeading"/>
      </w:pPr>
      <w:r>
        <w:t>Chart 2.1:</w:t>
      </w:r>
      <w:r>
        <w:tab/>
      </w:r>
      <w:r w:rsidRPr="000339A2">
        <w:t>Victorian employment growth</w:t>
      </w:r>
      <w:r>
        <w:t>, year on year</w:t>
      </w:r>
    </w:p>
    <w:p w:rsidR="00552DFA" w:rsidRDefault="0049535D" w:rsidP="00423C3D">
      <w:pPr>
        <w:pStyle w:val="Source"/>
      </w:pPr>
      <w:r>
        <w:pict>
          <v:shape id="_x0000_i1029" type="#_x0000_t75" style="width:373.4pt;height:257.85pt">
            <v:imagedata r:id="rId21" o:title=""/>
          </v:shape>
        </w:pict>
      </w:r>
      <w:r w:rsidR="00552DFA" w:rsidRPr="009809C0">
        <w:t>Source: Australian Bureau o</w:t>
      </w:r>
      <w:r w:rsidR="00552DFA">
        <w:t>f Statistics</w:t>
      </w:r>
    </w:p>
    <w:p w:rsidR="00B37B2E" w:rsidRPr="00B37B2E" w:rsidRDefault="00B37B2E" w:rsidP="00B37B2E">
      <w:pPr>
        <w:pStyle w:val="Note"/>
      </w:pPr>
    </w:p>
    <w:p w:rsidR="00552DFA" w:rsidRDefault="00552DFA" w:rsidP="00423C3D">
      <w:r>
        <w:t xml:space="preserve">Strong employment growth is encouraging workers back into the labour market. Victoria’s labour force participation rate increased to an average of 65.2 per cent in 2016, its highest level since 2011. The unemployment rate has declined from its recent high of 6.9 per cent in October 2014 to average 5.8 per cent in 2016. </w:t>
      </w:r>
    </w:p>
    <w:p w:rsidR="00552DFA" w:rsidRDefault="00552DFA" w:rsidP="00423C3D">
      <w:pPr>
        <w:pStyle w:val="TableHeading"/>
      </w:pPr>
      <w:r>
        <w:lastRenderedPageBreak/>
        <w:t>Chart 2.2:</w:t>
      </w:r>
      <w:r>
        <w:tab/>
        <w:t>Total and full</w:t>
      </w:r>
      <w:r>
        <w:noBreakHyphen/>
        <w:t xml:space="preserve">time </w:t>
      </w:r>
      <w:r w:rsidRPr="000339A2">
        <w:t>employment growth</w:t>
      </w:r>
      <w:r>
        <w:t xml:space="preserve"> by state, 2016</w:t>
      </w:r>
    </w:p>
    <w:p w:rsidR="00552DFA" w:rsidRDefault="0049535D" w:rsidP="00423C3D">
      <w:pPr>
        <w:pStyle w:val="Source"/>
      </w:pPr>
      <w:r>
        <w:pict>
          <v:shape id="_x0000_i1030" type="#_x0000_t75" style="width:390.15pt;height:267.05pt">
            <v:imagedata r:id="rId22" o:title=""/>
          </v:shape>
        </w:pict>
      </w:r>
      <w:r w:rsidR="00552DFA" w:rsidRPr="009809C0">
        <w:t>Source: Australian Bureau o</w:t>
      </w:r>
      <w:r w:rsidR="00552DFA">
        <w:t>f Statistics</w:t>
      </w:r>
    </w:p>
    <w:p w:rsidR="00552DFA" w:rsidRPr="00CF6F54" w:rsidRDefault="00552DFA" w:rsidP="00423C3D">
      <w:pPr>
        <w:pStyle w:val="Note"/>
      </w:pPr>
    </w:p>
    <w:p w:rsidR="00552DFA" w:rsidRDefault="00552DFA" w:rsidP="00423C3D">
      <w:r w:rsidRPr="000C55D2">
        <w:t>The strength of the labour market is being reflected in the opportunities provided to Victoria</w:t>
      </w:r>
      <w:r>
        <w:t>’</w:t>
      </w:r>
      <w:r w:rsidRPr="000C55D2">
        <w:t>s youth</w:t>
      </w:r>
      <w:r>
        <w:t>. Victoria’s youth (15</w:t>
      </w:r>
      <w:r>
        <w:noBreakHyphen/>
      </w:r>
      <w:r w:rsidRPr="000C55D2">
        <w:t xml:space="preserve">24 years) unemployment rate declined </w:t>
      </w:r>
      <w:r>
        <w:t xml:space="preserve">0.5 percentage points </w:t>
      </w:r>
      <w:r w:rsidRPr="000C55D2">
        <w:t xml:space="preserve">to </w:t>
      </w:r>
      <w:r>
        <w:t>an average of 12.7 per cent</w:t>
      </w:r>
      <w:r w:rsidRPr="000C55D2">
        <w:t xml:space="preserve"> in 2016</w:t>
      </w:r>
      <w:r>
        <w:t>.</w:t>
      </w:r>
      <w:r w:rsidRPr="000C55D2">
        <w:t xml:space="preserve"> </w:t>
      </w:r>
    </w:p>
    <w:p w:rsidR="00552DFA" w:rsidRDefault="00552DFA" w:rsidP="00423C3D">
      <w:r>
        <w:t>Opportunities are also increasing in regional Victoria, with employment growing by an average of 2.1 per cent in 2016, above the national average of 1.0 per cent (see Box </w:t>
      </w:r>
      <w:r w:rsidRPr="00D00607">
        <w:t>2.</w:t>
      </w:r>
      <w:r>
        <w:t>1</w:t>
      </w:r>
      <w:r w:rsidRPr="00D00607">
        <w:t>:</w:t>
      </w:r>
      <w:r>
        <w:t> </w:t>
      </w:r>
      <w:r w:rsidRPr="00D00607">
        <w:t>Victoria</w:t>
      </w:r>
      <w:r>
        <w:t>’</w:t>
      </w:r>
      <w:r w:rsidRPr="00D00607">
        <w:t xml:space="preserve">s regional labour market </w:t>
      </w:r>
      <w:r>
        <w:t>for further information about the regional labour force).</w:t>
      </w:r>
    </w:p>
    <w:p w:rsidR="00552DFA" w:rsidRDefault="00552DFA" w:rsidP="00423C3D">
      <w:r>
        <w:t>Consistent with above trend employment growth, the unemployment rate is forecast to decline in 2017</w:t>
      </w:r>
      <w:r>
        <w:noBreakHyphen/>
        <w:t>18 to 5.5 per cent. The unemployment rate is then forecast to be stable over the forward estimates as employment growth is largely offset by growth in the labour force.</w:t>
      </w:r>
    </w:p>
    <w:p w:rsidR="00552DFA" w:rsidRDefault="00552DFA" w:rsidP="00423C3D">
      <w:r>
        <w:t>The participation rate is forecast to remain around its current rate in 2017</w:t>
      </w:r>
      <w:r>
        <w:noBreakHyphen/>
        <w:t xml:space="preserve">18. With employment growth returning to trend and the unemployment rate stable, structural factors such as the ageing of the population will gently weigh on the participation rate in the projection years. </w:t>
      </w:r>
    </w:p>
    <w:p w:rsidR="00552DFA" w:rsidRPr="00E53F4E" w:rsidRDefault="00552DFA" w:rsidP="00423C3D">
      <w:pPr>
        <w:pStyle w:val="HighlightBoxText"/>
        <w:pageBreakBefore/>
        <w:tabs>
          <w:tab w:val="left" w:pos="993"/>
        </w:tabs>
        <w:rPr>
          <w:rFonts w:asciiTheme="majorHAnsi" w:hAnsiTheme="majorHAnsi"/>
          <w:b/>
          <w:sz w:val="20"/>
          <w:szCs w:val="20"/>
        </w:rPr>
      </w:pPr>
      <w:r w:rsidRPr="00E53F4E">
        <w:rPr>
          <w:rFonts w:asciiTheme="majorHAnsi" w:hAnsiTheme="majorHAnsi"/>
          <w:b/>
          <w:sz w:val="20"/>
          <w:szCs w:val="20"/>
        </w:rPr>
        <w:lastRenderedPageBreak/>
        <w:t xml:space="preserve">Box 2.1: </w:t>
      </w:r>
      <w:r w:rsidRPr="00E53F4E">
        <w:rPr>
          <w:rFonts w:asciiTheme="majorHAnsi" w:hAnsiTheme="majorHAnsi"/>
          <w:b/>
          <w:sz w:val="20"/>
          <w:szCs w:val="20"/>
        </w:rPr>
        <w:tab/>
        <w:t>Victoria’s regional labour market</w:t>
      </w:r>
    </w:p>
    <w:p w:rsidR="00552DFA" w:rsidRDefault="00552DFA" w:rsidP="00423C3D">
      <w:pPr>
        <w:pStyle w:val="HighlightBoxText"/>
      </w:pPr>
      <w:r>
        <w:t>Victoria’s regional labour market is one of the strongest in the nation (Chart 2.3).</w:t>
      </w:r>
      <w:r w:rsidRPr="00A52042">
        <w:t xml:space="preserve"> </w:t>
      </w:r>
      <w:r>
        <w:t xml:space="preserve">In 2016, employment in regional Victoria grew by 2.1 per cent, higher than the national average regional employment growth of 1.0 per cent. </w:t>
      </w:r>
    </w:p>
    <w:p w:rsidR="00552DFA" w:rsidRDefault="00552DFA" w:rsidP="00423C3D">
      <w:pPr>
        <w:pStyle w:val="HighlightBoxText"/>
        <w:tabs>
          <w:tab w:val="left" w:pos="993"/>
        </w:tabs>
      </w:pPr>
      <w:r>
        <w:rPr>
          <w:rFonts w:asciiTheme="majorHAnsi" w:hAnsiTheme="majorHAnsi"/>
          <w:b/>
          <w:sz w:val="20"/>
          <w:szCs w:val="20"/>
        </w:rPr>
        <w:t>Chart 2.3:</w:t>
      </w:r>
      <w:r>
        <w:rPr>
          <w:rFonts w:asciiTheme="majorHAnsi" w:hAnsiTheme="majorHAnsi"/>
          <w:b/>
          <w:sz w:val="20"/>
          <w:szCs w:val="20"/>
        </w:rPr>
        <w:tab/>
      </w:r>
      <w:r w:rsidRPr="008D76B3">
        <w:rPr>
          <w:rFonts w:asciiTheme="majorHAnsi" w:hAnsiTheme="majorHAnsi"/>
          <w:b/>
          <w:sz w:val="20"/>
          <w:szCs w:val="20"/>
        </w:rPr>
        <w:t>Regional employment</w:t>
      </w:r>
      <w:r w:rsidR="00356A95">
        <w:rPr>
          <w:rFonts w:asciiTheme="majorHAnsi" w:hAnsiTheme="majorHAnsi"/>
          <w:b/>
          <w:sz w:val="20"/>
          <w:szCs w:val="20"/>
        </w:rPr>
        <w:fldChar w:fldCharType="begin"/>
      </w:r>
      <w:r w:rsidR="00356A95">
        <w:rPr>
          <w:rFonts w:asciiTheme="majorHAnsi" w:hAnsiTheme="majorHAnsi"/>
          <w:b/>
          <w:sz w:val="20"/>
          <w:szCs w:val="20"/>
        </w:rPr>
        <w:instrText xml:space="preserve"> XE "</w:instrText>
      </w:r>
      <w:r w:rsidR="00356A95">
        <w:instrText>Jobs:Regional"</w:instrText>
      </w:r>
      <w:r w:rsidR="00356A95">
        <w:rPr>
          <w:rFonts w:asciiTheme="majorHAnsi" w:hAnsiTheme="majorHAnsi"/>
          <w:b/>
          <w:sz w:val="20"/>
          <w:szCs w:val="20"/>
        </w:rPr>
        <w:instrText xml:space="preserve"> </w:instrText>
      </w:r>
      <w:r w:rsidR="00356A95">
        <w:rPr>
          <w:rFonts w:asciiTheme="majorHAnsi" w:hAnsiTheme="majorHAnsi"/>
          <w:b/>
          <w:sz w:val="20"/>
          <w:szCs w:val="20"/>
        </w:rPr>
        <w:fldChar w:fldCharType="end"/>
      </w:r>
      <w:r w:rsidR="00356A95">
        <w:rPr>
          <w:rFonts w:asciiTheme="majorHAnsi" w:hAnsiTheme="majorHAnsi"/>
          <w:b/>
          <w:sz w:val="20"/>
          <w:szCs w:val="20"/>
        </w:rPr>
        <w:fldChar w:fldCharType="begin"/>
      </w:r>
      <w:r w:rsidR="00356A95">
        <w:rPr>
          <w:rFonts w:asciiTheme="majorHAnsi" w:hAnsiTheme="majorHAnsi"/>
          <w:b/>
          <w:sz w:val="20"/>
          <w:szCs w:val="20"/>
        </w:rPr>
        <w:instrText xml:space="preserve"> XE "</w:instrText>
      </w:r>
      <w:r w:rsidR="00356A95">
        <w:instrText>Employment:Regional"</w:instrText>
      </w:r>
      <w:r w:rsidR="00356A95">
        <w:rPr>
          <w:rFonts w:asciiTheme="majorHAnsi" w:hAnsiTheme="majorHAnsi"/>
          <w:b/>
          <w:sz w:val="20"/>
          <w:szCs w:val="20"/>
        </w:rPr>
        <w:instrText xml:space="preserve"> </w:instrText>
      </w:r>
      <w:r w:rsidR="00356A95">
        <w:rPr>
          <w:rFonts w:asciiTheme="majorHAnsi" w:hAnsiTheme="majorHAnsi"/>
          <w:b/>
          <w:sz w:val="20"/>
          <w:szCs w:val="20"/>
        </w:rPr>
        <w:fldChar w:fldCharType="end"/>
      </w:r>
      <w:r w:rsidRPr="008D76B3">
        <w:rPr>
          <w:rFonts w:asciiTheme="majorHAnsi" w:hAnsiTheme="majorHAnsi"/>
          <w:b/>
          <w:sz w:val="20"/>
          <w:szCs w:val="20"/>
        </w:rPr>
        <w:t xml:space="preserve"> growth, 2016 </w:t>
      </w:r>
    </w:p>
    <w:p w:rsidR="00552DFA" w:rsidRDefault="0049535D" w:rsidP="00423C3D">
      <w:pPr>
        <w:pStyle w:val="HighlightBoxText"/>
      </w:pPr>
      <w:r>
        <w:pict>
          <v:shape id="_x0000_i1031" type="#_x0000_t75" style="width:374.25pt;height:251.15pt">
            <v:imagedata r:id="rId23" o:title=""/>
          </v:shape>
        </w:pict>
      </w:r>
    </w:p>
    <w:p w:rsidR="00552DFA" w:rsidRPr="00244893" w:rsidRDefault="00552DFA" w:rsidP="00423C3D">
      <w:pPr>
        <w:pStyle w:val="HighlightBoxText"/>
        <w:rPr>
          <w:rFonts w:asciiTheme="majorHAnsi" w:hAnsiTheme="majorHAnsi"/>
          <w:i/>
          <w:sz w:val="14"/>
          <w:szCs w:val="14"/>
        </w:rPr>
      </w:pPr>
      <w:r w:rsidRPr="00244893">
        <w:rPr>
          <w:rFonts w:asciiTheme="majorHAnsi" w:hAnsiTheme="majorHAnsi"/>
          <w:i/>
          <w:sz w:val="14"/>
          <w:szCs w:val="14"/>
        </w:rPr>
        <w:t>Source: Australian Bureau of Statistics</w:t>
      </w:r>
    </w:p>
    <w:p w:rsidR="00552DFA" w:rsidRDefault="00552DFA" w:rsidP="00423C3D">
      <w:pPr>
        <w:pStyle w:val="HighlightBoxText"/>
      </w:pPr>
      <w:r>
        <w:t>The diversity of Victoria’s regional economy is a major reason for the strength in the labour market.</w:t>
      </w:r>
      <w:r w:rsidRPr="00A52042">
        <w:t xml:space="preserve"> </w:t>
      </w:r>
      <w:r>
        <w:t>Due to the impact of structural change, a high share of employment in regional Victoria is now in service</w:t>
      </w:r>
      <w:r>
        <w:noBreakHyphen/>
        <w:t xml:space="preserve">based industries. The two largest employers in 2016 were the health care and social assistance, and retail trade industries. </w:t>
      </w:r>
    </w:p>
    <w:p w:rsidR="00552DFA" w:rsidRDefault="00552DFA" w:rsidP="00423C3D">
      <w:pPr>
        <w:pStyle w:val="HighlightBoxText"/>
      </w:pPr>
      <w:r>
        <w:t>Tourism</w:t>
      </w:r>
      <w:r w:rsidR="00356A95">
        <w:fldChar w:fldCharType="begin"/>
      </w:r>
      <w:r w:rsidR="00356A95">
        <w:instrText xml:space="preserve"> XE "Tourism" </w:instrText>
      </w:r>
      <w:r w:rsidR="00356A95">
        <w:fldChar w:fldCharType="end"/>
      </w:r>
      <w:r>
        <w:t xml:space="preserve"> is a significant employer in regional Victoria. This is reflected in the high share of retail trade and accommodation and food services employment. Tourism services in regional Victoria include natural attractions, spa retreats, and food and wine experiences. </w:t>
      </w:r>
    </w:p>
    <w:p w:rsidR="00552DFA" w:rsidRDefault="00552DFA" w:rsidP="00423C3D">
      <w:pPr>
        <w:pStyle w:val="HighlightBoxText"/>
      </w:pPr>
      <w:r>
        <w:t>Education is an important industry and employer in regional Victoria. In addition to serving local students, in 2015 there were about 5 000 international students living and studying in regional Victoria. A large proportion of these students studied at institutions in Geelong and Ballarat.</w:t>
      </w:r>
    </w:p>
    <w:p w:rsidR="00552DFA" w:rsidRDefault="00552DFA" w:rsidP="00423C3D">
      <w:pPr>
        <w:pStyle w:val="HighlightBoxText"/>
      </w:pPr>
      <w:r>
        <w:t>Agriculture remains a key source of economic activity and employment in regional Victoria. The agriculture industry employs around 11 per cent of the regional workforce and exported almost $12 billion of food and fibre products in 2015</w:t>
      </w:r>
      <w:r>
        <w:noBreakHyphen/>
        <w:t>16. The medium</w:t>
      </w:r>
      <w:r>
        <w:noBreakHyphen/>
        <w:t>term outlook for agriculture production is positive as global demand for premium food and beverage products is expected to grow.</w:t>
      </w:r>
    </w:p>
    <w:p w:rsidR="00552DFA" w:rsidRPr="00244893" w:rsidRDefault="00552DFA" w:rsidP="00423C3D">
      <w:pPr>
        <w:pStyle w:val="HighlightBoxText"/>
        <w:tabs>
          <w:tab w:val="left" w:pos="324"/>
        </w:tabs>
        <w:spacing w:before="0"/>
        <w:rPr>
          <w:rFonts w:asciiTheme="majorHAnsi" w:hAnsiTheme="majorHAnsi"/>
          <w:i/>
          <w:sz w:val="14"/>
          <w:szCs w:val="14"/>
        </w:rPr>
      </w:pPr>
    </w:p>
    <w:p w:rsidR="00552DFA" w:rsidRDefault="00552DFA" w:rsidP="00423C3D">
      <w:pPr>
        <w:pStyle w:val="Heading20"/>
      </w:pPr>
      <w:r>
        <w:lastRenderedPageBreak/>
        <w:t>Population</w:t>
      </w:r>
    </w:p>
    <w:p w:rsidR="00552DFA" w:rsidRDefault="00552DFA" w:rsidP="00423C3D">
      <w:r>
        <w:t xml:space="preserve">Victoria’s population growth has been strong. Over the year to June 2016, Victoria’s population grew by 2.1 per cent, the highest growth rate of all the states. Net overseas migration has been the largest contributor to population growth, accounting for more than 50 per cent of the state’s population increase over the year to June 2016. </w:t>
      </w:r>
    </w:p>
    <w:p w:rsidR="00552DFA" w:rsidRDefault="00552DFA" w:rsidP="00423C3D">
      <w:r>
        <w:t xml:space="preserve">Victoria recorded the highest net interstate migration of all jurisdictions, reflecting the relative attractiveness of Victoria as a place to live and work (see </w:t>
      </w:r>
      <w:r w:rsidRPr="00D00607">
        <w:t>Box</w:t>
      </w:r>
      <w:r>
        <w:t> </w:t>
      </w:r>
      <w:r w:rsidRPr="00D00607">
        <w:t>2.</w:t>
      </w:r>
      <w:r>
        <w:t>2</w:t>
      </w:r>
      <w:r w:rsidRPr="00D00607">
        <w:t>: Victoria</w:t>
      </w:r>
      <w:r>
        <w:t>’</w:t>
      </w:r>
      <w:r w:rsidRPr="00D00607">
        <w:t xml:space="preserve">s record net interstate migration </w:t>
      </w:r>
      <w:r>
        <w:t>for further information about trends in interstate migration).</w:t>
      </w:r>
    </w:p>
    <w:p w:rsidR="00552DFA" w:rsidRDefault="00552DFA" w:rsidP="00423C3D">
      <w:r>
        <w:t>Population growth</w:t>
      </w:r>
      <w:r w:rsidR="00356A95">
        <w:fldChar w:fldCharType="begin"/>
      </w:r>
      <w:r w:rsidR="00356A95">
        <w:instrText xml:space="preserve"> XE "Population:Growth" </w:instrText>
      </w:r>
      <w:r w:rsidR="00356A95">
        <w:fldChar w:fldCharType="end"/>
      </w:r>
      <w:r>
        <w:t xml:space="preserve"> is forecast to be robust over the forward estimates, although the rate of growth is expected to moderate. Net overseas migration will be the largest contributor to growth and is forecast to average around 66 000 persons per year over the forward estimates. In the longer term, the Australian Bureau of Statistics projects Melbourne’s population could exceed Sydney’s by 2036 if current trends persist.</w:t>
      </w:r>
    </w:p>
    <w:p w:rsidR="00552DFA" w:rsidRPr="00E53F4E" w:rsidRDefault="00552DFA" w:rsidP="00423C3D">
      <w:pPr>
        <w:pStyle w:val="HighlightBoxText"/>
        <w:tabs>
          <w:tab w:val="left" w:pos="993"/>
          <w:tab w:val="left" w:pos="6032"/>
        </w:tabs>
        <w:spacing w:before="240" w:after="120"/>
        <w:rPr>
          <w:rFonts w:asciiTheme="majorHAnsi" w:hAnsiTheme="majorHAnsi"/>
          <w:b/>
          <w:sz w:val="20"/>
          <w:szCs w:val="20"/>
        </w:rPr>
      </w:pPr>
      <w:r w:rsidRPr="00E53F4E">
        <w:rPr>
          <w:rFonts w:asciiTheme="majorHAnsi" w:hAnsiTheme="majorHAnsi"/>
          <w:b/>
          <w:sz w:val="20"/>
          <w:szCs w:val="20"/>
        </w:rPr>
        <w:t xml:space="preserve">Box 2.2: </w:t>
      </w:r>
      <w:r>
        <w:rPr>
          <w:rFonts w:asciiTheme="majorHAnsi" w:hAnsiTheme="majorHAnsi"/>
          <w:b/>
          <w:sz w:val="20"/>
          <w:szCs w:val="20"/>
        </w:rPr>
        <w:tab/>
      </w:r>
      <w:r w:rsidRPr="00E53F4E">
        <w:rPr>
          <w:rFonts w:asciiTheme="majorHAnsi" w:hAnsiTheme="majorHAnsi"/>
          <w:b/>
          <w:sz w:val="20"/>
          <w:szCs w:val="20"/>
        </w:rPr>
        <w:t>Victoria’s record net interstate migration</w:t>
      </w:r>
    </w:p>
    <w:p w:rsidR="00552DFA" w:rsidRDefault="00552DFA" w:rsidP="00423C3D">
      <w:pPr>
        <w:pStyle w:val="HighlightBoxText"/>
      </w:pPr>
      <w:r>
        <w:t>Based on a comparison with historical census data, Victoria is currently experiencing the highest net interstate migration since about 1961. In 2015</w:t>
      </w:r>
      <w:r>
        <w:noBreakHyphen/>
        <w:t>16, Victoria’s net interstate migration was 16 700 persons and accounted for almost 14 per cent of total population growth.</w:t>
      </w:r>
    </w:p>
    <w:p w:rsidR="00552DFA" w:rsidRDefault="00552DFA" w:rsidP="00423C3D">
      <w:pPr>
        <w:pStyle w:val="HighlightBoxText"/>
      </w:pPr>
      <w:r>
        <w:t xml:space="preserve">The current positive flow of net interstate migration is rare when compared to Victoria’s history. Over the past half century, both New South Wales and Victoria have steadily lost population to Queensland and, to a lesser extent, Western Australia. </w:t>
      </w:r>
    </w:p>
    <w:p w:rsidR="00552DFA" w:rsidRDefault="00552DFA" w:rsidP="00423C3D">
      <w:pPr>
        <w:pStyle w:val="HighlightBoxText"/>
        <w:keepNext/>
        <w:keepLines w:val="0"/>
        <w:tabs>
          <w:tab w:val="left" w:pos="993"/>
        </w:tabs>
        <w:spacing w:after="120"/>
        <w:rPr>
          <w:rFonts w:asciiTheme="majorHAnsi" w:hAnsiTheme="majorHAnsi"/>
          <w:b/>
          <w:sz w:val="20"/>
          <w:szCs w:val="20"/>
        </w:rPr>
      </w:pPr>
      <w:r>
        <w:rPr>
          <w:rFonts w:asciiTheme="majorHAnsi" w:hAnsiTheme="majorHAnsi"/>
          <w:b/>
          <w:sz w:val="20"/>
          <w:szCs w:val="20"/>
        </w:rPr>
        <w:t>Chart 2.4:</w:t>
      </w:r>
      <w:r>
        <w:rPr>
          <w:rFonts w:asciiTheme="majorHAnsi" w:hAnsiTheme="majorHAnsi"/>
          <w:b/>
          <w:sz w:val="20"/>
          <w:szCs w:val="20"/>
        </w:rPr>
        <w:tab/>
      </w:r>
      <w:r w:rsidRPr="00012836">
        <w:rPr>
          <w:rFonts w:asciiTheme="majorHAnsi" w:hAnsiTheme="majorHAnsi"/>
          <w:b/>
          <w:sz w:val="20"/>
          <w:szCs w:val="20"/>
        </w:rPr>
        <w:t>Victoria</w:t>
      </w:r>
      <w:r>
        <w:rPr>
          <w:rFonts w:asciiTheme="majorHAnsi" w:hAnsiTheme="majorHAnsi"/>
          <w:b/>
          <w:sz w:val="20"/>
          <w:szCs w:val="20"/>
        </w:rPr>
        <w:t>’</w:t>
      </w:r>
      <w:r w:rsidRPr="00012836">
        <w:rPr>
          <w:rFonts w:asciiTheme="majorHAnsi" w:hAnsiTheme="majorHAnsi"/>
          <w:b/>
          <w:sz w:val="20"/>
          <w:szCs w:val="20"/>
        </w:rPr>
        <w:t>s net interstate migration, quarterly</w:t>
      </w:r>
    </w:p>
    <w:p w:rsidR="00552DFA" w:rsidRDefault="0049535D" w:rsidP="00423C3D">
      <w:pPr>
        <w:pStyle w:val="HighlightBoxText"/>
        <w:keepLines w:val="0"/>
        <w:tabs>
          <w:tab w:val="left" w:pos="1080"/>
        </w:tabs>
        <w:jc w:val="center"/>
        <w:rPr>
          <w:rFonts w:asciiTheme="majorHAnsi" w:hAnsiTheme="majorHAnsi"/>
          <w:i/>
          <w:sz w:val="14"/>
          <w:szCs w:val="14"/>
        </w:rPr>
      </w:pPr>
      <w:r>
        <w:rPr>
          <w:rFonts w:asciiTheme="majorHAnsi" w:hAnsiTheme="majorHAnsi"/>
          <w:i/>
          <w:sz w:val="14"/>
          <w:szCs w:val="14"/>
        </w:rPr>
        <w:pict>
          <v:shape id="_x0000_i1032" type="#_x0000_t75" style="width:354.15pt;height:224.35pt">
            <v:imagedata r:id="rId24" o:title="" cropbottom="4492f"/>
          </v:shape>
        </w:pict>
      </w:r>
    </w:p>
    <w:p w:rsidR="00552DFA" w:rsidRDefault="00552DFA" w:rsidP="00423C3D">
      <w:pPr>
        <w:pStyle w:val="HighlightBoxText"/>
        <w:keepLines w:val="0"/>
        <w:tabs>
          <w:tab w:val="left" w:pos="1080"/>
        </w:tabs>
      </w:pPr>
      <w:r w:rsidRPr="00CC29CC">
        <w:rPr>
          <w:rFonts w:asciiTheme="majorHAnsi" w:hAnsiTheme="majorHAnsi"/>
          <w:i/>
          <w:sz w:val="14"/>
          <w:szCs w:val="14"/>
        </w:rPr>
        <w:t>Source: Australian</w:t>
      </w:r>
      <w:r>
        <w:rPr>
          <w:rFonts w:asciiTheme="majorHAnsi" w:hAnsiTheme="majorHAnsi"/>
          <w:i/>
          <w:sz w:val="14"/>
          <w:szCs w:val="14"/>
        </w:rPr>
        <w:t xml:space="preserve"> Bureau of Statistics </w:t>
      </w:r>
    </w:p>
    <w:p w:rsidR="00552DFA" w:rsidRDefault="00552DFA" w:rsidP="00423C3D">
      <w:pPr>
        <w:pStyle w:val="HighlightBoxText"/>
      </w:pPr>
      <w:r>
        <w:lastRenderedPageBreak/>
        <w:t>The historical trend masks some large swings in the flow of interstate migration. In the 1970s and 1980s, Victoria typically recorded net interstate migration losses. The peak outflow occurred after the early 1990s’ recession, where net interstate migration from Victoria to other states averaged around 7 500 persons per quarter (Chart 2.4).</w:t>
      </w:r>
    </w:p>
    <w:p w:rsidR="00552DFA" w:rsidRDefault="00552DFA" w:rsidP="00423C3D">
      <w:pPr>
        <w:pStyle w:val="HighlightBoxText"/>
      </w:pPr>
      <w:r>
        <w:t>Since the recovery of Victoria’s economy in the late 1990s, there has been a large shift in interstate migration into Victoria. In 1998</w:t>
      </w:r>
      <w:r>
        <w:noBreakHyphen/>
        <w:t>99, Victoria saw positive interstate migration of 2 500 persons for the first time since at least 1961. More recently, Victoria has gained net interstate migration from every state and territory with the largest flows from New South Wales and Western Australia (Chart 2.5).</w:t>
      </w:r>
    </w:p>
    <w:p w:rsidR="00552DFA" w:rsidRDefault="00552DFA" w:rsidP="00423C3D">
      <w:pPr>
        <w:pStyle w:val="HighlightBoxText"/>
      </w:pPr>
      <w:r>
        <w:t>Younger people are by far the biggest movers. Almost two</w:t>
      </w:r>
      <w:r>
        <w:noBreakHyphen/>
        <w:t xml:space="preserve">thirds of arrivals from interstate are aged 15 to 44 years, significantly greater than the overall population share. Older people make up fewer than five per cent of arrivals, much less than their share of population. </w:t>
      </w:r>
    </w:p>
    <w:p w:rsidR="00552DFA" w:rsidRDefault="00552DFA" w:rsidP="00423C3D">
      <w:pPr>
        <w:pStyle w:val="HighlightBoxText"/>
      </w:pPr>
      <w:r>
        <w:t>Most interstate movers to Victoria settle in Melbourne and the largest flows are recorded in the inner city. Many of these people are likely to be young adults, who tend to be attracted by lifestyle, housing and educational opportunities. In regional Victoria, the most common landing places for interstate movers are the large regional towns of Geelong and Ballarat, and the border towns such as Wodonga and Mildura.</w:t>
      </w:r>
    </w:p>
    <w:p w:rsidR="00552DFA" w:rsidRPr="00C546D2" w:rsidRDefault="00552DFA" w:rsidP="00423C3D">
      <w:pPr>
        <w:pStyle w:val="HighlightBoxText"/>
        <w:tabs>
          <w:tab w:val="left" w:pos="993"/>
        </w:tabs>
        <w:rPr>
          <w:rFonts w:asciiTheme="majorHAnsi" w:hAnsiTheme="majorHAnsi"/>
          <w:b/>
          <w:sz w:val="20"/>
          <w:szCs w:val="20"/>
        </w:rPr>
      </w:pPr>
      <w:r w:rsidRPr="00C546D2">
        <w:rPr>
          <w:rFonts w:asciiTheme="majorHAnsi" w:hAnsiTheme="majorHAnsi"/>
          <w:b/>
          <w:sz w:val="20"/>
          <w:szCs w:val="20"/>
        </w:rPr>
        <w:t>Chart 2.</w:t>
      </w:r>
      <w:r>
        <w:rPr>
          <w:rFonts w:asciiTheme="majorHAnsi" w:hAnsiTheme="majorHAnsi"/>
          <w:b/>
          <w:sz w:val="20"/>
          <w:szCs w:val="20"/>
        </w:rPr>
        <w:t>5</w:t>
      </w:r>
      <w:r w:rsidRPr="00C546D2">
        <w:rPr>
          <w:rFonts w:asciiTheme="majorHAnsi" w:hAnsiTheme="majorHAnsi"/>
          <w:b/>
          <w:sz w:val="20"/>
          <w:szCs w:val="20"/>
        </w:rPr>
        <w:t xml:space="preserve">: </w:t>
      </w:r>
      <w:r>
        <w:rPr>
          <w:rFonts w:asciiTheme="majorHAnsi" w:hAnsiTheme="majorHAnsi"/>
          <w:b/>
          <w:sz w:val="20"/>
          <w:szCs w:val="20"/>
        </w:rPr>
        <w:tab/>
      </w:r>
      <w:r w:rsidRPr="00C546D2">
        <w:rPr>
          <w:rFonts w:asciiTheme="majorHAnsi" w:hAnsiTheme="majorHAnsi"/>
          <w:b/>
          <w:sz w:val="20"/>
          <w:szCs w:val="20"/>
        </w:rPr>
        <w:t>Changing interstate migration flows, 1993</w:t>
      </w:r>
      <w:r>
        <w:rPr>
          <w:rFonts w:asciiTheme="majorHAnsi" w:hAnsiTheme="majorHAnsi"/>
          <w:b/>
          <w:sz w:val="20"/>
          <w:szCs w:val="20"/>
        </w:rPr>
        <w:noBreakHyphen/>
      </w:r>
      <w:r w:rsidRPr="00C546D2">
        <w:rPr>
          <w:rFonts w:asciiTheme="majorHAnsi" w:hAnsiTheme="majorHAnsi"/>
          <w:b/>
          <w:sz w:val="20"/>
          <w:szCs w:val="20"/>
        </w:rPr>
        <w:t>94 vs 2015</w:t>
      </w:r>
      <w:r>
        <w:rPr>
          <w:rFonts w:asciiTheme="majorHAnsi" w:hAnsiTheme="majorHAnsi"/>
          <w:b/>
          <w:sz w:val="20"/>
          <w:szCs w:val="20"/>
        </w:rPr>
        <w:noBreakHyphen/>
      </w:r>
      <w:r w:rsidRPr="00C546D2">
        <w:rPr>
          <w:rFonts w:asciiTheme="majorHAnsi" w:hAnsiTheme="majorHAnsi"/>
          <w:b/>
          <w:sz w:val="20"/>
          <w:szCs w:val="20"/>
        </w:rPr>
        <w:t>16</w:t>
      </w:r>
    </w:p>
    <w:p w:rsidR="00552DFA" w:rsidRPr="00C546D2" w:rsidRDefault="00552DFA" w:rsidP="00423C3D">
      <w:pPr>
        <w:pStyle w:val="HighlightBoxText"/>
        <w:tabs>
          <w:tab w:val="center" w:pos="1890"/>
          <w:tab w:val="center" w:pos="5670"/>
        </w:tabs>
        <w:rPr>
          <w:rFonts w:asciiTheme="majorHAnsi" w:hAnsiTheme="majorHAnsi"/>
          <w:b/>
          <w:sz w:val="20"/>
          <w:szCs w:val="20"/>
        </w:rPr>
      </w:pPr>
      <w:r>
        <w:rPr>
          <w:rFonts w:asciiTheme="majorHAnsi" w:hAnsiTheme="majorHAnsi"/>
          <w:b/>
          <w:sz w:val="20"/>
          <w:szCs w:val="20"/>
        </w:rPr>
        <w:tab/>
      </w:r>
      <w:r w:rsidRPr="00C546D2">
        <w:rPr>
          <w:rFonts w:asciiTheme="majorHAnsi" w:hAnsiTheme="majorHAnsi"/>
          <w:b/>
          <w:sz w:val="20"/>
          <w:szCs w:val="20"/>
        </w:rPr>
        <w:t>Net interstate migration: 1993</w:t>
      </w:r>
      <w:r>
        <w:rPr>
          <w:rFonts w:asciiTheme="majorHAnsi" w:hAnsiTheme="majorHAnsi"/>
          <w:b/>
          <w:sz w:val="20"/>
          <w:szCs w:val="20"/>
        </w:rPr>
        <w:noBreakHyphen/>
      </w:r>
      <w:r w:rsidRPr="00C546D2">
        <w:rPr>
          <w:rFonts w:asciiTheme="majorHAnsi" w:hAnsiTheme="majorHAnsi"/>
          <w:b/>
          <w:sz w:val="20"/>
          <w:szCs w:val="20"/>
        </w:rPr>
        <w:t>94</w:t>
      </w:r>
      <w:r>
        <w:rPr>
          <w:rFonts w:asciiTheme="majorHAnsi" w:hAnsiTheme="majorHAnsi"/>
          <w:b/>
          <w:sz w:val="20"/>
          <w:szCs w:val="20"/>
        </w:rPr>
        <w:tab/>
      </w:r>
      <w:r w:rsidRPr="00C546D2">
        <w:rPr>
          <w:rFonts w:asciiTheme="majorHAnsi" w:hAnsiTheme="majorHAnsi"/>
          <w:b/>
          <w:sz w:val="20"/>
          <w:szCs w:val="20"/>
        </w:rPr>
        <w:t>Net interstate migration: 2015</w:t>
      </w:r>
      <w:r>
        <w:rPr>
          <w:rFonts w:asciiTheme="majorHAnsi" w:hAnsiTheme="majorHAnsi"/>
          <w:b/>
          <w:sz w:val="20"/>
          <w:szCs w:val="20"/>
        </w:rPr>
        <w:noBreakHyphen/>
      </w:r>
      <w:r w:rsidRPr="00C546D2">
        <w:rPr>
          <w:rFonts w:asciiTheme="majorHAnsi" w:hAnsiTheme="majorHAnsi"/>
          <w:b/>
          <w:sz w:val="20"/>
          <w:szCs w:val="20"/>
        </w:rPr>
        <w:t>16</w:t>
      </w:r>
    </w:p>
    <w:p w:rsidR="00552DFA" w:rsidRDefault="00552DFA" w:rsidP="00423C3D">
      <w:pPr>
        <w:pStyle w:val="HighlightBoxText"/>
        <w:jc w:val="center"/>
      </w:pPr>
      <w:r>
        <w:rPr>
          <w:noProof/>
          <w:lang w:eastAsia="en-AU"/>
        </w:rPr>
        <w:drawing>
          <wp:inline distT="0" distB="0" distL="0" distR="0" wp14:anchorId="23E7A1B5" wp14:editId="08335F38">
            <wp:extent cx="2350008" cy="2194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0008" cy="2194560"/>
                    </a:xfrm>
                    <a:prstGeom prst="rect">
                      <a:avLst/>
                    </a:prstGeom>
                    <a:noFill/>
                  </pic:spPr>
                </pic:pic>
              </a:graphicData>
            </a:graphic>
          </wp:inline>
        </w:drawing>
      </w:r>
      <w:r>
        <w:t xml:space="preserve">   </w:t>
      </w:r>
      <w:r>
        <w:rPr>
          <w:noProof/>
          <w:lang w:eastAsia="en-AU"/>
        </w:rPr>
        <w:drawing>
          <wp:inline distT="0" distB="0" distL="0" distR="0" wp14:anchorId="35D89F3E" wp14:editId="5261D454">
            <wp:extent cx="2350008" cy="2194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0008" cy="2194560"/>
                    </a:xfrm>
                    <a:prstGeom prst="rect">
                      <a:avLst/>
                    </a:prstGeom>
                    <a:noFill/>
                  </pic:spPr>
                </pic:pic>
              </a:graphicData>
            </a:graphic>
          </wp:inline>
        </w:drawing>
      </w:r>
    </w:p>
    <w:p w:rsidR="00552DFA" w:rsidRDefault="00552DFA" w:rsidP="00423C3D">
      <w:pPr>
        <w:pStyle w:val="HighlightBoxText"/>
        <w:rPr>
          <w:rFonts w:asciiTheme="majorHAnsi" w:hAnsiTheme="majorHAnsi"/>
          <w:i/>
          <w:sz w:val="14"/>
          <w:szCs w:val="14"/>
        </w:rPr>
      </w:pPr>
      <w:r w:rsidRPr="00E165D1">
        <w:rPr>
          <w:rFonts w:asciiTheme="majorHAnsi" w:hAnsiTheme="majorHAnsi"/>
          <w:i/>
          <w:sz w:val="14"/>
          <w:szCs w:val="14"/>
        </w:rPr>
        <w:t>Source: Australian</w:t>
      </w:r>
      <w:r>
        <w:rPr>
          <w:rFonts w:asciiTheme="majorHAnsi" w:hAnsiTheme="majorHAnsi"/>
          <w:i/>
          <w:sz w:val="14"/>
          <w:szCs w:val="14"/>
        </w:rPr>
        <w:t xml:space="preserve"> Bureau of Statistics</w:t>
      </w:r>
    </w:p>
    <w:p w:rsidR="00552DFA" w:rsidRPr="00E165D1" w:rsidRDefault="00552DFA" w:rsidP="00423C3D">
      <w:pPr>
        <w:pStyle w:val="HighlightBoxText"/>
        <w:spacing w:before="0"/>
        <w:rPr>
          <w:rFonts w:asciiTheme="majorHAnsi" w:hAnsiTheme="majorHAnsi"/>
          <w:i/>
          <w:sz w:val="14"/>
          <w:szCs w:val="14"/>
        </w:rPr>
      </w:pPr>
    </w:p>
    <w:p w:rsidR="00552DFA" w:rsidRDefault="00552DFA">
      <w:pPr>
        <w:keepLines w:val="0"/>
      </w:pPr>
    </w:p>
    <w:p w:rsidR="00552DFA" w:rsidRDefault="00552DFA">
      <w:pPr>
        <w:keepLines w:val="0"/>
        <w:rPr>
          <w:rFonts w:asciiTheme="majorHAnsi" w:eastAsiaTheme="majorEastAsia" w:hAnsiTheme="majorHAnsi" w:cstheme="majorBidi"/>
          <w:b/>
          <w:bCs/>
          <w:caps/>
          <w:spacing w:val="-2"/>
          <w:sz w:val="26"/>
          <w:szCs w:val="28"/>
        </w:rPr>
      </w:pPr>
      <w:r>
        <w:br w:type="page"/>
      </w:r>
    </w:p>
    <w:p w:rsidR="00552DFA" w:rsidRPr="00E14B35" w:rsidRDefault="00552DFA" w:rsidP="00423C3D">
      <w:pPr>
        <w:pStyle w:val="Heading10"/>
      </w:pPr>
      <w:bookmarkStart w:id="19" w:name="_Toc481160563"/>
      <w:bookmarkStart w:id="20" w:name="_Toc481246471"/>
      <w:r>
        <w:lastRenderedPageBreak/>
        <w:t xml:space="preserve">Australian </w:t>
      </w:r>
      <w:r w:rsidRPr="00E14B35">
        <w:t>economic conditions</w:t>
      </w:r>
      <w:r w:rsidR="00356A95">
        <w:fldChar w:fldCharType="begin"/>
      </w:r>
      <w:r w:rsidR="00356A95">
        <w:instrText xml:space="preserve"> XE "Economic conditions:Australia" </w:instrText>
      </w:r>
      <w:r w:rsidR="00356A95">
        <w:fldChar w:fldCharType="end"/>
      </w:r>
      <w:r w:rsidRPr="00E14B35">
        <w:t xml:space="preserve"> and outlook</w:t>
      </w:r>
      <w:bookmarkEnd w:id="19"/>
      <w:bookmarkEnd w:id="20"/>
    </w:p>
    <w:p w:rsidR="00552DFA" w:rsidRDefault="00552DFA" w:rsidP="00423C3D">
      <w:r>
        <w:t>Economic conditions</w:t>
      </w:r>
      <w:r w:rsidR="00356A95">
        <w:fldChar w:fldCharType="begin"/>
      </w:r>
      <w:r w:rsidR="00356A95">
        <w:instrText xml:space="preserve"> XE "Economic conditions" </w:instrText>
      </w:r>
      <w:r w:rsidR="00356A95">
        <w:fldChar w:fldCharType="end"/>
      </w:r>
      <w:r>
        <w:t xml:space="preserve"> in Australia are solid and growth is expected to improve as the drag from falling mining investment and the impact from the earlier fall in the terms of trade dissipate. </w:t>
      </w:r>
    </w:p>
    <w:p w:rsidR="00552DFA" w:rsidRDefault="00552DFA" w:rsidP="00423C3D">
      <w:r>
        <w:t>Australia’s gross domestic product (GDP) grew by 2.4 per cent over the year to December 2016. Growth is currently in line with the trend rate of growth observed since 2013 but below the Commonwealth Treasury’s estimates of potential economic growth (2.75 per cent). This environment is consistent with moderate employment growth and subdued wages growth.</w:t>
      </w:r>
    </w:p>
    <w:p w:rsidR="00552DFA" w:rsidRDefault="00552DFA" w:rsidP="00423C3D">
      <w:r>
        <w:t xml:space="preserve">The transformation of the national economy is still underway. The drag on growth from falling mining investment is weighing on economic conditions in Western Australia and Queensland. Conversely, low interest rates and the depreciation of the Australian dollar have supported growth in Victoria and New South Wales. </w:t>
      </w:r>
    </w:p>
    <w:p w:rsidR="00552DFA" w:rsidRDefault="00552DFA" w:rsidP="00423C3D">
      <w:r>
        <w:t>Household consumption</w:t>
      </w:r>
      <w:r w:rsidR="00356A95">
        <w:fldChar w:fldCharType="begin"/>
      </w:r>
      <w:r w:rsidR="00356A95">
        <w:instrText xml:space="preserve"> XE "Household consumption" </w:instrText>
      </w:r>
      <w:r w:rsidR="00356A95">
        <w:fldChar w:fldCharType="end"/>
      </w:r>
      <w:r>
        <w:t xml:space="preserve"> growth has been solid, supported by low interest rates and rising household wealth. However, much of this growth has been due to a decline in the saving ratio as the pace of real household disposable income growth has been modest. Dwelling investment</w:t>
      </w:r>
      <w:r w:rsidR="00356A95">
        <w:fldChar w:fldCharType="begin"/>
      </w:r>
      <w:r w:rsidR="00356A95">
        <w:instrText xml:space="preserve"> XE "</w:instrText>
      </w:r>
      <w:r w:rsidR="00356A95" w:rsidRPr="00864E8B">
        <w:instrText>Dwelling investment</w:instrText>
      </w:r>
      <w:r w:rsidR="00356A95">
        <w:instrText xml:space="preserve">" </w:instrText>
      </w:r>
      <w:r w:rsidR="00356A95">
        <w:fldChar w:fldCharType="end"/>
      </w:r>
      <w:r>
        <w:t xml:space="preserve"> has been strong in both Victoria and New South Wales. The performance of business investment has been mixed, with declining mining investment and modest growth in non</w:t>
      </w:r>
      <w:r>
        <w:noBreakHyphen/>
        <w:t xml:space="preserve">mining investment. </w:t>
      </w:r>
    </w:p>
    <w:p w:rsidR="00552DFA" w:rsidRDefault="00552DFA" w:rsidP="00423C3D">
      <w:r>
        <w:t>The Commonwealth Treasury forecasts Australia’s GDP to grow by around 2.75 per cent in 2017</w:t>
      </w:r>
      <w:r>
        <w:noBreakHyphen/>
        <w:t>18 and 3.0 per cent in 2018</w:t>
      </w:r>
      <w:r>
        <w:noBreakHyphen/>
        <w:t>19. The improvement in growth will be supported by low interest rates, the diminishing drag on growth from falling mining investment and rising</w:t>
      </w:r>
      <w:r w:rsidRPr="0060224D">
        <w:t xml:space="preserve"> </w:t>
      </w:r>
      <w:r>
        <w:t xml:space="preserve">resource exports. </w:t>
      </w:r>
    </w:p>
    <w:p w:rsidR="00552DFA" w:rsidRDefault="00552DFA" w:rsidP="00423C3D">
      <w:r>
        <w:t>Despite the improvement in economic growth, the unemployment rate is expected to remain around 5.5 per cent. The recent increase in the terms of trade should boost nominal income, but the impact on employment is expected to be muted as it is not expected to generate new investment.</w:t>
      </w:r>
    </w:p>
    <w:p w:rsidR="00552DFA" w:rsidRDefault="00552DFA" w:rsidP="00423C3D">
      <w:r>
        <w:t>The outlook for national wages and inflation is subdued. Wage growth is expected to gradually recover as some of the factors weighing on growth dissipate, including the drag from mining</w:t>
      </w:r>
      <w:r>
        <w:noBreakHyphen/>
        <w:t>related industries. Measures of underlying inflation are forecast to pick up gradually, to around 2.5 per cent by 2018</w:t>
      </w:r>
      <w:r>
        <w:noBreakHyphen/>
        <w:t>19, while headline inflation is expected to pick up slightly quicker, mostly on the back of higher oil and tobacco prices.</w:t>
      </w:r>
    </w:p>
    <w:p w:rsidR="00B37B2E" w:rsidRDefault="00B37B2E">
      <w:pPr>
        <w:keepLines w:val="0"/>
        <w:rPr>
          <w:rFonts w:asciiTheme="majorHAnsi" w:eastAsiaTheme="majorEastAsia" w:hAnsiTheme="majorHAnsi" w:cstheme="majorBidi"/>
          <w:b/>
          <w:bCs/>
          <w:caps/>
          <w:spacing w:val="-2"/>
          <w:sz w:val="26"/>
          <w:szCs w:val="28"/>
        </w:rPr>
      </w:pPr>
      <w:bookmarkStart w:id="21" w:name="_Toc481160564"/>
      <w:r>
        <w:br w:type="page"/>
      </w:r>
    </w:p>
    <w:p w:rsidR="00552DFA" w:rsidRPr="00E14B35" w:rsidRDefault="00552DFA" w:rsidP="00423C3D">
      <w:pPr>
        <w:pStyle w:val="Heading10"/>
      </w:pPr>
      <w:bookmarkStart w:id="22" w:name="_Toc481246472"/>
      <w:r>
        <w:lastRenderedPageBreak/>
        <w:t xml:space="preserve">International </w:t>
      </w:r>
      <w:r w:rsidRPr="00E14B35">
        <w:t>economic conditions</w:t>
      </w:r>
      <w:r w:rsidR="00356A95">
        <w:fldChar w:fldCharType="begin"/>
      </w:r>
      <w:r w:rsidR="00356A95">
        <w:instrText xml:space="preserve"> XE "Economic conditions:International" </w:instrText>
      </w:r>
      <w:r w:rsidR="00356A95">
        <w:fldChar w:fldCharType="end"/>
      </w:r>
      <w:r w:rsidRPr="00E14B35">
        <w:t xml:space="preserve"> and outlook</w:t>
      </w:r>
      <w:bookmarkEnd w:id="21"/>
      <w:bookmarkEnd w:id="22"/>
    </w:p>
    <w:p w:rsidR="00552DFA" w:rsidRDefault="00552DFA" w:rsidP="00B37B2E">
      <w:pPr>
        <w:rPr>
          <w:rFonts w:asciiTheme="majorHAnsi" w:hAnsiTheme="majorHAnsi"/>
          <w:b/>
          <w:sz w:val="20"/>
          <w:szCs w:val="20"/>
        </w:rPr>
      </w:pPr>
      <w:r w:rsidRPr="00681479">
        <w:t xml:space="preserve">Global economic growth was lacklustre in 2016, although activity is expected to pick up moderately over the forward estimates. In its </w:t>
      </w:r>
      <w:r w:rsidRPr="00DE2BD9">
        <w:rPr>
          <w:i/>
        </w:rPr>
        <w:t>World Economic Outlook</w:t>
      </w:r>
      <w:r>
        <w:t xml:space="preserve"> released in April </w:t>
      </w:r>
      <w:r w:rsidRPr="00681479">
        <w:t>2017, the International Monetary Fund</w:t>
      </w:r>
      <w:r w:rsidR="00356A95">
        <w:fldChar w:fldCharType="begin"/>
      </w:r>
      <w:r w:rsidR="00356A95">
        <w:instrText xml:space="preserve"> XE "International Monetary Fund" </w:instrText>
      </w:r>
      <w:r w:rsidR="00356A95">
        <w:fldChar w:fldCharType="end"/>
      </w:r>
      <w:r w:rsidRPr="00681479">
        <w:t xml:space="preserve"> (IMF) forecast global economic growth to improve in 2017 and 2018 (Table 2.2).</w:t>
      </w:r>
    </w:p>
    <w:p w:rsidR="00552DFA" w:rsidRPr="000C2EBC" w:rsidRDefault="00552DFA" w:rsidP="00423C3D">
      <w:pPr>
        <w:pStyle w:val="TableHeading"/>
        <w:rPr>
          <w:bCs/>
          <w:lang w:val="en-US"/>
        </w:rPr>
      </w:pPr>
      <w:r>
        <w:t>Table 2.2:</w:t>
      </w:r>
      <w:r>
        <w:tab/>
        <w:t xml:space="preserve">Summary of IMF’s global economic forecasts </w:t>
      </w:r>
      <w:r w:rsidRPr="00D06F45">
        <w:rPr>
          <w:vertAlign w:val="superscript"/>
        </w:rPr>
        <w:t>(a)</w:t>
      </w:r>
      <w:r>
        <w:rPr>
          <w:vertAlign w:val="superscript"/>
        </w:rPr>
        <w:tab/>
      </w:r>
      <w:r w:rsidRPr="00A77281">
        <w:t>(per cent)</w:t>
      </w:r>
    </w:p>
    <w:tbl>
      <w:tblPr>
        <w:tblStyle w:val="DTFTable"/>
        <w:tblW w:w="7767" w:type="dxa"/>
        <w:tblInd w:w="45" w:type="dxa"/>
        <w:tblLayout w:type="fixed"/>
        <w:tblCellMar>
          <w:left w:w="45" w:type="dxa"/>
          <w:right w:w="45" w:type="dxa"/>
        </w:tblCellMar>
        <w:tblLook w:val="06E0" w:firstRow="1" w:lastRow="1" w:firstColumn="1" w:lastColumn="0" w:noHBand="1" w:noVBand="1"/>
      </w:tblPr>
      <w:tblGrid>
        <w:gridCol w:w="4055"/>
        <w:gridCol w:w="715"/>
        <w:gridCol w:w="911"/>
        <w:gridCol w:w="1043"/>
        <w:gridCol w:w="1043"/>
      </w:tblGrid>
      <w:tr w:rsidR="00552DFA" w:rsidRPr="000C2EBC" w:rsidTr="00423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12" w:space="0" w:color="000000"/>
              <w:left w:val="nil"/>
              <w:bottom w:val="nil"/>
              <w:right w:val="nil"/>
            </w:tcBorders>
            <w:shd w:val="solid" w:color="000000" w:fill="000000"/>
          </w:tcPr>
          <w:p w:rsidR="00552DFA" w:rsidRPr="000C2EBC" w:rsidRDefault="00552DFA" w:rsidP="00423C3D">
            <w:pPr>
              <w:spacing w:before="0" w:after="0"/>
              <w:ind w:left="0" w:firstLine="0"/>
            </w:pPr>
          </w:p>
        </w:tc>
        <w:tc>
          <w:tcPr>
            <w:tcW w:w="708" w:type="dxa"/>
            <w:tcBorders>
              <w:top w:val="single" w:sz="12" w:space="0" w:color="000000"/>
              <w:left w:val="nil"/>
              <w:bottom w:val="nil"/>
              <w:right w:val="nil"/>
            </w:tcBorders>
            <w:shd w:val="solid" w:color="000000" w:fill="000000"/>
          </w:tcPr>
          <w:p w:rsidR="00552DFA" w:rsidRPr="000C2EBC" w:rsidRDefault="00552DFA" w:rsidP="00423C3D">
            <w:pPr>
              <w:spacing w:before="0" w:after="0"/>
              <w:cnfStyle w:val="100000000000" w:firstRow="1" w:lastRow="0" w:firstColumn="0" w:lastColumn="0" w:oddVBand="0" w:evenVBand="0" w:oddHBand="0" w:evenHBand="0" w:firstRowFirstColumn="0" w:firstRowLastColumn="0" w:lastRowFirstColumn="0" w:lastRowLastColumn="0"/>
            </w:pPr>
            <w:r w:rsidRPr="000C2EBC">
              <w:t>2015</w:t>
            </w:r>
          </w:p>
        </w:tc>
        <w:tc>
          <w:tcPr>
            <w:tcW w:w="902" w:type="dxa"/>
            <w:tcBorders>
              <w:top w:val="single" w:sz="12" w:space="0" w:color="000000"/>
              <w:left w:val="nil"/>
              <w:bottom w:val="nil"/>
              <w:right w:val="nil"/>
            </w:tcBorders>
            <w:shd w:val="solid" w:color="000000" w:fill="000000"/>
          </w:tcPr>
          <w:p w:rsidR="00552DFA" w:rsidRPr="000C2EBC" w:rsidRDefault="00552DFA" w:rsidP="00423C3D">
            <w:pPr>
              <w:spacing w:before="0" w:after="0"/>
              <w:cnfStyle w:val="100000000000" w:firstRow="1" w:lastRow="0" w:firstColumn="0" w:lastColumn="0" w:oddVBand="0" w:evenVBand="0" w:oddHBand="0" w:evenHBand="0" w:firstRowFirstColumn="0" w:firstRowLastColumn="0" w:lastRowFirstColumn="0" w:lastRowLastColumn="0"/>
            </w:pPr>
            <w:r w:rsidRPr="000C2EBC">
              <w:t>2016</w:t>
            </w:r>
          </w:p>
        </w:tc>
        <w:tc>
          <w:tcPr>
            <w:tcW w:w="1032" w:type="dxa"/>
            <w:tcBorders>
              <w:top w:val="single" w:sz="12" w:space="0" w:color="000000"/>
              <w:left w:val="nil"/>
              <w:bottom w:val="nil"/>
              <w:right w:val="nil"/>
            </w:tcBorders>
            <w:shd w:val="solid" w:color="000000" w:fill="000000"/>
          </w:tcPr>
          <w:p w:rsidR="00552DFA" w:rsidRPr="000C2EBC" w:rsidRDefault="00552DFA" w:rsidP="00423C3D">
            <w:pPr>
              <w:spacing w:before="0" w:after="0"/>
              <w:cnfStyle w:val="100000000000" w:firstRow="1" w:lastRow="0" w:firstColumn="0" w:lastColumn="0" w:oddVBand="0" w:evenVBand="0" w:oddHBand="0" w:evenHBand="0" w:firstRowFirstColumn="0" w:firstRowLastColumn="0" w:lastRowFirstColumn="0" w:lastRowLastColumn="0"/>
            </w:pPr>
            <w:r w:rsidRPr="000C2EBC">
              <w:t>2017</w:t>
            </w:r>
          </w:p>
        </w:tc>
        <w:tc>
          <w:tcPr>
            <w:tcW w:w="1032" w:type="dxa"/>
            <w:tcBorders>
              <w:top w:val="single" w:sz="12" w:space="0" w:color="000000"/>
              <w:left w:val="nil"/>
              <w:bottom w:val="nil"/>
              <w:right w:val="nil"/>
            </w:tcBorders>
            <w:shd w:val="solid" w:color="000000" w:fill="000000"/>
          </w:tcPr>
          <w:p w:rsidR="00552DFA" w:rsidRPr="000C2EBC" w:rsidRDefault="00552DFA" w:rsidP="00423C3D">
            <w:pPr>
              <w:spacing w:before="0" w:after="0"/>
              <w:cnfStyle w:val="100000000000" w:firstRow="1" w:lastRow="0" w:firstColumn="0" w:lastColumn="0" w:oddVBand="0" w:evenVBand="0" w:oddHBand="0" w:evenHBand="0" w:firstRowFirstColumn="0" w:firstRowLastColumn="0" w:lastRowFirstColumn="0" w:lastRowLastColumn="0"/>
            </w:pPr>
            <w:r w:rsidRPr="000C2EBC">
              <w:t>2018</w:t>
            </w:r>
          </w:p>
        </w:tc>
      </w:tr>
      <w:tr w:rsidR="00552DFA" w:rsidRPr="000C2EBC" w:rsidTr="00423C3D">
        <w:tc>
          <w:tcPr>
            <w:cnfStyle w:val="001000000000" w:firstRow="0" w:lastRow="0" w:firstColumn="1" w:lastColumn="0" w:oddVBand="0" w:evenVBand="0" w:oddHBand="0" w:evenHBand="0" w:firstRowFirstColumn="0" w:firstRowLastColumn="0" w:lastRowFirstColumn="0" w:lastRowLastColumn="0"/>
            <w:tcW w:w="4013" w:type="dxa"/>
            <w:tcBorders>
              <w:top w:val="single" w:sz="12" w:space="0" w:color="000000"/>
              <w:left w:val="nil"/>
              <w:bottom w:val="nil"/>
              <w:right w:val="nil"/>
            </w:tcBorders>
            <w:shd w:val="solid" w:color="000000" w:fill="000000"/>
          </w:tcPr>
          <w:p w:rsidR="00552DFA" w:rsidRPr="000C2EBC" w:rsidRDefault="00552DFA" w:rsidP="00423C3D">
            <w:pPr>
              <w:spacing w:before="0" w:after="0"/>
              <w:ind w:left="0" w:firstLine="0"/>
              <w:rPr>
                <w:i/>
              </w:rPr>
            </w:pPr>
            <w:r w:rsidRPr="000C2EBC">
              <w:rPr>
                <w:i/>
              </w:rPr>
              <w:t xml:space="preserve"> </w:t>
            </w:r>
          </w:p>
        </w:tc>
        <w:tc>
          <w:tcPr>
            <w:tcW w:w="708" w:type="dxa"/>
            <w:tcBorders>
              <w:top w:val="single" w:sz="12" w:space="0" w:color="000000"/>
              <w:left w:val="nil"/>
              <w:bottom w:val="nil"/>
              <w:right w:val="nil"/>
            </w:tcBorders>
            <w:shd w:val="solid" w:color="000000" w:fill="000000"/>
          </w:tcPr>
          <w:p w:rsidR="00552DFA" w:rsidRPr="000C2EBC" w:rsidRDefault="00552DFA" w:rsidP="00423C3D">
            <w:pPr>
              <w:spacing w:before="0" w:after="0"/>
              <w:cnfStyle w:val="000000000000" w:firstRow="0" w:lastRow="0" w:firstColumn="0" w:lastColumn="0" w:oddVBand="0" w:evenVBand="0" w:oddHBand="0" w:evenHBand="0" w:firstRowFirstColumn="0" w:firstRowLastColumn="0" w:lastRowFirstColumn="0" w:lastRowLastColumn="0"/>
              <w:rPr>
                <w:i/>
              </w:rPr>
            </w:pPr>
            <w:r w:rsidRPr="000C2EBC">
              <w:rPr>
                <w:i/>
              </w:rPr>
              <w:t>actual</w:t>
            </w:r>
          </w:p>
        </w:tc>
        <w:tc>
          <w:tcPr>
            <w:tcW w:w="902" w:type="dxa"/>
            <w:tcBorders>
              <w:top w:val="single" w:sz="12" w:space="0" w:color="000000"/>
              <w:left w:val="nil"/>
              <w:bottom w:val="nil"/>
              <w:right w:val="nil"/>
            </w:tcBorders>
            <w:shd w:val="solid" w:color="000000" w:fill="000000"/>
          </w:tcPr>
          <w:p w:rsidR="00552DFA" w:rsidRPr="000C2EBC" w:rsidRDefault="00552DFA" w:rsidP="00423C3D">
            <w:pPr>
              <w:spacing w:before="0" w:after="0"/>
              <w:cnfStyle w:val="000000000000" w:firstRow="0" w:lastRow="0" w:firstColumn="0" w:lastColumn="0" w:oddVBand="0" w:evenVBand="0" w:oddHBand="0" w:evenHBand="0" w:firstRowFirstColumn="0" w:firstRowLastColumn="0" w:lastRowFirstColumn="0" w:lastRowLastColumn="0"/>
              <w:rPr>
                <w:i/>
              </w:rPr>
            </w:pPr>
            <w:r w:rsidRPr="000C2EBC">
              <w:rPr>
                <w:i/>
              </w:rPr>
              <w:t>estimate</w:t>
            </w:r>
          </w:p>
        </w:tc>
        <w:tc>
          <w:tcPr>
            <w:tcW w:w="1032" w:type="dxa"/>
            <w:tcBorders>
              <w:top w:val="single" w:sz="12" w:space="0" w:color="000000"/>
              <w:left w:val="nil"/>
              <w:bottom w:val="nil"/>
              <w:right w:val="nil"/>
            </w:tcBorders>
            <w:shd w:val="solid" w:color="000000" w:fill="000000"/>
          </w:tcPr>
          <w:p w:rsidR="00552DFA" w:rsidRPr="000C2EBC" w:rsidRDefault="00552DFA" w:rsidP="00423C3D">
            <w:pPr>
              <w:spacing w:before="0" w:after="0"/>
              <w:cnfStyle w:val="000000000000" w:firstRow="0" w:lastRow="0" w:firstColumn="0" w:lastColumn="0" w:oddVBand="0" w:evenVBand="0" w:oddHBand="0" w:evenHBand="0" w:firstRowFirstColumn="0" w:firstRowLastColumn="0" w:lastRowFirstColumn="0" w:lastRowLastColumn="0"/>
              <w:rPr>
                <w:i/>
              </w:rPr>
            </w:pPr>
            <w:r w:rsidRPr="000C2EBC">
              <w:rPr>
                <w:i/>
              </w:rPr>
              <w:t>projection</w:t>
            </w:r>
          </w:p>
        </w:tc>
        <w:tc>
          <w:tcPr>
            <w:tcW w:w="1032" w:type="dxa"/>
            <w:tcBorders>
              <w:top w:val="single" w:sz="12" w:space="0" w:color="000000"/>
              <w:left w:val="nil"/>
              <w:bottom w:val="nil"/>
              <w:right w:val="nil"/>
            </w:tcBorders>
            <w:shd w:val="solid" w:color="000000" w:fill="000000"/>
          </w:tcPr>
          <w:p w:rsidR="00552DFA" w:rsidRPr="000C2EBC" w:rsidRDefault="00552DFA" w:rsidP="00423C3D">
            <w:pPr>
              <w:spacing w:before="0" w:after="0"/>
              <w:cnfStyle w:val="000000000000" w:firstRow="0" w:lastRow="0" w:firstColumn="0" w:lastColumn="0" w:oddVBand="0" w:evenVBand="0" w:oddHBand="0" w:evenHBand="0" w:firstRowFirstColumn="0" w:firstRowLastColumn="0" w:lastRowFirstColumn="0" w:lastRowLastColumn="0"/>
              <w:rPr>
                <w:i/>
              </w:rPr>
            </w:pPr>
            <w:r w:rsidRPr="000C2EBC">
              <w:rPr>
                <w:i/>
              </w:rPr>
              <w:t>projection</w:t>
            </w:r>
          </w:p>
        </w:tc>
      </w:tr>
      <w:tr w:rsidR="00552DFA" w:rsidRPr="000C2EBC" w:rsidTr="00423C3D">
        <w:tc>
          <w:tcPr>
            <w:cnfStyle w:val="001000000000" w:firstRow="0" w:lastRow="0" w:firstColumn="1" w:lastColumn="0" w:oddVBand="0" w:evenVBand="0" w:oddHBand="0" w:evenHBand="0" w:firstRowFirstColumn="0" w:firstRowLastColumn="0" w:lastRowFirstColumn="0" w:lastRowLastColumn="0"/>
            <w:tcW w:w="4013" w:type="dxa"/>
            <w:tcBorders>
              <w:top w:val="nil"/>
              <w:left w:val="nil"/>
              <w:bottom w:val="nil"/>
              <w:right w:val="nil"/>
            </w:tcBorders>
          </w:tcPr>
          <w:p w:rsidR="00552DFA" w:rsidRPr="000C2EBC" w:rsidRDefault="00552DFA" w:rsidP="00423C3D">
            <w:pPr>
              <w:keepLines w:val="0"/>
              <w:autoSpaceDE w:val="0"/>
              <w:autoSpaceDN w:val="0"/>
              <w:adjustRightInd w:val="0"/>
              <w:rPr>
                <w:rFonts w:eastAsiaTheme="minorEastAsia" w:cs="Calibri"/>
                <w:b/>
                <w:bCs/>
                <w:color w:val="000000"/>
                <w:szCs w:val="20"/>
                <w:lang w:eastAsia="en-AU"/>
              </w:rPr>
            </w:pPr>
            <w:r w:rsidRPr="000C2EBC">
              <w:rPr>
                <w:rFonts w:eastAsiaTheme="minorEastAsia" w:cs="Calibri"/>
                <w:b/>
                <w:bCs/>
                <w:color w:val="000000"/>
                <w:szCs w:val="20"/>
                <w:lang w:eastAsia="en-AU"/>
              </w:rPr>
              <w:t>World output</w:t>
            </w:r>
          </w:p>
        </w:tc>
        <w:tc>
          <w:tcPr>
            <w:tcW w:w="708"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0C2EBC">
              <w:rPr>
                <w:rFonts w:eastAsiaTheme="minorEastAsia" w:cs="Calibri"/>
                <w:b/>
                <w:bCs/>
                <w:color w:val="000000"/>
                <w:szCs w:val="20"/>
                <w:lang w:eastAsia="en-AU"/>
              </w:rPr>
              <w:t>3.4</w:t>
            </w:r>
          </w:p>
        </w:tc>
        <w:tc>
          <w:tcPr>
            <w:tcW w:w="90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0C2EBC">
              <w:rPr>
                <w:rFonts w:eastAsiaTheme="minorEastAsia" w:cs="Calibri"/>
                <w:b/>
                <w:bCs/>
                <w:color w:val="000000"/>
                <w:szCs w:val="20"/>
                <w:lang w:eastAsia="en-AU"/>
              </w:rPr>
              <w:t>3.1</w:t>
            </w:r>
          </w:p>
        </w:tc>
        <w:tc>
          <w:tcPr>
            <w:tcW w:w="103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0C2EBC">
              <w:rPr>
                <w:rFonts w:eastAsiaTheme="minorEastAsia" w:cs="Calibri"/>
                <w:b/>
                <w:bCs/>
                <w:color w:val="000000"/>
                <w:szCs w:val="20"/>
                <w:lang w:eastAsia="en-AU"/>
              </w:rPr>
              <w:t>3.5</w:t>
            </w:r>
          </w:p>
        </w:tc>
        <w:tc>
          <w:tcPr>
            <w:tcW w:w="103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0C2EBC">
              <w:rPr>
                <w:rFonts w:eastAsiaTheme="minorEastAsia" w:cs="Calibri"/>
                <w:b/>
                <w:bCs/>
                <w:color w:val="000000"/>
                <w:szCs w:val="20"/>
                <w:lang w:eastAsia="en-AU"/>
              </w:rPr>
              <w:t>3.6</w:t>
            </w:r>
          </w:p>
        </w:tc>
      </w:tr>
      <w:tr w:rsidR="00552DFA" w:rsidRPr="000C2EBC" w:rsidTr="00423C3D">
        <w:tc>
          <w:tcPr>
            <w:cnfStyle w:val="001000000000" w:firstRow="0" w:lastRow="0" w:firstColumn="1" w:lastColumn="0" w:oddVBand="0" w:evenVBand="0" w:oddHBand="0" w:evenHBand="0" w:firstRowFirstColumn="0" w:firstRowLastColumn="0" w:lastRowFirstColumn="0" w:lastRowLastColumn="0"/>
            <w:tcW w:w="4013" w:type="dxa"/>
            <w:tcBorders>
              <w:top w:val="nil"/>
              <w:left w:val="nil"/>
              <w:bottom w:val="nil"/>
              <w:right w:val="nil"/>
            </w:tcBorders>
          </w:tcPr>
          <w:p w:rsidR="00552DFA" w:rsidRPr="000C2EBC" w:rsidRDefault="00552DFA" w:rsidP="00423C3D">
            <w:pPr>
              <w:keepLines w:val="0"/>
              <w:autoSpaceDE w:val="0"/>
              <w:autoSpaceDN w:val="0"/>
              <w:adjustRightInd w:val="0"/>
              <w:rPr>
                <w:rFonts w:eastAsiaTheme="minorEastAsia" w:cs="Calibri"/>
                <w:b/>
                <w:bCs/>
                <w:color w:val="000000"/>
                <w:szCs w:val="20"/>
                <w:lang w:eastAsia="en-AU"/>
              </w:rPr>
            </w:pPr>
            <w:r w:rsidRPr="000C2EBC">
              <w:rPr>
                <w:rFonts w:eastAsiaTheme="minorEastAsia" w:cs="Calibri"/>
                <w:b/>
                <w:bCs/>
                <w:color w:val="000000"/>
                <w:szCs w:val="20"/>
                <w:lang w:eastAsia="en-AU"/>
              </w:rPr>
              <w:t>Advanced economies</w:t>
            </w:r>
          </w:p>
        </w:tc>
        <w:tc>
          <w:tcPr>
            <w:tcW w:w="708"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0C2EBC">
              <w:rPr>
                <w:rFonts w:eastAsiaTheme="minorEastAsia" w:cs="Calibri"/>
                <w:b/>
                <w:bCs/>
                <w:color w:val="000000"/>
                <w:szCs w:val="20"/>
                <w:lang w:eastAsia="en-AU"/>
              </w:rPr>
              <w:t>2.1</w:t>
            </w:r>
          </w:p>
        </w:tc>
        <w:tc>
          <w:tcPr>
            <w:tcW w:w="90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0C2EBC">
              <w:rPr>
                <w:rFonts w:eastAsiaTheme="minorEastAsia" w:cs="Calibri"/>
                <w:b/>
                <w:bCs/>
                <w:color w:val="000000"/>
                <w:szCs w:val="20"/>
                <w:lang w:eastAsia="en-AU"/>
              </w:rPr>
              <w:t>1.7</w:t>
            </w:r>
          </w:p>
        </w:tc>
        <w:tc>
          <w:tcPr>
            <w:tcW w:w="103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0C2EBC">
              <w:rPr>
                <w:rFonts w:eastAsiaTheme="minorEastAsia" w:cs="Calibri"/>
                <w:b/>
                <w:bCs/>
                <w:color w:val="000000"/>
                <w:szCs w:val="20"/>
                <w:lang w:eastAsia="en-AU"/>
              </w:rPr>
              <w:t>2.0</w:t>
            </w:r>
          </w:p>
        </w:tc>
        <w:tc>
          <w:tcPr>
            <w:tcW w:w="103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0C2EBC">
              <w:rPr>
                <w:rFonts w:eastAsiaTheme="minorEastAsia" w:cs="Calibri"/>
                <w:b/>
                <w:bCs/>
                <w:color w:val="000000"/>
                <w:szCs w:val="20"/>
                <w:lang w:eastAsia="en-AU"/>
              </w:rPr>
              <w:t>2.0</w:t>
            </w:r>
          </w:p>
        </w:tc>
      </w:tr>
      <w:tr w:rsidR="00552DFA" w:rsidRPr="000C2EBC" w:rsidTr="00423C3D">
        <w:tc>
          <w:tcPr>
            <w:cnfStyle w:val="001000000000" w:firstRow="0" w:lastRow="0" w:firstColumn="1" w:lastColumn="0" w:oddVBand="0" w:evenVBand="0" w:oddHBand="0" w:evenHBand="0" w:firstRowFirstColumn="0" w:firstRowLastColumn="0" w:lastRowFirstColumn="0" w:lastRowLastColumn="0"/>
            <w:tcW w:w="4013" w:type="dxa"/>
            <w:tcBorders>
              <w:top w:val="nil"/>
              <w:left w:val="nil"/>
              <w:bottom w:val="nil"/>
              <w:right w:val="nil"/>
            </w:tcBorders>
          </w:tcPr>
          <w:p w:rsidR="00552DFA" w:rsidRPr="000C2EBC" w:rsidRDefault="00552DFA" w:rsidP="00423C3D">
            <w:pPr>
              <w:keepLines w:val="0"/>
              <w:autoSpaceDE w:val="0"/>
              <w:autoSpaceDN w:val="0"/>
              <w:adjustRightInd w:val="0"/>
              <w:rPr>
                <w:rFonts w:eastAsiaTheme="minorEastAsia" w:cs="Calibri"/>
                <w:color w:val="000000"/>
                <w:szCs w:val="20"/>
                <w:lang w:eastAsia="en-AU"/>
              </w:rPr>
            </w:pPr>
            <w:r w:rsidRPr="000C2EBC">
              <w:rPr>
                <w:rFonts w:eastAsiaTheme="minorEastAsia" w:cs="Calibri"/>
                <w:color w:val="000000"/>
                <w:szCs w:val="20"/>
                <w:lang w:eastAsia="en-AU"/>
              </w:rPr>
              <w:t xml:space="preserve">   United States</w:t>
            </w:r>
          </w:p>
        </w:tc>
        <w:tc>
          <w:tcPr>
            <w:tcW w:w="708"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2.6</w:t>
            </w:r>
          </w:p>
        </w:tc>
        <w:tc>
          <w:tcPr>
            <w:tcW w:w="90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1.6</w:t>
            </w:r>
          </w:p>
        </w:tc>
        <w:tc>
          <w:tcPr>
            <w:tcW w:w="103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2.3</w:t>
            </w:r>
          </w:p>
        </w:tc>
        <w:tc>
          <w:tcPr>
            <w:tcW w:w="103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2.5</w:t>
            </w:r>
          </w:p>
        </w:tc>
      </w:tr>
      <w:tr w:rsidR="00552DFA" w:rsidRPr="000C2EBC" w:rsidTr="00423C3D">
        <w:tc>
          <w:tcPr>
            <w:cnfStyle w:val="001000000000" w:firstRow="0" w:lastRow="0" w:firstColumn="1" w:lastColumn="0" w:oddVBand="0" w:evenVBand="0" w:oddHBand="0" w:evenHBand="0" w:firstRowFirstColumn="0" w:firstRowLastColumn="0" w:lastRowFirstColumn="0" w:lastRowLastColumn="0"/>
            <w:tcW w:w="4013" w:type="dxa"/>
            <w:tcBorders>
              <w:top w:val="nil"/>
              <w:left w:val="nil"/>
              <w:bottom w:val="nil"/>
              <w:right w:val="nil"/>
            </w:tcBorders>
          </w:tcPr>
          <w:p w:rsidR="00552DFA" w:rsidRPr="000C2EBC" w:rsidRDefault="00552DFA" w:rsidP="00423C3D">
            <w:pPr>
              <w:keepLines w:val="0"/>
              <w:autoSpaceDE w:val="0"/>
              <w:autoSpaceDN w:val="0"/>
              <w:adjustRightInd w:val="0"/>
              <w:rPr>
                <w:rFonts w:eastAsiaTheme="minorEastAsia" w:cs="Calibri"/>
                <w:color w:val="000000"/>
                <w:szCs w:val="20"/>
                <w:lang w:eastAsia="en-AU"/>
              </w:rPr>
            </w:pPr>
            <w:r w:rsidRPr="000C2EBC">
              <w:rPr>
                <w:rFonts w:eastAsiaTheme="minorEastAsia" w:cs="Calibri"/>
                <w:color w:val="000000"/>
                <w:szCs w:val="20"/>
                <w:lang w:eastAsia="en-AU"/>
              </w:rPr>
              <w:t xml:space="preserve">   Euro area</w:t>
            </w:r>
          </w:p>
        </w:tc>
        <w:tc>
          <w:tcPr>
            <w:tcW w:w="708"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2.0</w:t>
            </w:r>
          </w:p>
        </w:tc>
        <w:tc>
          <w:tcPr>
            <w:tcW w:w="90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1.7</w:t>
            </w:r>
          </w:p>
        </w:tc>
        <w:tc>
          <w:tcPr>
            <w:tcW w:w="103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1.7</w:t>
            </w:r>
          </w:p>
        </w:tc>
        <w:tc>
          <w:tcPr>
            <w:tcW w:w="103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1.6</w:t>
            </w:r>
          </w:p>
        </w:tc>
      </w:tr>
      <w:tr w:rsidR="00552DFA" w:rsidRPr="000C2EBC" w:rsidTr="00423C3D">
        <w:tc>
          <w:tcPr>
            <w:cnfStyle w:val="001000000000" w:firstRow="0" w:lastRow="0" w:firstColumn="1" w:lastColumn="0" w:oddVBand="0" w:evenVBand="0" w:oddHBand="0" w:evenHBand="0" w:firstRowFirstColumn="0" w:firstRowLastColumn="0" w:lastRowFirstColumn="0" w:lastRowLastColumn="0"/>
            <w:tcW w:w="4013" w:type="dxa"/>
            <w:tcBorders>
              <w:top w:val="nil"/>
              <w:left w:val="nil"/>
              <w:bottom w:val="nil"/>
              <w:right w:val="nil"/>
            </w:tcBorders>
          </w:tcPr>
          <w:p w:rsidR="00552DFA" w:rsidRPr="000C2EBC" w:rsidRDefault="00552DFA" w:rsidP="00423C3D">
            <w:pPr>
              <w:keepLines w:val="0"/>
              <w:autoSpaceDE w:val="0"/>
              <w:autoSpaceDN w:val="0"/>
              <w:adjustRightInd w:val="0"/>
              <w:rPr>
                <w:rFonts w:eastAsiaTheme="minorEastAsia" w:cs="Calibri"/>
                <w:color w:val="000000"/>
                <w:szCs w:val="20"/>
                <w:lang w:eastAsia="en-AU"/>
              </w:rPr>
            </w:pPr>
            <w:r w:rsidRPr="000C2EBC">
              <w:rPr>
                <w:rFonts w:eastAsiaTheme="minorEastAsia" w:cs="Calibri"/>
                <w:color w:val="000000"/>
                <w:szCs w:val="20"/>
                <w:lang w:eastAsia="en-AU"/>
              </w:rPr>
              <w:t xml:space="preserve">   Japan</w:t>
            </w:r>
          </w:p>
        </w:tc>
        <w:tc>
          <w:tcPr>
            <w:tcW w:w="708"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1.2</w:t>
            </w:r>
          </w:p>
        </w:tc>
        <w:tc>
          <w:tcPr>
            <w:tcW w:w="90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1.0</w:t>
            </w:r>
          </w:p>
        </w:tc>
        <w:tc>
          <w:tcPr>
            <w:tcW w:w="103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1.2</w:t>
            </w:r>
          </w:p>
        </w:tc>
        <w:tc>
          <w:tcPr>
            <w:tcW w:w="103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0.6</w:t>
            </w:r>
          </w:p>
        </w:tc>
      </w:tr>
      <w:tr w:rsidR="00552DFA" w:rsidRPr="000C2EBC" w:rsidTr="00423C3D">
        <w:tc>
          <w:tcPr>
            <w:cnfStyle w:val="001000000000" w:firstRow="0" w:lastRow="0" w:firstColumn="1" w:lastColumn="0" w:oddVBand="0" w:evenVBand="0" w:oddHBand="0" w:evenHBand="0" w:firstRowFirstColumn="0" w:firstRowLastColumn="0" w:lastRowFirstColumn="0" w:lastRowLastColumn="0"/>
            <w:tcW w:w="4013" w:type="dxa"/>
            <w:tcBorders>
              <w:top w:val="nil"/>
              <w:left w:val="nil"/>
              <w:bottom w:val="nil"/>
              <w:right w:val="nil"/>
            </w:tcBorders>
          </w:tcPr>
          <w:p w:rsidR="00552DFA" w:rsidRPr="000C2EBC" w:rsidRDefault="00552DFA" w:rsidP="00423C3D">
            <w:pPr>
              <w:keepLines w:val="0"/>
              <w:autoSpaceDE w:val="0"/>
              <w:autoSpaceDN w:val="0"/>
              <w:adjustRightInd w:val="0"/>
              <w:rPr>
                <w:rFonts w:eastAsiaTheme="minorEastAsia" w:cs="Calibri"/>
                <w:b/>
                <w:bCs/>
                <w:color w:val="000000"/>
                <w:szCs w:val="20"/>
                <w:lang w:eastAsia="en-AU"/>
              </w:rPr>
            </w:pPr>
            <w:r w:rsidRPr="000C2EBC">
              <w:rPr>
                <w:rFonts w:eastAsiaTheme="minorEastAsia" w:cs="Calibri"/>
                <w:b/>
                <w:bCs/>
                <w:color w:val="000000"/>
                <w:szCs w:val="20"/>
                <w:lang w:eastAsia="en-AU"/>
              </w:rPr>
              <w:t>Emerging market and developing economies</w:t>
            </w:r>
          </w:p>
        </w:tc>
        <w:tc>
          <w:tcPr>
            <w:tcW w:w="708"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0C2EBC">
              <w:rPr>
                <w:rFonts w:eastAsiaTheme="minorEastAsia" w:cs="Calibri"/>
                <w:b/>
                <w:bCs/>
                <w:color w:val="000000"/>
                <w:szCs w:val="20"/>
                <w:lang w:eastAsia="en-AU"/>
              </w:rPr>
              <w:t>4.2</w:t>
            </w:r>
          </w:p>
        </w:tc>
        <w:tc>
          <w:tcPr>
            <w:tcW w:w="90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0C2EBC">
              <w:rPr>
                <w:rFonts w:eastAsiaTheme="minorEastAsia" w:cs="Calibri"/>
                <w:b/>
                <w:bCs/>
                <w:color w:val="000000"/>
                <w:szCs w:val="20"/>
                <w:lang w:eastAsia="en-AU"/>
              </w:rPr>
              <w:t>4.1</w:t>
            </w:r>
          </w:p>
        </w:tc>
        <w:tc>
          <w:tcPr>
            <w:tcW w:w="103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0C2EBC">
              <w:rPr>
                <w:rFonts w:eastAsiaTheme="minorEastAsia" w:cs="Calibri"/>
                <w:b/>
                <w:bCs/>
                <w:color w:val="000000"/>
                <w:szCs w:val="20"/>
                <w:lang w:eastAsia="en-AU"/>
              </w:rPr>
              <w:t>4.5</w:t>
            </w:r>
          </w:p>
        </w:tc>
        <w:tc>
          <w:tcPr>
            <w:tcW w:w="103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0C2EBC">
              <w:rPr>
                <w:rFonts w:eastAsiaTheme="minorEastAsia" w:cs="Calibri"/>
                <w:b/>
                <w:bCs/>
                <w:color w:val="000000"/>
                <w:szCs w:val="20"/>
                <w:lang w:eastAsia="en-AU"/>
              </w:rPr>
              <w:t>4.8</w:t>
            </w:r>
          </w:p>
        </w:tc>
      </w:tr>
      <w:tr w:rsidR="00552DFA" w:rsidRPr="000C2EBC" w:rsidTr="00423C3D">
        <w:tc>
          <w:tcPr>
            <w:cnfStyle w:val="001000000000" w:firstRow="0" w:lastRow="0" w:firstColumn="1" w:lastColumn="0" w:oddVBand="0" w:evenVBand="0" w:oddHBand="0" w:evenHBand="0" w:firstRowFirstColumn="0" w:firstRowLastColumn="0" w:lastRowFirstColumn="0" w:lastRowLastColumn="0"/>
            <w:tcW w:w="4013" w:type="dxa"/>
            <w:tcBorders>
              <w:top w:val="nil"/>
              <w:left w:val="nil"/>
              <w:bottom w:val="nil"/>
              <w:right w:val="nil"/>
            </w:tcBorders>
          </w:tcPr>
          <w:p w:rsidR="00552DFA" w:rsidRPr="000C2EBC" w:rsidRDefault="00552DFA" w:rsidP="00423C3D">
            <w:pPr>
              <w:keepLines w:val="0"/>
              <w:autoSpaceDE w:val="0"/>
              <w:autoSpaceDN w:val="0"/>
              <w:adjustRightInd w:val="0"/>
              <w:rPr>
                <w:rFonts w:eastAsiaTheme="minorEastAsia" w:cs="Calibri"/>
                <w:color w:val="000000"/>
                <w:szCs w:val="20"/>
                <w:lang w:eastAsia="en-AU"/>
              </w:rPr>
            </w:pPr>
            <w:r w:rsidRPr="000C2EBC">
              <w:rPr>
                <w:rFonts w:eastAsiaTheme="minorEastAsia" w:cs="Calibri"/>
                <w:color w:val="000000"/>
                <w:szCs w:val="20"/>
                <w:lang w:eastAsia="en-AU"/>
              </w:rPr>
              <w:t xml:space="preserve">   China</w:t>
            </w:r>
          </w:p>
        </w:tc>
        <w:tc>
          <w:tcPr>
            <w:tcW w:w="708"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6.9</w:t>
            </w:r>
          </w:p>
        </w:tc>
        <w:tc>
          <w:tcPr>
            <w:tcW w:w="90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6.7</w:t>
            </w:r>
          </w:p>
        </w:tc>
        <w:tc>
          <w:tcPr>
            <w:tcW w:w="103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6.6</w:t>
            </w:r>
          </w:p>
        </w:tc>
        <w:tc>
          <w:tcPr>
            <w:tcW w:w="103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6.2</w:t>
            </w:r>
          </w:p>
        </w:tc>
      </w:tr>
      <w:tr w:rsidR="00552DFA" w:rsidRPr="000C2EBC" w:rsidTr="00423C3D">
        <w:tc>
          <w:tcPr>
            <w:cnfStyle w:val="001000000000" w:firstRow="0" w:lastRow="0" w:firstColumn="1" w:lastColumn="0" w:oddVBand="0" w:evenVBand="0" w:oddHBand="0" w:evenHBand="0" w:firstRowFirstColumn="0" w:firstRowLastColumn="0" w:lastRowFirstColumn="0" w:lastRowLastColumn="0"/>
            <w:tcW w:w="4013" w:type="dxa"/>
            <w:tcBorders>
              <w:top w:val="nil"/>
              <w:left w:val="nil"/>
              <w:bottom w:val="nil"/>
              <w:right w:val="nil"/>
            </w:tcBorders>
          </w:tcPr>
          <w:p w:rsidR="00552DFA" w:rsidRPr="000C2EBC" w:rsidRDefault="00552DFA" w:rsidP="00423C3D">
            <w:pPr>
              <w:keepLines w:val="0"/>
              <w:autoSpaceDE w:val="0"/>
              <w:autoSpaceDN w:val="0"/>
              <w:adjustRightInd w:val="0"/>
              <w:rPr>
                <w:rFonts w:eastAsiaTheme="minorEastAsia" w:cs="Calibri"/>
                <w:color w:val="000000"/>
                <w:szCs w:val="20"/>
                <w:lang w:eastAsia="en-AU"/>
              </w:rPr>
            </w:pPr>
            <w:r w:rsidRPr="000C2EBC">
              <w:rPr>
                <w:rFonts w:eastAsiaTheme="minorEastAsia" w:cs="Calibri"/>
                <w:color w:val="000000"/>
                <w:szCs w:val="20"/>
                <w:lang w:eastAsia="en-AU"/>
              </w:rPr>
              <w:t xml:space="preserve">   India</w:t>
            </w:r>
          </w:p>
        </w:tc>
        <w:tc>
          <w:tcPr>
            <w:tcW w:w="708"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7.9</w:t>
            </w:r>
          </w:p>
        </w:tc>
        <w:tc>
          <w:tcPr>
            <w:tcW w:w="90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6.8</w:t>
            </w:r>
          </w:p>
        </w:tc>
        <w:tc>
          <w:tcPr>
            <w:tcW w:w="103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7.2</w:t>
            </w:r>
          </w:p>
        </w:tc>
        <w:tc>
          <w:tcPr>
            <w:tcW w:w="1032" w:type="dxa"/>
            <w:tcBorders>
              <w:top w:val="nil"/>
              <w:left w:val="nil"/>
              <w:bottom w:val="nil"/>
              <w:right w:val="nil"/>
            </w:tcBorders>
          </w:tcPr>
          <w:p w:rsidR="00552DFA" w:rsidRPr="000C2EB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7.7</w:t>
            </w:r>
          </w:p>
        </w:tc>
      </w:tr>
      <w:tr w:rsidR="00552DFA" w:rsidRPr="000C2EBC" w:rsidTr="00423C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nil"/>
              <w:bottom w:val="single" w:sz="18" w:space="0" w:color="auto"/>
            </w:tcBorders>
          </w:tcPr>
          <w:p w:rsidR="00552DFA" w:rsidRPr="000C2EBC" w:rsidRDefault="00552DFA" w:rsidP="00423C3D">
            <w:pPr>
              <w:keepLines w:val="0"/>
              <w:autoSpaceDE w:val="0"/>
              <w:autoSpaceDN w:val="0"/>
              <w:adjustRightInd w:val="0"/>
            </w:pPr>
            <w:r w:rsidRPr="000C2EBC">
              <w:rPr>
                <w:rFonts w:eastAsiaTheme="minorEastAsia" w:cs="Calibri"/>
                <w:color w:val="000000"/>
                <w:szCs w:val="20"/>
                <w:lang w:eastAsia="en-AU"/>
              </w:rPr>
              <w:t xml:space="preserve">   ASEAN</w:t>
            </w:r>
            <w:r>
              <w:rPr>
                <w:rFonts w:eastAsiaTheme="minorEastAsia" w:cs="Calibri"/>
                <w:color w:val="000000"/>
                <w:szCs w:val="20"/>
                <w:lang w:eastAsia="en-AU"/>
              </w:rPr>
              <w:noBreakHyphen/>
            </w:r>
            <w:r w:rsidRPr="000C2EBC">
              <w:rPr>
                <w:rFonts w:eastAsiaTheme="minorEastAsia" w:cs="Calibri"/>
                <w:color w:val="000000"/>
                <w:szCs w:val="20"/>
                <w:lang w:eastAsia="en-AU"/>
              </w:rPr>
              <w:t xml:space="preserve">5 </w:t>
            </w:r>
            <w:r w:rsidRPr="000C2EBC">
              <w:rPr>
                <w:sz w:val="20"/>
                <w:szCs w:val="20"/>
                <w:vertAlign w:val="superscript"/>
              </w:rPr>
              <w:t>(b)</w:t>
            </w:r>
          </w:p>
        </w:tc>
        <w:tc>
          <w:tcPr>
            <w:tcW w:w="708" w:type="dxa"/>
            <w:tcBorders>
              <w:top w:val="nil"/>
              <w:bottom w:val="single" w:sz="18" w:space="0" w:color="auto"/>
            </w:tcBorders>
          </w:tcPr>
          <w:p w:rsidR="00552DFA" w:rsidRPr="000C2EB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4.8</w:t>
            </w:r>
          </w:p>
        </w:tc>
        <w:tc>
          <w:tcPr>
            <w:tcW w:w="902" w:type="dxa"/>
            <w:tcBorders>
              <w:top w:val="nil"/>
              <w:bottom w:val="single" w:sz="18" w:space="0" w:color="auto"/>
            </w:tcBorders>
          </w:tcPr>
          <w:p w:rsidR="00552DFA" w:rsidRPr="000C2EB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4.9</w:t>
            </w:r>
          </w:p>
        </w:tc>
        <w:tc>
          <w:tcPr>
            <w:tcW w:w="1032" w:type="dxa"/>
            <w:tcBorders>
              <w:top w:val="nil"/>
              <w:bottom w:val="single" w:sz="18" w:space="0" w:color="auto"/>
            </w:tcBorders>
          </w:tcPr>
          <w:p w:rsidR="00552DFA" w:rsidRPr="000C2EB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5.0</w:t>
            </w:r>
          </w:p>
        </w:tc>
        <w:tc>
          <w:tcPr>
            <w:tcW w:w="1032" w:type="dxa"/>
            <w:tcBorders>
              <w:top w:val="nil"/>
              <w:bottom w:val="single" w:sz="18" w:space="0" w:color="auto"/>
            </w:tcBorders>
          </w:tcPr>
          <w:p w:rsidR="00552DFA" w:rsidRPr="000C2EB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0C2EBC">
              <w:rPr>
                <w:rFonts w:eastAsiaTheme="minorEastAsia" w:cs="Calibri"/>
                <w:color w:val="000000"/>
                <w:szCs w:val="20"/>
                <w:lang w:eastAsia="en-AU"/>
              </w:rPr>
              <w:t>5.2</w:t>
            </w:r>
          </w:p>
        </w:tc>
      </w:tr>
    </w:tbl>
    <w:p w:rsidR="00552DFA" w:rsidRDefault="00552DFA" w:rsidP="00423C3D">
      <w:pPr>
        <w:pStyle w:val="Source"/>
      </w:pPr>
      <w:r w:rsidRPr="000C5D89">
        <w:t>Source: International Monetary Fund</w:t>
      </w:r>
      <w:r w:rsidR="00356A95">
        <w:fldChar w:fldCharType="begin"/>
      </w:r>
      <w:r w:rsidR="00356A95">
        <w:instrText xml:space="preserve"> XE "International Monetary Fund" </w:instrText>
      </w:r>
      <w:r w:rsidR="00356A95">
        <w:fldChar w:fldCharType="end"/>
      </w:r>
      <w:r>
        <w:t>’</w:t>
      </w:r>
      <w:r w:rsidRPr="000C5D89">
        <w:t xml:space="preserve">s </w:t>
      </w:r>
      <w:r>
        <w:t xml:space="preserve">World Economic Outlook, April </w:t>
      </w:r>
      <w:r w:rsidRPr="000C5D89">
        <w:t xml:space="preserve">2017. </w:t>
      </w:r>
    </w:p>
    <w:p w:rsidR="00552DFA" w:rsidRDefault="00552DFA" w:rsidP="00423C3D">
      <w:pPr>
        <w:pStyle w:val="Note"/>
      </w:pPr>
      <w:r>
        <w:t xml:space="preserve">Notes: </w:t>
      </w:r>
    </w:p>
    <w:p w:rsidR="00552DFA" w:rsidRDefault="00552DFA" w:rsidP="00423C3D">
      <w:pPr>
        <w:pStyle w:val="Note"/>
      </w:pPr>
      <w:r>
        <w:t>(a</w:t>
      </w:r>
      <w:r w:rsidRPr="00D06F45">
        <w:t>)</w:t>
      </w:r>
      <w:r w:rsidRPr="00D06F45">
        <w:tab/>
        <w:t xml:space="preserve"> </w:t>
      </w:r>
      <w:r w:rsidRPr="000C2EBC">
        <w:t>Not all countries or regions are listed in the table.</w:t>
      </w:r>
    </w:p>
    <w:p w:rsidR="00552DFA" w:rsidRDefault="00552DFA" w:rsidP="00423C3D">
      <w:pPr>
        <w:pStyle w:val="Note"/>
      </w:pPr>
      <w:r>
        <w:t>(b</w:t>
      </w:r>
      <w:r w:rsidRPr="000C2EBC">
        <w:t>)</w:t>
      </w:r>
      <w:r w:rsidRPr="000C2EBC">
        <w:tab/>
        <w:t xml:space="preserve"> ASEAN 5 economies are Indonesia, Malaysia, Philippines, Thailand and Vietnam. </w:t>
      </w:r>
    </w:p>
    <w:p w:rsidR="007814B1" w:rsidRPr="00D06F45" w:rsidRDefault="007814B1" w:rsidP="00423C3D">
      <w:pPr>
        <w:pStyle w:val="Note"/>
      </w:pPr>
    </w:p>
    <w:p w:rsidR="00552DFA" w:rsidRDefault="00552DFA" w:rsidP="00423C3D">
      <w:r>
        <w:t xml:space="preserve">Growth in the advanced economies is projected to accelerate modestly due to higher growth in the United States (US). Growth in emerging market and developing economies is projected to normalise from subdued rates, despite a slowdown in the rate of economic growth in China. </w:t>
      </w:r>
    </w:p>
    <w:p w:rsidR="00552DFA" w:rsidRDefault="00552DFA" w:rsidP="00423C3D">
      <w:r>
        <w:t>Economic growth</w:t>
      </w:r>
      <w:r w:rsidR="00356A95">
        <w:fldChar w:fldCharType="begin"/>
      </w:r>
      <w:r w:rsidR="00356A95">
        <w:instrText xml:space="preserve"> XE "Economic growth" </w:instrText>
      </w:r>
      <w:r w:rsidR="00356A95">
        <w:fldChar w:fldCharType="end"/>
      </w:r>
      <w:r>
        <w:t xml:space="preserve"> is projected to pick up in the US in 2017 and 2018, although forecasts are uncertain in light of potential changes in policy from the new administration. The growth projections assume a fiscal stimulus that boosts growth by a cumulative 0.5 percentage points over 2017 and 2018. Despite the elevated uncertainty, the risks are generally balanced with improvements in the labour market and wages, offset by the impacts of a potentially restrictive trade policy and rising interest rates. </w:t>
      </w:r>
    </w:p>
    <w:p w:rsidR="00552DFA" w:rsidRDefault="00552DFA" w:rsidP="00423C3D">
      <w:r>
        <w:t xml:space="preserve">Growth in the euro area is expected to be around 1.7 per cent, below estimates of potential growth. The euro area outlook is dampened by the sluggish pace of structural reform and elevated debt burdens. The risks are generally tilted to the downside and mostly stem from geopolitical instability, the impact of </w:t>
      </w:r>
      <w:proofErr w:type="spellStart"/>
      <w:r>
        <w:t>Brexit</w:t>
      </w:r>
      <w:proofErr w:type="spellEnd"/>
      <w:r>
        <w:t xml:space="preserve"> and the uncertain outcome from elections, such as those in France, the United Kingdom and Germany.</w:t>
      </w:r>
    </w:p>
    <w:p w:rsidR="00552DFA" w:rsidRDefault="00552DFA" w:rsidP="00423C3D">
      <w:r>
        <w:t>Japan’s growth is projected to be relatively weak over the forecast period. Postponement of a consumption tax hike and additional monetary easing will support growth in the near term, partly offsetting the drag from the recent appreciation of the yen. The risks are generally balanced, although Japan’s medium</w:t>
      </w:r>
      <w:r>
        <w:noBreakHyphen/>
        <w:t>term prospects remain weak, primarily reflecting a shrinking population.</w:t>
      </w:r>
    </w:p>
    <w:p w:rsidR="00552DFA" w:rsidRDefault="00552DFA" w:rsidP="00423C3D">
      <w:r>
        <w:lastRenderedPageBreak/>
        <w:t>The forecast for emerging market and developing economies reflects a broad</w:t>
      </w:r>
      <w:r>
        <w:noBreakHyphen/>
        <w:t xml:space="preserve">based normalisation in growth from current subdued rates. This is not reflected in the growth outlook for China, which is projected to decelerate over the forecast period. </w:t>
      </w:r>
    </w:p>
    <w:p w:rsidR="00552DFA" w:rsidRDefault="00552DFA" w:rsidP="00423C3D">
      <w:r>
        <w:t xml:space="preserve">At the 2017 National People’s Congress, the Chinese Premier announced China’s GDP growth target would be lowered from 6.7 per cent to 6.5 per cent in 2017. This reflects the challenge of rebalancing the economy and reducing overcapacity in certain heavy industries. </w:t>
      </w:r>
    </w:p>
    <w:p w:rsidR="00552DFA" w:rsidRDefault="00552DFA" w:rsidP="00423C3D">
      <w:pPr>
        <w:pStyle w:val="Heading10"/>
      </w:pPr>
      <w:bookmarkStart w:id="23" w:name="_Toc481160565"/>
      <w:bookmarkStart w:id="24" w:name="_Toc481246473"/>
      <w:r>
        <w:t>Risks to the outlook</w:t>
      </w:r>
      <w:bookmarkEnd w:id="23"/>
      <w:bookmarkEnd w:id="24"/>
    </w:p>
    <w:p w:rsidR="00552DFA" w:rsidRDefault="00552DFA" w:rsidP="00423C3D">
      <w:r>
        <w:t xml:space="preserve">The risks to Victoria’s economic outlook are broadly balanced, although global economic and policy uncertainty is high. </w:t>
      </w:r>
    </w:p>
    <w:p w:rsidR="00552DFA" w:rsidRDefault="00552DFA" w:rsidP="00423C3D">
      <w:r>
        <w:t xml:space="preserve">Interest rates are an important driver of Victoria’s economic performance. The </w:t>
      </w:r>
      <w:r w:rsidRPr="000C591E">
        <w:rPr>
          <w:i/>
        </w:rPr>
        <w:t>2017</w:t>
      </w:r>
      <w:r>
        <w:rPr>
          <w:i/>
        </w:rPr>
        <w:noBreakHyphen/>
      </w:r>
      <w:r w:rsidRPr="000C591E">
        <w:rPr>
          <w:i/>
        </w:rPr>
        <w:t>18</w:t>
      </w:r>
      <w:r>
        <w:rPr>
          <w:i/>
        </w:rPr>
        <w:t> </w:t>
      </w:r>
      <w:r w:rsidRPr="000C591E">
        <w:rPr>
          <w:i/>
        </w:rPr>
        <w:t>Budget</w:t>
      </w:r>
      <w:r>
        <w:t xml:space="preserve"> assumes that, in the near term, interest rates move in line with market expectations. Higher than expected interest rates could lead to a higher exchange rate, a reduction in asset prices and household wealth, and lower GSP growth. This is mostly balanced with the potential upside risk of lower interest rates in the current low inflation environment.</w:t>
      </w:r>
    </w:p>
    <w:p w:rsidR="00552DFA" w:rsidRDefault="00552DFA" w:rsidP="00423C3D">
      <w:r>
        <w:t xml:space="preserve">The labour market has been a source of strength for Victoria’s economy. The </w:t>
      </w:r>
      <w:r w:rsidRPr="000C591E">
        <w:rPr>
          <w:i/>
        </w:rPr>
        <w:t>2017</w:t>
      </w:r>
      <w:r>
        <w:rPr>
          <w:i/>
        </w:rPr>
        <w:noBreakHyphen/>
      </w:r>
      <w:r w:rsidRPr="000C591E">
        <w:rPr>
          <w:i/>
        </w:rPr>
        <w:t>18</w:t>
      </w:r>
      <w:r>
        <w:rPr>
          <w:i/>
        </w:rPr>
        <w:t> </w:t>
      </w:r>
      <w:r w:rsidRPr="000C591E">
        <w:rPr>
          <w:i/>
        </w:rPr>
        <w:t>Budget</w:t>
      </w:r>
      <w:r>
        <w:t xml:space="preserve"> forecasts ongoing growth in employment, a modest decline in the unemployment rate and an elevated but gradually declining participation rate. A higher than expected participation rate could lead to higher employment growth, higher GSP growth and lower wages growth. See </w:t>
      </w:r>
      <w:r w:rsidRPr="00C43905">
        <w:t>Appendix A</w:t>
      </w:r>
      <w:r>
        <w:t> </w:t>
      </w:r>
      <w:r w:rsidRPr="00CB1F52">
        <w:rPr>
          <w:i/>
        </w:rPr>
        <w:t>Sensitivity Analysis</w:t>
      </w:r>
      <w:r>
        <w:t xml:space="preserve"> for further information on the estimated fiscal impact of a higher participation rate. </w:t>
      </w:r>
    </w:p>
    <w:p w:rsidR="00552DFA" w:rsidRDefault="00552DFA" w:rsidP="00423C3D">
      <w:r>
        <w:t>Dwelling investment</w:t>
      </w:r>
      <w:r w:rsidR="00356A95">
        <w:fldChar w:fldCharType="begin"/>
      </w:r>
      <w:r w:rsidR="00356A95">
        <w:instrText xml:space="preserve"> XE "</w:instrText>
      </w:r>
      <w:r w:rsidR="00356A95" w:rsidRPr="00864E8B">
        <w:instrText>Dwelling investment</w:instrText>
      </w:r>
      <w:r w:rsidR="00356A95">
        <w:instrText xml:space="preserve">" </w:instrText>
      </w:r>
      <w:r w:rsidR="00356A95">
        <w:fldChar w:fldCharType="end"/>
      </w:r>
      <w:r>
        <w:t xml:space="preserve"> has been an important driver of Victoria’s economy over the past few years. An unexpected downturn in the housing market could lead to lower household wealth, lower employment in construction and related industries, and lower GSP growth. </w:t>
      </w:r>
    </w:p>
    <w:p w:rsidR="00552DFA" w:rsidRDefault="00552DFA" w:rsidP="00423C3D">
      <w:r>
        <w:t>Globally, economic and policy risks are broadly balanced, although uncertainty is elevated.</w:t>
      </w:r>
    </w:p>
    <w:p w:rsidR="00552DFA" w:rsidRDefault="00552DFA" w:rsidP="00423C3D">
      <w:r>
        <w:t>The economic outlook for the US is generally positive. Employment growth</w:t>
      </w:r>
      <w:r w:rsidR="00356A95">
        <w:fldChar w:fldCharType="begin"/>
      </w:r>
      <w:r w:rsidR="00356A95">
        <w:instrText xml:space="preserve"> XE "Labour market:</w:instrText>
      </w:r>
      <w:r w:rsidR="00356A95" w:rsidRPr="002E35BB">
        <w:instrText>Employment growth</w:instrText>
      </w:r>
      <w:r w:rsidR="00356A95">
        <w:instrText xml:space="preserve">" </w:instrText>
      </w:r>
      <w:r w:rsidR="00356A95">
        <w:fldChar w:fldCharType="end"/>
      </w:r>
      <w:r w:rsidR="00356A95">
        <w:fldChar w:fldCharType="begin"/>
      </w:r>
      <w:r w:rsidR="00356A95">
        <w:instrText xml:space="preserve"> XE "Employment:Growth" </w:instrText>
      </w:r>
      <w:r w:rsidR="00356A95">
        <w:fldChar w:fldCharType="end"/>
      </w:r>
      <w:r>
        <w:t xml:space="preserve"> and a pickup in wages are driving a recovery in household consumption, supporting GDP growth. However, there are significant policy risks including the timing of potential Federal Reserve interest rate hikes and the impact of policy proposals of the new US administration. </w:t>
      </w:r>
    </w:p>
    <w:p w:rsidR="00552DFA" w:rsidRDefault="00552DFA" w:rsidP="00423C3D">
      <w:r>
        <w:t>A key focus for the new administration has been the US’s withdrawal from the Trans</w:t>
      </w:r>
      <w:r>
        <w:noBreakHyphen/>
        <w:t xml:space="preserve">Pacific Partnership and a potential increase in trade protection more broadly. Australia’s economic performance is heavily influenced by global economic conditions and international trade. An increase in global tariffs could reduce the competitiveness of Victoria’s exports, lower Australia’s terms of trade and lower Victoria’s GSP growth. See </w:t>
      </w:r>
      <w:r w:rsidRPr="00C43905">
        <w:t>Appendix A</w:t>
      </w:r>
      <w:r>
        <w:rPr>
          <w:i/>
        </w:rPr>
        <w:t xml:space="preserve"> </w:t>
      </w:r>
      <w:r w:rsidRPr="00CB1F52">
        <w:rPr>
          <w:i/>
        </w:rPr>
        <w:t>Sensitivity Analysis</w:t>
      </w:r>
      <w:r>
        <w:rPr>
          <w:i/>
        </w:rPr>
        <w:t xml:space="preserve"> </w:t>
      </w:r>
      <w:r>
        <w:t>for further information on the estimated fiscal impact of a global trade shock.</w:t>
      </w:r>
    </w:p>
    <w:p w:rsidR="00552DFA" w:rsidRDefault="00552DFA" w:rsidP="00423C3D">
      <w:r>
        <w:lastRenderedPageBreak/>
        <w:t>Growth in China is expected to gradually moderate as the economy rebalances and reduces debt, consistent with a reduction in estimates of potential economic growth. While this rebalancing occurs, the risks of a financial shock are elevated. The Chinese authorities are attempting to balance the short</w:t>
      </w:r>
      <w:r>
        <w:noBreakHyphen/>
        <w:t>term need for growth with the longer</w:t>
      </w:r>
      <w:r>
        <w:noBreakHyphen/>
        <w:t>term need for structural reform aimed at reducing overcapacity in certain heavy industries and risks associated with the economy’s high, and rising, debt</w:t>
      </w:r>
      <w:r>
        <w:noBreakHyphen/>
        <w:t>to</w:t>
      </w:r>
      <w:r>
        <w:noBreakHyphen/>
        <w:t>GDP ratio. In addition, the economy is highly indebted and partly exposed to a higher US dollar if the Federal Reserve raises rates faster than expected. On the upside, the central government has a sizable foreign currency reserve and a relatively healthy balance sheet that could be used to support the economy if required.</w:t>
      </w:r>
    </w:p>
    <w:p w:rsidR="004E095F" w:rsidRDefault="004E095F">
      <w:pPr>
        <w:keepLines w:val="0"/>
      </w:pPr>
    </w:p>
    <w:p w:rsidR="004E095F" w:rsidRDefault="004E095F">
      <w:pPr>
        <w:keepLines w:val="0"/>
      </w:pPr>
    </w:p>
    <w:p w:rsidR="00552DFA" w:rsidRDefault="00552DFA">
      <w:pPr>
        <w:keepLines w:val="0"/>
      </w:pPr>
    </w:p>
    <w:p w:rsidR="00552DFA" w:rsidRDefault="00552DFA" w:rsidP="00423C3D">
      <w:pPr>
        <w:sectPr w:rsidR="00552DFA" w:rsidSect="008E76F5">
          <w:footerReference w:type="even" r:id="rId27"/>
          <w:footerReference w:type="default" r:id="rId28"/>
          <w:type w:val="oddPage"/>
          <w:pgSz w:w="9979" w:h="14175" w:code="34"/>
          <w:pgMar w:top="1138" w:right="1138" w:bottom="1138" w:left="1138" w:header="619" w:footer="562" w:gutter="0"/>
          <w:cols w:sep="1" w:space="567"/>
          <w:docGrid w:linePitch="360"/>
        </w:sectPr>
      </w:pPr>
    </w:p>
    <w:p w:rsidR="00552DFA" w:rsidRDefault="00552DFA" w:rsidP="000C43CD">
      <w:pPr>
        <w:pStyle w:val="Chapterheading"/>
      </w:pPr>
      <w:bookmarkStart w:id="25" w:name="_Toc481160566"/>
      <w:bookmarkStart w:id="26" w:name="_Toc481246474"/>
      <w:r>
        <w:lastRenderedPageBreak/>
        <w:t>Chapter 3 – Opportunity for all Victorians</w:t>
      </w:r>
      <w:bookmarkEnd w:id="25"/>
      <w:bookmarkEnd w:id="26"/>
    </w:p>
    <w:p w:rsidR="00552DFA" w:rsidRDefault="00552DFA" w:rsidP="00423C3D">
      <w:pPr>
        <w:pStyle w:val="HighlightBoxBullet"/>
      </w:pPr>
      <w:r>
        <w:t xml:space="preserve">Victoria’s economy has experienced a resurgence, </w:t>
      </w:r>
      <w:r w:rsidRPr="003941F1">
        <w:t xml:space="preserve">reflecting strong growth in </w:t>
      </w:r>
      <w:r>
        <w:t xml:space="preserve">population, high </w:t>
      </w:r>
      <w:r w:rsidRPr="003941F1">
        <w:t>labour force participation</w:t>
      </w:r>
      <w:r w:rsidRPr="001B6400">
        <w:t xml:space="preserve"> and rising productivity</w:t>
      </w:r>
      <w:r>
        <w:t xml:space="preserve">. The strength of the economy is attracting businesses and investment to Victoria. </w:t>
      </w:r>
    </w:p>
    <w:p w:rsidR="00552DFA" w:rsidRPr="00C0642E" w:rsidRDefault="00552DFA" w:rsidP="00423C3D">
      <w:pPr>
        <w:pStyle w:val="HighlightBoxBullet"/>
        <w:rPr>
          <w:lang w:eastAsia="en-AU"/>
        </w:rPr>
      </w:pPr>
      <w:r>
        <w:t>Victoria has the highest labour force participation rate of the non</w:t>
      </w:r>
      <w:r>
        <w:noBreakHyphen/>
        <w:t>mining states, with rising participation in particular among women.</w:t>
      </w:r>
    </w:p>
    <w:p w:rsidR="00552DFA" w:rsidRPr="00C0642E" w:rsidRDefault="00552DFA" w:rsidP="00423C3D">
      <w:pPr>
        <w:pStyle w:val="HighlightBoxBullet"/>
      </w:pPr>
      <w:r w:rsidRPr="00C0642E">
        <w:t>Gross state product</w:t>
      </w:r>
      <w:r w:rsidR="00356A95">
        <w:fldChar w:fldCharType="begin"/>
      </w:r>
      <w:r w:rsidR="00356A95">
        <w:instrText xml:space="preserve"> XE "Gross domestic product" </w:instrText>
      </w:r>
      <w:r w:rsidR="00356A95">
        <w:fldChar w:fldCharType="end"/>
      </w:r>
      <w:r w:rsidRPr="00C0642E">
        <w:t xml:space="preserve"> (GSP) per capita rose by 1.4</w:t>
      </w:r>
      <w:r>
        <w:t> per cent</w:t>
      </w:r>
      <w:r w:rsidRPr="00C0642E">
        <w:t xml:space="preserve"> in 2015</w:t>
      </w:r>
      <w:r>
        <w:noBreakHyphen/>
      </w:r>
      <w:r w:rsidRPr="00C0642E">
        <w:t xml:space="preserve">16 in </w:t>
      </w:r>
      <w:r>
        <w:t>real terms, and has risen by 37 per </w:t>
      </w:r>
      <w:r w:rsidRPr="00C0642E">
        <w:t xml:space="preserve">cent over the past two decades. </w:t>
      </w:r>
    </w:p>
    <w:p w:rsidR="00552DFA" w:rsidRDefault="00552DFA" w:rsidP="00423C3D">
      <w:pPr>
        <w:pStyle w:val="HighlightBoxBullet"/>
      </w:pPr>
      <w:r w:rsidRPr="00C0642E">
        <w:t>The gains from</w:t>
      </w:r>
      <w:r>
        <w:t xml:space="preserve"> this</w:t>
      </w:r>
      <w:r w:rsidRPr="00C0642E">
        <w:t xml:space="preserve"> economic expansion have been</w:t>
      </w:r>
      <w:r>
        <w:t xml:space="preserve"> broadly shared, with household income distribution becoming more equitable in Victoria. This bucks the trend toward greater income inequality observed in many </w:t>
      </w:r>
      <w:r w:rsidRPr="001031A2">
        <w:t>Organisation for Economic Co</w:t>
      </w:r>
      <w:r>
        <w:noBreakHyphen/>
      </w:r>
      <w:r w:rsidRPr="001031A2">
        <w:t>operation and Development (</w:t>
      </w:r>
      <w:r>
        <w:t>OECD) economies.</w:t>
      </w:r>
    </w:p>
    <w:p w:rsidR="00552DFA" w:rsidRDefault="00552DFA" w:rsidP="00423C3D">
      <w:pPr>
        <w:pStyle w:val="HighlightBoxBullet"/>
        <w:rPr>
          <w:lang w:eastAsia="en-AU"/>
        </w:rPr>
      </w:pPr>
      <w:r>
        <w:t>The Government has invested in productivity</w:t>
      </w:r>
      <w:r>
        <w:noBreakHyphen/>
        <w:t xml:space="preserve">enhancing infrastructure to support a growing population, and is working to increase the capacity of government services to meet the needs of expanding communities. The Government is getting on with addressing some of the most complex social challenges of our time, and ensuring </w:t>
      </w:r>
      <w:r w:rsidRPr="004A1DB7">
        <w:rPr>
          <w:rFonts w:ascii="Garamond" w:hAnsi="Garamond"/>
        </w:rPr>
        <w:t>no Victorian is left behind.</w:t>
      </w:r>
    </w:p>
    <w:p w:rsidR="00552DFA" w:rsidRDefault="00552DFA" w:rsidP="00423C3D">
      <w:pPr>
        <w:pStyle w:val="Heading10"/>
      </w:pPr>
      <w:bookmarkStart w:id="27" w:name="_Toc481160567"/>
      <w:bookmarkStart w:id="28" w:name="_Toc481246475"/>
      <w:r w:rsidRPr="00100CE1">
        <w:t>Introduction</w:t>
      </w:r>
      <w:bookmarkEnd w:id="27"/>
      <w:bookmarkEnd w:id="28"/>
    </w:p>
    <w:p w:rsidR="00552DFA" w:rsidRDefault="00552DFA" w:rsidP="00423C3D">
      <w:pPr>
        <w:rPr>
          <w:rFonts w:ascii="Garamond" w:hAnsi="Garamond"/>
        </w:rPr>
      </w:pPr>
      <w:r w:rsidRPr="00156B64">
        <w:rPr>
          <w:rFonts w:ascii="Garamond" w:hAnsi="Garamond"/>
        </w:rPr>
        <w:t>A strong economy is the foundation of</w:t>
      </w:r>
      <w:r>
        <w:rPr>
          <w:rFonts w:ascii="Garamond" w:hAnsi="Garamond"/>
        </w:rPr>
        <w:t xml:space="preserve"> prosperity for all Victorians because it means more jobs, more opportunities and</w:t>
      </w:r>
      <w:r w:rsidRPr="00156B64">
        <w:rPr>
          <w:rFonts w:ascii="Garamond" w:hAnsi="Garamond"/>
        </w:rPr>
        <w:t xml:space="preserve"> a </w:t>
      </w:r>
      <w:r>
        <w:rPr>
          <w:rFonts w:ascii="Garamond" w:hAnsi="Garamond"/>
        </w:rPr>
        <w:t>thriving</w:t>
      </w:r>
      <w:r w:rsidRPr="00156B64">
        <w:rPr>
          <w:rFonts w:ascii="Garamond" w:hAnsi="Garamond"/>
        </w:rPr>
        <w:t xml:space="preserve"> community. </w:t>
      </w:r>
      <w:r>
        <w:rPr>
          <w:rFonts w:ascii="Garamond" w:hAnsi="Garamond"/>
        </w:rPr>
        <w:t>In recent years, economic growth in Victoria has improved dramatically, reflecting strong growth in population, high</w:t>
      </w:r>
      <w:r w:rsidRPr="001B6400">
        <w:rPr>
          <w:rFonts w:ascii="Garamond" w:hAnsi="Garamond"/>
        </w:rPr>
        <w:t xml:space="preserve"> </w:t>
      </w:r>
      <w:r w:rsidRPr="00156B64">
        <w:rPr>
          <w:rFonts w:ascii="Garamond" w:hAnsi="Garamond"/>
        </w:rPr>
        <w:t>labour force participation</w:t>
      </w:r>
      <w:r w:rsidRPr="001B6400">
        <w:t>, and rising productivity</w:t>
      </w:r>
      <w:r>
        <w:rPr>
          <w:rFonts w:ascii="Garamond" w:hAnsi="Garamond"/>
        </w:rPr>
        <w:t>.</w:t>
      </w:r>
    </w:p>
    <w:p w:rsidR="00552DFA" w:rsidRDefault="00552DFA" w:rsidP="00423C3D">
      <w:pPr>
        <w:rPr>
          <w:rFonts w:ascii="Garamond" w:hAnsi="Garamond"/>
        </w:rPr>
      </w:pPr>
      <w:r>
        <w:rPr>
          <w:rFonts w:ascii="Garamond" w:hAnsi="Garamond"/>
        </w:rPr>
        <w:t xml:space="preserve">Employment has grown by </w:t>
      </w:r>
      <w:r w:rsidR="0098693A">
        <w:rPr>
          <w:rFonts w:ascii="Garamond" w:hAnsi="Garamond"/>
        </w:rPr>
        <w:t>more than</w:t>
      </w:r>
      <w:r>
        <w:rPr>
          <w:rFonts w:ascii="Garamond" w:hAnsi="Garamond"/>
        </w:rPr>
        <w:t xml:space="preserve"> 200 000 persons since the Government came to office, with around 60 per cent of this in full</w:t>
      </w:r>
      <w:r>
        <w:rPr>
          <w:rFonts w:ascii="Garamond" w:hAnsi="Garamond"/>
        </w:rPr>
        <w:noBreakHyphen/>
        <w:t>time employment. Employment growth</w:t>
      </w:r>
      <w:r w:rsidR="00356A95">
        <w:rPr>
          <w:rFonts w:ascii="Garamond" w:hAnsi="Garamond"/>
        </w:rPr>
        <w:fldChar w:fldCharType="begin"/>
      </w:r>
      <w:r w:rsidR="00356A95">
        <w:rPr>
          <w:rFonts w:ascii="Garamond" w:hAnsi="Garamond"/>
        </w:rPr>
        <w:instrText xml:space="preserve"> XE "</w:instrText>
      </w:r>
      <w:r w:rsidR="00356A95">
        <w:instrText>Labour market:</w:instrText>
      </w:r>
      <w:r w:rsidR="00356A95" w:rsidRPr="002E35BB">
        <w:instrText>Employment growth</w:instrText>
      </w:r>
      <w:r w:rsidR="00356A95">
        <w:instrText>"</w:instrText>
      </w:r>
      <w:r w:rsidR="00356A95">
        <w:rPr>
          <w:rFonts w:ascii="Garamond" w:hAnsi="Garamond"/>
        </w:rPr>
        <w:instrText xml:space="preserve"> </w:instrText>
      </w:r>
      <w:r w:rsidR="00356A95">
        <w:rPr>
          <w:rFonts w:ascii="Garamond" w:hAnsi="Garamond"/>
        </w:rPr>
        <w:fldChar w:fldCharType="end"/>
      </w:r>
      <w:r w:rsidR="00356A95">
        <w:rPr>
          <w:rFonts w:ascii="Garamond" w:hAnsi="Garamond"/>
        </w:rPr>
        <w:fldChar w:fldCharType="begin"/>
      </w:r>
      <w:r w:rsidR="00356A95">
        <w:rPr>
          <w:rFonts w:ascii="Garamond" w:hAnsi="Garamond"/>
        </w:rPr>
        <w:instrText xml:space="preserve"> XE "</w:instrText>
      </w:r>
      <w:r w:rsidR="00356A95">
        <w:instrText>Employment:Growth"</w:instrText>
      </w:r>
      <w:r w:rsidR="00356A95">
        <w:rPr>
          <w:rFonts w:ascii="Garamond" w:hAnsi="Garamond"/>
        </w:rPr>
        <w:instrText xml:space="preserve"> </w:instrText>
      </w:r>
      <w:r w:rsidR="00356A95">
        <w:rPr>
          <w:rFonts w:ascii="Garamond" w:hAnsi="Garamond"/>
        </w:rPr>
        <w:fldChar w:fldCharType="end"/>
      </w:r>
      <w:r>
        <w:rPr>
          <w:rFonts w:ascii="Garamond" w:hAnsi="Garamond"/>
        </w:rPr>
        <w:t xml:space="preserve"> in regional Victoria has also seen a strong increase, by 2.1 per cent in 2016.</w:t>
      </w:r>
    </w:p>
    <w:p w:rsidR="00552DFA" w:rsidRDefault="00552DFA" w:rsidP="00423C3D">
      <w:pPr>
        <w:rPr>
          <w:rFonts w:ascii="Garamond" w:hAnsi="Garamond"/>
        </w:rPr>
      </w:pPr>
      <w:r w:rsidRPr="00C0642E">
        <w:rPr>
          <w:rFonts w:ascii="Garamond" w:hAnsi="Garamond"/>
        </w:rPr>
        <w:t xml:space="preserve">The pace of economic growth has accelerated, rising </w:t>
      </w:r>
      <w:r>
        <w:rPr>
          <w:rFonts w:ascii="Garamond" w:hAnsi="Garamond"/>
        </w:rPr>
        <w:t>from 0.8 per </w:t>
      </w:r>
      <w:r w:rsidRPr="00C0642E">
        <w:rPr>
          <w:rFonts w:ascii="Garamond" w:hAnsi="Garamond"/>
        </w:rPr>
        <w:t>cent in 2013</w:t>
      </w:r>
      <w:r>
        <w:rPr>
          <w:rFonts w:ascii="Garamond" w:hAnsi="Garamond"/>
        </w:rPr>
        <w:noBreakHyphen/>
      </w:r>
      <w:r w:rsidRPr="00C0642E">
        <w:rPr>
          <w:rFonts w:ascii="Garamond" w:hAnsi="Garamond"/>
        </w:rPr>
        <w:t>14 to 3.3</w:t>
      </w:r>
      <w:r>
        <w:rPr>
          <w:rFonts w:ascii="Garamond" w:hAnsi="Garamond"/>
        </w:rPr>
        <w:t> </w:t>
      </w:r>
      <w:r w:rsidRPr="00C0642E">
        <w:rPr>
          <w:rFonts w:ascii="Garamond" w:hAnsi="Garamond"/>
        </w:rPr>
        <w:t>per</w:t>
      </w:r>
      <w:r>
        <w:rPr>
          <w:rFonts w:ascii="Garamond" w:hAnsi="Garamond"/>
        </w:rPr>
        <w:t> </w:t>
      </w:r>
      <w:r w:rsidRPr="00C0642E">
        <w:rPr>
          <w:rFonts w:ascii="Garamond" w:hAnsi="Garamond"/>
        </w:rPr>
        <w:t>cent in 2015</w:t>
      </w:r>
      <w:r>
        <w:rPr>
          <w:rFonts w:ascii="Garamond" w:hAnsi="Garamond"/>
        </w:rPr>
        <w:noBreakHyphen/>
      </w:r>
      <w:r w:rsidRPr="00C0642E">
        <w:rPr>
          <w:rFonts w:ascii="Garamond" w:hAnsi="Garamond"/>
        </w:rPr>
        <w:t>16. GSP rose</w:t>
      </w:r>
      <w:r>
        <w:rPr>
          <w:rFonts w:ascii="Garamond" w:hAnsi="Garamond"/>
        </w:rPr>
        <w:t xml:space="preserve"> even faster than population, which itself has grown strongly as a result of </w:t>
      </w:r>
      <w:r w:rsidRPr="00C0642E">
        <w:rPr>
          <w:rFonts w:ascii="Garamond" w:hAnsi="Garamond"/>
        </w:rPr>
        <w:t xml:space="preserve">high </w:t>
      </w:r>
      <w:r>
        <w:rPr>
          <w:rFonts w:ascii="Garamond" w:hAnsi="Garamond"/>
        </w:rPr>
        <w:t>migration of younger, prime working</w:t>
      </w:r>
      <w:r>
        <w:rPr>
          <w:rFonts w:ascii="Garamond" w:hAnsi="Garamond"/>
        </w:rPr>
        <w:noBreakHyphen/>
        <w:t>age individuals</w:t>
      </w:r>
      <w:r w:rsidRPr="00C0642E">
        <w:rPr>
          <w:rFonts w:ascii="Garamond" w:hAnsi="Garamond"/>
        </w:rPr>
        <w:t xml:space="preserve">. As a result, GSP per </w:t>
      </w:r>
      <w:r>
        <w:rPr>
          <w:rFonts w:ascii="Garamond" w:hAnsi="Garamond"/>
        </w:rPr>
        <w:t>capita rose by 1.4 </w:t>
      </w:r>
      <w:r w:rsidRPr="00C0642E">
        <w:rPr>
          <w:rFonts w:ascii="Garamond" w:hAnsi="Garamond"/>
        </w:rPr>
        <w:t>per cent in 2015</w:t>
      </w:r>
      <w:r>
        <w:rPr>
          <w:rFonts w:ascii="Garamond" w:hAnsi="Garamond"/>
        </w:rPr>
        <w:noBreakHyphen/>
      </w:r>
      <w:r w:rsidRPr="00C0642E">
        <w:rPr>
          <w:rFonts w:ascii="Garamond" w:hAnsi="Garamond"/>
        </w:rPr>
        <w:t>16.</w:t>
      </w:r>
    </w:p>
    <w:p w:rsidR="00552DFA" w:rsidRPr="00156B64" w:rsidRDefault="00552DFA" w:rsidP="00423C3D">
      <w:pPr>
        <w:rPr>
          <w:rFonts w:ascii="Garamond" w:hAnsi="Garamond"/>
        </w:rPr>
      </w:pPr>
      <w:r>
        <w:rPr>
          <w:rFonts w:ascii="Garamond" w:hAnsi="Garamond"/>
        </w:rPr>
        <w:lastRenderedPageBreak/>
        <w:t>Small businesses contribute significantly to the Victorian economy, and the State welcomed an additional 15 </w:t>
      </w:r>
      <w:r w:rsidRPr="00156B64">
        <w:rPr>
          <w:rFonts w:ascii="Garamond" w:hAnsi="Garamond"/>
        </w:rPr>
        <w:t xml:space="preserve">000 </w:t>
      </w:r>
      <w:r w:rsidR="00691B31">
        <w:rPr>
          <w:rFonts w:ascii="Garamond" w:hAnsi="Garamond"/>
        </w:rPr>
        <w:t xml:space="preserve">small </w:t>
      </w:r>
      <w:r w:rsidRPr="00156B64">
        <w:rPr>
          <w:rFonts w:ascii="Garamond" w:hAnsi="Garamond"/>
        </w:rPr>
        <w:t>businesses in the past 12 months</w:t>
      </w:r>
      <w:r>
        <w:rPr>
          <w:rFonts w:ascii="Garamond" w:hAnsi="Garamond"/>
        </w:rPr>
        <w:t>. Visitors are attracted to Victoria, placing Victoria in the number one position in terms of growth in international tourist visitation for the past five years. I</w:t>
      </w:r>
      <w:r w:rsidRPr="00156B64">
        <w:rPr>
          <w:rFonts w:ascii="Garamond" w:hAnsi="Garamond"/>
        </w:rPr>
        <w:t>nternational visitation has grown by 9.</w:t>
      </w:r>
      <w:r>
        <w:rPr>
          <w:rFonts w:ascii="Garamond" w:hAnsi="Garamond"/>
        </w:rPr>
        <w:t>3 </w:t>
      </w:r>
      <w:r w:rsidRPr="00156B64">
        <w:rPr>
          <w:rFonts w:ascii="Garamond" w:hAnsi="Garamond"/>
        </w:rPr>
        <w:t>per cent annually – far higher than the national average.</w:t>
      </w:r>
    </w:p>
    <w:p w:rsidR="00552DFA" w:rsidRDefault="00552DFA" w:rsidP="00423C3D">
      <w:r>
        <w:t xml:space="preserve">The benefits of economic growth in Victoria have </w:t>
      </w:r>
      <w:r w:rsidRPr="00156B64">
        <w:t>been broad</w:t>
      </w:r>
      <w:r>
        <w:noBreakHyphen/>
      </w:r>
      <w:r w:rsidRPr="00156B64">
        <w:t xml:space="preserve">based. </w:t>
      </w:r>
      <w:r>
        <w:t xml:space="preserve">This is evident in the high and increasing rates of labour force participation, particularly among women. Lower income households have experienced similar or higher rates of income growth, when compared with higher income households. This is a positive outcome and stands in contrast to rising income inequality seen in many other member countries in the OECD. </w:t>
      </w:r>
    </w:p>
    <w:p w:rsidR="00552DFA" w:rsidRPr="00156B64" w:rsidRDefault="00552DFA" w:rsidP="00423C3D">
      <w:pPr>
        <w:rPr>
          <w:rFonts w:ascii="Garamond" w:hAnsi="Garamond"/>
        </w:rPr>
      </w:pPr>
      <w:r w:rsidRPr="00156B64">
        <w:rPr>
          <w:rFonts w:ascii="Garamond" w:hAnsi="Garamond"/>
        </w:rPr>
        <w:t>The Government</w:t>
      </w:r>
      <w:r>
        <w:rPr>
          <w:rFonts w:ascii="Garamond" w:hAnsi="Garamond"/>
        </w:rPr>
        <w:t>’s commitment to fiscal discipline in a period of economic expansion has allowed for increased investment in the infrastructure and services that a growing community needs. Today’s investments aim to build a strong, sustainable and equitable economy that can provide opportunity for all Victorians into the future.</w:t>
      </w:r>
    </w:p>
    <w:p w:rsidR="00552DFA" w:rsidRDefault="00552DFA" w:rsidP="00423C3D">
      <w:pPr>
        <w:pStyle w:val="Heading10"/>
      </w:pPr>
      <w:bookmarkStart w:id="29" w:name="_Toc481160568"/>
      <w:bookmarkStart w:id="30" w:name="_Toc481246476"/>
      <w:r>
        <w:t>More growth means more jobs</w:t>
      </w:r>
      <w:bookmarkEnd w:id="29"/>
      <w:bookmarkEnd w:id="30"/>
    </w:p>
    <w:p w:rsidR="00552DFA" w:rsidRDefault="00552DFA" w:rsidP="00423C3D">
      <w:pPr>
        <w:rPr>
          <w:rFonts w:ascii="Garamond" w:hAnsi="Garamond"/>
        </w:rPr>
      </w:pPr>
      <w:r>
        <w:rPr>
          <w:rFonts w:ascii="Garamond" w:hAnsi="Garamond"/>
        </w:rPr>
        <w:t>Victoria’s economic growth is accelerating. After a number of years of sub</w:t>
      </w:r>
      <w:r>
        <w:rPr>
          <w:rFonts w:ascii="Garamond" w:hAnsi="Garamond"/>
        </w:rPr>
        <w:noBreakHyphen/>
        <w:t xml:space="preserve">trend growth following the global financial crisis, growth has increased dramatically in recent years. As outlined in </w:t>
      </w:r>
      <w:r w:rsidRPr="00794963">
        <w:rPr>
          <w:rFonts w:ascii="Garamond" w:hAnsi="Garamond"/>
        </w:rPr>
        <w:t xml:space="preserve">Chapter 2 </w:t>
      </w:r>
      <w:r>
        <w:rPr>
          <w:rFonts w:ascii="Garamond" w:hAnsi="Garamond"/>
          <w:i/>
        </w:rPr>
        <w:t>Economic context</w:t>
      </w:r>
      <w:r>
        <w:rPr>
          <w:rFonts w:ascii="Garamond" w:hAnsi="Garamond"/>
        </w:rPr>
        <w:t>, this strong economic performance is expected to continue, with growth forecast to continue at an above</w:t>
      </w:r>
      <w:r>
        <w:rPr>
          <w:rFonts w:ascii="Garamond" w:hAnsi="Garamond"/>
        </w:rPr>
        <w:noBreakHyphen/>
        <w:t>trend rate in the near term.</w:t>
      </w:r>
    </w:p>
    <w:p w:rsidR="00552DFA" w:rsidRDefault="00552DFA" w:rsidP="00423C3D">
      <w:pPr>
        <w:rPr>
          <w:rFonts w:ascii="Garamond" w:hAnsi="Garamond"/>
        </w:rPr>
      </w:pPr>
      <w:r>
        <w:rPr>
          <w:rFonts w:ascii="Garamond" w:hAnsi="Garamond"/>
        </w:rPr>
        <w:t>The three drivers of economic growth – population, participation and productivity – all positively contributed to the State’s strong economic performance in 2015</w:t>
      </w:r>
      <w:r>
        <w:rPr>
          <w:rFonts w:ascii="Garamond" w:hAnsi="Garamond"/>
        </w:rPr>
        <w:noBreakHyphen/>
        <w:t>16 (see Chart 3.1).</w:t>
      </w:r>
    </w:p>
    <w:p w:rsidR="00552DFA" w:rsidRDefault="00552DFA" w:rsidP="00423C3D">
      <w:pPr>
        <w:rPr>
          <w:rFonts w:ascii="Garamond" w:hAnsi="Garamond"/>
        </w:rPr>
      </w:pPr>
      <w:r>
        <w:rPr>
          <w:rFonts w:ascii="Garamond" w:hAnsi="Garamond"/>
        </w:rPr>
        <w:t>In particular, overall labour force participation has risen fast enough to contribute to real GSP growth in Victoria in 2015</w:t>
      </w:r>
      <w:r>
        <w:rPr>
          <w:rFonts w:ascii="Garamond" w:hAnsi="Garamond"/>
        </w:rPr>
        <w:noBreakHyphen/>
        <w:t>16 for the first time in five years. In practical terms, this means that the combination of declining unemployment and growing labour force participation is strengthening the economy. This turnaround is all the more impressive having been achieved against the background of an ageing population, which is estimated to reduce participation, as the baby boomer generation increasingly reach</w:t>
      </w:r>
      <w:r w:rsidR="0098693A">
        <w:rPr>
          <w:rFonts w:ascii="Garamond" w:hAnsi="Garamond"/>
        </w:rPr>
        <w:t>es</w:t>
      </w:r>
      <w:r>
        <w:rPr>
          <w:rFonts w:ascii="Garamond" w:hAnsi="Garamond"/>
        </w:rPr>
        <w:t xml:space="preserve"> retirement age. </w:t>
      </w:r>
    </w:p>
    <w:p w:rsidR="00552DFA" w:rsidRDefault="00552DFA" w:rsidP="00423C3D">
      <w:pPr>
        <w:pStyle w:val="TableHeading"/>
      </w:pPr>
      <w:r>
        <w:lastRenderedPageBreak/>
        <w:t>Chart 3.1:</w:t>
      </w:r>
      <w:r>
        <w:tab/>
        <w:t>Contributions to real GSP growth: population, participation and productivity</w:t>
      </w:r>
    </w:p>
    <w:p w:rsidR="00552DFA" w:rsidRDefault="0049535D" w:rsidP="00A95794">
      <w:r>
        <w:pict>
          <v:shape id="_x0000_i1033" type="#_x0000_t75" style="width:380.95pt;height:222.7pt">
            <v:imagedata r:id="rId29" o:title=""/>
          </v:shape>
        </w:pict>
      </w:r>
    </w:p>
    <w:p w:rsidR="00552DFA" w:rsidRDefault="00552DFA" w:rsidP="00423C3D">
      <w:pPr>
        <w:pStyle w:val="Source"/>
      </w:pPr>
      <w:r w:rsidRPr="00214B45">
        <w:t>Source: D</w:t>
      </w:r>
      <w:r>
        <w:t xml:space="preserve">epartment of </w:t>
      </w:r>
      <w:r w:rsidRPr="00214B45">
        <w:t>T</w:t>
      </w:r>
      <w:r>
        <w:t xml:space="preserve">reasury and </w:t>
      </w:r>
      <w:r w:rsidRPr="00214B45">
        <w:t>F</w:t>
      </w:r>
      <w:r>
        <w:t>inance;</w:t>
      </w:r>
      <w:r w:rsidRPr="00214B45">
        <w:t xml:space="preserve"> Australian Bureau of Statistics</w:t>
      </w:r>
    </w:p>
    <w:p w:rsidR="00552DFA" w:rsidRPr="00A95794" w:rsidRDefault="00552DFA" w:rsidP="00A95794">
      <w:pPr>
        <w:pStyle w:val="Note"/>
      </w:pPr>
    </w:p>
    <w:p w:rsidR="00552DFA" w:rsidRDefault="00552DFA" w:rsidP="00423C3D">
      <w:pPr>
        <w:rPr>
          <w:rFonts w:ascii="Garamond" w:hAnsi="Garamond"/>
        </w:rPr>
      </w:pPr>
      <w:r>
        <w:rPr>
          <w:rFonts w:ascii="Garamond" w:hAnsi="Garamond"/>
        </w:rPr>
        <w:t>Employment growth</w:t>
      </w:r>
      <w:r w:rsidR="00356A95">
        <w:rPr>
          <w:rFonts w:ascii="Garamond" w:hAnsi="Garamond"/>
        </w:rPr>
        <w:fldChar w:fldCharType="begin"/>
      </w:r>
      <w:r w:rsidR="00356A95">
        <w:rPr>
          <w:rFonts w:ascii="Garamond" w:hAnsi="Garamond"/>
        </w:rPr>
        <w:instrText xml:space="preserve"> XE "</w:instrText>
      </w:r>
      <w:r w:rsidR="00356A95">
        <w:instrText>Labour market:</w:instrText>
      </w:r>
      <w:r w:rsidR="00356A95" w:rsidRPr="002E35BB">
        <w:instrText>Employment growth</w:instrText>
      </w:r>
      <w:r w:rsidR="00356A95">
        <w:instrText>"</w:instrText>
      </w:r>
      <w:r w:rsidR="00356A95">
        <w:rPr>
          <w:rFonts w:ascii="Garamond" w:hAnsi="Garamond"/>
        </w:rPr>
        <w:instrText xml:space="preserve"> </w:instrText>
      </w:r>
      <w:r w:rsidR="00356A95">
        <w:rPr>
          <w:rFonts w:ascii="Garamond" w:hAnsi="Garamond"/>
        </w:rPr>
        <w:fldChar w:fldCharType="end"/>
      </w:r>
      <w:r w:rsidR="00356A95">
        <w:rPr>
          <w:rFonts w:ascii="Garamond" w:hAnsi="Garamond"/>
        </w:rPr>
        <w:fldChar w:fldCharType="begin"/>
      </w:r>
      <w:r w:rsidR="00356A95">
        <w:rPr>
          <w:rFonts w:ascii="Garamond" w:hAnsi="Garamond"/>
        </w:rPr>
        <w:instrText xml:space="preserve"> XE "</w:instrText>
      </w:r>
      <w:r w:rsidR="00356A95">
        <w:instrText>Employment:Growth"</w:instrText>
      </w:r>
      <w:r w:rsidR="00356A95">
        <w:rPr>
          <w:rFonts w:ascii="Garamond" w:hAnsi="Garamond"/>
        </w:rPr>
        <w:instrText xml:space="preserve"> </w:instrText>
      </w:r>
      <w:r w:rsidR="00356A95">
        <w:rPr>
          <w:rFonts w:ascii="Garamond" w:hAnsi="Garamond"/>
        </w:rPr>
        <w:fldChar w:fldCharType="end"/>
      </w:r>
      <w:r>
        <w:rPr>
          <w:rFonts w:ascii="Garamond" w:hAnsi="Garamond"/>
        </w:rPr>
        <w:t xml:space="preserve"> in Victoria is keeping pace with population growth, amid a population boom. Victoria’s population ticked over six million in early 2016, with growth continuing to accelerate. As at the September quarter 2016, Victoria’s population was growing at an annual pace of 2.1 per cent.</w:t>
      </w:r>
    </w:p>
    <w:p w:rsidR="00552DFA" w:rsidRDefault="00552DFA" w:rsidP="00423C3D">
      <w:pPr>
        <w:rPr>
          <w:rFonts w:ascii="Garamond" w:hAnsi="Garamond"/>
        </w:rPr>
      </w:pPr>
      <w:r>
        <w:rPr>
          <w:rFonts w:ascii="Garamond" w:hAnsi="Garamond"/>
        </w:rPr>
        <w:t>An improvement in productivity has also supported recent economic outcomes. Productivity</w:t>
      </w:r>
      <w:r w:rsidR="00356A95">
        <w:rPr>
          <w:rFonts w:ascii="Garamond" w:hAnsi="Garamond"/>
        </w:rPr>
        <w:fldChar w:fldCharType="begin"/>
      </w:r>
      <w:r w:rsidR="00356A95">
        <w:rPr>
          <w:rFonts w:ascii="Garamond" w:hAnsi="Garamond"/>
        </w:rPr>
        <w:instrText xml:space="preserve"> XE "</w:instrText>
      </w:r>
      <w:r w:rsidR="00356A95">
        <w:instrText>Productivity"</w:instrText>
      </w:r>
      <w:r w:rsidR="00356A95">
        <w:rPr>
          <w:rFonts w:ascii="Garamond" w:hAnsi="Garamond"/>
        </w:rPr>
        <w:instrText xml:space="preserve"> </w:instrText>
      </w:r>
      <w:r w:rsidR="00356A95">
        <w:rPr>
          <w:rFonts w:ascii="Garamond" w:hAnsi="Garamond"/>
        </w:rPr>
        <w:fldChar w:fldCharType="end"/>
      </w:r>
      <w:r>
        <w:rPr>
          <w:rFonts w:ascii="Garamond" w:hAnsi="Garamond"/>
        </w:rPr>
        <w:t xml:space="preserve"> remains the cornerstone of sustainable increases in living standards over the long term, and must be supported by investment in social and economic infrastructure.</w:t>
      </w:r>
      <w:r w:rsidRPr="008153FF">
        <w:rPr>
          <w:rFonts w:ascii="Garamond" w:hAnsi="Garamond"/>
        </w:rPr>
        <w:t xml:space="preserve"> </w:t>
      </w:r>
      <w:r>
        <w:rPr>
          <w:rFonts w:ascii="Garamond" w:hAnsi="Garamond"/>
        </w:rPr>
        <w:t xml:space="preserve">That’s why the </w:t>
      </w:r>
      <w:r>
        <w:rPr>
          <w:rFonts w:ascii="Garamond" w:hAnsi="Garamond"/>
          <w:i/>
        </w:rPr>
        <w:t>2017</w:t>
      </w:r>
      <w:r>
        <w:rPr>
          <w:rFonts w:ascii="Garamond" w:hAnsi="Garamond"/>
          <w:i/>
        </w:rPr>
        <w:noBreakHyphen/>
      </w:r>
      <w:r w:rsidRPr="008153FF">
        <w:rPr>
          <w:rFonts w:ascii="Garamond" w:hAnsi="Garamond"/>
          <w:i/>
        </w:rPr>
        <w:t>18 Budget</w:t>
      </w:r>
      <w:r>
        <w:rPr>
          <w:rFonts w:ascii="Garamond" w:hAnsi="Garamond"/>
        </w:rPr>
        <w:t xml:space="preserve"> commits a further $1.3 billion over the next four years to continue the revitalisation of our education system.</w:t>
      </w:r>
    </w:p>
    <w:p w:rsidR="00552DFA" w:rsidRDefault="00552DFA" w:rsidP="00423C3D">
      <w:pPr>
        <w:rPr>
          <w:rFonts w:ascii="Garamond" w:hAnsi="Garamond"/>
        </w:rPr>
      </w:pPr>
      <w:r>
        <w:rPr>
          <w:rFonts w:ascii="Garamond" w:hAnsi="Garamond"/>
        </w:rPr>
        <w:t>Business conditions have improved steadily over recent years and, combined with the Government’s substantial infrastructure program, is translating to higher levels of investment. Combined business and public investment in Victoria has increased by around 14 per cent since the December quarter 2014 (see Chart 3.2). Rising investment in productivity</w:t>
      </w:r>
      <w:r>
        <w:rPr>
          <w:rFonts w:ascii="Garamond" w:hAnsi="Garamond"/>
        </w:rPr>
        <w:noBreakHyphen/>
        <w:t>enhancing infrastructure and services is positive for Victoria’s longer</w:t>
      </w:r>
      <w:r>
        <w:rPr>
          <w:rFonts w:ascii="Garamond" w:hAnsi="Garamond"/>
        </w:rPr>
        <w:noBreakHyphen/>
        <w:t>term growth prospects.</w:t>
      </w:r>
    </w:p>
    <w:p w:rsidR="00552DFA" w:rsidRDefault="00552DFA" w:rsidP="00423C3D">
      <w:pPr>
        <w:pStyle w:val="TableHeading"/>
      </w:pPr>
      <w:r>
        <w:lastRenderedPageBreak/>
        <w:t>Chart 3.2:</w:t>
      </w:r>
      <w:r>
        <w:tab/>
        <w:t xml:space="preserve">Private business investment and public investment (current prices), </w:t>
      </w:r>
      <w:r>
        <w:br/>
        <w:t>Victoria, 2010</w:t>
      </w:r>
      <w:r>
        <w:noBreakHyphen/>
        <w:t>2016</w:t>
      </w:r>
    </w:p>
    <w:p w:rsidR="00552DFA" w:rsidRDefault="0049535D" w:rsidP="00A95794">
      <w:r>
        <w:pict>
          <v:shape id="_x0000_i1034" type="#_x0000_t75" style="width:380.1pt;height:222.7pt">
            <v:imagedata r:id="rId30" o:title=""/>
          </v:shape>
        </w:pict>
      </w:r>
    </w:p>
    <w:p w:rsidR="00552DFA" w:rsidRDefault="00552DFA" w:rsidP="00423C3D">
      <w:pPr>
        <w:pStyle w:val="Source"/>
      </w:pPr>
      <w:r>
        <w:t>Source: Australian Bureau of Statistics</w:t>
      </w:r>
    </w:p>
    <w:p w:rsidR="00552DFA" w:rsidRDefault="00552DFA" w:rsidP="00423C3D">
      <w:pPr>
        <w:pStyle w:val="Heading20"/>
      </w:pPr>
      <w:r>
        <w:t>Sharing the benefits of growth</w:t>
      </w:r>
    </w:p>
    <w:p w:rsidR="00552DFA" w:rsidRDefault="00552DFA" w:rsidP="00423C3D">
      <w:r>
        <w:t>Stronger economic growth means more jobs, and more Victorians who benefit from the State’s economic success. More than 120 000 jobs were created in 2016, which is more than all the other states and territories in Australia combined. More than 200 000 jobs have been created since the Government came to office in November 2014.</w:t>
      </w:r>
    </w:p>
    <w:p w:rsidR="00552DFA" w:rsidRDefault="00552DFA" w:rsidP="00423C3D">
      <w:r>
        <w:t>The majority of the jobs created have been full</w:t>
      </w:r>
      <w:r>
        <w:noBreakHyphen/>
        <w:t>time and have been focused on high</w:t>
      </w:r>
      <w:r>
        <w:noBreakHyphen/>
        <w:t>wage, high</w:t>
      </w:r>
      <w:r>
        <w:noBreakHyphen/>
        <w:t>skill sectors. Victor</w:t>
      </w:r>
      <w:r w:rsidR="0098693A">
        <w:t>ia has the highest rate of full</w:t>
      </w:r>
      <w:r w:rsidR="0098693A">
        <w:noBreakHyphen/>
      </w:r>
      <w:r>
        <w:t>time employment growth of any state or territory in Australia. Full</w:t>
      </w:r>
      <w:r>
        <w:noBreakHyphen/>
        <w:t>time employment grew by 3.7 per cent over the course of 2016 and accounts for 60 per cent of the jobs created under this Government. Importantly, employment growth is being experienced across the State, with employment in regional Victoria growing by 2.1 per cent in 2016 – among the strongest rates of regional growth in the nation – and above national regional employment growth of 1.0 per cent.</w:t>
      </w:r>
    </w:p>
    <w:p w:rsidR="00552DFA" w:rsidRDefault="00552DFA" w:rsidP="00423C3D">
      <w:r>
        <w:t>The rising rates of labour force participation are evidence that improved job prospects are enticing more people to seek employment. Victoria’s labour force participation rate – already the highest among the non</w:t>
      </w:r>
      <w:r>
        <w:noBreakHyphen/>
        <w:t xml:space="preserve">mining states – averaged 65.2 per cent in 2016, the highest rate in five years. </w:t>
      </w:r>
      <w:r w:rsidRPr="00530684">
        <w:rPr>
          <w:rFonts w:ascii="Garamond" w:hAnsi="Garamond"/>
        </w:rPr>
        <w:t>The combination of increased female labour force participation and increased participation among older age cohorts has outweighed the impact of the retirement of the baby boomer generation.</w:t>
      </w:r>
    </w:p>
    <w:p w:rsidR="00CB7327" w:rsidRDefault="00CB7327">
      <w:pPr>
        <w:keepLines w:val="0"/>
      </w:pPr>
      <w:r>
        <w:br w:type="page"/>
      </w:r>
    </w:p>
    <w:p w:rsidR="00552DFA" w:rsidRDefault="00552DFA" w:rsidP="00423C3D">
      <w:pPr>
        <w:rPr>
          <w:rFonts w:ascii="Garamond" w:hAnsi="Garamond"/>
        </w:rPr>
      </w:pPr>
      <w:r>
        <w:lastRenderedPageBreak/>
        <w:t xml:space="preserve">Female participation in Victoria’s labour force is higher than it has ever been before, increasing by 2.1 percentage points since the Government took office. Greater female participation </w:t>
      </w:r>
      <w:r w:rsidRPr="00530684">
        <w:rPr>
          <w:rFonts w:ascii="Garamond" w:hAnsi="Garamond"/>
        </w:rPr>
        <w:t xml:space="preserve">means greater productive capacity, but also opens up demand in other areas. </w:t>
      </w:r>
    </w:p>
    <w:p w:rsidR="00552DFA" w:rsidRPr="002118B1" w:rsidRDefault="00552DFA" w:rsidP="00423C3D">
      <w:pPr>
        <w:rPr>
          <w:rFonts w:ascii="Garamond" w:hAnsi="Garamond"/>
        </w:rPr>
      </w:pPr>
      <w:r w:rsidRPr="006E559F">
        <w:rPr>
          <w:rFonts w:ascii="Garamond" w:hAnsi="Garamond"/>
        </w:rPr>
        <w:t xml:space="preserve">Despite the increase in participation, the unemployment rate has continued to decline. For </w:t>
      </w:r>
      <w:r>
        <w:rPr>
          <w:rFonts w:ascii="Garamond" w:hAnsi="Garamond"/>
        </w:rPr>
        <w:t xml:space="preserve">example, Victoria’s </w:t>
      </w:r>
      <w:r w:rsidRPr="006E559F">
        <w:rPr>
          <w:rFonts w:ascii="Garamond" w:hAnsi="Garamond"/>
        </w:rPr>
        <w:t xml:space="preserve">unemployment rate </w:t>
      </w:r>
      <w:r>
        <w:rPr>
          <w:rFonts w:ascii="Garamond" w:hAnsi="Garamond"/>
        </w:rPr>
        <w:t xml:space="preserve">has declined from </w:t>
      </w:r>
      <w:r w:rsidRPr="006E559F">
        <w:rPr>
          <w:rFonts w:ascii="Garamond" w:hAnsi="Garamond"/>
        </w:rPr>
        <w:t>6.7</w:t>
      </w:r>
      <w:r>
        <w:rPr>
          <w:rFonts w:ascii="Garamond" w:hAnsi="Garamond"/>
        </w:rPr>
        <w:t> per cent</w:t>
      </w:r>
      <w:r w:rsidRPr="006E559F">
        <w:rPr>
          <w:rFonts w:ascii="Garamond" w:hAnsi="Garamond"/>
        </w:rPr>
        <w:t xml:space="preserve"> when the Government took office </w:t>
      </w:r>
      <w:r>
        <w:rPr>
          <w:rFonts w:ascii="Garamond" w:hAnsi="Garamond"/>
        </w:rPr>
        <w:t xml:space="preserve">to average </w:t>
      </w:r>
      <w:r w:rsidRPr="006E559F">
        <w:rPr>
          <w:rFonts w:ascii="Garamond" w:hAnsi="Garamond"/>
        </w:rPr>
        <w:t>5.8</w:t>
      </w:r>
      <w:r>
        <w:rPr>
          <w:rFonts w:ascii="Garamond" w:hAnsi="Garamond"/>
        </w:rPr>
        <w:t> per cent</w:t>
      </w:r>
      <w:r w:rsidRPr="006E559F">
        <w:rPr>
          <w:rFonts w:ascii="Garamond" w:hAnsi="Garamond"/>
        </w:rPr>
        <w:t xml:space="preserve"> in 2016</w:t>
      </w:r>
      <w:r>
        <w:rPr>
          <w:rFonts w:ascii="Garamond" w:hAnsi="Garamond"/>
        </w:rPr>
        <w:t>. T</w:t>
      </w:r>
      <w:r w:rsidRPr="006E559F">
        <w:rPr>
          <w:rFonts w:ascii="Garamond" w:hAnsi="Garamond"/>
        </w:rPr>
        <w:t xml:space="preserve">he regional unemployment rate </w:t>
      </w:r>
      <w:r>
        <w:rPr>
          <w:rFonts w:ascii="Garamond" w:hAnsi="Garamond"/>
        </w:rPr>
        <w:t xml:space="preserve">has fallen from 6.6 per cent in November 2014 to average </w:t>
      </w:r>
      <w:r w:rsidRPr="006E559F">
        <w:rPr>
          <w:rFonts w:ascii="Garamond" w:hAnsi="Garamond"/>
        </w:rPr>
        <w:t>5.7</w:t>
      </w:r>
      <w:r>
        <w:rPr>
          <w:rFonts w:ascii="Garamond" w:hAnsi="Garamond"/>
        </w:rPr>
        <w:t> per cent</w:t>
      </w:r>
      <w:r w:rsidRPr="006E559F">
        <w:rPr>
          <w:rFonts w:ascii="Garamond" w:hAnsi="Garamond"/>
        </w:rPr>
        <w:t xml:space="preserve"> in 2016.</w:t>
      </w:r>
    </w:p>
    <w:p w:rsidR="00552DFA" w:rsidRDefault="00552DFA" w:rsidP="00423C3D">
      <w:r>
        <w:t>The broad</w:t>
      </w:r>
      <w:r>
        <w:noBreakHyphen/>
        <w:t>based nature of Victoria’s pattern of growth is also evident in the distribution of income across households. In contrast to the recent experience of other economies in the OECD, l</w:t>
      </w:r>
      <w:r w:rsidRPr="005A31AB">
        <w:rPr>
          <w:rFonts w:ascii="Garamond" w:hAnsi="Garamond"/>
        </w:rPr>
        <w:t xml:space="preserve">ower income households in Victoria </w:t>
      </w:r>
      <w:r>
        <w:rPr>
          <w:rFonts w:ascii="Garamond" w:hAnsi="Garamond"/>
        </w:rPr>
        <w:t xml:space="preserve">have </w:t>
      </w:r>
      <w:r w:rsidRPr="005A31AB">
        <w:rPr>
          <w:rFonts w:ascii="Garamond" w:hAnsi="Garamond"/>
        </w:rPr>
        <w:t xml:space="preserve">experienced similar </w:t>
      </w:r>
      <w:r>
        <w:rPr>
          <w:rFonts w:ascii="Garamond" w:hAnsi="Garamond"/>
        </w:rPr>
        <w:t xml:space="preserve">or higher </w:t>
      </w:r>
      <w:r w:rsidRPr="005A31AB">
        <w:rPr>
          <w:rFonts w:ascii="Garamond" w:hAnsi="Garamond"/>
        </w:rPr>
        <w:t xml:space="preserve">rates of </w:t>
      </w:r>
      <w:r>
        <w:rPr>
          <w:rFonts w:ascii="Garamond" w:hAnsi="Garamond"/>
        </w:rPr>
        <w:t xml:space="preserve">income </w:t>
      </w:r>
      <w:r w:rsidRPr="005A31AB">
        <w:rPr>
          <w:rFonts w:ascii="Garamond" w:hAnsi="Garamond"/>
        </w:rPr>
        <w:t xml:space="preserve">growth </w:t>
      </w:r>
      <w:r>
        <w:rPr>
          <w:rFonts w:ascii="Garamond" w:hAnsi="Garamond"/>
        </w:rPr>
        <w:t xml:space="preserve">when compared with </w:t>
      </w:r>
      <w:r w:rsidRPr="005A31AB">
        <w:rPr>
          <w:rFonts w:ascii="Garamond" w:hAnsi="Garamond"/>
        </w:rPr>
        <w:t xml:space="preserve">higher income households </w:t>
      </w:r>
      <w:r>
        <w:rPr>
          <w:rFonts w:ascii="Garamond" w:hAnsi="Garamond"/>
        </w:rPr>
        <w:t>o</w:t>
      </w:r>
      <w:r>
        <w:t>ver the 19 years to 2013</w:t>
      </w:r>
      <w:r>
        <w:noBreakHyphen/>
        <w:t>14 (see Chart 3.3). In other words, the distribution of income growth to households has become more equitable in Victoria over the past two decades.</w:t>
      </w:r>
    </w:p>
    <w:p w:rsidR="00552DFA" w:rsidRDefault="00552DFA" w:rsidP="00423C3D">
      <w:pPr>
        <w:pStyle w:val="TableHeading"/>
        <w:rPr>
          <w:vertAlign w:val="superscript"/>
        </w:rPr>
      </w:pPr>
      <w:r>
        <w:t>Chart 3.3</w:t>
      </w:r>
      <w:r>
        <w:tab/>
      </w:r>
      <w:r w:rsidRPr="00051BFB">
        <w:t xml:space="preserve">Victorian </w:t>
      </w:r>
      <w:r>
        <w:t xml:space="preserve">average annual </w:t>
      </w:r>
      <w:r w:rsidRPr="00051BFB">
        <w:t>h</w:t>
      </w:r>
      <w:r>
        <w:t xml:space="preserve">ousehold income growth by </w:t>
      </w:r>
      <w:proofErr w:type="spellStart"/>
      <w:r>
        <w:t>decile</w:t>
      </w:r>
      <w:proofErr w:type="spellEnd"/>
      <w:r w:rsidRPr="00051BFB">
        <w:t xml:space="preserve">, </w:t>
      </w:r>
      <w:r>
        <w:br/>
      </w:r>
      <w:r w:rsidRPr="00051BFB">
        <w:t>199</w:t>
      </w:r>
      <w:r>
        <w:t>4</w:t>
      </w:r>
      <w:r>
        <w:noBreakHyphen/>
        <w:t xml:space="preserve">95 to </w:t>
      </w:r>
      <w:r w:rsidRPr="00051BFB">
        <w:t>20</w:t>
      </w:r>
      <w:r>
        <w:t>13</w:t>
      </w:r>
      <w:r>
        <w:noBreakHyphen/>
      </w:r>
      <w:r w:rsidRPr="00051BFB">
        <w:t>14</w:t>
      </w:r>
      <w:r>
        <w:t xml:space="preserve"> </w:t>
      </w:r>
      <w:r w:rsidRPr="00DD379F">
        <w:rPr>
          <w:vertAlign w:val="superscript"/>
        </w:rPr>
        <w:t>(a)</w:t>
      </w:r>
    </w:p>
    <w:p w:rsidR="00552DFA" w:rsidRDefault="0049535D" w:rsidP="00A95794">
      <w:r>
        <w:pict>
          <v:shape id="_x0000_i1035" type="#_x0000_t75" style="width:381.75pt;height:222.7pt">
            <v:imagedata r:id="rId31" o:title=""/>
          </v:shape>
        </w:pict>
      </w:r>
    </w:p>
    <w:p w:rsidR="00552DFA" w:rsidRDefault="00552DFA" w:rsidP="00423C3D">
      <w:pPr>
        <w:pStyle w:val="Source"/>
        <w:keepNext/>
      </w:pPr>
      <w:r>
        <w:t>Source: Australian Bureau of Statistics</w:t>
      </w:r>
    </w:p>
    <w:p w:rsidR="00552DFA" w:rsidRDefault="00552DFA" w:rsidP="00423C3D">
      <w:pPr>
        <w:pStyle w:val="Note"/>
      </w:pPr>
      <w:r>
        <w:t>Note:</w:t>
      </w:r>
    </w:p>
    <w:p w:rsidR="00552DFA" w:rsidRPr="00DD379F" w:rsidRDefault="00552DFA" w:rsidP="00423C3D">
      <w:pPr>
        <w:pStyle w:val="Note"/>
      </w:pPr>
      <w:r>
        <w:t>(a)</w:t>
      </w:r>
      <w:r>
        <w:tab/>
        <w:t>Latest available data is 2013</w:t>
      </w:r>
      <w:r>
        <w:noBreakHyphen/>
        <w:t>14.</w:t>
      </w:r>
    </w:p>
    <w:p w:rsidR="00552DFA" w:rsidRDefault="00552DFA">
      <w:pPr>
        <w:keepLines w:val="0"/>
        <w:rPr>
          <w:rFonts w:asciiTheme="majorHAnsi" w:eastAsiaTheme="majorEastAsia" w:hAnsiTheme="majorHAnsi" w:cstheme="majorBidi"/>
          <w:b/>
          <w:bCs/>
          <w:caps/>
          <w:spacing w:val="-2"/>
          <w:sz w:val="26"/>
          <w:szCs w:val="28"/>
        </w:rPr>
      </w:pPr>
      <w:r>
        <w:br w:type="page"/>
      </w:r>
    </w:p>
    <w:p w:rsidR="00552DFA" w:rsidRDefault="00552DFA" w:rsidP="00423C3D">
      <w:pPr>
        <w:pStyle w:val="Heading10"/>
      </w:pPr>
      <w:bookmarkStart w:id="31" w:name="_Toc481160569"/>
      <w:bookmarkStart w:id="32" w:name="_Toc481246477"/>
      <w:r>
        <w:lastRenderedPageBreak/>
        <w:t>Investing for the future</w:t>
      </w:r>
      <w:bookmarkEnd w:id="31"/>
      <w:bookmarkEnd w:id="32"/>
    </w:p>
    <w:p w:rsidR="00552DFA" w:rsidRDefault="00552DFA" w:rsidP="00423C3D">
      <w:r>
        <w:t xml:space="preserve">The Andrews </w:t>
      </w:r>
      <w:proofErr w:type="spellStart"/>
      <w:r>
        <w:t>Labor</w:t>
      </w:r>
      <w:proofErr w:type="spellEnd"/>
      <w:r>
        <w:t xml:space="preserve"> Government is getting on with the job and building the projects that Victoria needs. The Government is committed to investing to meet the needs of our growing population and ensure that ongoing economic growth will be shared by all Victorians.</w:t>
      </w:r>
    </w:p>
    <w:p w:rsidR="00552DFA" w:rsidRDefault="00552DFA" w:rsidP="00423C3D">
      <w:pPr>
        <w:rPr>
          <w:rFonts w:ascii="Garamond" w:hAnsi="Garamond"/>
        </w:rPr>
      </w:pPr>
      <w:r>
        <w:rPr>
          <w:rFonts w:ascii="Garamond" w:hAnsi="Garamond"/>
        </w:rPr>
        <w:t>This Government is also investing significantly in public transport, to reduce urban congestion and contribute to a more sustainable transport future. The biggest public transport project in the State’s history – the Metro Tunnel</w:t>
      </w:r>
      <w:r w:rsidR="00356A95">
        <w:rPr>
          <w:rFonts w:ascii="Garamond" w:hAnsi="Garamond"/>
        </w:rPr>
        <w:fldChar w:fldCharType="begin"/>
      </w:r>
      <w:r w:rsidR="00356A95">
        <w:rPr>
          <w:rFonts w:ascii="Garamond" w:hAnsi="Garamond"/>
        </w:rPr>
        <w:instrText xml:space="preserve"> XE "</w:instrText>
      </w:r>
      <w:r w:rsidR="00356A95">
        <w:instrText>Metro Tunnel"</w:instrText>
      </w:r>
      <w:r w:rsidR="00356A95">
        <w:rPr>
          <w:rFonts w:ascii="Garamond" w:hAnsi="Garamond"/>
        </w:rPr>
        <w:instrText xml:space="preserve"> </w:instrText>
      </w:r>
      <w:r w:rsidR="00356A95">
        <w:rPr>
          <w:rFonts w:ascii="Garamond" w:hAnsi="Garamond"/>
        </w:rPr>
        <w:fldChar w:fldCharType="end"/>
      </w:r>
      <w:r>
        <w:rPr>
          <w:rFonts w:ascii="Garamond" w:hAnsi="Garamond"/>
        </w:rPr>
        <w:t xml:space="preserve"> – will free up space in the City Loop to allow more trains to enter and exit the city. The project will help meet increased demand as well as improve reliability and commuting times for public transport users.</w:t>
      </w:r>
    </w:p>
    <w:p w:rsidR="00552DFA" w:rsidRDefault="00552DFA" w:rsidP="00423C3D">
      <w:pPr>
        <w:rPr>
          <w:rFonts w:ascii="Garamond" w:hAnsi="Garamond"/>
        </w:rPr>
      </w:pPr>
      <w:r>
        <w:rPr>
          <w:rFonts w:ascii="Garamond" w:hAnsi="Garamond"/>
        </w:rPr>
        <w:t>The Level Crossing Removal Program</w:t>
      </w:r>
      <w:r w:rsidR="00356A95">
        <w:rPr>
          <w:rFonts w:ascii="Garamond" w:hAnsi="Garamond"/>
        </w:rPr>
        <w:fldChar w:fldCharType="begin"/>
      </w:r>
      <w:r w:rsidR="00356A95">
        <w:rPr>
          <w:rFonts w:ascii="Garamond" w:hAnsi="Garamond"/>
        </w:rPr>
        <w:instrText xml:space="preserve"> XE "</w:instrText>
      </w:r>
      <w:r w:rsidR="00356A95">
        <w:instrText>Level Crossing Removal Program"</w:instrText>
      </w:r>
      <w:r w:rsidR="00356A95">
        <w:rPr>
          <w:rFonts w:ascii="Garamond" w:hAnsi="Garamond"/>
        </w:rPr>
        <w:instrText xml:space="preserve"> </w:instrText>
      </w:r>
      <w:r w:rsidR="00356A95">
        <w:rPr>
          <w:rFonts w:ascii="Garamond" w:hAnsi="Garamond"/>
        </w:rPr>
        <w:fldChar w:fldCharType="end"/>
      </w:r>
      <w:r>
        <w:rPr>
          <w:rFonts w:ascii="Garamond" w:hAnsi="Garamond"/>
        </w:rPr>
        <w:t xml:space="preserve"> and the West Gate Tunnel Project</w:t>
      </w:r>
      <w:r w:rsidR="00356A95">
        <w:rPr>
          <w:rFonts w:ascii="Garamond" w:hAnsi="Garamond"/>
        </w:rPr>
        <w:fldChar w:fldCharType="begin"/>
      </w:r>
      <w:r w:rsidR="00356A95">
        <w:rPr>
          <w:rFonts w:ascii="Garamond" w:hAnsi="Garamond"/>
        </w:rPr>
        <w:instrText xml:space="preserve"> XE "</w:instrText>
      </w:r>
      <w:r w:rsidR="00356A95">
        <w:instrText>West Gate Tunnel Project"</w:instrText>
      </w:r>
      <w:r w:rsidR="00356A95">
        <w:rPr>
          <w:rFonts w:ascii="Garamond" w:hAnsi="Garamond"/>
        </w:rPr>
        <w:instrText xml:space="preserve"> </w:instrText>
      </w:r>
      <w:r w:rsidR="00356A95">
        <w:rPr>
          <w:rFonts w:ascii="Garamond" w:hAnsi="Garamond"/>
        </w:rPr>
        <w:fldChar w:fldCharType="end"/>
      </w:r>
      <w:r>
        <w:rPr>
          <w:rFonts w:ascii="Garamond" w:hAnsi="Garamond"/>
        </w:rPr>
        <w:t xml:space="preserve"> are two other significant roads projects aimed at easing traffic and enabling higher productivity and better quality of life. </w:t>
      </w:r>
    </w:p>
    <w:p w:rsidR="00552DFA" w:rsidRDefault="00552DFA" w:rsidP="00423C3D">
      <w:pPr>
        <w:rPr>
          <w:rFonts w:ascii="Garamond" w:hAnsi="Garamond"/>
        </w:rPr>
      </w:pPr>
      <w:r>
        <w:rPr>
          <w:rFonts w:ascii="Garamond" w:hAnsi="Garamond"/>
        </w:rPr>
        <w:t xml:space="preserve">The </w:t>
      </w:r>
      <w:r>
        <w:rPr>
          <w:rFonts w:ascii="Garamond" w:hAnsi="Garamond"/>
          <w:i/>
        </w:rPr>
        <w:t>2017</w:t>
      </w:r>
      <w:r>
        <w:rPr>
          <w:rFonts w:ascii="Garamond" w:hAnsi="Garamond"/>
          <w:i/>
        </w:rPr>
        <w:noBreakHyphen/>
        <w:t>18 Budget</w:t>
      </w:r>
      <w:r>
        <w:rPr>
          <w:rFonts w:ascii="Garamond" w:hAnsi="Garamond"/>
        </w:rPr>
        <w:t xml:space="preserve"> consolidates the infrastructure investment in previous budgets, with further investments in projects with a total estimated investment of $6.1 billion.</w:t>
      </w:r>
    </w:p>
    <w:p w:rsidR="00552DFA" w:rsidRDefault="00552DFA" w:rsidP="00423C3D">
      <w:pPr>
        <w:rPr>
          <w:rFonts w:ascii="Garamond" w:hAnsi="Garamond"/>
        </w:rPr>
      </w:pPr>
      <w:r>
        <w:rPr>
          <w:rFonts w:ascii="Garamond" w:hAnsi="Garamond"/>
        </w:rPr>
        <w:t>Overall, government infrastructure investment (GII) is anticipated to average $9.6 billion across the next four years, significantly higher than the average GII for the past decade to 2016</w:t>
      </w:r>
      <w:r>
        <w:rPr>
          <w:rFonts w:ascii="Garamond" w:hAnsi="Garamond"/>
        </w:rPr>
        <w:noBreakHyphen/>
        <w:t>17 of $5.6 billion. Investment planning and prioritisation is taking place in the context of a refreshed Plan Melbourne and under the strategy developed by Infrastructure Victoria</w:t>
      </w:r>
      <w:r w:rsidR="00356A95">
        <w:rPr>
          <w:rFonts w:ascii="Garamond" w:hAnsi="Garamond"/>
        </w:rPr>
        <w:fldChar w:fldCharType="begin"/>
      </w:r>
      <w:r w:rsidR="00356A95">
        <w:rPr>
          <w:rFonts w:ascii="Garamond" w:hAnsi="Garamond"/>
        </w:rPr>
        <w:instrText xml:space="preserve"> XE "</w:instrText>
      </w:r>
      <w:r w:rsidR="00356A95">
        <w:instrText>Infrastructure Victoria"</w:instrText>
      </w:r>
      <w:r w:rsidR="00356A95">
        <w:rPr>
          <w:rFonts w:ascii="Garamond" w:hAnsi="Garamond"/>
        </w:rPr>
        <w:instrText xml:space="preserve"> </w:instrText>
      </w:r>
      <w:r w:rsidR="00356A95">
        <w:rPr>
          <w:rFonts w:ascii="Garamond" w:hAnsi="Garamond"/>
        </w:rPr>
        <w:fldChar w:fldCharType="end"/>
      </w:r>
      <w:r>
        <w:rPr>
          <w:rFonts w:ascii="Garamond" w:hAnsi="Garamond"/>
        </w:rPr>
        <w:t>. This investment will help make our State and capital city function more effectively, and serve Victorians better.</w:t>
      </w:r>
    </w:p>
    <w:p w:rsidR="00552DFA" w:rsidRDefault="00552DFA" w:rsidP="00423C3D">
      <w:pPr>
        <w:rPr>
          <w:rFonts w:ascii="Garamond" w:hAnsi="Garamond"/>
        </w:rPr>
      </w:pPr>
      <w:r>
        <w:rPr>
          <w:rFonts w:ascii="Garamond" w:hAnsi="Garamond"/>
        </w:rPr>
        <w:t>Importantly, these investments also build confidence in our economy and create jobs. New infrastructure investment announced by this Government is expected to generate more than 50 000 jobs.</w:t>
      </w:r>
    </w:p>
    <w:p w:rsidR="00552DFA" w:rsidRDefault="00552DFA" w:rsidP="00423C3D">
      <w:pPr>
        <w:rPr>
          <w:rFonts w:ascii="Garamond" w:hAnsi="Garamond"/>
        </w:rPr>
      </w:pPr>
      <w:r>
        <w:rPr>
          <w:rFonts w:ascii="Garamond" w:hAnsi="Garamond"/>
        </w:rPr>
        <w:t>Investment in social services is just as important for our economy and society as investments in physical infrastructure. Social services represent an essential investment in the health, education and wellbeing of people – in the human capital that drives our economy, and that creates Victoria’s thriving communities.</w:t>
      </w:r>
    </w:p>
    <w:p w:rsidR="00552DFA" w:rsidRDefault="00552DFA" w:rsidP="00423C3D">
      <w:pPr>
        <w:rPr>
          <w:rFonts w:ascii="Garamond" w:hAnsi="Garamond"/>
        </w:rPr>
      </w:pPr>
      <w:r>
        <w:rPr>
          <w:rFonts w:ascii="Garamond" w:hAnsi="Garamond"/>
        </w:rPr>
        <w:t xml:space="preserve">This Government is making a concerted effort to restore public and social services, while maintaining fiscal discipline and prudent financial management. </w:t>
      </w:r>
      <w:r>
        <w:t xml:space="preserve">The </w:t>
      </w:r>
      <w:r>
        <w:rPr>
          <w:i/>
        </w:rPr>
        <w:t>2017</w:t>
      </w:r>
      <w:r>
        <w:rPr>
          <w:i/>
        </w:rPr>
        <w:noBreakHyphen/>
        <w:t>18 Budget</w:t>
      </w:r>
      <w:r>
        <w:t xml:space="preserve"> funds $9.6 billion in new output initiatives</w:t>
      </w:r>
      <w:r w:rsidR="007E0272">
        <w:t>. The G</w:t>
      </w:r>
      <w:r w:rsidR="000759F0">
        <w:t>overnment is investing</w:t>
      </w:r>
      <w:r>
        <w:t xml:space="preserve"> </w:t>
      </w:r>
      <w:r>
        <w:rPr>
          <w:rFonts w:ascii="Garamond" w:hAnsi="Garamond" w:cs="Garamond"/>
        </w:rPr>
        <w:t>an additional $2.9 billion to ensure Victorians receive world</w:t>
      </w:r>
      <w:r>
        <w:rPr>
          <w:rFonts w:ascii="Garamond" w:hAnsi="Garamond" w:cs="Garamond"/>
        </w:rPr>
        <w:noBreakHyphen/>
        <w:t>class health</w:t>
      </w:r>
      <w:r w:rsidR="0098693A">
        <w:rPr>
          <w:rFonts w:ascii="Garamond" w:hAnsi="Garamond" w:cs="Garamond"/>
        </w:rPr>
        <w:t xml:space="preserve"> </w:t>
      </w:r>
      <w:r>
        <w:rPr>
          <w:rFonts w:ascii="Garamond" w:hAnsi="Garamond" w:cs="Garamond"/>
        </w:rPr>
        <w:t>care, a further $1.3 billion to continue the revitalisation of our education system, and an unprecedented commitment to address family violence with $1.9 billion in comprehensive reforms.</w:t>
      </w:r>
    </w:p>
    <w:p w:rsidR="00552DFA" w:rsidRDefault="00552DFA">
      <w:pPr>
        <w:keepLines w:val="0"/>
        <w:rPr>
          <w:rFonts w:asciiTheme="majorHAnsi" w:eastAsiaTheme="majorEastAsia" w:hAnsiTheme="majorHAnsi" w:cstheme="majorBidi"/>
          <w:b/>
          <w:spacing w:val="-2"/>
          <w:sz w:val="26"/>
          <w:szCs w:val="26"/>
        </w:rPr>
      </w:pPr>
      <w:r>
        <w:br w:type="page"/>
      </w:r>
    </w:p>
    <w:p w:rsidR="00552DFA" w:rsidRPr="00DD4365" w:rsidRDefault="00552DFA" w:rsidP="00423C3D">
      <w:pPr>
        <w:pStyle w:val="Heading20"/>
      </w:pPr>
      <w:r>
        <w:lastRenderedPageBreak/>
        <w:t>Investing in people</w:t>
      </w:r>
    </w:p>
    <w:p w:rsidR="00552DFA" w:rsidRDefault="00552DFA" w:rsidP="00423C3D">
      <w:pPr>
        <w:rPr>
          <w:rFonts w:ascii="Garamond" w:hAnsi="Garamond"/>
        </w:rPr>
      </w:pPr>
      <w:r>
        <w:rPr>
          <w:rFonts w:ascii="Garamond" w:hAnsi="Garamond"/>
        </w:rPr>
        <w:t>The Government has recognised the importance of investing in people – in human capital – under the Education State</w:t>
      </w:r>
      <w:r w:rsidR="00356A95">
        <w:rPr>
          <w:rFonts w:ascii="Garamond" w:hAnsi="Garamond"/>
        </w:rPr>
        <w:fldChar w:fldCharType="begin"/>
      </w:r>
      <w:r w:rsidR="00356A95">
        <w:rPr>
          <w:rFonts w:ascii="Garamond" w:hAnsi="Garamond"/>
        </w:rPr>
        <w:instrText xml:space="preserve"> XE "</w:instrText>
      </w:r>
      <w:r w:rsidR="00356A95">
        <w:instrText>Education State"</w:instrText>
      </w:r>
      <w:r w:rsidR="00356A95">
        <w:rPr>
          <w:rFonts w:ascii="Garamond" w:hAnsi="Garamond"/>
        </w:rPr>
        <w:instrText xml:space="preserve"> </w:instrText>
      </w:r>
      <w:r w:rsidR="00356A95">
        <w:rPr>
          <w:rFonts w:ascii="Garamond" w:hAnsi="Garamond"/>
        </w:rPr>
        <w:fldChar w:fldCharType="end"/>
      </w:r>
      <w:r>
        <w:rPr>
          <w:rFonts w:ascii="Garamond" w:hAnsi="Garamond"/>
        </w:rPr>
        <w:t xml:space="preserve"> initiative. The Education State aims to improve outcomes for students across Victoria, which will position the State well to meet demand for skills in the future.</w:t>
      </w:r>
    </w:p>
    <w:p w:rsidR="00552DFA" w:rsidRPr="00EE6AAB" w:rsidRDefault="00552DFA" w:rsidP="00423C3D">
      <w:pPr>
        <w:rPr>
          <w:rFonts w:ascii="Garamond" w:hAnsi="Garamond"/>
        </w:rPr>
      </w:pPr>
      <w:r>
        <w:rPr>
          <w:rFonts w:ascii="Garamond" w:hAnsi="Garamond"/>
        </w:rPr>
        <w:t xml:space="preserve">Victoria is already well placed in terms of the level of education and skills of its citizens. </w:t>
      </w:r>
      <w:r w:rsidRPr="00EE6AAB">
        <w:rPr>
          <w:rFonts w:ascii="Garamond" w:hAnsi="Garamond"/>
        </w:rPr>
        <w:t>From 1986 to 2016, the share of Victorians aged 20</w:t>
      </w:r>
      <w:r w:rsidR="005A6098">
        <w:rPr>
          <w:rFonts w:ascii="Garamond" w:hAnsi="Garamond"/>
        </w:rPr>
        <w:t>-</w:t>
      </w:r>
      <w:r w:rsidRPr="00EE6AAB">
        <w:rPr>
          <w:rFonts w:ascii="Garamond" w:hAnsi="Garamond"/>
        </w:rPr>
        <w:t>64 with a bachelo</w:t>
      </w:r>
      <w:r>
        <w:rPr>
          <w:rFonts w:ascii="Garamond" w:hAnsi="Garamond"/>
        </w:rPr>
        <w:t>r’s degree or higher rose from 7.5</w:t>
      </w:r>
      <w:r w:rsidRPr="00EE6AAB">
        <w:rPr>
          <w:rFonts w:ascii="Garamond" w:hAnsi="Garamond"/>
        </w:rPr>
        <w:t xml:space="preserve"> per cent to 33 per cent. </w:t>
      </w:r>
      <w:r>
        <w:rPr>
          <w:rFonts w:ascii="Garamond" w:hAnsi="Garamond"/>
        </w:rPr>
        <w:t xml:space="preserve">The share of </w:t>
      </w:r>
      <w:r w:rsidRPr="00EE6AAB">
        <w:rPr>
          <w:rFonts w:ascii="Garamond" w:hAnsi="Garamond"/>
        </w:rPr>
        <w:t xml:space="preserve">Victorians </w:t>
      </w:r>
      <w:r>
        <w:rPr>
          <w:rFonts w:ascii="Garamond" w:hAnsi="Garamond"/>
        </w:rPr>
        <w:t xml:space="preserve">with </w:t>
      </w:r>
      <w:r w:rsidRPr="00EE6AAB">
        <w:rPr>
          <w:rFonts w:ascii="Garamond" w:hAnsi="Garamond"/>
        </w:rPr>
        <w:t>some form of post</w:t>
      </w:r>
      <w:r>
        <w:rPr>
          <w:rFonts w:ascii="Garamond" w:hAnsi="Garamond"/>
        </w:rPr>
        <w:noBreakHyphen/>
      </w:r>
      <w:r w:rsidRPr="00EE6AAB">
        <w:rPr>
          <w:rFonts w:ascii="Garamond" w:hAnsi="Garamond"/>
        </w:rPr>
        <w:t>school qualification</w:t>
      </w:r>
      <w:r>
        <w:rPr>
          <w:rFonts w:ascii="Garamond" w:hAnsi="Garamond"/>
        </w:rPr>
        <w:t xml:space="preserve"> was 62 per cent in 2016</w:t>
      </w:r>
      <w:r w:rsidRPr="00EE6AAB">
        <w:rPr>
          <w:rFonts w:ascii="Garamond" w:hAnsi="Garamond"/>
        </w:rPr>
        <w:t>, the highest</w:t>
      </w:r>
      <w:r>
        <w:rPr>
          <w:rFonts w:ascii="Garamond" w:hAnsi="Garamond"/>
        </w:rPr>
        <w:t xml:space="preserve"> among the states (see Chart 3.4</w:t>
      </w:r>
      <w:r w:rsidRPr="00EE6AAB">
        <w:rPr>
          <w:rFonts w:ascii="Garamond" w:hAnsi="Garamond"/>
        </w:rPr>
        <w:t>).</w:t>
      </w:r>
      <w:r>
        <w:rPr>
          <w:rFonts w:ascii="Garamond" w:hAnsi="Garamond"/>
        </w:rPr>
        <w:t xml:space="preserve"> </w:t>
      </w:r>
      <w:r w:rsidRPr="00EE6AAB">
        <w:rPr>
          <w:rFonts w:ascii="Garamond" w:hAnsi="Garamond"/>
        </w:rPr>
        <w:t>A strong education system ensures tomorrow’s labour force is equipped with the skills required to take the economy forward.</w:t>
      </w:r>
    </w:p>
    <w:p w:rsidR="00552DFA" w:rsidRPr="00EE6AAB" w:rsidRDefault="00552DFA" w:rsidP="00423C3D">
      <w:pPr>
        <w:rPr>
          <w:rFonts w:ascii="Garamond" w:hAnsi="Garamond"/>
        </w:rPr>
      </w:pPr>
      <w:r w:rsidRPr="00EE6AAB">
        <w:rPr>
          <w:rFonts w:ascii="Garamond" w:hAnsi="Garamond"/>
        </w:rPr>
        <w:t xml:space="preserve">The </w:t>
      </w:r>
      <w:r w:rsidRPr="00FD7164">
        <w:rPr>
          <w:rFonts w:ascii="Garamond" w:hAnsi="Garamond"/>
          <w:i/>
        </w:rPr>
        <w:t>2017</w:t>
      </w:r>
      <w:r>
        <w:rPr>
          <w:rFonts w:ascii="Garamond" w:hAnsi="Garamond"/>
          <w:i/>
        </w:rPr>
        <w:noBreakHyphen/>
      </w:r>
      <w:r w:rsidRPr="00FD7164">
        <w:rPr>
          <w:rFonts w:ascii="Garamond" w:hAnsi="Garamond"/>
          <w:i/>
        </w:rPr>
        <w:t>18 Budget</w:t>
      </w:r>
      <w:r>
        <w:rPr>
          <w:rFonts w:ascii="Garamond" w:hAnsi="Garamond"/>
        </w:rPr>
        <w:t xml:space="preserve"> includes a further $685 </w:t>
      </w:r>
      <w:r w:rsidRPr="00EE6AAB">
        <w:rPr>
          <w:rFonts w:ascii="Garamond" w:hAnsi="Garamond"/>
        </w:rPr>
        <w:t>m</w:t>
      </w:r>
      <w:r>
        <w:rPr>
          <w:rFonts w:ascii="Garamond" w:hAnsi="Garamond"/>
        </w:rPr>
        <w:t>illion</w:t>
      </w:r>
      <w:r w:rsidRPr="00EE6AAB">
        <w:rPr>
          <w:rFonts w:ascii="Garamond" w:hAnsi="Garamond"/>
        </w:rPr>
        <w:t xml:space="preserve"> to build new schools and upgrade existing facilities across the State</w:t>
      </w:r>
      <w:r>
        <w:rPr>
          <w:rFonts w:ascii="Garamond" w:hAnsi="Garamond"/>
        </w:rPr>
        <w:t>, particularly in corridors with high population growth</w:t>
      </w:r>
      <w:r w:rsidRPr="00EE6AAB">
        <w:rPr>
          <w:rFonts w:ascii="Garamond" w:hAnsi="Garamond"/>
        </w:rPr>
        <w:t>. This funding will benefit students throughout the State and aims to improve educational inclusiveness. The Government is also investing a further $</w:t>
      </w:r>
      <w:r>
        <w:rPr>
          <w:rFonts w:ascii="Garamond" w:hAnsi="Garamond"/>
        </w:rPr>
        <w:t>1</w:t>
      </w:r>
      <w:r w:rsidR="001E0815">
        <w:rPr>
          <w:rFonts w:ascii="Garamond" w:hAnsi="Garamond"/>
        </w:rPr>
        <w:t>9</w:t>
      </w:r>
      <w:r>
        <w:rPr>
          <w:rFonts w:ascii="Garamond" w:hAnsi="Garamond"/>
        </w:rPr>
        <w:t>6.7</w:t>
      </w:r>
      <w:r w:rsidRPr="00EE6AAB">
        <w:rPr>
          <w:rFonts w:ascii="Garamond" w:hAnsi="Garamond"/>
        </w:rPr>
        <w:t xml:space="preserve"> million in early childhood development, to help the youngest Victorians get </w:t>
      </w:r>
      <w:r>
        <w:rPr>
          <w:rFonts w:ascii="Garamond" w:hAnsi="Garamond"/>
        </w:rPr>
        <w:t>a great</w:t>
      </w:r>
      <w:r w:rsidRPr="00EE6AAB">
        <w:rPr>
          <w:rFonts w:ascii="Garamond" w:hAnsi="Garamond"/>
        </w:rPr>
        <w:t xml:space="preserve"> start </w:t>
      </w:r>
      <w:r>
        <w:rPr>
          <w:rFonts w:ascii="Garamond" w:hAnsi="Garamond"/>
        </w:rPr>
        <w:t>to</w:t>
      </w:r>
      <w:r w:rsidRPr="00EE6AAB">
        <w:rPr>
          <w:rFonts w:ascii="Garamond" w:hAnsi="Garamond"/>
        </w:rPr>
        <w:t xml:space="preserve"> their education. </w:t>
      </w:r>
    </w:p>
    <w:p w:rsidR="00552DFA" w:rsidRDefault="00552DFA" w:rsidP="00423C3D">
      <w:pPr>
        <w:pStyle w:val="TableHeading"/>
        <w:rPr>
          <w:rFonts w:asciiTheme="minorHAnsi" w:hAnsiTheme="minorHAnsi"/>
          <w:b w:val="0"/>
          <w:sz w:val="22"/>
          <w:szCs w:val="22"/>
        </w:rPr>
      </w:pPr>
      <w:r>
        <w:t>Chart 3.4:</w:t>
      </w:r>
      <w:r>
        <w:tab/>
        <w:t>Victorians aged 20</w:t>
      </w:r>
      <w:r w:rsidR="005A6098">
        <w:t>-</w:t>
      </w:r>
      <w:r>
        <w:t>64 with post</w:t>
      </w:r>
      <w:r>
        <w:noBreakHyphen/>
        <w:t xml:space="preserve">school </w:t>
      </w:r>
      <w:r w:rsidRPr="004923C2">
        <w:t xml:space="preserve">qualifications, 2006 </w:t>
      </w:r>
      <w:r>
        <w:t>and</w:t>
      </w:r>
      <w:r w:rsidRPr="004923C2">
        <w:t xml:space="preserve"> 2016</w:t>
      </w:r>
    </w:p>
    <w:p w:rsidR="00552DFA" w:rsidRPr="00CD6B3F" w:rsidRDefault="00552DFA" w:rsidP="00423C3D">
      <w:r>
        <w:object w:dxaOrig="9545" w:dyaOrig="5318">
          <v:shape id="_x0000_i1036" type="#_x0000_t75" style="width:380.95pt;height:211.8pt" o:ole="">
            <v:imagedata r:id="rId32" o:title=""/>
          </v:shape>
          <o:OLEObject Type="Embed" ProgID="Excel.Sheet.12" ShapeID="_x0000_i1036" DrawAspect="Content" ObjectID="_1555148637" r:id="rId33"/>
        </w:object>
      </w:r>
    </w:p>
    <w:p w:rsidR="00552DFA" w:rsidRDefault="00552DFA" w:rsidP="00423C3D">
      <w:pPr>
        <w:pStyle w:val="Source"/>
      </w:pPr>
      <w:r>
        <w:t>Source: Australian Bureau of Statistics</w:t>
      </w:r>
    </w:p>
    <w:p w:rsidR="00CB7327" w:rsidRPr="00CB7327" w:rsidRDefault="00CB7327" w:rsidP="00CB7327">
      <w:pPr>
        <w:pStyle w:val="Note"/>
      </w:pPr>
    </w:p>
    <w:p w:rsidR="00552DFA" w:rsidRPr="00F74691" w:rsidRDefault="00552DFA" w:rsidP="00423C3D">
      <w:pPr>
        <w:rPr>
          <w:rFonts w:ascii="Garamond" w:hAnsi="Garamond"/>
        </w:rPr>
      </w:pPr>
      <w:r w:rsidRPr="00F74691">
        <w:rPr>
          <w:rFonts w:ascii="Garamond" w:hAnsi="Garamond"/>
        </w:rPr>
        <w:t xml:space="preserve">A quality health system ensures Victorians can live to their full potential and realise the benefits of advances in health care through improved life expectancy </w:t>
      </w:r>
      <w:r>
        <w:rPr>
          <w:rFonts w:ascii="Garamond" w:hAnsi="Garamond"/>
        </w:rPr>
        <w:t>and quality of life</w:t>
      </w:r>
      <w:r w:rsidRPr="00F74691">
        <w:rPr>
          <w:rFonts w:ascii="Garamond" w:hAnsi="Garamond"/>
        </w:rPr>
        <w:t xml:space="preserve">. </w:t>
      </w:r>
    </w:p>
    <w:p w:rsidR="00552DFA" w:rsidRPr="00F74691" w:rsidRDefault="00552DFA" w:rsidP="00423C3D">
      <w:pPr>
        <w:rPr>
          <w:rFonts w:ascii="Garamond" w:hAnsi="Garamond"/>
        </w:rPr>
      </w:pPr>
      <w:r w:rsidRPr="00F74691">
        <w:rPr>
          <w:rFonts w:ascii="Garamond" w:hAnsi="Garamond"/>
        </w:rPr>
        <w:lastRenderedPageBreak/>
        <w:t>Policy efforts in relation to health are directed at meeting the needs of a growing population with a rising life expectancy through increase</w:t>
      </w:r>
      <w:r>
        <w:rPr>
          <w:rFonts w:ascii="Garamond" w:hAnsi="Garamond"/>
        </w:rPr>
        <w:t>s</w:t>
      </w:r>
      <w:r w:rsidRPr="00F74691">
        <w:rPr>
          <w:rFonts w:ascii="Garamond" w:hAnsi="Garamond"/>
        </w:rPr>
        <w:t xml:space="preserve"> in health services capacity</w:t>
      </w:r>
      <w:r>
        <w:rPr>
          <w:rFonts w:ascii="Garamond" w:hAnsi="Garamond"/>
        </w:rPr>
        <w:t xml:space="preserve">. They are </w:t>
      </w:r>
      <w:r w:rsidRPr="00F74691">
        <w:rPr>
          <w:rFonts w:ascii="Garamond" w:hAnsi="Garamond"/>
        </w:rPr>
        <w:t xml:space="preserve">also </w:t>
      </w:r>
      <w:r>
        <w:rPr>
          <w:rFonts w:ascii="Garamond" w:hAnsi="Garamond"/>
        </w:rPr>
        <w:t xml:space="preserve">directed towards </w:t>
      </w:r>
      <w:r w:rsidRPr="00F74691">
        <w:rPr>
          <w:rFonts w:ascii="Garamond" w:hAnsi="Garamond"/>
        </w:rPr>
        <w:t>improving the quality of health care through service delivery reforms in major areas of</w:t>
      </w:r>
      <w:r>
        <w:rPr>
          <w:rFonts w:ascii="Garamond" w:hAnsi="Garamond"/>
        </w:rPr>
        <w:t xml:space="preserve"> the</w:t>
      </w:r>
      <w:r w:rsidRPr="00F74691">
        <w:rPr>
          <w:rFonts w:ascii="Garamond" w:hAnsi="Garamond"/>
        </w:rPr>
        <w:t xml:space="preserve"> health </w:t>
      </w:r>
      <w:r>
        <w:rPr>
          <w:rFonts w:ascii="Garamond" w:hAnsi="Garamond"/>
        </w:rPr>
        <w:t>sector</w:t>
      </w:r>
      <w:r w:rsidRPr="00F74691">
        <w:rPr>
          <w:rFonts w:ascii="Garamond" w:hAnsi="Garamond"/>
        </w:rPr>
        <w:t xml:space="preserve">. </w:t>
      </w:r>
      <w:r>
        <w:rPr>
          <w:rFonts w:ascii="Garamond" w:hAnsi="Garamond"/>
        </w:rPr>
        <w:t>For example, waiting times for 90 per cent of public hospital patients ha</w:t>
      </w:r>
      <w:r w:rsidR="00DE6AB5">
        <w:rPr>
          <w:rFonts w:ascii="Garamond" w:hAnsi="Garamond"/>
        </w:rPr>
        <w:t>ve</w:t>
      </w:r>
      <w:r>
        <w:rPr>
          <w:rFonts w:ascii="Garamond" w:hAnsi="Garamond"/>
        </w:rPr>
        <w:t xml:space="preserve"> fallen from 222 days in 2013</w:t>
      </w:r>
      <w:r>
        <w:rPr>
          <w:rFonts w:ascii="Garamond" w:hAnsi="Garamond"/>
        </w:rPr>
        <w:noBreakHyphen/>
        <w:t>14 to 174 days in 2015</w:t>
      </w:r>
      <w:r>
        <w:rPr>
          <w:rFonts w:ascii="Garamond" w:hAnsi="Garamond"/>
        </w:rPr>
        <w:noBreakHyphen/>
        <w:t>16, a decline of 22 per cent in two years.</w:t>
      </w:r>
    </w:p>
    <w:p w:rsidR="00552DFA" w:rsidRPr="00F74691" w:rsidRDefault="00552DFA" w:rsidP="00423C3D">
      <w:pPr>
        <w:rPr>
          <w:rFonts w:ascii="Garamond" w:hAnsi="Garamond"/>
        </w:rPr>
      </w:pPr>
      <w:r w:rsidRPr="00F74691">
        <w:rPr>
          <w:rFonts w:ascii="Garamond" w:hAnsi="Garamond"/>
        </w:rPr>
        <w:t>In addition to improvements to hospitals and patient safety, the Government is increasing funding for mental health services</w:t>
      </w:r>
      <w:r>
        <w:rPr>
          <w:rFonts w:ascii="Garamond" w:hAnsi="Garamond"/>
        </w:rPr>
        <w:t xml:space="preserve"> and for treating the victims of alcohol and other drugs.</w:t>
      </w:r>
    </w:p>
    <w:p w:rsidR="00552DFA" w:rsidRDefault="00552DFA" w:rsidP="00423C3D">
      <w:pPr>
        <w:rPr>
          <w:rFonts w:ascii="Garamond" w:hAnsi="Garamond"/>
        </w:rPr>
      </w:pPr>
      <w:r w:rsidRPr="00F74691">
        <w:rPr>
          <w:rFonts w:ascii="Garamond" w:hAnsi="Garamond"/>
        </w:rPr>
        <w:t>In addition to representing an essential social service, the health sector is also an area of significant innovation in the Victorian economy, particularly through the growth of health and medical research. Initiatives such as the Drug Discovery Centre and the National Proton Beam Therapy Centre benefit Victorians directly through the advan</w:t>
      </w:r>
      <w:r>
        <w:rPr>
          <w:rFonts w:ascii="Garamond" w:hAnsi="Garamond"/>
        </w:rPr>
        <w:t>ces to medical care that become</w:t>
      </w:r>
      <w:r w:rsidRPr="00F74691">
        <w:rPr>
          <w:rFonts w:ascii="Garamond" w:hAnsi="Garamond"/>
        </w:rPr>
        <w:t xml:space="preserve"> available, while also attracting future industry investment and jobs to Victoria.</w:t>
      </w:r>
    </w:p>
    <w:p w:rsidR="00552DFA" w:rsidRDefault="00552DFA" w:rsidP="00423C3D">
      <w:pPr>
        <w:pStyle w:val="Heading20"/>
      </w:pPr>
      <w:r>
        <w:t>Investing in opportunities for regional Victoria</w:t>
      </w:r>
    </w:p>
    <w:p w:rsidR="00552DFA" w:rsidRDefault="00552DFA" w:rsidP="00423C3D">
      <w:r>
        <w:t>It shouldn’t matter where Victorians live – they should be able to access the opportunities that come from a growing economy.</w:t>
      </w:r>
    </w:p>
    <w:p w:rsidR="00552DFA" w:rsidRDefault="00552DFA" w:rsidP="00423C3D">
      <w:r>
        <w:t>The Government has an active role in providing assistance and support to families, communities and businesses impacted by a transforming economy. The diversity of the Victorian economy and community has long been a strength of the State, and Victoria’s regions are integral to maintaining that into the future.</w:t>
      </w:r>
    </w:p>
    <w:p w:rsidR="00552DFA" w:rsidRDefault="00552DFA" w:rsidP="00423C3D">
      <w:r>
        <w:t xml:space="preserve">The Government believes in the importance of regional Victoria to our economy, and in the ability of businesses in regional Victoria to make significant contributions to the State’s economy. The </w:t>
      </w:r>
      <w:r w:rsidRPr="00FD7164">
        <w:rPr>
          <w:i/>
        </w:rPr>
        <w:t>2017</w:t>
      </w:r>
      <w:r>
        <w:rPr>
          <w:i/>
        </w:rPr>
        <w:noBreakHyphen/>
      </w:r>
      <w:r w:rsidRPr="00FD7164">
        <w:rPr>
          <w:i/>
        </w:rPr>
        <w:t>18 Budget</w:t>
      </w:r>
      <w:r>
        <w:t xml:space="preserve"> will continue to invest in regional workers, businesses, and infrastructure to deliver equitable growth for all Victorians. Businesses that pay at least 85 per cent of their payroll to employees in regional Victoria will receive a 25 per cent discount on their payroll tax to support regional employers to grow their businesses, and encourage further employment of workers in regional areas.</w:t>
      </w:r>
    </w:p>
    <w:p w:rsidR="00552DFA" w:rsidRDefault="00552DFA" w:rsidP="00423C3D">
      <w:r>
        <w:t>The Government is currently providing assistance to workers and communities affected by the closure of motor vehicle manufacturers and the Hazelwood Power Station in the Latrobe Valley</w:t>
      </w:r>
      <w:r w:rsidR="00356A95">
        <w:fldChar w:fldCharType="begin"/>
      </w:r>
      <w:r w:rsidR="00356A95">
        <w:instrText xml:space="preserve"> XE "Latrobe Valley" </w:instrText>
      </w:r>
      <w:r w:rsidR="00356A95">
        <w:fldChar w:fldCharType="end"/>
      </w:r>
      <w:r>
        <w:t xml:space="preserve">. This includes $135.5 million in funding for communities affected by the closure of motor vehicle manufacturing, including those in Geelong and </w:t>
      </w:r>
      <w:r w:rsidRPr="001061F6">
        <w:t>Melbourne</w:t>
      </w:r>
      <w:r>
        <w:t>’</w:t>
      </w:r>
      <w:r w:rsidRPr="001061F6">
        <w:t xml:space="preserve">s northern </w:t>
      </w:r>
      <w:r>
        <w:t xml:space="preserve">and south eastern </w:t>
      </w:r>
      <w:r w:rsidRPr="001061F6">
        <w:t>suburbs</w:t>
      </w:r>
      <w:r>
        <w:t>, and a $266 million assistance package for the Latrobe Valley to support communities affected by the closure of the Hazelwood Power Station.</w:t>
      </w:r>
    </w:p>
    <w:p w:rsidR="00552DFA" w:rsidRDefault="00552DFA" w:rsidP="00423C3D">
      <w:r>
        <w:t>The budget has direct support for regional jobs, particularly those areas directly impacted by economic transition. Funding is being allocated to protect the sustainability of the Latrobe Valley</w:t>
      </w:r>
      <w:r w:rsidR="00356A95">
        <w:fldChar w:fldCharType="begin"/>
      </w:r>
      <w:r w:rsidR="00356A95">
        <w:instrText xml:space="preserve"> XE "Latrobe Valley" </w:instrText>
      </w:r>
      <w:r w:rsidR="00356A95">
        <w:fldChar w:fldCharType="end"/>
      </w:r>
      <w:r>
        <w:t xml:space="preserve"> timber industry.</w:t>
      </w:r>
    </w:p>
    <w:p w:rsidR="00552DFA" w:rsidRDefault="00552DFA" w:rsidP="00423C3D">
      <w:r>
        <w:lastRenderedPageBreak/>
        <w:t>The Government is committed to creating jobs in regional Victoria. Infrastructure investment</w:t>
      </w:r>
      <w:r w:rsidR="00356A95">
        <w:fldChar w:fldCharType="begin"/>
      </w:r>
      <w:r w:rsidR="00356A95">
        <w:instrText xml:space="preserve"> XE "Infrastructure investment" </w:instrText>
      </w:r>
      <w:r w:rsidR="00356A95">
        <w:fldChar w:fldCharType="end"/>
      </w:r>
      <w:r>
        <w:t xml:space="preserve"> will generate thousands of jobs and will facilitate access to opportunities for regional Victorians and businesses. Projects that this Government is committed to include: $1.1 billion in regional public transport, which includes $435 million investment in Gippsland Rail</w:t>
      </w:r>
      <w:r w:rsidR="00356A95">
        <w:fldChar w:fldCharType="begin"/>
      </w:r>
      <w:r w:rsidR="00356A95">
        <w:instrText xml:space="preserve"> XE "Gippsland Rail" </w:instrText>
      </w:r>
      <w:r w:rsidR="00356A95">
        <w:fldChar w:fldCharType="end"/>
      </w:r>
      <w:r>
        <w:t xml:space="preserve"> and $316.4 million for maintenance of the regional rail network; and $5</w:t>
      </w:r>
      <w:r w:rsidR="004A4429">
        <w:t>30.6</w:t>
      </w:r>
      <w:r>
        <w:t> million for regional roads.</w:t>
      </w:r>
    </w:p>
    <w:p w:rsidR="00552DFA" w:rsidRDefault="00552DFA" w:rsidP="00423C3D">
      <w:r>
        <w:t>The impact of the Government’s support for the employment prospects of regional Victorians has been evidenced by the growth in regional employment, which grew by 2.1 per cent in 2016, among the strongest in Australia. This direct assistance has contributed to a reduced unemployment rate in Geelong to around 6 per cent, in line with the State’s average, despite the structural change to industry and employment in this area.</w:t>
      </w:r>
    </w:p>
    <w:p w:rsidR="00552DFA" w:rsidRDefault="00552DFA" w:rsidP="00423C3D">
      <w:pPr>
        <w:pStyle w:val="Heading10"/>
      </w:pPr>
      <w:bookmarkStart w:id="33" w:name="_Toc481160570"/>
      <w:bookmarkStart w:id="34" w:name="_Toc481246478"/>
      <w:r>
        <w:t>Securing Victoria’s future</w:t>
      </w:r>
      <w:bookmarkEnd w:id="33"/>
      <w:bookmarkEnd w:id="34"/>
    </w:p>
    <w:p w:rsidR="00552DFA" w:rsidRDefault="00552DFA" w:rsidP="00423C3D">
      <w:r>
        <w:t>Victorians are right to be optimistic about their future. The Victorian economy has demonstrated that it is dynamic, and can continue to provide the jobs, services and growth for all Victorians regardless of their location or background. The Government has invested in the infrastructure necessary to support growth in the long term.</w:t>
      </w:r>
    </w:p>
    <w:p w:rsidR="00552DFA" w:rsidRDefault="00552DFA" w:rsidP="00423C3D">
      <w:r>
        <w:t>The Government has worked to give every Victorian greater opportunity by supporting their efforts to participate in employment and in the community, and to lead healthy and productive lives. This budget gets on with the job of securing Victoria’s future.</w:t>
      </w:r>
    </w:p>
    <w:p w:rsidR="00552DFA" w:rsidRDefault="00552DFA">
      <w:pPr>
        <w:keepLines w:val="0"/>
      </w:pPr>
      <w:r>
        <w:br w:type="page"/>
      </w:r>
    </w:p>
    <w:p w:rsidR="00552DFA" w:rsidRPr="00FE2A4D" w:rsidRDefault="00552DFA" w:rsidP="00423C3D"/>
    <w:p w:rsidR="00552DFA" w:rsidRDefault="00552DFA" w:rsidP="00627E95">
      <w:pPr>
        <w:sectPr w:rsidR="00552DFA" w:rsidSect="008E76F5">
          <w:footerReference w:type="even" r:id="rId34"/>
          <w:footerReference w:type="default" r:id="rId35"/>
          <w:type w:val="oddPage"/>
          <w:pgSz w:w="9979" w:h="14175" w:code="34"/>
          <w:pgMar w:top="1138" w:right="1138" w:bottom="1138" w:left="1138" w:header="619" w:footer="562" w:gutter="0"/>
          <w:cols w:sep="1" w:space="567"/>
          <w:docGrid w:linePitch="360"/>
        </w:sectPr>
      </w:pPr>
      <w:r>
        <w:br/>
      </w:r>
    </w:p>
    <w:p w:rsidR="00552DFA" w:rsidRPr="00821899" w:rsidRDefault="00552DFA" w:rsidP="000C43CD">
      <w:pPr>
        <w:pStyle w:val="Chapterheading"/>
      </w:pPr>
      <w:bookmarkStart w:id="35" w:name="_Toc481160571"/>
      <w:bookmarkStart w:id="36" w:name="_Toc481246479"/>
      <w:r w:rsidRPr="00821899">
        <w:lastRenderedPageBreak/>
        <w:t>Chapter 4 – Budget position and outlook</w:t>
      </w:r>
      <w:bookmarkEnd w:id="35"/>
      <w:bookmarkEnd w:id="36"/>
    </w:p>
    <w:p w:rsidR="00552DFA" w:rsidRPr="00821899" w:rsidRDefault="00552DFA" w:rsidP="00434A18">
      <w:pPr>
        <w:pStyle w:val="HighlightBoxBullet"/>
      </w:pPr>
      <w:r w:rsidRPr="00821899">
        <w:t xml:space="preserve">The </w:t>
      </w:r>
      <w:r>
        <w:rPr>
          <w:i/>
        </w:rPr>
        <w:t>2017</w:t>
      </w:r>
      <w:r>
        <w:rPr>
          <w:i/>
        </w:rPr>
        <w:noBreakHyphen/>
        <w:t xml:space="preserve">18 Budget </w:t>
      </w:r>
      <w:r>
        <w:t xml:space="preserve">demonstrates the Government’s commitment to invest for growth in the infrastructure and services the State needs, while maintaining a responsible fiscal position. </w:t>
      </w:r>
    </w:p>
    <w:p w:rsidR="00552DFA" w:rsidRPr="00821899" w:rsidRDefault="00552DFA" w:rsidP="00434A18">
      <w:pPr>
        <w:pStyle w:val="HighlightBoxBullet"/>
      </w:pPr>
      <w:r>
        <w:t xml:space="preserve">The Government has announced </w:t>
      </w:r>
      <w:r w:rsidRPr="00F503D0">
        <w:t>$9.</w:t>
      </w:r>
      <w:r>
        <w:t>6 billion</w:t>
      </w:r>
      <w:r w:rsidRPr="00821899">
        <w:t xml:space="preserve"> in new output initiatives and up to </w:t>
      </w:r>
      <w:r>
        <w:t>$6.1 billion</w:t>
      </w:r>
      <w:r w:rsidRPr="00821899">
        <w:t xml:space="preserve"> total estimated investment (TEI</w:t>
      </w:r>
      <w:r w:rsidR="00356A95">
        <w:fldChar w:fldCharType="begin"/>
      </w:r>
      <w:r w:rsidR="00356A95">
        <w:instrText xml:space="preserve"> XE "Total Estimated Investment (TEI)" </w:instrText>
      </w:r>
      <w:r w:rsidR="00356A95">
        <w:fldChar w:fldCharType="end"/>
      </w:r>
      <w:r w:rsidRPr="00821899">
        <w:t>) in new asset initiatives.</w:t>
      </w:r>
      <w:r>
        <w:t xml:space="preserve"> </w:t>
      </w:r>
    </w:p>
    <w:p w:rsidR="00552DFA" w:rsidRPr="00821899" w:rsidRDefault="00552DFA" w:rsidP="00434A18">
      <w:pPr>
        <w:pStyle w:val="HighlightBoxBullet"/>
      </w:pPr>
      <w:r w:rsidRPr="00821899">
        <w:t xml:space="preserve">The general government sector operating surplus is estimated to be </w:t>
      </w:r>
      <w:r>
        <w:t>$1.2 billion</w:t>
      </w:r>
      <w:r w:rsidRPr="00821899">
        <w:t xml:space="preserve"> in 2017</w:t>
      </w:r>
      <w:r>
        <w:noBreakHyphen/>
      </w:r>
      <w:r w:rsidRPr="00821899">
        <w:t xml:space="preserve">18, with strong surpluses averaging </w:t>
      </w:r>
      <w:r>
        <w:t>$2.4 billion</w:t>
      </w:r>
      <w:r w:rsidRPr="00821899">
        <w:t xml:space="preserve"> </w:t>
      </w:r>
      <w:r>
        <w:t>over the forward estimates</w:t>
      </w:r>
      <w:r w:rsidRPr="00821899">
        <w:t xml:space="preserve">. </w:t>
      </w:r>
    </w:p>
    <w:p w:rsidR="00552DFA" w:rsidRPr="00821899" w:rsidRDefault="00552DFA" w:rsidP="00434A18">
      <w:pPr>
        <w:pStyle w:val="HighlightBoxBullet"/>
      </w:pPr>
      <w:r>
        <w:t>In 2017</w:t>
      </w:r>
      <w:r>
        <w:noBreakHyphen/>
        <w:t xml:space="preserve">18, </w:t>
      </w:r>
      <w:r w:rsidRPr="00821899">
        <w:t xml:space="preserve">Victoria is expected to collect </w:t>
      </w:r>
      <w:r>
        <w:t>$63.4 billion</w:t>
      </w:r>
      <w:r w:rsidRPr="00821899">
        <w:t xml:space="preserve"> in revenue, and spend </w:t>
      </w:r>
      <w:r>
        <w:t>$62.3 billion</w:t>
      </w:r>
      <w:r w:rsidRPr="00821899">
        <w:t xml:space="preserve"> on service delivery. Revenue growth is expected to average </w:t>
      </w:r>
      <w:r>
        <w:t>3.7 per cent</w:t>
      </w:r>
      <w:r w:rsidRPr="00821899">
        <w:t xml:space="preserve"> a year over the </w:t>
      </w:r>
      <w:r>
        <w:t>next four years</w:t>
      </w:r>
      <w:r w:rsidRPr="00821899">
        <w:t xml:space="preserve">, exceeding average expense growth of </w:t>
      </w:r>
      <w:r>
        <w:t>3.2 per cent</w:t>
      </w:r>
      <w:r w:rsidRPr="00821899">
        <w:t xml:space="preserve"> a year.</w:t>
      </w:r>
    </w:p>
    <w:p w:rsidR="00552DFA" w:rsidRPr="00821899" w:rsidRDefault="00552DFA" w:rsidP="00434A18">
      <w:pPr>
        <w:pStyle w:val="HighlightBoxBullet"/>
      </w:pPr>
      <w:r w:rsidRPr="00821899">
        <w:t>Govern</w:t>
      </w:r>
      <w:r w:rsidRPr="00182A96">
        <w:t>ment infrastructure investment</w:t>
      </w:r>
      <w:r w:rsidR="00356A95">
        <w:fldChar w:fldCharType="begin"/>
      </w:r>
      <w:r w:rsidR="00356A95">
        <w:instrText xml:space="preserve"> XE "Infrastructure investment:Government infrastructure investment" </w:instrText>
      </w:r>
      <w:r w:rsidR="00356A95">
        <w:fldChar w:fldCharType="end"/>
      </w:r>
      <w:r w:rsidRPr="00182A96">
        <w:t xml:space="preserve"> (GII) is at historically high levels. Estimated GII over the next four years averages $9.6 billion a year compared with </w:t>
      </w:r>
      <w:r>
        <w:t>an</w:t>
      </w:r>
      <w:r w:rsidRPr="00182A96">
        <w:t xml:space="preserve"> average of $5.6 billion</w:t>
      </w:r>
      <w:r>
        <w:t xml:space="preserve"> a year over the decade to 2016</w:t>
      </w:r>
      <w:r>
        <w:noBreakHyphen/>
        <w:t>17</w:t>
      </w:r>
      <w:r w:rsidRPr="00821899">
        <w:t>.</w:t>
      </w:r>
    </w:p>
    <w:p w:rsidR="00552DFA" w:rsidRPr="00821899" w:rsidRDefault="00552DFA" w:rsidP="00434A18">
      <w:pPr>
        <w:pStyle w:val="HighlightBoxBullet"/>
      </w:pPr>
      <w:r w:rsidRPr="00821899">
        <w:t>Net debt</w:t>
      </w:r>
      <w:r w:rsidR="00356A95">
        <w:fldChar w:fldCharType="begin"/>
      </w:r>
      <w:r w:rsidR="00356A95">
        <w:instrText xml:space="preserve"> XE "Debt:Net debt" </w:instrText>
      </w:r>
      <w:r w:rsidR="00356A95">
        <w:fldChar w:fldCharType="end"/>
      </w:r>
      <w:r w:rsidRPr="00821899">
        <w:t xml:space="preserve"> is expected to be </w:t>
      </w:r>
      <w:r>
        <w:t>$28.9 billion by June 2021</w:t>
      </w:r>
      <w:r w:rsidRPr="00821899">
        <w:t xml:space="preserve">. </w:t>
      </w:r>
      <w:r>
        <w:t>A</w:t>
      </w:r>
      <w:r w:rsidRPr="00821899">
        <w:t>s a proportion of gross state product (GSP)</w:t>
      </w:r>
      <w:r>
        <w:t>, net debt</w:t>
      </w:r>
      <w:r w:rsidRPr="00821899">
        <w:t xml:space="preserve"> is projected to </w:t>
      </w:r>
      <w:r>
        <w:t>increase</w:t>
      </w:r>
      <w:r w:rsidRPr="00821899">
        <w:t xml:space="preserve"> from its June 2017 level of </w:t>
      </w:r>
      <w:r>
        <w:t>4.6 per cent</w:t>
      </w:r>
      <w:r w:rsidRPr="00821899">
        <w:t xml:space="preserve"> to </w:t>
      </w:r>
      <w:r>
        <w:t>6.0 per cent</w:t>
      </w:r>
      <w:r w:rsidRPr="00821899">
        <w:t xml:space="preserve"> by June 2021.</w:t>
      </w:r>
      <w:r>
        <w:t xml:space="preserve"> This is a low level by historical standards and is consistent with maintaining Victoria’s triple</w:t>
      </w:r>
      <w:r>
        <w:noBreakHyphen/>
        <w:t xml:space="preserve">A credit rating. </w:t>
      </w:r>
    </w:p>
    <w:p w:rsidR="00552DFA" w:rsidRDefault="00552DFA" w:rsidP="00434A18">
      <w:pPr>
        <w:pStyle w:val="HighlightBoxBullet"/>
      </w:pPr>
      <w:r w:rsidRPr="00821899">
        <w:t>The Government is on track to fully fund the State’s unfunded superannuation liability by 2035.</w:t>
      </w:r>
    </w:p>
    <w:p w:rsidR="00552DFA" w:rsidRPr="00821899" w:rsidRDefault="00552DFA" w:rsidP="00434A18">
      <w:pPr>
        <w:pStyle w:val="HighlightBoxBullet"/>
      </w:pPr>
      <w:r>
        <w:t xml:space="preserve">The </w:t>
      </w:r>
      <w:r w:rsidRPr="00AD0ACE">
        <w:rPr>
          <w:i/>
        </w:rPr>
        <w:t>2017</w:t>
      </w:r>
      <w:r>
        <w:rPr>
          <w:i/>
        </w:rPr>
        <w:noBreakHyphen/>
      </w:r>
      <w:r w:rsidRPr="00AD0ACE">
        <w:rPr>
          <w:i/>
        </w:rPr>
        <w:t>18 Budget</w:t>
      </w:r>
      <w:r>
        <w:t xml:space="preserve"> further strengthens the State’s fiscal position, and ensures the Government is equipped to meet our economic challenges.</w:t>
      </w:r>
    </w:p>
    <w:p w:rsidR="00552DFA" w:rsidRPr="00821899" w:rsidRDefault="00552DFA" w:rsidP="00423C3D"/>
    <w:p w:rsidR="00552DFA" w:rsidRPr="00821899" w:rsidRDefault="00552DFA" w:rsidP="00423C3D">
      <w:r w:rsidRPr="00821899">
        <w:t xml:space="preserve">This chapter outlines the budget position of the general government sector. The broader public sector is covered in Chapter 5 </w:t>
      </w:r>
      <w:r w:rsidRPr="00821899">
        <w:rPr>
          <w:i/>
        </w:rPr>
        <w:t>Position and outlook of the broader public sector</w:t>
      </w:r>
      <w:r w:rsidRPr="00821899">
        <w:t>. This budget paper takes into accou</w:t>
      </w:r>
      <w:r>
        <w:t>nt the financial impacts as at 24</w:t>
      </w:r>
      <w:r w:rsidRPr="00821899">
        <w:t> April 2017 of all policy decisions made by the Victorian Government, as well as Commonwealth Government funding revisions and other information that affects the financial statements, unless otherwise stated.</w:t>
      </w:r>
    </w:p>
    <w:p w:rsidR="00552DFA" w:rsidRPr="00821899" w:rsidRDefault="00552DFA" w:rsidP="00423C3D">
      <w:pPr>
        <w:pStyle w:val="Heading10"/>
        <w:rPr>
          <w:rFonts w:eastAsiaTheme="minorHAnsi"/>
        </w:rPr>
      </w:pPr>
      <w:bookmarkStart w:id="37" w:name="_Toc449123066"/>
      <w:bookmarkStart w:id="38" w:name="_Toc481160572"/>
      <w:bookmarkStart w:id="39" w:name="_Toc481246480"/>
      <w:r w:rsidRPr="00821899">
        <w:rPr>
          <w:rFonts w:eastAsiaTheme="minorHAnsi"/>
        </w:rPr>
        <w:lastRenderedPageBreak/>
        <w:t>General government sector</w:t>
      </w:r>
      <w:bookmarkEnd w:id="37"/>
      <w:bookmarkEnd w:id="38"/>
      <w:bookmarkEnd w:id="39"/>
    </w:p>
    <w:p w:rsidR="00552DFA" w:rsidRPr="00821899" w:rsidRDefault="00552DFA" w:rsidP="00423C3D">
      <w:pPr>
        <w:pStyle w:val="Heading20"/>
        <w:rPr>
          <w:rFonts w:eastAsiaTheme="minorHAnsi"/>
        </w:rPr>
      </w:pPr>
      <w:r w:rsidRPr="00821899">
        <w:rPr>
          <w:rFonts w:eastAsiaTheme="minorHAnsi"/>
        </w:rPr>
        <w:t>Overview</w:t>
      </w:r>
    </w:p>
    <w:p w:rsidR="00552DFA" w:rsidRPr="00821899" w:rsidRDefault="00552DFA" w:rsidP="00423C3D">
      <w:r w:rsidRPr="00821899">
        <w:t xml:space="preserve">The </w:t>
      </w:r>
      <w:r w:rsidRPr="00A928D3">
        <w:rPr>
          <w:i/>
        </w:rPr>
        <w:t>2017</w:t>
      </w:r>
      <w:r>
        <w:rPr>
          <w:i/>
        </w:rPr>
        <w:noBreakHyphen/>
      </w:r>
      <w:r w:rsidRPr="00A928D3">
        <w:rPr>
          <w:i/>
        </w:rPr>
        <w:t>18 Budget</w:t>
      </w:r>
      <w:r w:rsidRPr="000E1473">
        <w:t xml:space="preserve"> </w:t>
      </w:r>
      <w:r>
        <w:t xml:space="preserve">demonstrates the Government’s commitment to invest for growth in the infrastructure and services the State needs. </w:t>
      </w:r>
      <w:r w:rsidRPr="00821899">
        <w:t xml:space="preserve">Importantly, these investments </w:t>
      </w:r>
      <w:r>
        <w:t>are being</w:t>
      </w:r>
      <w:r w:rsidRPr="00821899">
        <w:t xml:space="preserve"> delivered while maintaining </w:t>
      </w:r>
      <w:r>
        <w:t xml:space="preserve">budget surpluses and </w:t>
      </w:r>
      <w:r w:rsidRPr="00821899">
        <w:t>general government net debt at a sustainable level over the medium term</w:t>
      </w:r>
      <w:r>
        <w:t>, in line with the Government’s fiscal strategy</w:t>
      </w:r>
      <w:r w:rsidRPr="00821899">
        <w:t xml:space="preserve">. </w:t>
      </w:r>
      <w:r>
        <w:t>This budget invests</w:t>
      </w:r>
      <w:r w:rsidRPr="00821899">
        <w:t xml:space="preserve"> </w:t>
      </w:r>
      <w:r>
        <w:t>$9.6 billion</w:t>
      </w:r>
      <w:r w:rsidRPr="00821899">
        <w:t xml:space="preserve"> in additional service delivery, and up to </w:t>
      </w:r>
      <w:r>
        <w:t>$6.1 billion</w:t>
      </w:r>
      <w:r w:rsidRPr="00821899">
        <w:t xml:space="preserve"> </w:t>
      </w:r>
      <w:r>
        <w:t>TEI</w:t>
      </w:r>
      <w:r w:rsidR="00356A95">
        <w:fldChar w:fldCharType="begin"/>
      </w:r>
      <w:r w:rsidR="00356A95">
        <w:instrText xml:space="preserve"> XE "Total Estimated Investment (TEI)" </w:instrText>
      </w:r>
      <w:r w:rsidR="00356A95">
        <w:fldChar w:fldCharType="end"/>
      </w:r>
      <w:r w:rsidRPr="00821899">
        <w:t xml:space="preserve"> in new asset initiatives.</w:t>
      </w:r>
    </w:p>
    <w:p w:rsidR="00552DFA" w:rsidRPr="00A424C5" w:rsidRDefault="00552DFA" w:rsidP="00423C3D">
      <w:r w:rsidRPr="00A424C5">
        <w:t>The operating result (net result from transactions) for the general government sector in 2017</w:t>
      </w:r>
      <w:r>
        <w:noBreakHyphen/>
      </w:r>
      <w:r w:rsidRPr="00A424C5">
        <w:t>18 is forecast to be $1.</w:t>
      </w:r>
      <w:r>
        <w:t>2</w:t>
      </w:r>
      <w:r w:rsidRPr="00A424C5">
        <w:t> billion, and average</w:t>
      </w:r>
      <w:r>
        <w:t>s</w:t>
      </w:r>
      <w:r w:rsidRPr="00A424C5">
        <w:t xml:space="preserve"> </w:t>
      </w:r>
      <w:r>
        <w:t>$2.4</w:t>
      </w:r>
      <w:r w:rsidRPr="00A424C5">
        <w:t xml:space="preserve"> billion over the </w:t>
      </w:r>
      <w:r>
        <w:t>forward estimates</w:t>
      </w:r>
      <w:r w:rsidRPr="00A424C5">
        <w:t xml:space="preserve"> (Table 4.1)</w:t>
      </w:r>
      <w:r>
        <w:t>.</w:t>
      </w:r>
    </w:p>
    <w:p w:rsidR="00552DFA" w:rsidRPr="00821899" w:rsidRDefault="00552DFA" w:rsidP="00423C3D">
      <w:r w:rsidRPr="00A424C5">
        <w:t>Expenditure growth (</w:t>
      </w:r>
      <w:r>
        <w:t>3.2</w:t>
      </w:r>
      <w:r w:rsidRPr="00A424C5">
        <w:t xml:space="preserve"> per cent a year) is expected to be no greater than revenue growth (3.7 per cent a year), on average, over the </w:t>
      </w:r>
      <w:r>
        <w:t>budget and forward estimates</w:t>
      </w:r>
      <w:r w:rsidRPr="00A424C5">
        <w:t>.</w:t>
      </w:r>
    </w:p>
    <w:p w:rsidR="00552DFA" w:rsidRPr="00B448A2" w:rsidRDefault="00552DFA" w:rsidP="00423C3D">
      <w:pPr>
        <w:pStyle w:val="TableHeading"/>
        <w:rPr>
          <w:bCs/>
          <w:lang w:val="en-US"/>
        </w:rPr>
      </w:pPr>
      <w:r w:rsidRPr="00821899">
        <w:t xml:space="preserve">Table 4.1: </w:t>
      </w:r>
      <w:r w:rsidRPr="00821899">
        <w:tab/>
        <w:t>General government fiscal aggregates</w:t>
      </w:r>
    </w:p>
    <w:tbl>
      <w:tblPr>
        <w:tblStyle w:val="DTFTable"/>
        <w:tblW w:w="7761" w:type="dxa"/>
        <w:tblInd w:w="45" w:type="dxa"/>
        <w:tblLayout w:type="fixed"/>
        <w:tblCellMar>
          <w:left w:w="45" w:type="dxa"/>
          <w:right w:w="45" w:type="dxa"/>
        </w:tblCellMar>
        <w:tblLook w:val="06A0" w:firstRow="1" w:lastRow="0" w:firstColumn="1" w:lastColumn="0" w:noHBand="1" w:noVBand="1"/>
      </w:tblPr>
      <w:tblGrid>
        <w:gridCol w:w="2251"/>
        <w:gridCol w:w="896"/>
        <w:gridCol w:w="754"/>
        <w:gridCol w:w="748"/>
        <w:gridCol w:w="748"/>
        <w:gridCol w:w="788"/>
        <w:gridCol w:w="788"/>
        <w:gridCol w:w="788"/>
      </w:tblGrid>
      <w:tr w:rsidR="00552DFA" w:rsidRPr="00B448A2" w:rsidTr="00423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1" w:type="dxa"/>
            <w:tcBorders>
              <w:top w:val="nil"/>
              <w:left w:val="nil"/>
              <w:bottom w:val="nil"/>
              <w:right w:val="nil"/>
            </w:tcBorders>
            <w:shd w:val="solid" w:color="000000" w:fill="FFFFFF"/>
          </w:tcPr>
          <w:p w:rsidR="00552DFA" w:rsidRPr="00B448A2" w:rsidRDefault="00552DFA" w:rsidP="00423C3D">
            <w:pPr>
              <w:autoSpaceDE w:val="0"/>
              <w:autoSpaceDN w:val="0"/>
              <w:adjustRightInd w:val="0"/>
              <w:rPr>
                <w:rFonts w:eastAsiaTheme="minorEastAsia" w:cs="Calibri"/>
                <w:color w:val="000000"/>
                <w:lang w:eastAsia="en-AU"/>
              </w:rPr>
            </w:pPr>
            <w:r w:rsidRPr="00B448A2">
              <w:rPr>
                <w:rFonts w:eastAsiaTheme="minorEastAsia" w:cs="Calibri"/>
                <w:color w:val="000000"/>
                <w:lang w:eastAsia="en-AU"/>
              </w:rPr>
              <w:t xml:space="preserve"> </w:t>
            </w:r>
          </w:p>
        </w:tc>
        <w:tc>
          <w:tcPr>
            <w:tcW w:w="896" w:type="dxa"/>
            <w:tcBorders>
              <w:top w:val="nil"/>
              <w:left w:val="nil"/>
              <w:bottom w:val="nil"/>
              <w:right w:val="nil"/>
            </w:tcBorders>
            <w:shd w:val="solid" w:color="000000" w:fill="FFFFFF"/>
          </w:tcPr>
          <w:p w:rsidR="00552DFA" w:rsidRPr="00B448A2" w:rsidRDefault="00552DFA" w:rsidP="00423C3D">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B448A2">
              <w:rPr>
                <w:rFonts w:eastAsiaTheme="minorEastAsia" w:cs="Calibri"/>
                <w:iCs/>
                <w:color w:val="FFFFFF"/>
                <w:szCs w:val="18"/>
                <w:lang w:eastAsia="en-AU"/>
              </w:rPr>
              <w:t>Unit of</w:t>
            </w:r>
          </w:p>
        </w:tc>
        <w:tc>
          <w:tcPr>
            <w:tcW w:w="754" w:type="dxa"/>
            <w:tcBorders>
              <w:top w:val="nil"/>
              <w:left w:val="nil"/>
              <w:bottom w:val="nil"/>
              <w:right w:val="nil"/>
            </w:tcBorders>
            <w:shd w:val="solid" w:color="000000" w:fill="FFFFFF"/>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B448A2">
              <w:rPr>
                <w:rFonts w:eastAsiaTheme="minorEastAsia" w:cs="Calibri"/>
                <w:iCs/>
                <w:color w:val="FFFFFF"/>
                <w:szCs w:val="18"/>
                <w:lang w:eastAsia="en-AU"/>
              </w:rPr>
              <w:t>2015</w:t>
            </w:r>
            <w:r>
              <w:rPr>
                <w:rFonts w:eastAsiaTheme="minorEastAsia" w:cs="Calibri"/>
                <w:iCs/>
                <w:color w:val="FFFFFF"/>
                <w:szCs w:val="18"/>
                <w:lang w:eastAsia="en-AU"/>
              </w:rPr>
              <w:noBreakHyphen/>
            </w:r>
            <w:r w:rsidRPr="00B448A2">
              <w:rPr>
                <w:rFonts w:eastAsiaTheme="minorEastAsia" w:cs="Calibri"/>
                <w:iCs/>
                <w:color w:val="FFFFFF"/>
                <w:szCs w:val="18"/>
                <w:lang w:eastAsia="en-AU"/>
              </w:rPr>
              <w:t>16</w:t>
            </w:r>
          </w:p>
        </w:tc>
        <w:tc>
          <w:tcPr>
            <w:tcW w:w="748" w:type="dxa"/>
            <w:tcBorders>
              <w:top w:val="nil"/>
              <w:left w:val="nil"/>
              <w:bottom w:val="nil"/>
              <w:right w:val="nil"/>
            </w:tcBorders>
            <w:shd w:val="solid" w:color="000000" w:fill="FFFFFF"/>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B448A2">
              <w:rPr>
                <w:rFonts w:eastAsiaTheme="minorEastAsia" w:cs="Calibri"/>
                <w:iCs/>
                <w:color w:val="FFFFFF"/>
                <w:szCs w:val="18"/>
                <w:lang w:eastAsia="en-AU"/>
              </w:rPr>
              <w:t>2016</w:t>
            </w:r>
            <w:r>
              <w:rPr>
                <w:rFonts w:eastAsiaTheme="minorEastAsia" w:cs="Calibri"/>
                <w:iCs/>
                <w:color w:val="FFFFFF"/>
                <w:szCs w:val="18"/>
                <w:lang w:eastAsia="en-AU"/>
              </w:rPr>
              <w:noBreakHyphen/>
            </w:r>
            <w:r w:rsidRPr="00B448A2">
              <w:rPr>
                <w:rFonts w:eastAsiaTheme="minorEastAsia" w:cs="Calibri"/>
                <w:iCs/>
                <w:color w:val="FFFFFF"/>
                <w:szCs w:val="18"/>
                <w:lang w:eastAsia="en-AU"/>
              </w:rPr>
              <w:t>17</w:t>
            </w:r>
          </w:p>
        </w:tc>
        <w:tc>
          <w:tcPr>
            <w:tcW w:w="748" w:type="dxa"/>
            <w:tcBorders>
              <w:top w:val="nil"/>
              <w:left w:val="nil"/>
              <w:bottom w:val="nil"/>
              <w:right w:val="nil"/>
            </w:tcBorders>
            <w:shd w:val="solid" w:color="000000" w:fill="FFFFFF"/>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B448A2">
              <w:rPr>
                <w:rFonts w:eastAsiaTheme="minorEastAsia" w:cs="Calibri"/>
                <w:iCs/>
                <w:color w:val="FFFFFF"/>
                <w:szCs w:val="18"/>
                <w:lang w:eastAsia="en-AU"/>
              </w:rPr>
              <w:t>2017</w:t>
            </w:r>
            <w:r>
              <w:rPr>
                <w:rFonts w:eastAsiaTheme="minorEastAsia" w:cs="Calibri"/>
                <w:iCs/>
                <w:color w:val="FFFFFF"/>
                <w:szCs w:val="18"/>
                <w:lang w:eastAsia="en-AU"/>
              </w:rPr>
              <w:noBreakHyphen/>
            </w:r>
            <w:r w:rsidRPr="00B448A2">
              <w:rPr>
                <w:rFonts w:eastAsiaTheme="minorEastAsia" w:cs="Calibri"/>
                <w:iCs/>
                <w:color w:val="FFFFFF"/>
                <w:szCs w:val="18"/>
                <w:lang w:eastAsia="en-AU"/>
              </w:rPr>
              <w:t>18</w:t>
            </w:r>
          </w:p>
        </w:tc>
        <w:tc>
          <w:tcPr>
            <w:tcW w:w="788" w:type="dxa"/>
            <w:tcBorders>
              <w:top w:val="nil"/>
              <w:left w:val="nil"/>
              <w:bottom w:val="nil"/>
              <w:right w:val="nil"/>
            </w:tcBorders>
            <w:shd w:val="solid" w:color="000000" w:fill="FFFFFF"/>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B448A2">
              <w:rPr>
                <w:rFonts w:eastAsiaTheme="minorEastAsia" w:cs="Calibri"/>
                <w:iCs/>
                <w:color w:val="FFFFFF"/>
                <w:szCs w:val="18"/>
                <w:lang w:eastAsia="en-AU"/>
              </w:rPr>
              <w:t>2018</w:t>
            </w:r>
            <w:r>
              <w:rPr>
                <w:rFonts w:eastAsiaTheme="minorEastAsia" w:cs="Calibri"/>
                <w:iCs/>
                <w:color w:val="FFFFFF"/>
                <w:szCs w:val="18"/>
                <w:lang w:eastAsia="en-AU"/>
              </w:rPr>
              <w:noBreakHyphen/>
            </w:r>
            <w:r w:rsidRPr="00B448A2">
              <w:rPr>
                <w:rFonts w:eastAsiaTheme="minorEastAsia" w:cs="Calibri"/>
                <w:iCs/>
                <w:color w:val="FFFFFF"/>
                <w:szCs w:val="18"/>
                <w:lang w:eastAsia="en-AU"/>
              </w:rPr>
              <w:t>19</w:t>
            </w:r>
          </w:p>
        </w:tc>
        <w:tc>
          <w:tcPr>
            <w:tcW w:w="788" w:type="dxa"/>
            <w:tcBorders>
              <w:top w:val="nil"/>
              <w:left w:val="nil"/>
              <w:bottom w:val="nil"/>
              <w:right w:val="nil"/>
            </w:tcBorders>
            <w:shd w:val="solid" w:color="000000" w:fill="FFFFFF"/>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B448A2">
              <w:rPr>
                <w:rFonts w:eastAsiaTheme="minorEastAsia" w:cs="Calibri"/>
                <w:iCs/>
                <w:color w:val="FFFFFF"/>
                <w:szCs w:val="18"/>
                <w:lang w:eastAsia="en-AU"/>
              </w:rPr>
              <w:t>2019</w:t>
            </w:r>
            <w:r>
              <w:rPr>
                <w:rFonts w:eastAsiaTheme="minorEastAsia" w:cs="Calibri"/>
                <w:iCs/>
                <w:color w:val="FFFFFF"/>
                <w:szCs w:val="18"/>
                <w:lang w:eastAsia="en-AU"/>
              </w:rPr>
              <w:noBreakHyphen/>
            </w:r>
            <w:r w:rsidRPr="00B448A2">
              <w:rPr>
                <w:rFonts w:eastAsiaTheme="minorEastAsia" w:cs="Calibri"/>
                <w:iCs/>
                <w:color w:val="FFFFFF"/>
                <w:szCs w:val="18"/>
                <w:lang w:eastAsia="en-AU"/>
              </w:rPr>
              <w:t>20</w:t>
            </w:r>
          </w:p>
        </w:tc>
        <w:tc>
          <w:tcPr>
            <w:tcW w:w="788" w:type="dxa"/>
            <w:tcBorders>
              <w:top w:val="nil"/>
              <w:left w:val="nil"/>
              <w:bottom w:val="nil"/>
              <w:right w:val="nil"/>
            </w:tcBorders>
            <w:shd w:val="solid" w:color="000000" w:fill="FFFFFF"/>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B448A2">
              <w:rPr>
                <w:rFonts w:eastAsiaTheme="minorEastAsia" w:cs="Calibri"/>
                <w:iCs/>
                <w:color w:val="FFFFFF"/>
                <w:szCs w:val="18"/>
                <w:lang w:eastAsia="en-AU"/>
              </w:rPr>
              <w:t>2020</w:t>
            </w:r>
            <w:r>
              <w:rPr>
                <w:rFonts w:eastAsiaTheme="minorEastAsia" w:cs="Calibri"/>
                <w:iCs/>
                <w:color w:val="FFFFFF"/>
                <w:szCs w:val="18"/>
                <w:lang w:eastAsia="en-AU"/>
              </w:rPr>
              <w:noBreakHyphen/>
            </w:r>
            <w:r w:rsidRPr="00B448A2">
              <w:rPr>
                <w:rFonts w:eastAsiaTheme="minorEastAsia" w:cs="Calibri"/>
                <w:iCs/>
                <w:color w:val="FFFFFF"/>
                <w:szCs w:val="18"/>
                <w:lang w:eastAsia="en-AU"/>
              </w:rPr>
              <w:t>21</w:t>
            </w:r>
          </w:p>
        </w:tc>
      </w:tr>
      <w:tr w:rsidR="00552DFA" w:rsidRPr="00B448A2" w:rsidTr="00423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1" w:type="dxa"/>
            <w:tcBorders>
              <w:top w:val="nil"/>
              <w:left w:val="nil"/>
              <w:bottom w:val="nil"/>
              <w:right w:val="nil"/>
            </w:tcBorders>
            <w:shd w:val="solid" w:color="000000" w:fill="FFFFFF"/>
          </w:tcPr>
          <w:p w:rsidR="00552DFA" w:rsidRPr="00B448A2" w:rsidRDefault="00552DFA" w:rsidP="00423C3D">
            <w:pPr>
              <w:keepLines w:val="0"/>
              <w:autoSpaceDE w:val="0"/>
              <w:autoSpaceDN w:val="0"/>
              <w:adjustRightInd w:val="0"/>
              <w:rPr>
                <w:rFonts w:eastAsiaTheme="minorEastAsia" w:cs="Calibri"/>
                <w:color w:val="000000"/>
                <w:lang w:eastAsia="en-AU"/>
              </w:rPr>
            </w:pPr>
            <w:r w:rsidRPr="00B448A2">
              <w:rPr>
                <w:rFonts w:eastAsiaTheme="minorEastAsia" w:cs="Calibri"/>
                <w:color w:val="000000"/>
                <w:lang w:eastAsia="en-AU"/>
              </w:rPr>
              <w:t xml:space="preserve"> </w:t>
            </w:r>
          </w:p>
        </w:tc>
        <w:tc>
          <w:tcPr>
            <w:tcW w:w="896" w:type="dxa"/>
            <w:tcBorders>
              <w:top w:val="nil"/>
              <w:left w:val="nil"/>
              <w:bottom w:val="nil"/>
              <w:right w:val="nil"/>
            </w:tcBorders>
            <w:shd w:val="solid" w:color="000000" w:fill="FFFFFF"/>
          </w:tcPr>
          <w:p w:rsidR="00552DFA" w:rsidRPr="00B448A2" w:rsidRDefault="00552DFA" w:rsidP="00423C3D">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B448A2">
              <w:rPr>
                <w:rFonts w:eastAsiaTheme="minorEastAsia" w:cs="Calibri"/>
                <w:iCs/>
                <w:color w:val="FFFFFF"/>
                <w:szCs w:val="18"/>
                <w:lang w:eastAsia="en-AU"/>
              </w:rPr>
              <w:t>measure</w:t>
            </w:r>
          </w:p>
        </w:tc>
        <w:tc>
          <w:tcPr>
            <w:tcW w:w="754" w:type="dxa"/>
            <w:tcBorders>
              <w:top w:val="nil"/>
              <w:left w:val="nil"/>
              <w:bottom w:val="nil"/>
              <w:right w:val="nil"/>
            </w:tcBorders>
            <w:shd w:val="solid" w:color="000000" w:fill="FFFFFF"/>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B448A2">
              <w:rPr>
                <w:rFonts w:eastAsiaTheme="minorEastAsia" w:cs="Calibri"/>
                <w:iCs/>
                <w:color w:val="FFFFFF"/>
                <w:szCs w:val="18"/>
                <w:lang w:eastAsia="en-AU"/>
              </w:rPr>
              <w:t>actual</w:t>
            </w:r>
          </w:p>
        </w:tc>
        <w:tc>
          <w:tcPr>
            <w:tcW w:w="748" w:type="dxa"/>
            <w:tcBorders>
              <w:top w:val="nil"/>
              <w:left w:val="nil"/>
              <w:bottom w:val="nil"/>
              <w:right w:val="nil"/>
            </w:tcBorders>
            <w:shd w:val="solid" w:color="000000" w:fill="FFFFFF"/>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B448A2">
              <w:rPr>
                <w:rFonts w:eastAsiaTheme="minorEastAsia" w:cs="Calibri"/>
                <w:iCs/>
                <w:color w:val="FFFFFF"/>
                <w:szCs w:val="18"/>
                <w:lang w:eastAsia="en-AU"/>
              </w:rPr>
              <w:t>revised</w:t>
            </w:r>
          </w:p>
        </w:tc>
        <w:tc>
          <w:tcPr>
            <w:tcW w:w="748" w:type="dxa"/>
            <w:tcBorders>
              <w:top w:val="nil"/>
              <w:left w:val="nil"/>
              <w:bottom w:val="nil"/>
              <w:right w:val="nil"/>
            </w:tcBorders>
            <w:shd w:val="solid" w:color="000000" w:fill="FFFFFF"/>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B448A2">
              <w:rPr>
                <w:rFonts w:eastAsiaTheme="minorEastAsia" w:cs="Calibri"/>
                <w:iCs/>
                <w:color w:val="FFFFFF"/>
                <w:szCs w:val="18"/>
                <w:lang w:eastAsia="en-AU"/>
              </w:rPr>
              <w:t>budget</w:t>
            </w:r>
          </w:p>
        </w:tc>
        <w:tc>
          <w:tcPr>
            <w:tcW w:w="788" w:type="dxa"/>
            <w:tcBorders>
              <w:top w:val="nil"/>
              <w:left w:val="nil"/>
              <w:bottom w:val="nil"/>
              <w:right w:val="nil"/>
            </w:tcBorders>
            <w:shd w:val="solid" w:color="000000" w:fill="FFFFFF"/>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B448A2">
              <w:rPr>
                <w:rFonts w:eastAsiaTheme="minorEastAsia" w:cs="Calibri"/>
                <w:iCs/>
                <w:color w:val="FFFFFF"/>
                <w:szCs w:val="18"/>
                <w:lang w:eastAsia="en-AU"/>
              </w:rPr>
              <w:t>estimate</w:t>
            </w:r>
          </w:p>
        </w:tc>
        <w:tc>
          <w:tcPr>
            <w:tcW w:w="788" w:type="dxa"/>
            <w:tcBorders>
              <w:top w:val="nil"/>
              <w:left w:val="nil"/>
              <w:bottom w:val="nil"/>
              <w:right w:val="nil"/>
            </w:tcBorders>
            <w:shd w:val="solid" w:color="000000" w:fill="FFFFFF"/>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B448A2">
              <w:rPr>
                <w:rFonts w:eastAsiaTheme="minorEastAsia" w:cs="Calibri"/>
                <w:iCs/>
                <w:color w:val="FFFFFF"/>
                <w:szCs w:val="18"/>
                <w:lang w:eastAsia="en-AU"/>
              </w:rPr>
              <w:t>estimate</w:t>
            </w:r>
          </w:p>
        </w:tc>
        <w:tc>
          <w:tcPr>
            <w:tcW w:w="788" w:type="dxa"/>
            <w:tcBorders>
              <w:top w:val="nil"/>
              <w:left w:val="nil"/>
              <w:bottom w:val="nil"/>
              <w:right w:val="nil"/>
            </w:tcBorders>
            <w:shd w:val="solid" w:color="000000" w:fill="FFFFFF"/>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B448A2">
              <w:rPr>
                <w:rFonts w:eastAsiaTheme="minorEastAsia" w:cs="Calibri"/>
                <w:iCs/>
                <w:color w:val="FFFFFF"/>
                <w:szCs w:val="18"/>
                <w:lang w:eastAsia="en-AU"/>
              </w:rPr>
              <w:t>estimate</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251" w:type="dxa"/>
            <w:tcBorders>
              <w:top w:val="nil"/>
              <w:left w:val="nil"/>
              <w:bottom w:val="nil"/>
              <w:right w:val="nil"/>
            </w:tcBorders>
          </w:tcPr>
          <w:p w:rsidR="00552DFA" w:rsidRPr="00B448A2" w:rsidRDefault="00552DFA" w:rsidP="00423C3D">
            <w:pPr>
              <w:keepLines w:val="0"/>
              <w:autoSpaceDE w:val="0"/>
              <w:autoSpaceDN w:val="0"/>
              <w:adjustRightInd w:val="0"/>
              <w:rPr>
                <w:rFonts w:eastAsiaTheme="minorEastAsia" w:cs="Calibri"/>
                <w:color w:val="000000"/>
                <w:szCs w:val="18"/>
                <w:lang w:eastAsia="en-AU"/>
              </w:rPr>
            </w:pPr>
            <w:r w:rsidRPr="00B448A2">
              <w:rPr>
                <w:rFonts w:eastAsiaTheme="minorEastAsia" w:cs="Calibri"/>
                <w:color w:val="000000"/>
                <w:szCs w:val="18"/>
                <w:lang w:eastAsia="en-AU"/>
              </w:rPr>
              <w:t>Net result from transactions</w:t>
            </w:r>
          </w:p>
        </w:tc>
        <w:tc>
          <w:tcPr>
            <w:tcW w:w="896" w:type="dxa"/>
            <w:tcBorders>
              <w:top w:val="nil"/>
              <w:left w:val="nil"/>
              <w:bottom w:val="nil"/>
              <w:right w:val="nil"/>
            </w:tcBorders>
          </w:tcPr>
          <w:p w:rsidR="00552DFA" w:rsidRPr="00B448A2" w:rsidRDefault="00552DFA" w:rsidP="00423C3D">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48A2">
              <w:rPr>
                <w:rFonts w:eastAsiaTheme="minorEastAsia" w:cs="Calibri"/>
                <w:color w:val="000000"/>
                <w:szCs w:val="18"/>
                <w:lang w:eastAsia="en-AU"/>
              </w:rPr>
              <w:t>$</w:t>
            </w:r>
            <w:r>
              <w:rPr>
                <w:rFonts w:eastAsiaTheme="minorEastAsia" w:cs="Calibri"/>
                <w:color w:val="000000"/>
                <w:szCs w:val="18"/>
                <w:lang w:eastAsia="en-AU"/>
              </w:rPr>
              <w:t> </w:t>
            </w:r>
            <w:r w:rsidRPr="00B448A2">
              <w:rPr>
                <w:rFonts w:eastAsiaTheme="minorEastAsia" w:cs="Calibri"/>
                <w:color w:val="000000"/>
                <w:szCs w:val="18"/>
                <w:lang w:eastAsia="en-AU"/>
              </w:rPr>
              <w:t>b</w:t>
            </w:r>
            <w:r>
              <w:rPr>
                <w:rFonts w:eastAsiaTheme="minorEastAsia" w:cs="Calibri"/>
                <w:color w:val="000000"/>
                <w:szCs w:val="18"/>
                <w:lang w:eastAsia="en-AU"/>
              </w:rPr>
              <w:t>illion</w:t>
            </w:r>
          </w:p>
        </w:tc>
        <w:tc>
          <w:tcPr>
            <w:tcW w:w="754"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w:t>
            </w:r>
          </w:p>
        </w:tc>
        <w:tc>
          <w:tcPr>
            <w:tcW w:w="748"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w:t>
            </w:r>
          </w:p>
        </w:tc>
        <w:tc>
          <w:tcPr>
            <w:tcW w:w="748"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w:t>
            </w:r>
          </w:p>
        </w:tc>
        <w:tc>
          <w:tcPr>
            <w:tcW w:w="788"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w:t>
            </w:r>
          </w:p>
        </w:tc>
        <w:tc>
          <w:tcPr>
            <w:tcW w:w="788"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w:t>
            </w:r>
          </w:p>
        </w:tc>
        <w:tc>
          <w:tcPr>
            <w:tcW w:w="788"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251" w:type="dxa"/>
            <w:tcBorders>
              <w:top w:val="nil"/>
              <w:left w:val="nil"/>
              <w:bottom w:val="nil"/>
              <w:right w:val="nil"/>
            </w:tcBorders>
          </w:tcPr>
          <w:p w:rsidR="00552DFA" w:rsidRPr="00B448A2" w:rsidRDefault="00552DFA" w:rsidP="00423C3D">
            <w:pPr>
              <w:keepLines w:val="0"/>
              <w:autoSpaceDE w:val="0"/>
              <w:autoSpaceDN w:val="0"/>
              <w:adjustRightInd w:val="0"/>
              <w:rPr>
                <w:rFonts w:eastAsiaTheme="minorEastAsia" w:cs="Calibri"/>
                <w:color w:val="000000"/>
                <w:szCs w:val="18"/>
                <w:vertAlign w:val="superscript"/>
                <w:lang w:eastAsia="en-AU"/>
              </w:rPr>
            </w:pPr>
            <w:r w:rsidRPr="00B448A2">
              <w:rPr>
                <w:rFonts w:eastAsiaTheme="minorEastAsia" w:cs="Calibri"/>
                <w:color w:val="000000"/>
                <w:szCs w:val="18"/>
                <w:lang w:eastAsia="en-AU"/>
              </w:rPr>
              <w:t>Government infrastructure investment</w:t>
            </w:r>
            <w:r w:rsidR="00356A95">
              <w:rPr>
                <w:rFonts w:eastAsiaTheme="minorEastAsia" w:cs="Calibri"/>
                <w:color w:val="000000"/>
                <w:szCs w:val="18"/>
                <w:lang w:eastAsia="en-AU"/>
              </w:rPr>
              <w:fldChar w:fldCharType="begin"/>
            </w:r>
            <w:r w:rsidR="00356A95">
              <w:rPr>
                <w:rFonts w:eastAsiaTheme="minorEastAsia" w:cs="Calibri"/>
                <w:color w:val="000000"/>
                <w:szCs w:val="18"/>
                <w:lang w:eastAsia="en-AU"/>
              </w:rPr>
              <w:instrText xml:space="preserve"> XE "</w:instrText>
            </w:r>
            <w:r w:rsidR="00356A95">
              <w:instrText>Infrastructure investment:Government infrastructure investment"</w:instrText>
            </w:r>
            <w:r w:rsidR="00356A95">
              <w:rPr>
                <w:rFonts w:eastAsiaTheme="minorEastAsia" w:cs="Calibri"/>
                <w:color w:val="000000"/>
                <w:szCs w:val="18"/>
                <w:lang w:eastAsia="en-AU"/>
              </w:rPr>
              <w:instrText xml:space="preserve"> </w:instrText>
            </w:r>
            <w:r w:rsidR="00356A95">
              <w:rPr>
                <w:rFonts w:eastAsiaTheme="minorEastAsia" w:cs="Calibri"/>
                <w:color w:val="000000"/>
                <w:szCs w:val="18"/>
                <w:lang w:eastAsia="en-AU"/>
              </w:rPr>
              <w:fldChar w:fldCharType="end"/>
            </w:r>
            <w:r w:rsidRPr="00B448A2">
              <w:rPr>
                <w:rFonts w:eastAsiaTheme="minorEastAsia" w:cs="Calibri"/>
                <w:color w:val="000000"/>
                <w:szCs w:val="18"/>
                <w:lang w:eastAsia="en-AU"/>
              </w:rPr>
              <w:t xml:space="preserve"> </w:t>
            </w:r>
            <w:r w:rsidRPr="00B448A2">
              <w:rPr>
                <w:rFonts w:eastAsiaTheme="minorEastAsia" w:cs="Calibri"/>
                <w:color w:val="000000"/>
                <w:szCs w:val="18"/>
                <w:vertAlign w:val="superscript"/>
                <w:lang w:eastAsia="en-AU"/>
              </w:rPr>
              <w:t>(a)(b)</w:t>
            </w:r>
          </w:p>
        </w:tc>
        <w:tc>
          <w:tcPr>
            <w:tcW w:w="896" w:type="dxa"/>
            <w:tcBorders>
              <w:top w:val="nil"/>
              <w:left w:val="nil"/>
              <w:bottom w:val="nil"/>
              <w:right w:val="nil"/>
            </w:tcBorders>
          </w:tcPr>
          <w:p w:rsidR="00552DFA" w:rsidRPr="00B448A2" w:rsidRDefault="00552DFA" w:rsidP="00423C3D">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48A2">
              <w:rPr>
                <w:rFonts w:eastAsiaTheme="minorEastAsia" w:cs="Calibri"/>
                <w:color w:val="000000"/>
                <w:szCs w:val="18"/>
                <w:lang w:eastAsia="en-AU"/>
              </w:rPr>
              <w:t>$</w:t>
            </w:r>
            <w:r>
              <w:rPr>
                <w:rFonts w:eastAsiaTheme="minorEastAsia" w:cs="Calibri"/>
                <w:color w:val="000000"/>
                <w:szCs w:val="18"/>
                <w:lang w:eastAsia="en-AU"/>
              </w:rPr>
              <w:t> </w:t>
            </w:r>
            <w:r w:rsidRPr="00B448A2">
              <w:rPr>
                <w:rFonts w:eastAsiaTheme="minorEastAsia" w:cs="Calibri"/>
                <w:color w:val="000000"/>
                <w:szCs w:val="18"/>
                <w:lang w:eastAsia="en-AU"/>
              </w:rPr>
              <w:t>b</w:t>
            </w:r>
            <w:r>
              <w:rPr>
                <w:rFonts w:eastAsiaTheme="minorEastAsia" w:cs="Calibri"/>
                <w:color w:val="000000"/>
                <w:szCs w:val="18"/>
                <w:lang w:eastAsia="en-AU"/>
              </w:rPr>
              <w:t>illion</w:t>
            </w:r>
          </w:p>
        </w:tc>
        <w:tc>
          <w:tcPr>
            <w:tcW w:w="754"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4.8</w:t>
            </w:r>
          </w:p>
        </w:tc>
        <w:tc>
          <w:tcPr>
            <w:tcW w:w="748"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9.3</w:t>
            </w:r>
          </w:p>
        </w:tc>
        <w:tc>
          <w:tcPr>
            <w:tcW w:w="748"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10.1</w:t>
            </w:r>
          </w:p>
        </w:tc>
        <w:tc>
          <w:tcPr>
            <w:tcW w:w="788"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9.8</w:t>
            </w:r>
          </w:p>
        </w:tc>
        <w:tc>
          <w:tcPr>
            <w:tcW w:w="788"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10.1</w:t>
            </w:r>
          </w:p>
        </w:tc>
        <w:tc>
          <w:tcPr>
            <w:tcW w:w="788"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8.4</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251" w:type="dxa"/>
            <w:tcBorders>
              <w:top w:val="nil"/>
              <w:left w:val="nil"/>
              <w:bottom w:val="nil"/>
              <w:right w:val="nil"/>
            </w:tcBorders>
          </w:tcPr>
          <w:p w:rsidR="00552DFA" w:rsidRPr="00B448A2" w:rsidRDefault="00552DFA" w:rsidP="00423C3D">
            <w:pPr>
              <w:keepLines w:val="0"/>
              <w:autoSpaceDE w:val="0"/>
              <w:autoSpaceDN w:val="0"/>
              <w:adjustRightInd w:val="0"/>
              <w:rPr>
                <w:rFonts w:eastAsiaTheme="minorEastAsia" w:cs="Calibri"/>
                <w:color w:val="000000"/>
                <w:szCs w:val="18"/>
                <w:lang w:eastAsia="en-AU"/>
              </w:rPr>
            </w:pPr>
            <w:r w:rsidRPr="00B448A2">
              <w:rPr>
                <w:rFonts w:eastAsiaTheme="minorEastAsia" w:cs="Calibri"/>
                <w:color w:val="000000"/>
                <w:szCs w:val="18"/>
                <w:lang w:eastAsia="en-AU"/>
              </w:rPr>
              <w:t>Net debt</w:t>
            </w:r>
            <w:r w:rsidR="00356A95">
              <w:rPr>
                <w:rFonts w:eastAsiaTheme="minorEastAsia" w:cs="Calibri"/>
                <w:color w:val="000000"/>
                <w:szCs w:val="18"/>
                <w:lang w:eastAsia="en-AU"/>
              </w:rPr>
              <w:fldChar w:fldCharType="begin"/>
            </w:r>
            <w:r w:rsidR="00356A95">
              <w:rPr>
                <w:rFonts w:eastAsiaTheme="minorEastAsia" w:cs="Calibri"/>
                <w:color w:val="000000"/>
                <w:szCs w:val="18"/>
                <w:lang w:eastAsia="en-AU"/>
              </w:rPr>
              <w:instrText xml:space="preserve"> XE "</w:instrText>
            </w:r>
            <w:r w:rsidR="00356A95">
              <w:instrText>Debt:Net debt"</w:instrText>
            </w:r>
            <w:r w:rsidR="00356A95">
              <w:rPr>
                <w:rFonts w:eastAsiaTheme="minorEastAsia" w:cs="Calibri"/>
                <w:color w:val="000000"/>
                <w:szCs w:val="18"/>
                <w:lang w:eastAsia="en-AU"/>
              </w:rPr>
              <w:instrText xml:space="preserve"> </w:instrText>
            </w:r>
            <w:r w:rsidR="00356A95">
              <w:rPr>
                <w:rFonts w:eastAsiaTheme="minorEastAsia" w:cs="Calibri"/>
                <w:color w:val="000000"/>
                <w:szCs w:val="18"/>
                <w:lang w:eastAsia="en-AU"/>
              </w:rPr>
              <w:fldChar w:fldCharType="end"/>
            </w:r>
          </w:p>
        </w:tc>
        <w:tc>
          <w:tcPr>
            <w:tcW w:w="896" w:type="dxa"/>
            <w:tcBorders>
              <w:top w:val="nil"/>
              <w:left w:val="nil"/>
              <w:bottom w:val="nil"/>
              <w:right w:val="nil"/>
            </w:tcBorders>
          </w:tcPr>
          <w:p w:rsidR="00552DFA" w:rsidRPr="00B448A2" w:rsidRDefault="00552DFA" w:rsidP="00423C3D">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48A2">
              <w:rPr>
                <w:rFonts w:eastAsiaTheme="minorEastAsia" w:cs="Calibri"/>
                <w:color w:val="000000"/>
                <w:szCs w:val="18"/>
                <w:lang w:eastAsia="en-AU"/>
              </w:rPr>
              <w:t>$</w:t>
            </w:r>
            <w:r>
              <w:rPr>
                <w:rFonts w:eastAsiaTheme="minorEastAsia" w:cs="Calibri"/>
                <w:color w:val="000000"/>
                <w:szCs w:val="18"/>
                <w:lang w:eastAsia="en-AU"/>
              </w:rPr>
              <w:t> </w:t>
            </w:r>
            <w:r w:rsidRPr="00B448A2">
              <w:rPr>
                <w:rFonts w:eastAsiaTheme="minorEastAsia" w:cs="Calibri"/>
                <w:color w:val="000000"/>
                <w:szCs w:val="18"/>
                <w:lang w:eastAsia="en-AU"/>
              </w:rPr>
              <w:t>b</w:t>
            </w:r>
            <w:r>
              <w:rPr>
                <w:rFonts w:eastAsiaTheme="minorEastAsia" w:cs="Calibri"/>
                <w:color w:val="000000"/>
                <w:szCs w:val="18"/>
                <w:lang w:eastAsia="en-AU"/>
              </w:rPr>
              <w:t>illion</w:t>
            </w:r>
          </w:p>
        </w:tc>
        <w:tc>
          <w:tcPr>
            <w:tcW w:w="754"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22.3</w:t>
            </w:r>
          </w:p>
        </w:tc>
        <w:tc>
          <w:tcPr>
            <w:tcW w:w="748"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18.1</w:t>
            </w:r>
          </w:p>
        </w:tc>
        <w:tc>
          <w:tcPr>
            <w:tcW w:w="748"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23.8</w:t>
            </w:r>
          </w:p>
        </w:tc>
        <w:tc>
          <w:tcPr>
            <w:tcW w:w="788"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25.1</w:t>
            </w:r>
          </w:p>
        </w:tc>
        <w:tc>
          <w:tcPr>
            <w:tcW w:w="788"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27.4</w:t>
            </w:r>
          </w:p>
        </w:tc>
        <w:tc>
          <w:tcPr>
            <w:tcW w:w="788"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28.9</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251" w:type="dxa"/>
            <w:tcBorders>
              <w:top w:val="nil"/>
              <w:left w:val="nil"/>
              <w:bottom w:val="single" w:sz="6" w:space="0" w:color="auto"/>
              <w:right w:val="nil"/>
            </w:tcBorders>
          </w:tcPr>
          <w:p w:rsidR="00552DFA" w:rsidRPr="00B448A2" w:rsidRDefault="00552DFA" w:rsidP="00423C3D">
            <w:pPr>
              <w:keepLines w:val="0"/>
              <w:autoSpaceDE w:val="0"/>
              <w:autoSpaceDN w:val="0"/>
              <w:adjustRightInd w:val="0"/>
              <w:rPr>
                <w:rFonts w:eastAsiaTheme="minorEastAsia" w:cs="Calibri"/>
                <w:color w:val="000000"/>
                <w:szCs w:val="18"/>
                <w:lang w:eastAsia="en-AU"/>
              </w:rPr>
            </w:pPr>
            <w:r w:rsidRPr="00B448A2">
              <w:rPr>
                <w:rFonts w:eastAsiaTheme="minorEastAsia" w:cs="Calibri"/>
                <w:color w:val="000000"/>
                <w:szCs w:val="18"/>
                <w:lang w:eastAsia="en-AU"/>
              </w:rPr>
              <w:t>Net debt</w:t>
            </w:r>
            <w:r w:rsidR="00356A95">
              <w:rPr>
                <w:rFonts w:eastAsiaTheme="minorEastAsia" w:cs="Calibri"/>
                <w:color w:val="000000"/>
                <w:szCs w:val="18"/>
                <w:lang w:eastAsia="en-AU"/>
              </w:rPr>
              <w:fldChar w:fldCharType="begin"/>
            </w:r>
            <w:r w:rsidR="00356A95">
              <w:rPr>
                <w:rFonts w:eastAsiaTheme="minorEastAsia" w:cs="Calibri"/>
                <w:color w:val="000000"/>
                <w:szCs w:val="18"/>
                <w:lang w:eastAsia="en-AU"/>
              </w:rPr>
              <w:instrText xml:space="preserve"> XE "</w:instrText>
            </w:r>
            <w:r w:rsidR="00356A95">
              <w:instrText>Debt:Net debt"</w:instrText>
            </w:r>
            <w:r w:rsidR="00356A95">
              <w:rPr>
                <w:rFonts w:eastAsiaTheme="minorEastAsia" w:cs="Calibri"/>
                <w:color w:val="000000"/>
                <w:szCs w:val="18"/>
                <w:lang w:eastAsia="en-AU"/>
              </w:rPr>
              <w:instrText xml:space="preserve"> </w:instrText>
            </w:r>
            <w:r w:rsidR="00356A95">
              <w:rPr>
                <w:rFonts w:eastAsiaTheme="minorEastAsia" w:cs="Calibri"/>
                <w:color w:val="000000"/>
                <w:szCs w:val="18"/>
                <w:lang w:eastAsia="en-AU"/>
              </w:rPr>
              <w:fldChar w:fldCharType="end"/>
            </w:r>
            <w:r w:rsidRPr="00B448A2">
              <w:rPr>
                <w:rFonts w:eastAsiaTheme="minorEastAsia" w:cs="Calibri"/>
                <w:color w:val="000000"/>
                <w:szCs w:val="18"/>
                <w:lang w:eastAsia="en-AU"/>
              </w:rPr>
              <w:t xml:space="preserve"> to GSP</w:t>
            </w:r>
          </w:p>
        </w:tc>
        <w:tc>
          <w:tcPr>
            <w:tcW w:w="896" w:type="dxa"/>
            <w:tcBorders>
              <w:top w:val="nil"/>
              <w:left w:val="nil"/>
              <w:bottom w:val="single" w:sz="6" w:space="0" w:color="auto"/>
              <w:right w:val="nil"/>
            </w:tcBorders>
          </w:tcPr>
          <w:p w:rsidR="00552DFA" w:rsidRPr="00B448A2" w:rsidRDefault="00552DFA" w:rsidP="00423C3D">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48A2">
              <w:rPr>
                <w:rFonts w:eastAsiaTheme="minorEastAsia" w:cs="Calibri"/>
                <w:color w:val="000000"/>
                <w:szCs w:val="18"/>
                <w:lang w:eastAsia="en-AU"/>
              </w:rPr>
              <w:t>per cent</w:t>
            </w:r>
          </w:p>
        </w:tc>
        <w:tc>
          <w:tcPr>
            <w:tcW w:w="754" w:type="dxa"/>
            <w:tcBorders>
              <w:top w:val="nil"/>
              <w:left w:val="nil"/>
              <w:bottom w:val="single" w:sz="6" w:space="0" w:color="auto"/>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w:t>
            </w:r>
          </w:p>
        </w:tc>
        <w:tc>
          <w:tcPr>
            <w:tcW w:w="748" w:type="dxa"/>
            <w:tcBorders>
              <w:top w:val="nil"/>
              <w:left w:val="nil"/>
              <w:bottom w:val="single" w:sz="6" w:space="0" w:color="auto"/>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4.6</w:t>
            </w:r>
          </w:p>
        </w:tc>
        <w:tc>
          <w:tcPr>
            <w:tcW w:w="748" w:type="dxa"/>
            <w:tcBorders>
              <w:top w:val="nil"/>
              <w:left w:val="nil"/>
              <w:bottom w:val="single" w:sz="6" w:space="0" w:color="auto"/>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5.8</w:t>
            </w:r>
          </w:p>
        </w:tc>
        <w:tc>
          <w:tcPr>
            <w:tcW w:w="788" w:type="dxa"/>
            <w:tcBorders>
              <w:top w:val="nil"/>
              <w:left w:val="nil"/>
              <w:bottom w:val="single" w:sz="6" w:space="0" w:color="auto"/>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5.8</w:t>
            </w:r>
          </w:p>
        </w:tc>
        <w:tc>
          <w:tcPr>
            <w:tcW w:w="788" w:type="dxa"/>
            <w:tcBorders>
              <w:top w:val="nil"/>
              <w:left w:val="nil"/>
              <w:bottom w:val="single" w:sz="6" w:space="0" w:color="auto"/>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w:t>
            </w:r>
          </w:p>
        </w:tc>
        <w:tc>
          <w:tcPr>
            <w:tcW w:w="788" w:type="dxa"/>
            <w:tcBorders>
              <w:top w:val="nil"/>
              <w:left w:val="nil"/>
              <w:bottom w:val="single" w:sz="6" w:space="0" w:color="auto"/>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w:t>
            </w:r>
          </w:p>
        </w:tc>
      </w:tr>
    </w:tbl>
    <w:p w:rsidR="00552DFA" w:rsidRPr="00821899" w:rsidRDefault="00552DFA" w:rsidP="00423C3D">
      <w:pPr>
        <w:pStyle w:val="Source"/>
      </w:pPr>
      <w:r w:rsidRPr="00821899">
        <w:t>Source: Department of Treasury and Finance</w:t>
      </w:r>
    </w:p>
    <w:p w:rsidR="00552DFA" w:rsidRPr="00304A44" w:rsidRDefault="00552DFA" w:rsidP="00423C3D">
      <w:pPr>
        <w:pStyle w:val="Note"/>
      </w:pPr>
      <w:r w:rsidRPr="00304A44">
        <w:t>Notes:</w:t>
      </w:r>
    </w:p>
    <w:p w:rsidR="00552DFA" w:rsidRPr="00304A44" w:rsidRDefault="00552DFA" w:rsidP="00423C3D">
      <w:pPr>
        <w:pStyle w:val="Note"/>
      </w:pPr>
      <w:r w:rsidRPr="00304A44">
        <w:t>(a)</w:t>
      </w:r>
      <w:r w:rsidRPr="00304A44">
        <w:tab/>
        <w:t>Includes general government net infrastructure investment and estimated cash flows for Partnerships Victoria projects and the State contribution to the West Gate Tunnel Project</w:t>
      </w:r>
      <w:r w:rsidR="00356A95">
        <w:fldChar w:fldCharType="begin"/>
      </w:r>
      <w:r w:rsidR="00356A95">
        <w:instrText xml:space="preserve"> XE "West Gate Tunnel Project" </w:instrText>
      </w:r>
      <w:r w:rsidR="00356A95">
        <w:fldChar w:fldCharType="end"/>
      </w:r>
      <w:r w:rsidRPr="00304A44">
        <w:t>.</w:t>
      </w:r>
    </w:p>
    <w:p w:rsidR="00552DFA" w:rsidRDefault="00552DFA" w:rsidP="00423C3D">
      <w:pPr>
        <w:pStyle w:val="Note"/>
      </w:pPr>
      <w:r w:rsidRPr="00304A44">
        <w:t>(b)</w:t>
      </w:r>
      <w:r w:rsidRPr="00304A44">
        <w:tab/>
        <w:t>Excludes the impact of the medium</w:t>
      </w:r>
      <w:r>
        <w:noBreakHyphen/>
      </w:r>
      <w:r w:rsidRPr="00304A44">
        <w:t>term lease over the operations of the Port of Melbourne</w:t>
      </w:r>
      <w:r w:rsidR="00C6657B">
        <w:t>.</w:t>
      </w:r>
      <w:r w:rsidRPr="00304A44">
        <w:t xml:space="preserve"> </w:t>
      </w:r>
    </w:p>
    <w:p w:rsidR="00552DFA" w:rsidRPr="00821899" w:rsidRDefault="00552DFA" w:rsidP="00423C3D">
      <w:pPr>
        <w:pStyle w:val="Note"/>
      </w:pPr>
    </w:p>
    <w:p w:rsidR="00552DFA" w:rsidRPr="00821899" w:rsidRDefault="00552DFA" w:rsidP="00423C3D">
      <w:r>
        <w:t>Infr</w:t>
      </w:r>
      <w:r w:rsidRPr="00182A96">
        <w:t>astructure investment</w:t>
      </w:r>
      <w:r w:rsidR="00356A95">
        <w:fldChar w:fldCharType="begin"/>
      </w:r>
      <w:r w:rsidR="00356A95">
        <w:instrText xml:space="preserve"> XE "Infrastructure investment" </w:instrText>
      </w:r>
      <w:r w:rsidR="00356A95">
        <w:fldChar w:fldCharType="end"/>
      </w:r>
      <w:r w:rsidRPr="00182A96">
        <w:t>, as measured by GII, will surge over the next four years, averaging $9.6 billion a year compared with the historical average of $5.6 billion a year over the decade to 2016</w:t>
      </w:r>
      <w:r>
        <w:noBreakHyphen/>
      </w:r>
      <w:r w:rsidRPr="00182A96">
        <w:t>17.</w:t>
      </w:r>
      <w:r w:rsidRPr="00821899">
        <w:t xml:space="preserve"> </w:t>
      </w:r>
    </w:p>
    <w:p w:rsidR="00552DFA" w:rsidRDefault="00552DFA" w:rsidP="00423C3D">
      <w:r w:rsidRPr="00821899">
        <w:t>Net debt</w:t>
      </w:r>
      <w:r w:rsidR="00356A95">
        <w:fldChar w:fldCharType="begin"/>
      </w:r>
      <w:r w:rsidR="00356A95">
        <w:instrText xml:space="preserve"> XE "Debt:Net debt" </w:instrText>
      </w:r>
      <w:r w:rsidR="00356A95">
        <w:fldChar w:fldCharType="end"/>
      </w:r>
      <w:r w:rsidRPr="00821899">
        <w:t xml:space="preserve"> as a proportion of GSP is expected to be </w:t>
      </w:r>
      <w:r>
        <w:t>4.6 per cent</w:t>
      </w:r>
      <w:r w:rsidRPr="00821899">
        <w:t xml:space="preserve"> at June 2017 </w:t>
      </w:r>
      <w:bookmarkStart w:id="40" w:name="_Toc449123067"/>
      <w:r w:rsidRPr="00821899">
        <w:t xml:space="preserve">and increase </w:t>
      </w:r>
      <w:r>
        <w:t>to 6.0 per cent by June 2021</w:t>
      </w:r>
      <w:r w:rsidRPr="00821899">
        <w:t xml:space="preserve">. </w:t>
      </w:r>
      <w:r>
        <w:t>This increase reflects the Government’s significant investment in productivity</w:t>
      </w:r>
      <w:r>
        <w:noBreakHyphen/>
        <w:t>enhancing infrastructure, yet maintains manageable levels of net debt consistent with a triple</w:t>
      </w:r>
      <w:r>
        <w:noBreakHyphen/>
        <w:t xml:space="preserve">A credit rating (Box 4.1). </w:t>
      </w:r>
    </w:p>
    <w:p w:rsidR="00552DFA" w:rsidRDefault="00552DFA" w:rsidP="00423C3D"/>
    <w:p w:rsidR="00552DFA" w:rsidRDefault="00552DFA">
      <w:pPr>
        <w:keepLines w:val="0"/>
        <w:rPr>
          <w:rFonts w:asciiTheme="majorHAnsi" w:hAnsiTheme="majorHAnsi" w:cstheme="minorHAnsi"/>
          <w:b/>
        </w:rPr>
      </w:pPr>
      <w:r>
        <w:rPr>
          <w:rFonts w:asciiTheme="majorHAnsi" w:hAnsiTheme="majorHAnsi" w:cstheme="minorHAnsi"/>
          <w:b/>
        </w:rPr>
        <w:br w:type="page"/>
      </w:r>
    </w:p>
    <w:p w:rsidR="00552DFA" w:rsidRPr="00A673DE" w:rsidRDefault="00552DFA" w:rsidP="00542C03">
      <w:pPr>
        <w:pStyle w:val="HighlightBoxHeading"/>
        <w:pBdr>
          <w:bottom w:val="single" w:sz="6" w:space="14" w:color="auto"/>
        </w:pBdr>
        <w:tabs>
          <w:tab w:val="left" w:pos="993"/>
        </w:tabs>
        <w:ind w:left="720" w:hanging="720"/>
      </w:pPr>
      <w:r>
        <w:lastRenderedPageBreak/>
        <w:t xml:space="preserve">Box 4.1: </w:t>
      </w:r>
      <w:r>
        <w:tab/>
        <w:t>Triple</w:t>
      </w:r>
      <w:r>
        <w:noBreakHyphen/>
      </w:r>
      <w:r w:rsidRPr="00A673DE">
        <w:t>A credit rating</w:t>
      </w:r>
      <w:r w:rsidR="00356A95">
        <w:fldChar w:fldCharType="begin"/>
      </w:r>
      <w:r w:rsidR="00356A95">
        <w:instrText xml:space="preserve"> XE "Triple-A credit rating" </w:instrText>
      </w:r>
      <w:r w:rsidR="00356A95">
        <w:fldChar w:fldCharType="end"/>
      </w:r>
    </w:p>
    <w:p w:rsidR="00552DFA" w:rsidRPr="000F7C80" w:rsidRDefault="00552DFA" w:rsidP="00542C03">
      <w:pPr>
        <w:pStyle w:val="HighlightBoxText"/>
        <w:pBdr>
          <w:bottom w:val="single" w:sz="6" w:space="14" w:color="auto"/>
        </w:pBdr>
        <w:rPr>
          <w:rFonts w:ascii="Garamond" w:hAnsi="Garamond"/>
        </w:rPr>
      </w:pPr>
      <w:r w:rsidRPr="000F7C80">
        <w:rPr>
          <w:rFonts w:ascii="Garamond" w:hAnsi="Garamond"/>
        </w:rPr>
        <w:t>Victoria is currently rated triple</w:t>
      </w:r>
      <w:r>
        <w:rPr>
          <w:rFonts w:ascii="Garamond" w:hAnsi="Garamond"/>
        </w:rPr>
        <w:noBreakHyphen/>
      </w:r>
      <w:r w:rsidRPr="000F7C80">
        <w:rPr>
          <w:rFonts w:ascii="Garamond" w:hAnsi="Garamond"/>
        </w:rPr>
        <w:t>A stable by Moody’s Investor Services (Moody’s) and triple</w:t>
      </w:r>
      <w:r>
        <w:rPr>
          <w:rFonts w:ascii="Garamond" w:hAnsi="Garamond"/>
        </w:rPr>
        <w:noBreakHyphen/>
      </w:r>
      <w:r w:rsidRPr="000F7C80">
        <w:rPr>
          <w:rFonts w:ascii="Garamond" w:hAnsi="Garamond"/>
        </w:rPr>
        <w:t>A with a negative outlook by Standard</w:t>
      </w:r>
      <w:r>
        <w:rPr>
          <w:rFonts w:ascii="Garamond" w:hAnsi="Garamond"/>
        </w:rPr>
        <w:t xml:space="preserve"> &amp; Poor’s (S&amp;P). Maintaining a </w:t>
      </w:r>
      <w:r w:rsidRPr="000F7C80">
        <w:rPr>
          <w:rFonts w:ascii="Garamond" w:hAnsi="Garamond"/>
        </w:rPr>
        <w:t>triple</w:t>
      </w:r>
      <w:r>
        <w:rPr>
          <w:rFonts w:ascii="Garamond" w:hAnsi="Garamond"/>
        </w:rPr>
        <w:noBreakHyphen/>
      </w:r>
      <w:r w:rsidRPr="000F7C80">
        <w:rPr>
          <w:rFonts w:ascii="Garamond" w:hAnsi="Garamond"/>
        </w:rPr>
        <w:t>A rating is important as it:</w:t>
      </w:r>
    </w:p>
    <w:p w:rsidR="00552DFA" w:rsidRPr="000F7C80" w:rsidRDefault="00552DFA" w:rsidP="00542C03">
      <w:pPr>
        <w:pStyle w:val="HighlightBoxBullet"/>
        <w:numPr>
          <w:ilvl w:val="0"/>
          <w:numId w:val="19"/>
        </w:numPr>
        <w:pBdr>
          <w:bottom w:val="single" w:sz="6" w:space="14" w:color="auto"/>
        </w:pBdr>
        <w:rPr>
          <w:rFonts w:ascii="Garamond" w:hAnsi="Garamond"/>
        </w:rPr>
      </w:pPr>
      <w:r w:rsidRPr="000F7C80">
        <w:rPr>
          <w:rFonts w:ascii="Garamond" w:hAnsi="Garamond"/>
        </w:rPr>
        <w:t>enhances access to financial markets</w:t>
      </w:r>
      <w:r>
        <w:rPr>
          <w:rFonts w:ascii="Garamond" w:hAnsi="Garamond"/>
        </w:rPr>
        <w:t>,</w:t>
      </w:r>
      <w:r w:rsidRPr="000F7C80">
        <w:rPr>
          <w:rFonts w:ascii="Garamond" w:hAnsi="Garamond"/>
        </w:rPr>
        <w:t xml:space="preserve"> particularly in times of market stress when access to funds can be limited. At the height of the global financial crisis, Victoria was able to access funds due to the strong demand for triple</w:t>
      </w:r>
      <w:r>
        <w:rPr>
          <w:rFonts w:ascii="Garamond" w:hAnsi="Garamond"/>
        </w:rPr>
        <w:noBreakHyphen/>
      </w:r>
      <w:r w:rsidRPr="000F7C80">
        <w:rPr>
          <w:rFonts w:ascii="Garamond" w:hAnsi="Garamond"/>
        </w:rPr>
        <w:t>A rated investments;</w:t>
      </w:r>
    </w:p>
    <w:p w:rsidR="00552DFA" w:rsidRPr="000F7C80" w:rsidRDefault="00552DFA" w:rsidP="00542C03">
      <w:pPr>
        <w:pStyle w:val="HighlightBoxBullet"/>
        <w:numPr>
          <w:ilvl w:val="0"/>
          <w:numId w:val="19"/>
        </w:numPr>
        <w:pBdr>
          <w:bottom w:val="single" w:sz="6" w:space="14" w:color="auto"/>
        </w:pBdr>
        <w:rPr>
          <w:rFonts w:ascii="Garamond" w:hAnsi="Garamond"/>
        </w:rPr>
      </w:pPr>
      <w:r w:rsidRPr="000F7C80">
        <w:rPr>
          <w:rFonts w:ascii="Garamond" w:hAnsi="Garamond"/>
        </w:rPr>
        <w:t>minimises the State’s cost of debt. The</w:t>
      </w:r>
      <w:r>
        <w:rPr>
          <w:rFonts w:ascii="Garamond" w:hAnsi="Garamond"/>
        </w:rPr>
        <w:t xml:space="preserve"> interest rate on Victoria’s 10</w:t>
      </w:r>
      <w:r>
        <w:rPr>
          <w:rFonts w:ascii="Garamond" w:hAnsi="Garamond"/>
        </w:rPr>
        <w:noBreakHyphen/>
      </w:r>
      <w:r w:rsidRPr="000F7C80">
        <w:rPr>
          <w:rFonts w:ascii="Garamond" w:hAnsi="Garamond"/>
        </w:rPr>
        <w:t xml:space="preserve">year borrowings </w:t>
      </w:r>
      <w:r>
        <w:rPr>
          <w:rFonts w:ascii="Garamond" w:hAnsi="Garamond"/>
        </w:rPr>
        <w:t>is 0.2 per cent and 0.4</w:t>
      </w:r>
      <w:r w:rsidRPr="000F7C80">
        <w:rPr>
          <w:rFonts w:ascii="Garamond" w:hAnsi="Garamond"/>
        </w:rPr>
        <w:t xml:space="preserve"> per cent lower than the AA+ rated </w:t>
      </w:r>
      <w:r>
        <w:rPr>
          <w:rFonts w:ascii="Garamond" w:hAnsi="Garamond"/>
        </w:rPr>
        <w:t>s</w:t>
      </w:r>
      <w:r w:rsidRPr="000F7C80">
        <w:rPr>
          <w:rFonts w:ascii="Garamond" w:hAnsi="Garamond"/>
        </w:rPr>
        <w:t xml:space="preserve">tates of Queensland and Western Australia respectively; </w:t>
      </w:r>
    </w:p>
    <w:p w:rsidR="00552DFA" w:rsidRPr="000F7C80" w:rsidRDefault="00552DFA" w:rsidP="00542C03">
      <w:pPr>
        <w:pStyle w:val="HighlightBoxBullet"/>
        <w:numPr>
          <w:ilvl w:val="0"/>
          <w:numId w:val="19"/>
        </w:numPr>
        <w:pBdr>
          <w:bottom w:val="single" w:sz="6" w:space="14" w:color="auto"/>
        </w:pBdr>
        <w:rPr>
          <w:rFonts w:ascii="Garamond" w:hAnsi="Garamond"/>
        </w:rPr>
      </w:pPr>
      <w:r w:rsidRPr="000F7C80">
        <w:rPr>
          <w:rFonts w:ascii="Garamond" w:hAnsi="Garamond"/>
        </w:rPr>
        <w:t>enhances the financial reputation of the State of Victoria</w:t>
      </w:r>
      <w:r w:rsidR="00356A95">
        <w:rPr>
          <w:rFonts w:ascii="Garamond" w:hAnsi="Garamond"/>
        </w:rPr>
        <w:fldChar w:fldCharType="begin"/>
      </w:r>
      <w:r w:rsidR="00356A95">
        <w:rPr>
          <w:rFonts w:ascii="Garamond" w:hAnsi="Garamond"/>
        </w:rPr>
        <w:instrText xml:space="preserve"> XE "</w:instrText>
      </w:r>
      <w:r w:rsidR="00356A95">
        <w:instrText>State of Victoria"</w:instrText>
      </w:r>
      <w:r w:rsidR="00356A95">
        <w:rPr>
          <w:rFonts w:ascii="Garamond" w:hAnsi="Garamond"/>
        </w:rPr>
        <w:instrText xml:space="preserve"> </w:instrText>
      </w:r>
      <w:r w:rsidR="00356A95">
        <w:rPr>
          <w:rFonts w:ascii="Garamond" w:hAnsi="Garamond"/>
        </w:rPr>
        <w:fldChar w:fldCharType="end"/>
      </w:r>
      <w:r w:rsidRPr="000F7C80">
        <w:rPr>
          <w:rFonts w:ascii="Garamond" w:hAnsi="Garamond"/>
        </w:rPr>
        <w:t>, with the triple</w:t>
      </w:r>
      <w:r>
        <w:rPr>
          <w:rFonts w:ascii="Garamond" w:hAnsi="Garamond"/>
        </w:rPr>
        <w:noBreakHyphen/>
      </w:r>
      <w:r w:rsidRPr="000F7C80">
        <w:rPr>
          <w:rFonts w:ascii="Garamond" w:hAnsi="Garamond"/>
        </w:rPr>
        <w:t>A rating status recognised internationally as the highest credit quality. Internationa</w:t>
      </w:r>
      <w:r>
        <w:rPr>
          <w:rFonts w:ascii="Garamond" w:hAnsi="Garamond"/>
        </w:rPr>
        <w:t>lly, there are only 12 sovereign</w:t>
      </w:r>
      <w:r w:rsidRPr="000F7C80">
        <w:rPr>
          <w:rFonts w:ascii="Garamond" w:hAnsi="Garamond"/>
        </w:rPr>
        <w:t xml:space="preserve"> governments rated triple</w:t>
      </w:r>
      <w:r>
        <w:rPr>
          <w:rFonts w:ascii="Garamond" w:hAnsi="Garamond"/>
        </w:rPr>
        <w:noBreakHyphen/>
      </w:r>
      <w:r w:rsidRPr="000F7C80">
        <w:rPr>
          <w:rFonts w:ascii="Garamond" w:hAnsi="Garamond"/>
        </w:rPr>
        <w:t>A by S&amp;P and 12 rated triple</w:t>
      </w:r>
      <w:r>
        <w:rPr>
          <w:rFonts w:ascii="Garamond" w:hAnsi="Garamond"/>
        </w:rPr>
        <w:noBreakHyphen/>
      </w:r>
      <w:r w:rsidRPr="000F7C80">
        <w:rPr>
          <w:rFonts w:ascii="Garamond" w:hAnsi="Garamond"/>
        </w:rPr>
        <w:t>A by Moody’s. The triple</w:t>
      </w:r>
      <w:r>
        <w:rPr>
          <w:rFonts w:ascii="Garamond" w:hAnsi="Garamond"/>
        </w:rPr>
        <w:noBreakHyphen/>
      </w:r>
      <w:r w:rsidRPr="000F7C80">
        <w:rPr>
          <w:rFonts w:ascii="Garamond" w:hAnsi="Garamond"/>
        </w:rPr>
        <w:t>A rating is of particular importance to overseas investors who may be less familiar with the Australian environment; and</w:t>
      </w:r>
    </w:p>
    <w:p w:rsidR="00552DFA" w:rsidRPr="000F7C80" w:rsidRDefault="00552DFA" w:rsidP="00542C03">
      <w:pPr>
        <w:pStyle w:val="HighlightBoxBullet"/>
        <w:numPr>
          <w:ilvl w:val="0"/>
          <w:numId w:val="19"/>
        </w:numPr>
        <w:pBdr>
          <w:bottom w:val="single" w:sz="6" w:space="14" w:color="auto"/>
        </w:pBdr>
        <w:rPr>
          <w:rFonts w:ascii="Garamond" w:hAnsi="Garamond"/>
        </w:rPr>
      </w:pPr>
      <w:r w:rsidRPr="000F7C80">
        <w:rPr>
          <w:rFonts w:ascii="Garamond" w:hAnsi="Garamond"/>
        </w:rPr>
        <w:t>improves business confidence as it reflects a strong economy, fiscal position and financial management.</w:t>
      </w:r>
    </w:p>
    <w:p w:rsidR="00552DFA" w:rsidRPr="000F7C80" w:rsidRDefault="00552DFA" w:rsidP="00542C03">
      <w:pPr>
        <w:pStyle w:val="HighlightBoxText"/>
        <w:pBdr>
          <w:bottom w:val="single" w:sz="6" w:space="14" w:color="auto"/>
        </w:pBdr>
        <w:rPr>
          <w:rFonts w:ascii="Garamond" w:hAnsi="Garamond"/>
        </w:rPr>
      </w:pPr>
      <w:r w:rsidRPr="000F7C80">
        <w:rPr>
          <w:rFonts w:ascii="Garamond" w:hAnsi="Garamond"/>
        </w:rPr>
        <w:t>In order to achieve a triple</w:t>
      </w:r>
      <w:r>
        <w:rPr>
          <w:rFonts w:ascii="Garamond" w:hAnsi="Garamond"/>
        </w:rPr>
        <w:noBreakHyphen/>
      </w:r>
      <w:r w:rsidRPr="000F7C80">
        <w:rPr>
          <w:rFonts w:ascii="Garamond" w:hAnsi="Garamond"/>
        </w:rPr>
        <w:t>A rating</w:t>
      </w:r>
      <w:r>
        <w:rPr>
          <w:rFonts w:ascii="Garamond" w:hAnsi="Garamond"/>
        </w:rPr>
        <w:t>,</w:t>
      </w:r>
      <w:r w:rsidRPr="000F7C80">
        <w:rPr>
          <w:rFonts w:ascii="Garamond" w:hAnsi="Garamond"/>
        </w:rPr>
        <w:t xml:space="preserve"> it is necessary to have a diverse economy </w:t>
      </w:r>
      <w:r>
        <w:rPr>
          <w:rFonts w:ascii="Garamond" w:hAnsi="Garamond"/>
        </w:rPr>
        <w:t>that</w:t>
      </w:r>
      <w:r w:rsidRPr="000F7C80">
        <w:rPr>
          <w:rFonts w:ascii="Garamond" w:hAnsi="Garamond"/>
        </w:rPr>
        <w:t xml:space="preserve"> is resilient to shifting external conditions. Victoria’s broad economic base ensures that it is not reliant on one sector for economic growth. Victoria’s comparative advantage in the services and knowledge sectors means the </w:t>
      </w:r>
      <w:r>
        <w:rPr>
          <w:rFonts w:ascii="Garamond" w:hAnsi="Garamond"/>
        </w:rPr>
        <w:t>S</w:t>
      </w:r>
      <w:r w:rsidRPr="000F7C80">
        <w:rPr>
          <w:rFonts w:ascii="Garamond" w:hAnsi="Garamond"/>
        </w:rPr>
        <w:t xml:space="preserve">tate is positioned to take advantage of changes in the Australian economy. </w:t>
      </w:r>
    </w:p>
    <w:p w:rsidR="00552DFA" w:rsidRDefault="00552DFA" w:rsidP="00542C03">
      <w:pPr>
        <w:pStyle w:val="HighlightBoxText"/>
        <w:pBdr>
          <w:bottom w:val="single" w:sz="6" w:space="14" w:color="auto"/>
        </w:pBdr>
        <w:rPr>
          <w:rFonts w:ascii="Garamond" w:hAnsi="Garamond"/>
        </w:rPr>
      </w:pPr>
      <w:r w:rsidRPr="000F7C80">
        <w:rPr>
          <w:rFonts w:ascii="Garamond" w:hAnsi="Garamond"/>
        </w:rPr>
        <w:t>A second important requirement for a triple</w:t>
      </w:r>
      <w:r>
        <w:rPr>
          <w:rFonts w:ascii="Garamond" w:hAnsi="Garamond"/>
        </w:rPr>
        <w:noBreakHyphen/>
      </w:r>
      <w:r w:rsidRPr="000F7C80">
        <w:rPr>
          <w:rFonts w:ascii="Garamond" w:hAnsi="Garamond"/>
        </w:rPr>
        <w:t xml:space="preserve">A credit rating is a strong fiscal position with manageable debt levels. </w:t>
      </w:r>
      <w:r>
        <w:rPr>
          <w:rFonts w:ascii="Garamond" w:hAnsi="Garamond"/>
        </w:rPr>
        <w:t xml:space="preserve">The </w:t>
      </w:r>
      <w:r w:rsidRPr="000F7C80">
        <w:rPr>
          <w:rFonts w:ascii="Garamond" w:hAnsi="Garamond"/>
        </w:rPr>
        <w:t>Victoria</w:t>
      </w:r>
      <w:r>
        <w:rPr>
          <w:rFonts w:ascii="Garamond" w:hAnsi="Garamond"/>
        </w:rPr>
        <w:t>n Government</w:t>
      </w:r>
      <w:r w:rsidRPr="000F7C80">
        <w:rPr>
          <w:rFonts w:ascii="Garamond" w:hAnsi="Garamond"/>
        </w:rPr>
        <w:t xml:space="preserve"> has maintained fiscal discipline by ensuring</w:t>
      </w:r>
      <w:r>
        <w:rPr>
          <w:rFonts w:ascii="Garamond" w:hAnsi="Garamond"/>
        </w:rPr>
        <w:t xml:space="preserve"> </w:t>
      </w:r>
      <w:r w:rsidRPr="000F7C80">
        <w:rPr>
          <w:rFonts w:ascii="Garamond" w:hAnsi="Garamond"/>
        </w:rPr>
        <w:t>revenue growth</w:t>
      </w:r>
      <w:r>
        <w:rPr>
          <w:rFonts w:ascii="Garamond" w:hAnsi="Garamond"/>
        </w:rPr>
        <w:t xml:space="preserve"> is higher than expense growth on average</w:t>
      </w:r>
      <w:r w:rsidRPr="000F7C80">
        <w:rPr>
          <w:rFonts w:ascii="Garamond" w:hAnsi="Garamond"/>
        </w:rPr>
        <w:t xml:space="preserve"> over the budget and forward estimates, providing capacity to maintain budget and debt settings that support the triple</w:t>
      </w:r>
      <w:r>
        <w:rPr>
          <w:rFonts w:ascii="Garamond" w:hAnsi="Garamond"/>
        </w:rPr>
        <w:noBreakHyphen/>
      </w:r>
      <w:r w:rsidRPr="000F7C80">
        <w:rPr>
          <w:rFonts w:ascii="Garamond" w:hAnsi="Garamond"/>
        </w:rPr>
        <w:t xml:space="preserve">A rating. The positive economic outlook for Victoria will </w:t>
      </w:r>
      <w:r>
        <w:rPr>
          <w:rFonts w:ascii="Garamond" w:hAnsi="Garamond"/>
        </w:rPr>
        <w:t>underpin</w:t>
      </w:r>
      <w:r w:rsidRPr="000F7C80">
        <w:rPr>
          <w:rFonts w:ascii="Garamond" w:hAnsi="Garamond"/>
        </w:rPr>
        <w:t xml:space="preserve"> continued growth in the State’s tax base. </w:t>
      </w:r>
    </w:p>
    <w:p w:rsidR="00552DFA" w:rsidRPr="000F7C80" w:rsidRDefault="00552DFA" w:rsidP="00542C03">
      <w:pPr>
        <w:pStyle w:val="HighlightBoxText"/>
        <w:pBdr>
          <w:bottom w:val="single" w:sz="6" w:space="14" w:color="auto"/>
        </w:pBdr>
        <w:rPr>
          <w:rFonts w:ascii="Garamond" w:hAnsi="Garamond"/>
        </w:rPr>
      </w:pPr>
      <w:r w:rsidRPr="000F7C80">
        <w:rPr>
          <w:rFonts w:ascii="Garamond" w:hAnsi="Garamond"/>
        </w:rPr>
        <w:t xml:space="preserve">In July 2016, S&amp;P revised the credit rating outlook of the Commonwealth of Australia to negative due to the declining prospects of the Commonwealth improving its budgetary performance. As a direct result, S&amp;P applied the sovereign ceiling rule and revised the ratings outlook of Victoria, New South Wales and the Australian Capital Territory </w:t>
      </w:r>
      <w:r>
        <w:rPr>
          <w:rFonts w:ascii="Garamond" w:hAnsi="Garamond"/>
        </w:rPr>
        <w:t>from positive to negative</w:t>
      </w:r>
      <w:r w:rsidRPr="000F7C80">
        <w:rPr>
          <w:rFonts w:ascii="Garamond" w:hAnsi="Garamond"/>
        </w:rPr>
        <w:t xml:space="preserve">, despite </w:t>
      </w:r>
      <w:proofErr w:type="spellStart"/>
      <w:r w:rsidRPr="000F7C80">
        <w:rPr>
          <w:rFonts w:ascii="Garamond" w:hAnsi="Garamond"/>
        </w:rPr>
        <w:t>there</w:t>
      </w:r>
      <w:proofErr w:type="spellEnd"/>
      <w:r w:rsidRPr="000F7C80">
        <w:rPr>
          <w:rFonts w:ascii="Garamond" w:hAnsi="Garamond"/>
        </w:rPr>
        <w:t xml:space="preserve"> having been no deterioration in Victoria’s financial position. </w:t>
      </w:r>
      <w:r w:rsidRPr="00334FDD">
        <w:rPr>
          <w:rFonts w:ascii="Garamond" w:hAnsi="Garamond"/>
        </w:rPr>
        <w:t xml:space="preserve">S&amp;P </w:t>
      </w:r>
      <w:r>
        <w:rPr>
          <w:rFonts w:ascii="Garamond" w:hAnsi="Garamond"/>
        </w:rPr>
        <w:t>has stated that it</w:t>
      </w:r>
      <w:r w:rsidRPr="00334FDD">
        <w:rPr>
          <w:rFonts w:ascii="Garamond" w:hAnsi="Garamond"/>
        </w:rPr>
        <w:t xml:space="preserve"> do</w:t>
      </w:r>
      <w:r>
        <w:rPr>
          <w:rFonts w:ascii="Garamond" w:hAnsi="Garamond"/>
        </w:rPr>
        <w:t>es</w:t>
      </w:r>
      <w:r w:rsidRPr="00334FDD">
        <w:rPr>
          <w:rFonts w:ascii="Garamond" w:hAnsi="Garamond"/>
        </w:rPr>
        <w:t xml:space="preserve"> not consider that any state or territory in Australia can maintain stronger credit characteristics than the sovereign government in a stress scenario.</w:t>
      </w:r>
    </w:p>
    <w:p w:rsidR="00552DFA" w:rsidRDefault="00552DFA">
      <w:pPr>
        <w:keepLines w:val="0"/>
        <w:rPr>
          <w:rFonts w:ascii="Garamond" w:hAnsi="Garamond"/>
        </w:rPr>
      </w:pPr>
      <w:r>
        <w:rPr>
          <w:rFonts w:ascii="Garamond" w:hAnsi="Garamond"/>
        </w:rPr>
        <w:br w:type="page"/>
      </w:r>
    </w:p>
    <w:p w:rsidR="00552DFA" w:rsidRDefault="00552DFA" w:rsidP="00423C3D">
      <w:pPr>
        <w:pStyle w:val="HighlightBoxText"/>
      </w:pPr>
      <w:r>
        <w:lastRenderedPageBreak/>
        <w:t>The Government believes Victoria should be assessed independently of the Commonwealth’s financial position. Over 55 per cent of Victoria’s revenue is sourced independently from the Commonwealth. GST</w:t>
      </w:r>
      <w:r w:rsidR="00356A95">
        <w:fldChar w:fldCharType="begin"/>
      </w:r>
      <w:r w:rsidR="00356A95">
        <w:instrText xml:space="preserve"> XE "Taxation:Goods and services tax" </w:instrText>
      </w:r>
      <w:r w:rsidR="00356A95">
        <w:fldChar w:fldCharType="end"/>
      </w:r>
      <w:r>
        <w:t>, which comprises 23 per cent of total revenue, is a state tax and cannot be varied by the Commonwealth unilaterally. The remaining specific purpose transfers from the Commonwealth are only 22 per cent of total revenue</w:t>
      </w:r>
      <w:r w:rsidRPr="00916E4E">
        <w:t>.</w:t>
      </w:r>
      <w:r>
        <w:t xml:space="preserve"> Most of these grants are for services such as health and education and are covered by existing agreements between the Commonwealth and the states.</w:t>
      </w:r>
    </w:p>
    <w:p w:rsidR="00552DFA" w:rsidRDefault="00552DFA" w:rsidP="00423C3D">
      <w:pPr>
        <w:pStyle w:val="HighlightBoxText"/>
      </w:pPr>
      <w:r>
        <w:t>Capital grants from the Commonwealth are even smaller, estimated to average only 1 per cent over the forward estimates, meaning Victoria almost entirely self</w:t>
      </w:r>
      <w:r>
        <w:noBreakHyphen/>
        <w:t>funds its capital expenditure requirements.</w:t>
      </w:r>
    </w:p>
    <w:p w:rsidR="00552DFA" w:rsidRPr="00821899" w:rsidRDefault="00552DFA" w:rsidP="00423C3D">
      <w:pPr>
        <w:pStyle w:val="Heading10"/>
        <w:rPr>
          <w:rFonts w:eastAsiaTheme="minorHAnsi"/>
        </w:rPr>
      </w:pPr>
      <w:bookmarkStart w:id="41" w:name="_Toc481160573"/>
      <w:bookmarkStart w:id="42" w:name="_Toc481246481"/>
      <w:r>
        <w:rPr>
          <w:rFonts w:eastAsiaTheme="minorHAnsi"/>
        </w:rPr>
        <w:t>Budget and forward estimates</w:t>
      </w:r>
      <w:r w:rsidRPr="00821899">
        <w:rPr>
          <w:rFonts w:eastAsiaTheme="minorHAnsi"/>
        </w:rPr>
        <w:t xml:space="preserve"> outlook</w:t>
      </w:r>
      <w:bookmarkEnd w:id="40"/>
      <w:bookmarkEnd w:id="41"/>
      <w:bookmarkEnd w:id="42"/>
    </w:p>
    <w:p w:rsidR="00552DFA" w:rsidRPr="00821899" w:rsidRDefault="00552DFA" w:rsidP="00423C3D">
      <w:r w:rsidRPr="00821899">
        <w:t xml:space="preserve">Table 4.2 summarises the operating statement </w:t>
      </w:r>
      <w:r>
        <w:t>for the general government sector</w:t>
      </w:r>
      <w:r w:rsidRPr="00821899">
        <w:t>. A</w:t>
      </w:r>
      <w:r>
        <w:t> </w:t>
      </w:r>
      <w:r w:rsidRPr="00821899">
        <w:t xml:space="preserve">comprehensive operating statement is presented in Budget Paper No. 5, Chapter 1 </w:t>
      </w:r>
      <w:r w:rsidRPr="00821899">
        <w:rPr>
          <w:i/>
        </w:rPr>
        <w:t>Estimated financial statements for the general government sector</w:t>
      </w:r>
      <w:r w:rsidRPr="00821899">
        <w:t>.</w:t>
      </w:r>
    </w:p>
    <w:p w:rsidR="00552DFA" w:rsidRPr="00B448A2" w:rsidRDefault="00552DFA" w:rsidP="00423C3D">
      <w:pPr>
        <w:pStyle w:val="TableHeading"/>
        <w:rPr>
          <w:bCs/>
          <w:lang w:val="en-US"/>
        </w:rPr>
      </w:pPr>
      <w:r w:rsidRPr="00821899">
        <w:t xml:space="preserve">Table 4.2: </w:t>
      </w:r>
      <w:r w:rsidRPr="00821899">
        <w:tab/>
        <w:t>Summary operating statement for the general government sector</w:t>
      </w:r>
      <w:r>
        <w:t xml:space="preserve"> </w:t>
      </w:r>
      <w:r w:rsidRPr="00821899">
        <w:rPr>
          <w:vertAlign w:val="superscript"/>
        </w:rPr>
        <w:t>(a)</w:t>
      </w:r>
      <w:r w:rsidRPr="00821899">
        <w:rPr>
          <w:vertAlign w:val="superscript"/>
        </w:rPr>
        <w:tab/>
      </w:r>
      <w:r w:rsidRPr="00821899">
        <w:t>($</w:t>
      </w:r>
      <w:r>
        <w:t> million</w:t>
      </w:r>
      <w:r w:rsidRPr="00821899">
        <w: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850"/>
        <w:gridCol w:w="850"/>
        <w:gridCol w:w="850"/>
        <w:gridCol w:w="850"/>
        <w:gridCol w:w="850"/>
        <w:gridCol w:w="850"/>
      </w:tblGrid>
      <w:tr w:rsidR="00552DFA" w:rsidRPr="00B448A2" w:rsidTr="00423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552DFA" w:rsidRPr="00B448A2" w:rsidRDefault="00552DFA" w:rsidP="00542C03">
            <w:pPr>
              <w:autoSpaceDE w:val="0"/>
              <w:autoSpaceDN w:val="0"/>
              <w:adjustRightInd w:val="0"/>
              <w:spacing w:after="0"/>
              <w:rPr>
                <w:rFonts w:eastAsiaTheme="minorEastAsia" w:cs="Calibri"/>
                <w:iCs/>
                <w:color w:val="FFFFFF"/>
                <w:szCs w:val="19"/>
                <w:lang w:eastAsia="en-AU"/>
              </w:rPr>
            </w:pPr>
            <w:r w:rsidRPr="00B448A2">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552DFA" w:rsidRPr="00B448A2" w:rsidRDefault="00552DFA" w:rsidP="00542C0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2015</w:t>
            </w:r>
            <w:r>
              <w:rPr>
                <w:rFonts w:eastAsiaTheme="minorEastAsia" w:cs="Calibri"/>
                <w:iCs/>
                <w:color w:val="FFFFFF"/>
                <w:szCs w:val="19"/>
                <w:lang w:eastAsia="en-AU"/>
              </w:rPr>
              <w:noBreakHyphen/>
            </w:r>
            <w:r w:rsidRPr="00B448A2">
              <w:rPr>
                <w:rFonts w:eastAsiaTheme="minorEastAsia" w:cs="Calibri"/>
                <w:iCs/>
                <w:color w:val="FFFFFF"/>
                <w:szCs w:val="19"/>
                <w:lang w:eastAsia="en-AU"/>
              </w:rPr>
              <w:t>16</w:t>
            </w:r>
          </w:p>
        </w:tc>
        <w:tc>
          <w:tcPr>
            <w:tcW w:w="850" w:type="dxa"/>
            <w:tcBorders>
              <w:top w:val="nil"/>
              <w:left w:val="nil"/>
              <w:bottom w:val="nil"/>
              <w:right w:val="nil"/>
            </w:tcBorders>
            <w:shd w:val="solid" w:color="000000" w:fill="auto"/>
          </w:tcPr>
          <w:p w:rsidR="00552DFA" w:rsidRPr="00B448A2" w:rsidRDefault="00552DFA" w:rsidP="00542C0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2016</w:t>
            </w:r>
            <w:r>
              <w:rPr>
                <w:rFonts w:eastAsiaTheme="minorEastAsia" w:cs="Calibri"/>
                <w:iCs/>
                <w:color w:val="FFFFFF"/>
                <w:szCs w:val="19"/>
                <w:lang w:eastAsia="en-AU"/>
              </w:rPr>
              <w:noBreakHyphen/>
            </w:r>
            <w:r w:rsidRPr="00B448A2">
              <w:rPr>
                <w:rFonts w:eastAsiaTheme="minorEastAsia" w:cs="Calibri"/>
                <w:iCs/>
                <w:color w:val="FFFFFF"/>
                <w:szCs w:val="19"/>
                <w:lang w:eastAsia="en-AU"/>
              </w:rPr>
              <w:t>17</w:t>
            </w:r>
          </w:p>
        </w:tc>
        <w:tc>
          <w:tcPr>
            <w:tcW w:w="850" w:type="dxa"/>
            <w:tcBorders>
              <w:top w:val="nil"/>
              <w:left w:val="nil"/>
              <w:bottom w:val="nil"/>
              <w:right w:val="nil"/>
            </w:tcBorders>
            <w:shd w:val="solid" w:color="000000" w:fill="auto"/>
          </w:tcPr>
          <w:p w:rsidR="00552DFA" w:rsidRPr="00B448A2" w:rsidRDefault="00552DFA" w:rsidP="00542C0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2017</w:t>
            </w:r>
            <w:r>
              <w:rPr>
                <w:rFonts w:eastAsiaTheme="minorEastAsia" w:cs="Calibri"/>
                <w:iCs/>
                <w:color w:val="FFFFFF"/>
                <w:szCs w:val="19"/>
                <w:lang w:eastAsia="en-AU"/>
              </w:rPr>
              <w:noBreakHyphen/>
            </w:r>
            <w:r w:rsidRPr="00B448A2">
              <w:rPr>
                <w:rFonts w:eastAsiaTheme="minorEastAsia" w:cs="Calibri"/>
                <w:iCs/>
                <w:color w:val="FFFFFF"/>
                <w:szCs w:val="19"/>
                <w:lang w:eastAsia="en-AU"/>
              </w:rPr>
              <w:t>18</w:t>
            </w:r>
          </w:p>
        </w:tc>
        <w:tc>
          <w:tcPr>
            <w:tcW w:w="850" w:type="dxa"/>
            <w:tcBorders>
              <w:top w:val="nil"/>
              <w:left w:val="nil"/>
              <w:bottom w:val="nil"/>
              <w:right w:val="nil"/>
            </w:tcBorders>
            <w:shd w:val="solid" w:color="000000" w:fill="auto"/>
          </w:tcPr>
          <w:p w:rsidR="00552DFA" w:rsidRPr="00B448A2" w:rsidRDefault="00552DFA" w:rsidP="00542C0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2018</w:t>
            </w:r>
            <w:r>
              <w:rPr>
                <w:rFonts w:eastAsiaTheme="minorEastAsia" w:cs="Calibri"/>
                <w:iCs/>
                <w:color w:val="FFFFFF"/>
                <w:szCs w:val="19"/>
                <w:lang w:eastAsia="en-AU"/>
              </w:rPr>
              <w:noBreakHyphen/>
            </w:r>
            <w:r w:rsidRPr="00B448A2">
              <w:rPr>
                <w:rFonts w:eastAsiaTheme="minorEastAsia" w:cs="Calibri"/>
                <w:iCs/>
                <w:color w:val="FFFFFF"/>
                <w:szCs w:val="19"/>
                <w:lang w:eastAsia="en-AU"/>
              </w:rPr>
              <w:t>19</w:t>
            </w:r>
          </w:p>
        </w:tc>
        <w:tc>
          <w:tcPr>
            <w:tcW w:w="850" w:type="dxa"/>
            <w:tcBorders>
              <w:top w:val="nil"/>
              <w:left w:val="nil"/>
              <w:bottom w:val="nil"/>
              <w:right w:val="nil"/>
            </w:tcBorders>
            <w:shd w:val="solid" w:color="000000" w:fill="auto"/>
          </w:tcPr>
          <w:p w:rsidR="00552DFA" w:rsidRPr="00B448A2" w:rsidRDefault="00552DFA" w:rsidP="00542C0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2019</w:t>
            </w:r>
            <w:r>
              <w:rPr>
                <w:rFonts w:eastAsiaTheme="minorEastAsia" w:cs="Calibri"/>
                <w:iCs/>
                <w:color w:val="FFFFFF"/>
                <w:szCs w:val="19"/>
                <w:lang w:eastAsia="en-AU"/>
              </w:rPr>
              <w:noBreakHyphen/>
            </w:r>
            <w:r w:rsidRPr="00B448A2">
              <w:rPr>
                <w:rFonts w:eastAsiaTheme="minorEastAsia" w:cs="Calibri"/>
                <w:iCs/>
                <w:color w:val="FFFFFF"/>
                <w:szCs w:val="19"/>
                <w:lang w:eastAsia="en-AU"/>
              </w:rPr>
              <w:t>20</w:t>
            </w:r>
          </w:p>
        </w:tc>
        <w:tc>
          <w:tcPr>
            <w:tcW w:w="850" w:type="dxa"/>
            <w:tcBorders>
              <w:top w:val="nil"/>
              <w:left w:val="nil"/>
              <w:bottom w:val="nil"/>
              <w:right w:val="nil"/>
            </w:tcBorders>
            <w:shd w:val="solid" w:color="000000" w:fill="auto"/>
          </w:tcPr>
          <w:p w:rsidR="00552DFA" w:rsidRPr="00B448A2" w:rsidRDefault="00552DFA" w:rsidP="00542C0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2020</w:t>
            </w:r>
            <w:r>
              <w:rPr>
                <w:rFonts w:eastAsiaTheme="minorEastAsia" w:cs="Calibri"/>
                <w:iCs/>
                <w:color w:val="FFFFFF"/>
                <w:szCs w:val="19"/>
                <w:lang w:eastAsia="en-AU"/>
              </w:rPr>
              <w:noBreakHyphen/>
            </w:r>
            <w:r w:rsidRPr="00B448A2">
              <w:rPr>
                <w:rFonts w:eastAsiaTheme="minorEastAsia" w:cs="Calibri"/>
                <w:iCs/>
                <w:color w:val="FFFFFF"/>
                <w:szCs w:val="19"/>
                <w:lang w:eastAsia="en-AU"/>
              </w:rPr>
              <w:t>21</w:t>
            </w:r>
          </w:p>
        </w:tc>
      </w:tr>
      <w:tr w:rsidR="00552DFA" w:rsidRPr="00B448A2" w:rsidTr="00423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552DFA" w:rsidRPr="00B448A2" w:rsidRDefault="00552DFA" w:rsidP="00542C03">
            <w:pPr>
              <w:keepLines w:val="0"/>
              <w:autoSpaceDE w:val="0"/>
              <w:autoSpaceDN w:val="0"/>
              <w:adjustRightInd w:val="0"/>
              <w:spacing w:after="0"/>
              <w:rPr>
                <w:rFonts w:eastAsiaTheme="minorEastAsia" w:cs="Calibri"/>
                <w:iCs/>
                <w:color w:val="FFFFFF"/>
                <w:szCs w:val="19"/>
                <w:lang w:eastAsia="en-AU"/>
              </w:rPr>
            </w:pPr>
            <w:r w:rsidRPr="00B448A2">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552DFA" w:rsidRPr="00B448A2" w:rsidRDefault="00552DFA" w:rsidP="00542C0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actual</w:t>
            </w:r>
          </w:p>
        </w:tc>
        <w:tc>
          <w:tcPr>
            <w:tcW w:w="850" w:type="dxa"/>
            <w:tcBorders>
              <w:top w:val="nil"/>
              <w:left w:val="nil"/>
              <w:bottom w:val="nil"/>
              <w:right w:val="nil"/>
            </w:tcBorders>
            <w:shd w:val="solid" w:color="000000" w:fill="auto"/>
          </w:tcPr>
          <w:p w:rsidR="00552DFA" w:rsidRPr="00B448A2" w:rsidRDefault="00552DFA" w:rsidP="00542C0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revised</w:t>
            </w:r>
          </w:p>
        </w:tc>
        <w:tc>
          <w:tcPr>
            <w:tcW w:w="850" w:type="dxa"/>
            <w:tcBorders>
              <w:top w:val="nil"/>
              <w:left w:val="nil"/>
              <w:bottom w:val="nil"/>
              <w:right w:val="nil"/>
            </w:tcBorders>
            <w:shd w:val="solid" w:color="000000" w:fill="auto"/>
          </w:tcPr>
          <w:p w:rsidR="00552DFA" w:rsidRPr="00B448A2" w:rsidRDefault="00552DFA" w:rsidP="00542C0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budget</w:t>
            </w:r>
          </w:p>
        </w:tc>
        <w:tc>
          <w:tcPr>
            <w:tcW w:w="850" w:type="dxa"/>
            <w:tcBorders>
              <w:top w:val="nil"/>
              <w:left w:val="nil"/>
              <w:bottom w:val="nil"/>
              <w:right w:val="nil"/>
            </w:tcBorders>
            <w:shd w:val="solid" w:color="000000" w:fill="auto"/>
          </w:tcPr>
          <w:p w:rsidR="00552DFA" w:rsidRPr="00B448A2" w:rsidRDefault="00552DFA" w:rsidP="00542C0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B448A2" w:rsidRDefault="00552DFA" w:rsidP="00542C0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B448A2" w:rsidRDefault="00552DFA" w:rsidP="00542C0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estimate</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B448A2" w:rsidRDefault="00552DFA" w:rsidP="00542C03">
            <w:pPr>
              <w:keepLines w:val="0"/>
              <w:autoSpaceDE w:val="0"/>
              <w:autoSpaceDN w:val="0"/>
              <w:adjustRightInd w:val="0"/>
              <w:spacing w:after="0"/>
              <w:rPr>
                <w:rFonts w:eastAsiaTheme="minorEastAsia" w:cs="Calibri"/>
                <w:b/>
                <w:bCs/>
                <w:color w:val="000000"/>
                <w:szCs w:val="19"/>
                <w:lang w:eastAsia="en-AU"/>
              </w:rPr>
            </w:pPr>
            <w:r w:rsidRPr="00B448A2">
              <w:rPr>
                <w:rFonts w:eastAsiaTheme="minorEastAsia" w:cs="Calibri"/>
                <w:b/>
                <w:bCs/>
                <w:color w:val="000000"/>
                <w:szCs w:val="19"/>
                <w:lang w:eastAsia="en-AU"/>
              </w:rPr>
              <w:t>Revenue</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 xml:space="preserve"> </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 xml:space="preserve"> </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 xml:space="preserve"> </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 xml:space="preserve"> </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 xml:space="preserve"> </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 xml:space="preserve"> </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B448A2" w:rsidRDefault="00552DFA" w:rsidP="00542C03">
            <w:pPr>
              <w:keepLines w:val="0"/>
              <w:autoSpaceDE w:val="0"/>
              <w:autoSpaceDN w:val="0"/>
              <w:adjustRightInd w:val="0"/>
              <w:spacing w:after="0"/>
              <w:rPr>
                <w:rFonts w:eastAsiaTheme="minorEastAsia" w:cs="Calibri"/>
                <w:color w:val="000000"/>
                <w:szCs w:val="19"/>
                <w:lang w:eastAsia="en-AU"/>
              </w:rPr>
            </w:pPr>
            <w:r w:rsidRPr="00B448A2">
              <w:rPr>
                <w:rFonts w:eastAsiaTheme="minorEastAsia" w:cs="Calibri"/>
                <w:color w:val="000000"/>
                <w:szCs w:val="19"/>
                <w:lang w:eastAsia="en-AU"/>
              </w:rPr>
              <w:t>Taxation</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19 896</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22 189</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21 827</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23 163</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24 475</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25 629</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B448A2" w:rsidRDefault="00552DFA" w:rsidP="00542C03">
            <w:pPr>
              <w:keepLines w:val="0"/>
              <w:autoSpaceDE w:val="0"/>
              <w:autoSpaceDN w:val="0"/>
              <w:adjustRightInd w:val="0"/>
              <w:spacing w:after="0"/>
              <w:rPr>
                <w:rFonts w:eastAsiaTheme="minorEastAsia" w:cs="Calibri"/>
                <w:color w:val="000000"/>
                <w:szCs w:val="19"/>
                <w:vertAlign w:val="superscript"/>
                <w:lang w:eastAsia="en-AU"/>
              </w:rPr>
            </w:pPr>
            <w:r w:rsidRPr="00B448A2">
              <w:rPr>
                <w:rFonts w:eastAsiaTheme="minorEastAsia" w:cs="Calibri"/>
                <w:color w:val="000000"/>
                <w:szCs w:val="19"/>
                <w:lang w:eastAsia="en-AU"/>
              </w:rPr>
              <w:t xml:space="preserve">Dividends, TER and interest </w:t>
            </w:r>
            <w:r w:rsidRPr="00B448A2">
              <w:rPr>
                <w:rFonts w:eastAsiaTheme="minorEastAsia" w:cs="Calibri"/>
                <w:color w:val="000000"/>
                <w:szCs w:val="19"/>
                <w:vertAlign w:val="superscript"/>
                <w:lang w:eastAsia="en-AU"/>
              </w:rPr>
              <w:t>(b)</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1 634</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1 453</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2 070</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1 456</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1 502</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1 602</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B448A2" w:rsidRDefault="00552DFA" w:rsidP="00542C03">
            <w:pPr>
              <w:keepLines w:val="0"/>
              <w:autoSpaceDE w:val="0"/>
              <w:autoSpaceDN w:val="0"/>
              <w:adjustRightInd w:val="0"/>
              <w:spacing w:after="0"/>
              <w:rPr>
                <w:rFonts w:eastAsiaTheme="minorEastAsia" w:cs="Calibri"/>
                <w:color w:val="000000"/>
                <w:szCs w:val="19"/>
                <w:lang w:eastAsia="en-AU"/>
              </w:rPr>
            </w:pPr>
            <w:r w:rsidRPr="00B448A2">
              <w:rPr>
                <w:rFonts w:eastAsiaTheme="minorEastAsia" w:cs="Calibri"/>
                <w:color w:val="000000"/>
                <w:szCs w:val="19"/>
                <w:lang w:eastAsia="en-AU"/>
              </w:rPr>
              <w:t>Sales of goods and services</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6 671</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6 886</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7 187</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7 465</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7 807</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8 097</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B448A2" w:rsidRDefault="00552DFA" w:rsidP="00542C03">
            <w:pPr>
              <w:keepLines w:val="0"/>
              <w:autoSpaceDE w:val="0"/>
              <w:autoSpaceDN w:val="0"/>
              <w:adjustRightInd w:val="0"/>
              <w:spacing w:after="0"/>
              <w:rPr>
                <w:rFonts w:eastAsiaTheme="minorEastAsia" w:cs="Calibri"/>
                <w:color w:val="000000"/>
                <w:szCs w:val="19"/>
                <w:lang w:eastAsia="en-AU"/>
              </w:rPr>
            </w:pPr>
            <w:r w:rsidRPr="00B448A2">
              <w:rPr>
                <w:rFonts w:eastAsiaTheme="minorEastAsia" w:cs="Calibri"/>
                <w:color w:val="000000"/>
                <w:szCs w:val="19"/>
                <w:lang w:eastAsia="en-AU"/>
              </w:rPr>
              <w:t>Grant revenue</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25 406</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27 526</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29 818</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31 915</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31 619</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32 280</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000000"/>
              <w:right w:val="nil"/>
            </w:tcBorders>
          </w:tcPr>
          <w:p w:rsidR="00552DFA" w:rsidRPr="00B448A2" w:rsidRDefault="00552DFA" w:rsidP="00542C03">
            <w:pPr>
              <w:keepLines w:val="0"/>
              <w:autoSpaceDE w:val="0"/>
              <w:autoSpaceDN w:val="0"/>
              <w:adjustRightInd w:val="0"/>
              <w:spacing w:after="0"/>
              <w:rPr>
                <w:rFonts w:eastAsiaTheme="minorEastAsia" w:cs="Calibri"/>
                <w:color w:val="000000"/>
                <w:szCs w:val="19"/>
                <w:lang w:eastAsia="en-AU"/>
              </w:rPr>
            </w:pPr>
            <w:r w:rsidRPr="00B448A2">
              <w:rPr>
                <w:rFonts w:eastAsiaTheme="minorEastAsia" w:cs="Calibri"/>
                <w:color w:val="000000"/>
                <w:szCs w:val="19"/>
                <w:lang w:eastAsia="en-AU"/>
              </w:rPr>
              <w:t>Other current revenue</w:t>
            </w:r>
          </w:p>
        </w:tc>
        <w:tc>
          <w:tcPr>
            <w:tcW w:w="850" w:type="dxa"/>
            <w:tcBorders>
              <w:top w:val="nil"/>
              <w:left w:val="nil"/>
              <w:bottom w:val="single" w:sz="6" w:space="0" w:color="000000"/>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3 108</w:t>
            </w:r>
          </w:p>
        </w:tc>
        <w:tc>
          <w:tcPr>
            <w:tcW w:w="850" w:type="dxa"/>
            <w:tcBorders>
              <w:top w:val="nil"/>
              <w:left w:val="nil"/>
              <w:bottom w:val="single" w:sz="6" w:space="0" w:color="000000"/>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2 657</w:t>
            </w:r>
          </w:p>
        </w:tc>
        <w:tc>
          <w:tcPr>
            <w:tcW w:w="850" w:type="dxa"/>
            <w:tcBorders>
              <w:top w:val="nil"/>
              <w:left w:val="nil"/>
              <w:bottom w:val="single" w:sz="6" w:space="0" w:color="000000"/>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2 502</w:t>
            </w:r>
          </w:p>
        </w:tc>
        <w:tc>
          <w:tcPr>
            <w:tcW w:w="850" w:type="dxa"/>
            <w:tcBorders>
              <w:top w:val="nil"/>
              <w:left w:val="nil"/>
              <w:bottom w:val="single" w:sz="6" w:space="0" w:color="000000"/>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2 525</w:t>
            </w:r>
          </w:p>
        </w:tc>
        <w:tc>
          <w:tcPr>
            <w:tcW w:w="850" w:type="dxa"/>
            <w:tcBorders>
              <w:top w:val="nil"/>
              <w:left w:val="nil"/>
              <w:bottom w:val="single" w:sz="6" w:space="0" w:color="000000"/>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2 544</w:t>
            </w:r>
          </w:p>
        </w:tc>
        <w:tc>
          <w:tcPr>
            <w:tcW w:w="850" w:type="dxa"/>
            <w:tcBorders>
              <w:top w:val="nil"/>
              <w:left w:val="nil"/>
              <w:bottom w:val="single" w:sz="6" w:space="0" w:color="000000"/>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2 560</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B448A2" w:rsidRDefault="00552DFA" w:rsidP="00542C03">
            <w:pPr>
              <w:keepLines w:val="0"/>
              <w:autoSpaceDE w:val="0"/>
              <w:autoSpaceDN w:val="0"/>
              <w:adjustRightInd w:val="0"/>
              <w:spacing w:after="0"/>
              <w:rPr>
                <w:rFonts w:eastAsiaTheme="minorEastAsia" w:cs="Calibri"/>
                <w:b/>
                <w:bCs/>
                <w:color w:val="000000"/>
                <w:szCs w:val="19"/>
                <w:lang w:eastAsia="en-AU"/>
              </w:rPr>
            </w:pPr>
            <w:r w:rsidRPr="00B448A2">
              <w:rPr>
                <w:rFonts w:eastAsiaTheme="minorEastAsia" w:cs="Calibri"/>
                <w:b/>
                <w:bCs/>
                <w:color w:val="000000"/>
                <w:szCs w:val="19"/>
                <w:lang w:eastAsia="en-AU"/>
              </w:rPr>
              <w:t>Total revenue</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56 716</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60 711</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63 405</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66 524</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67 947</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70 169</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B448A2" w:rsidRDefault="00552DFA" w:rsidP="00542C03">
            <w:pPr>
              <w:keepLines w:val="0"/>
              <w:autoSpaceDE w:val="0"/>
              <w:autoSpaceDN w:val="0"/>
              <w:adjustRightInd w:val="0"/>
              <w:spacing w:after="0"/>
              <w:rPr>
                <w:rFonts w:eastAsiaTheme="minorEastAsia" w:cs="Calibri"/>
                <w:i/>
                <w:iCs/>
                <w:color w:val="000000"/>
                <w:szCs w:val="19"/>
                <w:vertAlign w:val="superscript"/>
                <w:lang w:eastAsia="en-AU"/>
              </w:rPr>
            </w:pPr>
            <w:r w:rsidRPr="00B448A2">
              <w:rPr>
                <w:rFonts w:eastAsiaTheme="minorEastAsia" w:cs="Calibri"/>
                <w:i/>
                <w:iCs/>
                <w:color w:val="000000"/>
                <w:szCs w:val="19"/>
                <w:lang w:eastAsia="en-AU"/>
              </w:rPr>
              <w:t>% change</w:t>
            </w:r>
            <w:r>
              <w:rPr>
                <w:rFonts w:eastAsiaTheme="minorEastAsia" w:cs="Calibri"/>
                <w:i/>
                <w:iCs/>
                <w:color w:val="000000"/>
                <w:szCs w:val="19"/>
                <w:lang w:eastAsia="en-AU"/>
              </w:rPr>
              <w:t xml:space="preserve"> </w:t>
            </w:r>
            <w:r w:rsidRPr="00B448A2">
              <w:rPr>
                <w:rFonts w:eastAsiaTheme="minorEastAsia" w:cs="Calibri"/>
                <w:i/>
                <w:iCs/>
                <w:color w:val="000000"/>
                <w:szCs w:val="19"/>
                <w:vertAlign w:val="superscript"/>
                <w:lang w:eastAsia="en-AU"/>
              </w:rPr>
              <w:t>(c)</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19"/>
                <w:lang w:eastAsia="en-AU"/>
              </w:rPr>
            </w:pPr>
            <w:r>
              <w:rPr>
                <w:rFonts w:eastAsiaTheme="minorEastAsia" w:cs="Calibri"/>
                <w:i/>
                <w:iCs/>
                <w:color w:val="000000"/>
                <w:szCs w:val="19"/>
                <w:lang w:eastAsia="en-AU"/>
              </w:rPr>
              <w:t>4.5</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19"/>
                <w:lang w:eastAsia="en-AU"/>
              </w:rPr>
            </w:pPr>
            <w:r>
              <w:rPr>
                <w:rFonts w:eastAsiaTheme="minorEastAsia" w:cs="Calibri"/>
                <w:i/>
                <w:iCs/>
                <w:color w:val="000000"/>
                <w:szCs w:val="19"/>
                <w:lang w:eastAsia="en-AU"/>
              </w:rPr>
              <w:t>8.1</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19"/>
                <w:lang w:eastAsia="en-AU"/>
              </w:rPr>
            </w:pPr>
            <w:r>
              <w:rPr>
                <w:rFonts w:eastAsiaTheme="minorEastAsia" w:cs="Calibri"/>
                <w:i/>
                <w:iCs/>
                <w:color w:val="000000"/>
                <w:szCs w:val="19"/>
                <w:lang w:eastAsia="en-AU"/>
              </w:rPr>
              <w:t>4.4</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19"/>
                <w:lang w:eastAsia="en-AU"/>
              </w:rPr>
            </w:pPr>
            <w:r>
              <w:rPr>
                <w:rFonts w:eastAsiaTheme="minorEastAsia" w:cs="Calibri"/>
                <w:i/>
                <w:iCs/>
                <w:color w:val="000000"/>
                <w:szCs w:val="19"/>
                <w:lang w:eastAsia="en-AU"/>
              </w:rPr>
              <w:t>4.9</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19"/>
                <w:lang w:eastAsia="en-AU"/>
              </w:rPr>
            </w:pPr>
            <w:r>
              <w:rPr>
                <w:rFonts w:eastAsiaTheme="minorEastAsia" w:cs="Calibri"/>
                <w:i/>
                <w:iCs/>
                <w:color w:val="000000"/>
                <w:szCs w:val="19"/>
                <w:lang w:eastAsia="en-AU"/>
              </w:rPr>
              <w:t>2.1</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19"/>
                <w:lang w:eastAsia="en-AU"/>
              </w:rPr>
            </w:pPr>
            <w:r>
              <w:rPr>
                <w:rFonts w:eastAsiaTheme="minorEastAsia" w:cs="Calibri"/>
                <w:i/>
                <w:iCs/>
                <w:color w:val="000000"/>
                <w:szCs w:val="19"/>
                <w:lang w:eastAsia="en-AU"/>
              </w:rPr>
              <w:t>3.3</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B448A2" w:rsidRDefault="00552DFA" w:rsidP="00542C03">
            <w:pPr>
              <w:keepLines w:val="0"/>
              <w:autoSpaceDE w:val="0"/>
              <w:autoSpaceDN w:val="0"/>
              <w:adjustRightInd w:val="0"/>
              <w:spacing w:after="0"/>
              <w:rPr>
                <w:rFonts w:eastAsiaTheme="minorEastAsia" w:cs="Calibri"/>
                <w:b/>
                <w:bCs/>
                <w:color w:val="000000"/>
                <w:szCs w:val="19"/>
                <w:lang w:eastAsia="en-AU"/>
              </w:rPr>
            </w:pPr>
            <w:r w:rsidRPr="00B448A2">
              <w:rPr>
                <w:rFonts w:eastAsiaTheme="minorEastAsia" w:cs="Calibri"/>
                <w:b/>
                <w:bCs/>
                <w:color w:val="000000"/>
                <w:szCs w:val="19"/>
                <w:lang w:eastAsia="en-AU"/>
              </w:rPr>
              <w:t>Expenses</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B448A2" w:rsidRDefault="00552DFA" w:rsidP="00542C03">
            <w:pPr>
              <w:keepLines w:val="0"/>
              <w:autoSpaceDE w:val="0"/>
              <w:autoSpaceDN w:val="0"/>
              <w:adjustRightInd w:val="0"/>
              <w:spacing w:after="0"/>
              <w:rPr>
                <w:rFonts w:eastAsiaTheme="minorEastAsia" w:cs="Calibri"/>
                <w:color w:val="000000"/>
                <w:szCs w:val="19"/>
                <w:lang w:eastAsia="en-AU"/>
              </w:rPr>
            </w:pPr>
            <w:r w:rsidRPr="00B448A2">
              <w:rPr>
                <w:rFonts w:eastAsiaTheme="minorEastAsia" w:cs="Calibri"/>
                <w:color w:val="000000"/>
                <w:szCs w:val="19"/>
                <w:lang w:eastAsia="en-AU"/>
              </w:rPr>
              <w:t>Employee expenses</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20 002</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22 060</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23 011</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24 039</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24 722</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25 346</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B448A2" w:rsidRDefault="00552DFA" w:rsidP="00542C03">
            <w:pPr>
              <w:keepLines w:val="0"/>
              <w:autoSpaceDE w:val="0"/>
              <w:autoSpaceDN w:val="0"/>
              <w:adjustRightInd w:val="0"/>
              <w:spacing w:after="0"/>
              <w:rPr>
                <w:rFonts w:eastAsiaTheme="minorEastAsia" w:cs="Calibri"/>
                <w:color w:val="000000"/>
                <w:szCs w:val="19"/>
                <w:vertAlign w:val="superscript"/>
                <w:lang w:eastAsia="en-AU"/>
              </w:rPr>
            </w:pPr>
            <w:r w:rsidRPr="00B448A2">
              <w:rPr>
                <w:rFonts w:eastAsiaTheme="minorEastAsia" w:cs="Calibri"/>
                <w:color w:val="000000"/>
                <w:szCs w:val="19"/>
                <w:lang w:eastAsia="en-AU"/>
              </w:rPr>
              <w:t xml:space="preserve">Superannuation </w:t>
            </w:r>
            <w:r w:rsidRPr="00B448A2">
              <w:rPr>
                <w:rFonts w:eastAsiaTheme="minorEastAsia" w:cs="Calibri"/>
                <w:color w:val="000000"/>
                <w:szCs w:val="19"/>
                <w:vertAlign w:val="superscript"/>
                <w:lang w:eastAsia="en-AU"/>
              </w:rPr>
              <w:t>(d)</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3 001</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3 034</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3 108</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3 113</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3 138</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3 139</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B448A2" w:rsidRDefault="00552DFA" w:rsidP="00542C03">
            <w:pPr>
              <w:keepLines w:val="0"/>
              <w:autoSpaceDE w:val="0"/>
              <w:autoSpaceDN w:val="0"/>
              <w:adjustRightInd w:val="0"/>
              <w:spacing w:after="0"/>
              <w:rPr>
                <w:rFonts w:eastAsiaTheme="minorEastAsia" w:cs="Calibri"/>
                <w:color w:val="000000"/>
                <w:szCs w:val="19"/>
                <w:lang w:eastAsia="en-AU"/>
              </w:rPr>
            </w:pPr>
            <w:r w:rsidRPr="00B448A2">
              <w:rPr>
                <w:rFonts w:eastAsiaTheme="minorEastAsia" w:cs="Calibri"/>
                <w:color w:val="000000"/>
                <w:szCs w:val="19"/>
                <w:lang w:eastAsia="en-AU"/>
              </w:rPr>
              <w:t>Depreciation</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2 504</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2 671</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2 788</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3 033</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3 193</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3 394</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B448A2" w:rsidRDefault="00552DFA" w:rsidP="00542C03">
            <w:pPr>
              <w:keepLines w:val="0"/>
              <w:autoSpaceDE w:val="0"/>
              <w:autoSpaceDN w:val="0"/>
              <w:adjustRightInd w:val="0"/>
              <w:spacing w:after="0"/>
              <w:rPr>
                <w:rFonts w:eastAsiaTheme="minorEastAsia" w:cs="Calibri"/>
                <w:color w:val="000000"/>
                <w:szCs w:val="19"/>
                <w:lang w:eastAsia="en-AU"/>
              </w:rPr>
            </w:pPr>
            <w:r w:rsidRPr="00B448A2">
              <w:rPr>
                <w:rFonts w:eastAsiaTheme="minorEastAsia" w:cs="Calibri"/>
                <w:color w:val="000000"/>
                <w:szCs w:val="19"/>
                <w:lang w:eastAsia="en-AU"/>
              </w:rPr>
              <w:t>Interest expense</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2 076</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2 012</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2 181</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2 197</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2 201</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2 258</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B448A2" w:rsidRDefault="00552DFA" w:rsidP="00542C03">
            <w:pPr>
              <w:keepLines w:val="0"/>
              <w:autoSpaceDE w:val="0"/>
              <w:autoSpaceDN w:val="0"/>
              <w:adjustRightInd w:val="0"/>
              <w:spacing w:after="0"/>
              <w:rPr>
                <w:rFonts w:eastAsiaTheme="minorEastAsia" w:cs="Calibri"/>
                <w:color w:val="000000"/>
                <w:szCs w:val="19"/>
                <w:lang w:eastAsia="en-AU"/>
              </w:rPr>
            </w:pPr>
            <w:r w:rsidRPr="00B448A2">
              <w:rPr>
                <w:rFonts w:eastAsiaTheme="minorEastAsia" w:cs="Calibri"/>
                <w:color w:val="000000"/>
                <w:szCs w:val="19"/>
                <w:lang w:eastAsia="en-AU"/>
              </w:rPr>
              <w:t>Other operating expenses</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17 905</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19 210</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19 830</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19 291</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18 981</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20 036</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000000"/>
              <w:right w:val="nil"/>
            </w:tcBorders>
          </w:tcPr>
          <w:p w:rsidR="00552DFA" w:rsidRPr="00B448A2" w:rsidRDefault="00552DFA" w:rsidP="00542C03">
            <w:pPr>
              <w:keepLines w:val="0"/>
              <w:autoSpaceDE w:val="0"/>
              <w:autoSpaceDN w:val="0"/>
              <w:adjustRightInd w:val="0"/>
              <w:spacing w:after="0"/>
              <w:rPr>
                <w:rFonts w:eastAsiaTheme="minorEastAsia" w:cs="Calibri"/>
                <w:color w:val="000000"/>
                <w:szCs w:val="19"/>
                <w:lang w:eastAsia="en-AU"/>
              </w:rPr>
            </w:pPr>
            <w:r w:rsidRPr="00B448A2">
              <w:rPr>
                <w:rFonts w:eastAsiaTheme="minorEastAsia" w:cs="Calibri"/>
                <w:color w:val="000000"/>
                <w:szCs w:val="19"/>
                <w:lang w:eastAsia="en-AU"/>
              </w:rPr>
              <w:t>Grants and other transfers</w:t>
            </w:r>
          </w:p>
        </w:tc>
        <w:tc>
          <w:tcPr>
            <w:tcW w:w="850" w:type="dxa"/>
            <w:tcBorders>
              <w:top w:val="nil"/>
              <w:left w:val="nil"/>
              <w:bottom w:val="single" w:sz="6" w:space="0" w:color="000000"/>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8 564</w:t>
            </w:r>
          </w:p>
        </w:tc>
        <w:tc>
          <w:tcPr>
            <w:tcW w:w="850" w:type="dxa"/>
            <w:tcBorders>
              <w:top w:val="nil"/>
              <w:left w:val="nil"/>
              <w:bottom w:val="single" w:sz="6" w:space="0" w:color="000000"/>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10 378</w:t>
            </w:r>
          </w:p>
        </w:tc>
        <w:tc>
          <w:tcPr>
            <w:tcW w:w="850" w:type="dxa"/>
            <w:tcBorders>
              <w:top w:val="nil"/>
              <w:left w:val="nil"/>
              <w:bottom w:val="single" w:sz="6" w:space="0" w:color="000000"/>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11 333</w:t>
            </w:r>
          </w:p>
        </w:tc>
        <w:tc>
          <w:tcPr>
            <w:tcW w:w="850" w:type="dxa"/>
            <w:tcBorders>
              <w:top w:val="nil"/>
              <w:left w:val="nil"/>
              <w:bottom w:val="single" w:sz="6" w:space="0" w:color="000000"/>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12 876</w:t>
            </w:r>
          </w:p>
        </w:tc>
        <w:tc>
          <w:tcPr>
            <w:tcW w:w="850" w:type="dxa"/>
            <w:tcBorders>
              <w:top w:val="nil"/>
              <w:left w:val="nil"/>
              <w:bottom w:val="single" w:sz="6" w:space="0" w:color="000000"/>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13 308</w:t>
            </w:r>
          </w:p>
        </w:tc>
        <w:tc>
          <w:tcPr>
            <w:tcW w:w="850" w:type="dxa"/>
            <w:tcBorders>
              <w:top w:val="nil"/>
              <w:left w:val="nil"/>
              <w:bottom w:val="single" w:sz="6" w:space="0" w:color="000000"/>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13 267</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B448A2" w:rsidRDefault="00552DFA" w:rsidP="00542C03">
            <w:pPr>
              <w:keepLines w:val="0"/>
              <w:autoSpaceDE w:val="0"/>
              <w:autoSpaceDN w:val="0"/>
              <w:adjustRightInd w:val="0"/>
              <w:spacing w:after="0"/>
              <w:rPr>
                <w:rFonts w:eastAsiaTheme="minorEastAsia" w:cs="Calibri"/>
                <w:b/>
                <w:bCs/>
                <w:color w:val="000000"/>
                <w:szCs w:val="19"/>
                <w:lang w:eastAsia="en-AU"/>
              </w:rPr>
            </w:pPr>
            <w:r w:rsidRPr="00B448A2">
              <w:rPr>
                <w:rFonts w:eastAsiaTheme="minorEastAsia" w:cs="Calibri"/>
                <w:b/>
                <w:bCs/>
                <w:color w:val="000000"/>
                <w:szCs w:val="19"/>
                <w:lang w:eastAsia="en-AU"/>
              </w:rPr>
              <w:t>Total expenses</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54 052</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59 367</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62 252</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64 549</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65 542</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67 441</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B448A2" w:rsidRDefault="00552DFA" w:rsidP="00542C03">
            <w:pPr>
              <w:keepLines w:val="0"/>
              <w:autoSpaceDE w:val="0"/>
              <w:autoSpaceDN w:val="0"/>
              <w:adjustRightInd w:val="0"/>
              <w:spacing w:after="0"/>
              <w:rPr>
                <w:rFonts w:eastAsiaTheme="minorEastAsia" w:cs="Calibri"/>
                <w:i/>
                <w:iCs/>
                <w:color w:val="000000"/>
                <w:szCs w:val="19"/>
                <w:lang w:eastAsia="en-AU"/>
              </w:rPr>
            </w:pPr>
            <w:r w:rsidRPr="00B448A2">
              <w:rPr>
                <w:rFonts w:eastAsiaTheme="minorEastAsia" w:cs="Calibri"/>
                <w:i/>
                <w:iCs/>
                <w:color w:val="000000"/>
                <w:szCs w:val="19"/>
                <w:lang w:eastAsia="en-AU"/>
              </w:rPr>
              <w:t>% change</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19"/>
                <w:lang w:eastAsia="en-AU"/>
              </w:rPr>
            </w:pPr>
            <w:r>
              <w:rPr>
                <w:rFonts w:eastAsiaTheme="minorEastAsia" w:cs="Calibri"/>
                <w:i/>
                <w:iCs/>
                <w:color w:val="000000"/>
                <w:szCs w:val="19"/>
                <w:lang w:eastAsia="en-AU"/>
              </w:rPr>
              <w:t>2.8</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19"/>
                <w:lang w:eastAsia="en-AU"/>
              </w:rPr>
            </w:pPr>
            <w:r>
              <w:rPr>
                <w:rFonts w:eastAsiaTheme="minorEastAsia" w:cs="Calibri"/>
                <w:i/>
                <w:iCs/>
                <w:color w:val="000000"/>
                <w:szCs w:val="19"/>
                <w:lang w:eastAsia="en-AU"/>
              </w:rPr>
              <w:t>9.8</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19"/>
                <w:lang w:eastAsia="en-AU"/>
              </w:rPr>
            </w:pPr>
            <w:r>
              <w:rPr>
                <w:rFonts w:eastAsiaTheme="minorEastAsia" w:cs="Calibri"/>
                <w:i/>
                <w:iCs/>
                <w:color w:val="000000"/>
                <w:szCs w:val="19"/>
                <w:lang w:eastAsia="en-AU"/>
              </w:rPr>
              <w:t>4.9</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19"/>
                <w:lang w:eastAsia="en-AU"/>
              </w:rPr>
            </w:pPr>
            <w:r>
              <w:rPr>
                <w:rFonts w:eastAsiaTheme="minorEastAsia" w:cs="Calibri"/>
                <w:i/>
                <w:iCs/>
                <w:color w:val="000000"/>
                <w:szCs w:val="19"/>
                <w:lang w:eastAsia="en-AU"/>
              </w:rPr>
              <w:t>3.7</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19"/>
                <w:lang w:eastAsia="en-AU"/>
              </w:rPr>
            </w:pPr>
            <w:r>
              <w:rPr>
                <w:rFonts w:eastAsiaTheme="minorEastAsia" w:cs="Calibri"/>
                <w:i/>
                <w:iCs/>
                <w:color w:val="000000"/>
                <w:szCs w:val="19"/>
                <w:lang w:eastAsia="en-AU"/>
              </w:rPr>
              <w:t>1.5</w:t>
            </w:r>
          </w:p>
        </w:tc>
        <w:tc>
          <w:tcPr>
            <w:tcW w:w="850" w:type="dxa"/>
            <w:tcBorders>
              <w:top w:val="nil"/>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19"/>
                <w:lang w:eastAsia="en-AU"/>
              </w:rPr>
            </w:pPr>
            <w:r>
              <w:rPr>
                <w:rFonts w:eastAsiaTheme="minorEastAsia" w:cs="Calibri"/>
                <w:i/>
                <w:iCs/>
                <w:color w:val="000000"/>
                <w:szCs w:val="19"/>
                <w:lang w:eastAsia="en-AU"/>
              </w:rPr>
              <w:t>2.9</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000000"/>
              <w:left w:val="nil"/>
              <w:bottom w:val="nil"/>
              <w:right w:val="nil"/>
            </w:tcBorders>
          </w:tcPr>
          <w:p w:rsidR="00552DFA" w:rsidRPr="00B448A2" w:rsidRDefault="00552DFA" w:rsidP="00542C03">
            <w:pPr>
              <w:keepLines w:val="0"/>
              <w:autoSpaceDE w:val="0"/>
              <w:autoSpaceDN w:val="0"/>
              <w:adjustRightInd w:val="0"/>
              <w:spacing w:after="0"/>
              <w:rPr>
                <w:rFonts w:eastAsiaTheme="minorEastAsia" w:cs="Calibri"/>
                <w:b/>
                <w:bCs/>
                <w:color w:val="000000"/>
                <w:szCs w:val="19"/>
                <w:lang w:eastAsia="en-AU"/>
              </w:rPr>
            </w:pPr>
            <w:r w:rsidRPr="00B448A2">
              <w:rPr>
                <w:rFonts w:eastAsiaTheme="minorEastAsia" w:cs="Calibri"/>
                <w:b/>
                <w:bCs/>
                <w:color w:val="000000"/>
                <w:szCs w:val="19"/>
                <w:lang w:eastAsia="en-AU"/>
              </w:rPr>
              <w:t>Net result from transactions</w:t>
            </w:r>
          </w:p>
        </w:tc>
        <w:tc>
          <w:tcPr>
            <w:tcW w:w="850" w:type="dxa"/>
            <w:tcBorders>
              <w:top w:val="single" w:sz="6" w:space="0" w:color="000000"/>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2 664</w:t>
            </w:r>
          </w:p>
        </w:tc>
        <w:tc>
          <w:tcPr>
            <w:tcW w:w="850" w:type="dxa"/>
            <w:tcBorders>
              <w:top w:val="single" w:sz="6" w:space="0" w:color="000000"/>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1 344</w:t>
            </w:r>
          </w:p>
        </w:tc>
        <w:tc>
          <w:tcPr>
            <w:tcW w:w="850" w:type="dxa"/>
            <w:tcBorders>
              <w:top w:val="single" w:sz="6" w:space="0" w:color="000000"/>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1 153</w:t>
            </w:r>
          </w:p>
        </w:tc>
        <w:tc>
          <w:tcPr>
            <w:tcW w:w="850" w:type="dxa"/>
            <w:tcBorders>
              <w:top w:val="single" w:sz="6" w:space="0" w:color="000000"/>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1 975</w:t>
            </w:r>
          </w:p>
        </w:tc>
        <w:tc>
          <w:tcPr>
            <w:tcW w:w="850" w:type="dxa"/>
            <w:tcBorders>
              <w:top w:val="single" w:sz="6" w:space="0" w:color="000000"/>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2 405</w:t>
            </w:r>
          </w:p>
        </w:tc>
        <w:tc>
          <w:tcPr>
            <w:tcW w:w="850" w:type="dxa"/>
            <w:tcBorders>
              <w:top w:val="single" w:sz="6" w:space="0" w:color="000000"/>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2 727</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000000"/>
              <w:left w:val="nil"/>
              <w:bottom w:val="nil"/>
              <w:right w:val="nil"/>
            </w:tcBorders>
          </w:tcPr>
          <w:p w:rsidR="00552DFA" w:rsidRPr="00B448A2" w:rsidRDefault="00552DFA" w:rsidP="00542C03">
            <w:pPr>
              <w:keepLines w:val="0"/>
              <w:autoSpaceDE w:val="0"/>
              <w:autoSpaceDN w:val="0"/>
              <w:adjustRightInd w:val="0"/>
              <w:spacing w:after="0"/>
              <w:rPr>
                <w:rFonts w:eastAsiaTheme="minorEastAsia" w:cs="Calibri"/>
                <w:b/>
                <w:bCs/>
                <w:color w:val="000000"/>
                <w:szCs w:val="19"/>
                <w:vertAlign w:val="superscript"/>
                <w:lang w:eastAsia="en-AU"/>
              </w:rPr>
            </w:pPr>
            <w:r w:rsidRPr="00B448A2">
              <w:rPr>
                <w:rFonts w:eastAsiaTheme="minorEastAsia" w:cs="Calibri"/>
                <w:b/>
                <w:bCs/>
                <w:color w:val="000000"/>
                <w:szCs w:val="19"/>
                <w:lang w:eastAsia="en-AU"/>
              </w:rPr>
              <w:t xml:space="preserve">Total other economic flows included in net result </w:t>
            </w:r>
            <w:r w:rsidRPr="00B448A2">
              <w:rPr>
                <w:rFonts w:eastAsiaTheme="minorEastAsia" w:cs="Calibri"/>
                <w:b/>
                <w:bCs/>
                <w:color w:val="000000"/>
                <w:szCs w:val="19"/>
                <w:vertAlign w:val="superscript"/>
                <w:lang w:eastAsia="en-AU"/>
              </w:rPr>
              <w:t>(e)</w:t>
            </w:r>
          </w:p>
        </w:tc>
        <w:tc>
          <w:tcPr>
            <w:tcW w:w="850" w:type="dxa"/>
            <w:tcBorders>
              <w:top w:val="single" w:sz="6" w:space="0" w:color="000000"/>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(847)</w:t>
            </w:r>
          </w:p>
        </w:tc>
        <w:tc>
          <w:tcPr>
            <w:tcW w:w="850" w:type="dxa"/>
            <w:tcBorders>
              <w:top w:val="single" w:sz="6" w:space="0" w:color="000000"/>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(295)</w:t>
            </w:r>
          </w:p>
        </w:tc>
        <w:tc>
          <w:tcPr>
            <w:tcW w:w="850" w:type="dxa"/>
            <w:tcBorders>
              <w:top w:val="single" w:sz="6" w:space="0" w:color="000000"/>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(266)</w:t>
            </w:r>
          </w:p>
        </w:tc>
        <w:tc>
          <w:tcPr>
            <w:tcW w:w="850" w:type="dxa"/>
            <w:tcBorders>
              <w:top w:val="single" w:sz="6" w:space="0" w:color="000000"/>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(143)</w:t>
            </w:r>
          </w:p>
        </w:tc>
        <w:tc>
          <w:tcPr>
            <w:tcW w:w="850" w:type="dxa"/>
            <w:tcBorders>
              <w:top w:val="single" w:sz="6" w:space="0" w:color="000000"/>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(295)</w:t>
            </w:r>
          </w:p>
        </w:tc>
        <w:tc>
          <w:tcPr>
            <w:tcW w:w="850" w:type="dxa"/>
            <w:tcBorders>
              <w:top w:val="single" w:sz="6" w:space="0" w:color="000000"/>
              <w:left w:val="nil"/>
              <w:bottom w:val="nil"/>
              <w:right w:val="nil"/>
            </w:tcBorders>
          </w:tcPr>
          <w:p w:rsidR="00552DFA" w:rsidRPr="00B448A2" w:rsidRDefault="00552DFA" w:rsidP="00542C0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(304)</w:t>
            </w:r>
          </w:p>
        </w:tc>
      </w:tr>
      <w:tr w:rsidR="00552DFA" w:rsidRPr="00B448A2" w:rsidTr="00423C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000000"/>
              <w:bottom w:val="single" w:sz="12" w:space="0" w:color="000000"/>
            </w:tcBorders>
          </w:tcPr>
          <w:p w:rsidR="00552DFA" w:rsidRPr="00B448A2" w:rsidRDefault="00552DFA" w:rsidP="00542C03">
            <w:pPr>
              <w:keepLines w:val="0"/>
              <w:autoSpaceDE w:val="0"/>
              <w:autoSpaceDN w:val="0"/>
              <w:adjustRightInd w:val="0"/>
              <w:spacing w:after="0"/>
              <w:rPr>
                <w:rFonts w:eastAsiaTheme="minorEastAsia" w:cs="Calibri"/>
                <w:bCs/>
                <w:color w:val="000000"/>
                <w:szCs w:val="19"/>
                <w:lang w:eastAsia="en-AU"/>
              </w:rPr>
            </w:pPr>
            <w:r w:rsidRPr="00B448A2">
              <w:rPr>
                <w:rFonts w:eastAsiaTheme="minorEastAsia" w:cs="Calibri"/>
                <w:bCs/>
                <w:color w:val="000000"/>
                <w:szCs w:val="19"/>
                <w:lang w:eastAsia="en-AU"/>
              </w:rPr>
              <w:t>Net result</w:t>
            </w:r>
          </w:p>
        </w:tc>
        <w:tc>
          <w:tcPr>
            <w:tcW w:w="850" w:type="dxa"/>
            <w:tcBorders>
              <w:top w:val="single" w:sz="6" w:space="0" w:color="000000"/>
              <w:bottom w:val="single" w:sz="12" w:space="0" w:color="000000"/>
            </w:tcBorders>
          </w:tcPr>
          <w:p w:rsidR="00552DFA" w:rsidRPr="00B448A2" w:rsidRDefault="00552DFA" w:rsidP="00542C0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B448A2">
              <w:rPr>
                <w:rFonts w:eastAsiaTheme="minorEastAsia" w:cs="Calibri"/>
                <w:bCs/>
                <w:color w:val="000000"/>
                <w:szCs w:val="19"/>
                <w:lang w:eastAsia="en-AU"/>
              </w:rPr>
              <w:t>1 817</w:t>
            </w:r>
          </w:p>
        </w:tc>
        <w:tc>
          <w:tcPr>
            <w:tcW w:w="850" w:type="dxa"/>
            <w:tcBorders>
              <w:top w:val="single" w:sz="6" w:space="0" w:color="000000"/>
              <w:bottom w:val="single" w:sz="12" w:space="0" w:color="000000"/>
            </w:tcBorders>
          </w:tcPr>
          <w:p w:rsidR="00552DFA" w:rsidRPr="00B448A2" w:rsidRDefault="00552DFA" w:rsidP="00542C0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B448A2">
              <w:rPr>
                <w:rFonts w:eastAsiaTheme="minorEastAsia" w:cs="Calibri"/>
                <w:bCs/>
                <w:color w:val="000000"/>
                <w:szCs w:val="19"/>
                <w:lang w:eastAsia="en-AU"/>
              </w:rPr>
              <w:t>1 049</w:t>
            </w:r>
          </w:p>
        </w:tc>
        <w:tc>
          <w:tcPr>
            <w:tcW w:w="850" w:type="dxa"/>
            <w:tcBorders>
              <w:top w:val="single" w:sz="6" w:space="0" w:color="000000"/>
              <w:bottom w:val="single" w:sz="12" w:space="0" w:color="000000"/>
            </w:tcBorders>
          </w:tcPr>
          <w:p w:rsidR="00552DFA" w:rsidRPr="00B448A2" w:rsidRDefault="00552DFA" w:rsidP="00542C0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887</w:t>
            </w:r>
          </w:p>
        </w:tc>
        <w:tc>
          <w:tcPr>
            <w:tcW w:w="850" w:type="dxa"/>
            <w:tcBorders>
              <w:top w:val="single" w:sz="6" w:space="0" w:color="000000"/>
              <w:bottom w:val="single" w:sz="12" w:space="0" w:color="000000"/>
            </w:tcBorders>
          </w:tcPr>
          <w:p w:rsidR="00552DFA" w:rsidRPr="00B448A2" w:rsidRDefault="00552DFA" w:rsidP="00542C0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B448A2">
              <w:rPr>
                <w:rFonts w:eastAsiaTheme="minorEastAsia" w:cs="Calibri"/>
                <w:bCs/>
                <w:color w:val="000000"/>
                <w:szCs w:val="19"/>
                <w:lang w:eastAsia="en-AU"/>
              </w:rPr>
              <w:t>1 832</w:t>
            </w:r>
          </w:p>
        </w:tc>
        <w:tc>
          <w:tcPr>
            <w:tcW w:w="850" w:type="dxa"/>
            <w:tcBorders>
              <w:top w:val="single" w:sz="6" w:space="0" w:color="000000"/>
              <w:bottom w:val="single" w:sz="12" w:space="0" w:color="000000"/>
            </w:tcBorders>
          </w:tcPr>
          <w:p w:rsidR="00552DFA" w:rsidRPr="00B448A2" w:rsidRDefault="00552DFA" w:rsidP="00542C0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B448A2">
              <w:rPr>
                <w:rFonts w:eastAsiaTheme="minorEastAsia" w:cs="Calibri"/>
                <w:bCs/>
                <w:color w:val="000000"/>
                <w:szCs w:val="19"/>
                <w:lang w:eastAsia="en-AU"/>
              </w:rPr>
              <w:t>2 111</w:t>
            </w:r>
          </w:p>
        </w:tc>
        <w:tc>
          <w:tcPr>
            <w:tcW w:w="850" w:type="dxa"/>
            <w:tcBorders>
              <w:top w:val="single" w:sz="6" w:space="0" w:color="000000"/>
              <w:bottom w:val="single" w:sz="12" w:space="0" w:color="000000"/>
            </w:tcBorders>
          </w:tcPr>
          <w:p w:rsidR="00552DFA" w:rsidRPr="00B448A2" w:rsidRDefault="00552DFA" w:rsidP="00542C0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B448A2">
              <w:rPr>
                <w:rFonts w:eastAsiaTheme="minorEastAsia" w:cs="Calibri"/>
                <w:bCs/>
                <w:color w:val="000000"/>
                <w:szCs w:val="19"/>
                <w:lang w:eastAsia="en-AU"/>
              </w:rPr>
              <w:t>2 424</w:t>
            </w:r>
          </w:p>
        </w:tc>
      </w:tr>
    </w:tbl>
    <w:p w:rsidR="00552DFA" w:rsidRPr="00821899" w:rsidRDefault="00552DFA" w:rsidP="00423C3D">
      <w:pPr>
        <w:pStyle w:val="Note"/>
      </w:pPr>
      <w:r w:rsidRPr="00821899">
        <w:t>Source: Department of Treasury and Finance</w:t>
      </w:r>
    </w:p>
    <w:p w:rsidR="00552DFA" w:rsidRPr="00821899" w:rsidRDefault="00552DFA" w:rsidP="00423C3D">
      <w:pPr>
        <w:pStyle w:val="Note"/>
      </w:pPr>
      <w:r w:rsidRPr="00821899">
        <w:t>Notes:</w:t>
      </w:r>
    </w:p>
    <w:p w:rsidR="00552DFA" w:rsidRPr="00821899" w:rsidRDefault="00552DFA" w:rsidP="00423C3D">
      <w:pPr>
        <w:pStyle w:val="Note"/>
      </w:pPr>
      <w:r w:rsidRPr="00821899">
        <w:t xml:space="preserve">(a) </w:t>
      </w:r>
      <w:r w:rsidRPr="00821899">
        <w:tab/>
        <w:t>Figures in this table are subject to rounding to the nearest</w:t>
      </w:r>
      <w:r>
        <w:t> million</w:t>
      </w:r>
      <w:r w:rsidRPr="00821899">
        <w:t xml:space="preserve"> and may not add up to totals.</w:t>
      </w:r>
    </w:p>
    <w:p w:rsidR="00552DFA" w:rsidRPr="00821899" w:rsidRDefault="00552DFA" w:rsidP="00423C3D">
      <w:pPr>
        <w:pStyle w:val="Note"/>
      </w:pPr>
      <w:r w:rsidRPr="00821899">
        <w:t xml:space="preserve">(b) </w:t>
      </w:r>
      <w:r w:rsidRPr="00821899">
        <w:tab/>
        <w:t>Comprises dividends, income tax and rate equivalent revenue and interest.</w:t>
      </w:r>
    </w:p>
    <w:p w:rsidR="00552DFA" w:rsidRDefault="00552DFA" w:rsidP="00423C3D">
      <w:pPr>
        <w:pStyle w:val="Note"/>
      </w:pPr>
      <w:r w:rsidRPr="00821899">
        <w:t xml:space="preserve">(c) </w:t>
      </w:r>
      <w:r w:rsidRPr="00821899">
        <w:tab/>
      </w:r>
      <w:r>
        <w:t>The 2015</w:t>
      </w:r>
      <w:r>
        <w:noBreakHyphen/>
        <w:t>16 and 2016</w:t>
      </w:r>
      <w:r>
        <w:noBreakHyphen/>
        <w:t>17 per cent change refers to 2015</w:t>
      </w:r>
      <w:r>
        <w:noBreakHyphen/>
        <w:t>16 figures, adjusted to remove the one</w:t>
      </w:r>
      <w:r>
        <w:noBreakHyphen/>
        <w:t>off receipt of revenue associated with the High Court of Australia’s decision in favour of the State relating to the Tatts Group Limited’s ‘Gambling Licences’ proceedings.</w:t>
      </w:r>
    </w:p>
    <w:p w:rsidR="00552DFA" w:rsidRPr="00821899" w:rsidRDefault="00552DFA" w:rsidP="00423C3D">
      <w:pPr>
        <w:pStyle w:val="Note"/>
      </w:pPr>
      <w:r>
        <w:t>(d)</w:t>
      </w:r>
      <w:r>
        <w:tab/>
      </w:r>
      <w:r w:rsidRPr="00821899">
        <w:t>Comprises superannuation interest expense and other superannuation expenses.</w:t>
      </w:r>
    </w:p>
    <w:p w:rsidR="00552DFA" w:rsidRDefault="00552DFA" w:rsidP="00542C03">
      <w:pPr>
        <w:pStyle w:val="Note"/>
        <w:rPr>
          <w:rFonts w:cstheme="majorBidi"/>
          <w:b/>
          <w:sz w:val="26"/>
          <w:szCs w:val="26"/>
        </w:rPr>
      </w:pPr>
      <w:r>
        <w:t>(e</w:t>
      </w:r>
      <w:r w:rsidRPr="00821899">
        <w:t xml:space="preserve">) </w:t>
      </w:r>
      <w:r w:rsidRPr="00821899">
        <w:tab/>
        <w:t>This typically includes gains and losses from the disposal of non</w:t>
      </w:r>
      <w:r>
        <w:noBreakHyphen/>
      </w:r>
      <w:r w:rsidRPr="00821899">
        <w:t>financial assets, adjustments for bad and doubtful debts and revaluations of financial assets and liabilities.</w:t>
      </w:r>
      <w:r>
        <w:br w:type="page"/>
      </w:r>
    </w:p>
    <w:p w:rsidR="00552DFA" w:rsidRPr="00821899" w:rsidRDefault="00552DFA" w:rsidP="00423C3D">
      <w:pPr>
        <w:pStyle w:val="Heading20"/>
        <w:rPr>
          <w:rFonts w:eastAsiaTheme="minorHAnsi"/>
        </w:rPr>
      </w:pPr>
      <w:r w:rsidRPr="00821899">
        <w:rPr>
          <w:rFonts w:eastAsiaTheme="minorHAnsi"/>
        </w:rPr>
        <w:lastRenderedPageBreak/>
        <w:t>Revenue outlook</w:t>
      </w:r>
    </w:p>
    <w:p w:rsidR="00552DFA" w:rsidRPr="00821899" w:rsidRDefault="00552DFA" w:rsidP="00423C3D">
      <w:r w:rsidRPr="00821899">
        <w:t>Victo</w:t>
      </w:r>
      <w:r>
        <w:t>ria is expected to collect $63.4 billion</w:t>
      </w:r>
      <w:r w:rsidRPr="00821899">
        <w:t xml:space="preserve"> in revenue in 20</w:t>
      </w:r>
      <w:r>
        <w:t>17</w:t>
      </w:r>
      <w:r>
        <w:noBreakHyphen/>
        <w:t>18. Revenue growth over the four years to 2020</w:t>
      </w:r>
      <w:r>
        <w:noBreakHyphen/>
        <w:t xml:space="preserve">21 is projected to average 3.7 per cent a year. This is a solid result but </w:t>
      </w:r>
      <w:r w:rsidRPr="00821899">
        <w:t>below average revenue growth of 5.9</w:t>
      </w:r>
      <w:r>
        <w:t> per cent</w:t>
      </w:r>
      <w:r w:rsidRPr="00821899">
        <w:t xml:space="preserve"> </w:t>
      </w:r>
      <w:r>
        <w:t>over the decade to 2016</w:t>
      </w:r>
      <w:r>
        <w:noBreakHyphen/>
        <w:t>17</w:t>
      </w:r>
      <w:r w:rsidRPr="00821899">
        <w:t>.</w:t>
      </w:r>
    </w:p>
    <w:p w:rsidR="00552DFA" w:rsidRPr="00821899" w:rsidRDefault="00552DFA" w:rsidP="00423C3D">
      <w:r w:rsidRPr="00821899">
        <w:t xml:space="preserve">As outlined in Chapter 2 </w:t>
      </w:r>
      <w:r w:rsidRPr="00821899">
        <w:rPr>
          <w:i/>
        </w:rPr>
        <w:t>Economic context</w:t>
      </w:r>
      <w:r w:rsidRPr="00821899">
        <w:t>, the outlook for the economy is positive with growth forecast to remain robust, despite</w:t>
      </w:r>
      <w:r>
        <w:t xml:space="preserve"> </w:t>
      </w:r>
      <w:r w:rsidRPr="00821899">
        <w:t>global economic and policy uncertainty</w:t>
      </w:r>
      <w:r>
        <w:t>.</w:t>
      </w:r>
    </w:p>
    <w:p w:rsidR="00552DFA" w:rsidRPr="00821899" w:rsidRDefault="00552DFA" w:rsidP="00423C3D">
      <w:r>
        <w:t>Over the forward estimates</w:t>
      </w:r>
      <w:r w:rsidRPr="00821899">
        <w:t>, real G</w:t>
      </w:r>
      <w:r>
        <w:t>SP is forecast to grow at trend. The positive effect of low interest rates and population growth will drive household consumption and business and dwelling investment.</w:t>
      </w:r>
    </w:p>
    <w:p w:rsidR="00552DFA" w:rsidRPr="00916045" w:rsidRDefault="00552DFA" w:rsidP="00423C3D">
      <w:pPr>
        <w:pStyle w:val="Heading30"/>
        <w:rPr>
          <w:rFonts w:eastAsiaTheme="minorHAnsi"/>
        </w:rPr>
      </w:pPr>
      <w:r w:rsidRPr="00916045">
        <w:rPr>
          <w:rFonts w:eastAsiaTheme="minorHAnsi"/>
        </w:rPr>
        <w:t>Taxation</w:t>
      </w:r>
    </w:p>
    <w:p w:rsidR="00552DFA" w:rsidRPr="00821899" w:rsidRDefault="00552DFA" w:rsidP="00423C3D">
      <w:r w:rsidRPr="00E27931">
        <w:t>State taxation</w:t>
      </w:r>
      <w:r>
        <w:t xml:space="preserve"> revenue is forecast to be $21.8 </w:t>
      </w:r>
      <w:r w:rsidRPr="00E27931">
        <w:t>b</w:t>
      </w:r>
      <w:r>
        <w:t>illion</w:t>
      </w:r>
      <w:r w:rsidRPr="00E27931">
        <w:t xml:space="preserve"> in 2017</w:t>
      </w:r>
      <w:r>
        <w:noBreakHyphen/>
      </w:r>
      <w:r w:rsidRPr="00E27931">
        <w:t>18, with growth over the four years to</w:t>
      </w:r>
      <w:r>
        <w:t xml:space="preserve"> 2020</w:t>
      </w:r>
      <w:r>
        <w:noBreakHyphen/>
        <w:t>21 expected to average 3.7 per cent</w:t>
      </w:r>
      <w:r w:rsidRPr="00E27931">
        <w:t xml:space="preserve"> a year. The pace of growth in the near term is expected to ease as revenue from Victoria’s land and property taxes moderates. However, this is expected to be offset by overall strength in payroll tax revenue, which is benefiting from a solid labour market and strong population growth.</w:t>
      </w:r>
      <w:r>
        <w:t xml:space="preserve"> </w:t>
      </w:r>
      <w:r w:rsidRPr="00821899">
        <w:t>Specifically:</w:t>
      </w:r>
    </w:p>
    <w:p w:rsidR="00552DFA" w:rsidRPr="00821899" w:rsidRDefault="00552DFA" w:rsidP="00423C3D">
      <w:pPr>
        <w:pStyle w:val="ListBullet"/>
        <w:numPr>
          <w:ilvl w:val="0"/>
          <w:numId w:val="19"/>
        </w:numPr>
      </w:pPr>
      <w:r w:rsidRPr="00821899">
        <w:t xml:space="preserve">land transfer duty revenue is expected to grow by </w:t>
      </w:r>
      <w:r>
        <w:t>2.4 per cent</w:t>
      </w:r>
      <w:r w:rsidRPr="00821899">
        <w:t xml:space="preserve"> in 2017</w:t>
      </w:r>
      <w:r>
        <w:noBreakHyphen/>
      </w:r>
      <w:r w:rsidRPr="00821899">
        <w:t>18 to $6.</w:t>
      </w:r>
      <w:r>
        <w:t>2 billion</w:t>
      </w:r>
      <w:r w:rsidRPr="00821899">
        <w:t>. This follows</w:t>
      </w:r>
      <w:r>
        <w:t xml:space="preserve"> ongoing</w:t>
      </w:r>
      <w:r w:rsidRPr="00821899">
        <w:t xml:space="preserve"> growth in revenue over the past few years, in line with the low interest rate environment and strong population growth</w:t>
      </w:r>
      <w:r>
        <w:t>. Reflecting the current market expectations for interest rates going forward, t</w:t>
      </w:r>
      <w:r w:rsidRPr="00821899">
        <w:t xml:space="preserve">he forecast profile is for a period of </w:t>
      </w:r>
      <w:r>
        <w:t xml:space="preserve">more </w:t>
      </w:r>
      <w:r w:rsidRPr="00821899">
        <w:t>moderate growth from 2017</w:t>
      </w:r>
      <w:r>
        <w:noBreakHyphen/>
      </w:r>
      <w:r w:rsidRPr="00821899">
        <w:t>18 before a return to trend growth by 2019</w:t>
      </w:r>
      <w:r>
        <w:noBreakHyphen/>
      </w:r>
      <w:r w:rsidRPr="00821899">
        <w:t>20;</w:t>
      </w:r>
    </w:p>
    <w:p w:rsidR="00552DFA" w:rsidRPr="00821899" w:rsidRDefault="00552DFA" w:rsidP="00423C3D">
      <w:pPr>
        <w:pStyle w:val="ListBullet"/>
        <w:numPr>
          <w:ilvl w:val="0"/>
          <w:numId w:val="19"/>
        </w:numPr>
      </w:pPr>
      <w:r w:rsidRPr="00821899">
        <w:t xml:space="preserve">land tax revenue is forecast to decrease by </w:t>
      </w:r>
      <w:r>
        <w:t>5.3 per cent</w:t>
      </w:r>
      <w:r w:rsidRPr="00821899">
        <w:t xml:space="preserve"> to </w:t>
      </w:r>
      <w:r>
        <w:t>around $2.4 billion</w:t>
      </w:r>
      <w:r w:rsidRPr="00821899">
        <w:t xml:space="preserve"> in 2017</w:t>
      </w:r>
      <w:r>
        <w:noBreakHyphen/>
      </w:r>
      <w:r w:rsidRPr="00821899">
        <w:t>18</w:t>
      </w:r>
      <w:r>
        <w:t>, following</w:t>
      </w:r>
      <w:r w:rsidRPr="00821899">
        <w:t xml:space="preserve"> growth in the previous year </w:t>
      </w:r>
      <w:r>
        <w:t xml:space="preserve">as a result of </w:t>
      </w:r>
      <w:r w:rsidRPr="00821899">
        <w:t xml:space="preserve">the biennial revaluation process. The buoyant property market is expected to </w:t>
      </w:r>
      <w:r>
        <w:t>support</w:t>
      </w:r>
      <w:r w:rsidRPr="00821899">
        <w:t xml:space="preserve"> land tax revenue</w:t>
      </w:r>
      <w:r>
        <w:t xml:space="preserve"> over the forward estimates;</w:t>
      </w:r>
    </w:p>
    <w:p w:rsidR="00552DFA" w:rsidRPr="00821899" w:rsidRDefault="00552DFA" w:rsidP="00423C3D">
      <w:pPr>
        <w:pStyle w:val="ListBullet"/>
        <w:numPr>
          <w:ilvl w:val="0"/>
          <w:numId w:val="19"/>
        </w:numPr>
      </w:pPr>
      <w:r w:rsidRPr="00821899">
        <w:t xml:space="preserve">payroll tax revenue is expected to grow by </w:t>
      </w:r>
      <w:r>
        <w:t>3.0 per cent</w:t>
      </w:r>
      <w:r w:rsidRPr="00821899">
        <w:t xml:space="preserve"> to $5.9</w:t>
      </w:r>
      <w:r>
        <w:t> billion</w:t>
      </w:r>
      <w:r w:rsidRPr="00821899">
        <w:t xml:space="preserve"> in 2017</w:t>
      </w:r>
      <w:r>
        <w:noBreakHyphen/>
      </w:r>
      <w:r w:rsidRPr="00821899">
        <w:t xml:space="preserve">18, and average </w:t>
      </w:r>
      <w:r>
        <w:t>5.0 per cent</w:t>
      </w:r>
      <w:r w:rsidRPr="00821899">
        <w:t xml:space="preserve"> </w:t>
      </w:r>
      <w:r>
        <w:t>over the following three years reflecting strong</w:t>
      </w:r>
      <w:r w:rsidRPr="00821899">
        <w:t xml:space="preserve"> </w:t>
      </w:r>
      <w:r>
        <w:t>g</w:t>
      </w:r>
      <w:r w:rsidRPr="00821899">
        <w:t>rowth in both full</w:t>
      </w:r>
      <w:r>
        <w:noBreakHyphen/>
      </w:r>
      <w:r w:rsidRPr="00821899">
        <w:t>time and part</w:t>
      </w:r>
      <w:r>
        <w:noBreakHyphen/>
        <w:t>time employment;</w:t>
      </w:r>
    </w:p>
    <w:p w:rsidR="00552DFA" w:rsidRPr="00821899" w:rsidRDefault="00552DFA" w:rsidP="00423C3D">
      <w:pPr>
        <w:pStyle w:val="ListBullet"/>
        <w:numPr>
          <w:ilvl w:val="0"/>
          <w:numId w:val="19"/>
        </w:numPr>
      </w:pPr>
      <w:r w:rsidRPr="00821899">
        <w:t>gambling tax revenue is forecast to grow by 2.6</w:t>
      </w:r>
      <w:r>
        <w:t> per cent</w:t>
      </w:r>
      <w:r w:rsidRPr="00821899">
        <w:t xml:space="preserve"> to $1.9</w:t>
      </w:r>
      <w:r>
        <w:t> billion</w:t>
      </w:r>
      <w:r w:rsidRPr="00821899">
        <w:t xml:space="preserve"> in 2017</w:t>
      </w:r>
      <w:r>
        <w:noBreakHyphen/>
      </w:r>
      <w:r w:rsidRPr="00821899">
        <w:t xml:space="preserve">18 and by an average of </w:t>
      </w:r>
      <w:r>
        <w:t>1</w:t>
      </w:r>
      <w:r w:rsidRPr="00821899">
        <w:t>.8</w:t>
      </w:r>
      <w:r>
        <w:t> per cent</w:t>
      </w:r>
      <w:r w:rsidRPr="00821899">
        <w:t xml:space="preserve"> a year </w:t>
      </w:r>
      <w:r>
        <w:t>over the following three years</w:t>
      </w:r>
      <w:r w:rsidRPr="00821899">
        <w:t>. Gambling revenue has been downgraded over the forecast period to reflect lower than expected growth in lotteries revenue</w:t>
      </w:r>
      <w:r>
        <w:t>;</w:t>
      </w:r>
    </w:p>
    <w:p w:rsidR="00552DFA" w:rsidRPr="00821899" w:rsidRDefault="00552DFA" w:rsidP="00423C3D">
      <w:pPr>
        <w:pStyle w:val="ListBullet"/>
        <w:numPr>
          <w:ilvl w:val="0"/>
          <w:numId w:val="19"/>
        </w:numPr>
      </w:pPr>
      <w:r w:rsidRPr="00821899">
        <w:t>insurance tax revenue is anticipated to grow by 6.</w:t>
      </w:r>
      <w:r>
        <w:t>0 per cent</w:t>
      </w:r>
      <w:r w:rsidRPr="00821899">
        <w:t xml:space="preserve"> to $1.3</w:t>
      </w:r>
      <w:r>
        <w:t> billion</w:t>
      </w:r>
      <w:r w:rsidRPr="00821899">
        <w:t xml:space="preserve"> in 2017</w:t>
      </w:r>
      <w:r>
        <w:noBreakHyphen/>
      </w:r>
      <w:r w:rsidRPr="00821899">
        <w:t>18, slightly below its trend growth rate of 6.8</w:t>
      </w:r>
      <w:r>
        <w:t> per cent</w:t>
      </w:r>
      <w:r w:rsidRPr="00821899">
        <w:t xml:space="preserve">. Revenue is expected to return to </w:t>
      </w:r>
      <w:r>
        <w:t>trend over the forward estimates</w:t>
      </w:r>
      <w:r w:rsidRPr="00821899">
        <w:t xml:space="preserve">, </w:t>
      </w:r>
      <w:r>
        <w:t xml:space="preserve">consistent </w:t>
      </w:r>
      <w:r w:rsidRPr="00821899">
        <w:t>with growth in the economy and population; and</w:t>
      </w:r>
    </w:p>
    <w:p w:rsidR="00552DFA" w:rsidRPr="00821899" w:rsidRDefault="00552DFA" w:rsidP="00423C3D">
      <w:pPr>
        <w:pStyle w:val="ListBullet"/>
        <w:numPr>
          <w:ilvl w:val="0"/>
          <w:numId w:val="19"/>
        </w:numPr>
      </w:pPr>
      <w:r w:rsidRPr="00821899">
        <w:t xml:space="preserve">motor vehicle taxes are expected to grow by </w:t>
      </w:r>
      <w:r>
        <w:t>7</w:t>
      </w:r>
      <w:r w:rsidRPr="00821899">
        <w:t>.4</w:t>
      </w:r>
      <w:r>
        <w:t> per cent</w:t>
      </w:r>
      <w:r w:rsidRPr="00821899">
        <w:t xml:space="preserve"> to $2.</w:t>
      </w:r>
      <w:r>
        <w:t>5 billion</w:t>
      </w:r>
      <w:r w:rsidRPr="00821899">
        <w:t xml:space="preserve"> in 2017</w:t>
      </w:r>
      <w:r>
        <w:noBreakHyphen/>
      </w:r>
      <w:r w:rsidRPr="00821899">
        <w:t>18, and by an average of 3.5</w:t>
      </w:r>
      <w:r>
        <w:t> per cent</w:t>
      </w:r>
      <w:r w:rsidRPr="00821899">
        <w:t xml:space="preserve"> </w:t>
      </w:r>
      <w:r>
        <w:t>over the following three years</w:t>
      </w:r>
      <w:r w:rsidRPr="00821899">
        <w:t xml:space="preserve">. This reflects the offsetting impacts of higher vehicle registrations due to stronger population growth and lower stamp duty revenue flowing from weaker than expected </w:t>
      </w:r>
      <w:r>
        <w:t>consumer sentiment.</w:t>
      </w:r>
    </w:p>
    <w:p w:rsidR="00552DFA" w:rsidRPr="00646F7A" w:rsidRDefault="00552DFA" w:rsidP="00423C3D">
      <w:pPr>
        <w:pStyle w:val="Heading30"/>
        <w:rPr>
          <w:rFonts w:eastAsiaTheme="minorHAnsi"/>
        </w:rPr>
      </w:pPr>
      <w:r w:rsidRPr="00646F7A">
        <w:rPr>
          <w:rFonts w:eastAsiaTheme="minorHAnsi"/>
        </w:rPr>
        <w:lastRenderedPageBreak/>
        <w:t xml:space="preserve">Dividends, income tax equivalent and interest </w:t>
      </w:r>
    </w:p>
    <w:p w:rsidR="00552DFA" w:rsidRPr="00FC689A" w:rsidRDefault="00552DFA" w:rsidP="00423C3D">
      <w:r w:rsidRPr="00FC689A">
        <w:t>Dividend and income tax equivalent (ITE) revenue is projected to increase to $1.2</w:t>
      </w:r>
      <w:r>
        <w:t> </w:t>
      </w:r>
      <w:r w:rsidRPr="00FC689A">
        <w:t>billion in 2017</w:t>
      </w:r>
      <w:r>
        <w:noBreakHyphen/>
      </w:r>
      <w:r w:rsidRPr="00FC689A">
        <w:t>18. This growth is mainly due to an increase in dividends from the State Electricity Commission of Victoria and the Victorian Managed Insurance Authority. In 2018</w:t>
      </w:r>
      <w:r>
        <w:noBreakHyphen/>
      </w:r>
      <w:r w:rsidRPr="00FC689A">
        <w:t>19</w:t>
      </w:r>
      <w:r>
        <w:t>,</w:t>
      </w:r>
      <w:r w:rsidRPr="00FC689A">
        <w:t xml:space="preserve"> dividends and ITEs </w:t>
      </w:r>
      <w:r>
        <w:t xml:space="preserve">are expected to </w:t>
      </w:r>
      <w:r w:rsidRPr="00FC689A">
        <w:t>decline but stabilise thereafter.</w:t>
      </w:r>
    </w:p>
    <w:p w:rsidR="00552DFA" w:rsidRDefault="00552DFA" w:rsidP="00423C3D">
      <w:r w:rsidRPr="00FC689A">
        <w:t>Interest income is earned on holdings of cash and deposits across a number of general government sector agencies</w:t>
      </w:r>
      <w:r>
        <w:t>,</w:t>
      </w:r>
      <w:r w:rsidRPr="00FC689A">
        <w:t xml:space="preserve"> including departments, hospitals and schools. Total interest income is expected to reach $899</w:t>
      </w:r>
      <w:r>
        <w:t> </w:t>
      </w:r>
      <w:r w:rsidRPr="00FC689A">
        <w:t>m</w:t>
      </w:r>
      <w:r>
        <w:t>illion</w:t>
      </w:r>
      <w:r w:rsidRPr="00FC689A">
        <w:t xml:space="preserve"> in 2017</w:t>
      </w:r>
      <w:r>
        <w:noBreakHyphen/>
      </w:r>
      <w:r w:rsidRPr="00FC689A">
        <w:t>18, and decline by an average of 2.8</w:t>
      </w:r>
      <w:r>
        <w:t> per </w:t>
      </w:r>
      <w:r w:rsidRPr="00FC689A">
        <w:t>cent a year over the following three years.</w:t>
      </w:r>
    </w:p>
    <w:p w:rsidR="00552DFA" w:rsidRPr="00646F7A" w:rsidRDefault="00552DFA" w:rsidP="00423C3D">
      <w:pPr>
        <w:pStyle w:val="Heading30"/>
        <w:rPr>
          <w:rFonts w:eastAsiaTheme="minorHAnsi"/>
        </w:rPr>
      </w:pPr>
      <w:r w:rsidRPr="00646F7A">
        <w:rPr>
          <w:rFonts w:eastAsiaTheme="minorHAnsi"/>
        </w:rPr>
        <w:t>Sales of goods and services</w:t>
      </w:r>
    </w:p>
    <w:p w:rsidR="00552DFA" w:rsidRPr="00821899" w:rsidRDefault="00552DFA" w:rsidP="00423C3D">
      <w:r w:rsidRPr="00821899">
        <w:t xml:space="preserve">Revenue from the sales of goods and services is expected to grow by </w:t>
      </w:r>
      <w:r>
        <w:t>4.4 per cent</w:t>
      </w:r>
      <w:r w:rsidRPr="00821899">
        <w:t xml:space="preserve"> in 2017</w:t>
      </w:r>
      <w:r>
        <w:noBreakHyphen/>
      </w:r>
      <w:r w:rsidRPr="00821899">
        <w:t>18 to $7.2</w:t>
      </w:r>
      <w:r>
        <w:t> billion</w:t>
      </w:r>
      <w:r w:rsidRPr="00821899">
        <w:t xml:space="preserve">. </w:t>
      </w:r>
      <w:r>
        <w:t xml:space="preserve">This growth largely reflects an increase in the capital asset charge revenue from </w:t>
      </w:r>
      <w:proofErr w:type="spellStart"/>
      <w:r>
        <w:t>VicTrack</w:t>
      </w:r>
      <w:proofErr w:type="spellEnd"/>
      <w:r>
        <w:t xml:space="preserve"> associated with an increase in its asset base, and an increase in TAFE fees for service. Over the forward estimates, g</w:t>
      </w:r>
      <w:r w:rsidRPr="00821899">
        <w:t xml:space="preserve">rowth is expected to </w:t>
      </w:r>
      <w:r>
        <w:t>average 4.1 per cent a year.</w:t>
      </w:r>
    </w:p>
    <w:p w:rsidR="00552DFA" w:rsidRPr="00646F7A" w:rsidRDefault="00552DFA" w:rsidP="00423C3D">
      <w:pPr>
        <w:pStyle w:val="Heading30"/>
      </w:pPr>
      <w:r w:rsidRPr="00646F7A">
        <w:rPr>
          <w:rFonts w:eastAsiaTheme="minorHAnsi"/>
        </w:rPr>
        <w:t>Grants</w:t>
      </w:r>
    </w:p>
    <w:p w:rsidR="00552DFA" w:rsidRPr="00821899" w:rsidRDefault="00552DFA" w:rsidP="00423C3D">
      <w:r w:rsidRPr="00821899">
        <w:t xml:space="preserve">Total grants revenue is expected to grow by </w:t>
      </w:r>
      <w:r>
        <w:t>8.3 per cent to $29.8 billion</w:t>
      </w:r>
      <w:r w:rsidRPr="00821899">
        <w:t xml:space="preserve"> in 2017</w:t>
      </w:r>
      <w:r>
        <w:noBreakHyphen/>
      </w:r>
      <w:r w:rsidRPr="00821899">
        <w:t xml:space="preserve">18 and increase by </w:t>
      </w:r>
      <w:r>
        <w:t>2.7 per cent</w:t>
      </w:r>
      <w:r w:rsidRPr="00821899">
        <w:t xml:space="preserve"> a year on average to $</w:t>
      </w:r>
      <w:r>
        <w:t>32.3 billion over the following three years.</w:t>
      </w:r>
    </w:p>
    <w:p w:rsidR="00552DFA" w:rsidRPr="00821899" w:rsidRDefault="00552DFA" w:rsidP="00423C3D">
      <w:r w:rsidRPr="00821899">
        <w:t>GST</w:t>
      </w:r>
      <w:r w:rsidR="00356A95">
        <w:fldChar w:fldCharType="begin"/>
      </w:r>
      <w:r w:rsidR="00356A95">
        <w:instrText xml:space="preserve"> XE "Taxation:Goods and services tax" </w:instrText>
      </w:r>
      <w:r w:rsidR="00356A95">
        <w:fldChar w:fldCharType="end"/>
      </w:r>
      <w:r w:rsidRPr="00821899">
        <w:t xml:space="preserve"> revenue is </w:t>
      </w:r>
      <w:r>
        <w:t>anticipated</w:t>
      </w:r>
      <w:r w:rsidRPr="00821899">
        <w:t xml:space="preserve"> to grow by 8.0</w:t>
      </w:r>
      <w:r>
        <w:t> per cent</w:t>
      </w:r>
      <w:r w:rsidRPr="00821899">
        <w:t xml:space="preserve"> to $14.7</w:t>
      </w:r>
      <w:r>
        <w:t> billion</w:t>
      </w:r>
      <w:r w:rsidRPr="00821899">
        <w:t xml:space="preserve"> in 2017</w:t>
      </w:r>
      <w:r>
        <w:noBreakHyphen/>
      </w:r>
      <w:r w:rsidRPr="00821899">
        <w:t>18. This reflects an improvement in Victoria’s share of the</w:t>
      </w:r>
      <w:r>
        <w:t xml:space="preserve"> national GST pool, in part</w:t>
      </w:r>
      <w:r w:rsidRPr="00821899">
        <w:t xml:space="preserve"> </w:t>
      </w:r>
      <w:r>
        <w:t xml:space="preserve">due to </w:t>
      </w:r>
      <w:r w:rsidRPr="00821899">
        <w:t xml:space="preserve">continued strong population growth relative to other states. </w:t>
      </w:r>
      <w:r>
        <w:t>Over the forward estimates</w:t>
      </w:r>
      <w:r w:rsidRPr="00821899">
        <w:t xml:space="preserve">, </w:t>
      </w:r>
      <w:r>
        <w:t>GST revenue is estimated to increase on average by 6.9 per cent a year</w:t>
      </w:r>
      <w:r w:rsidRPr="00821899">
        <w:t>.</w:t>
      </w:r>
    </w:p>
    <w:p w:rsidR="00552DFA" w:rsidRPr="00821899" w:rsidRDefault="00552DFA" w:rsidP="00423C3D">
      <w:r w:rsidRPr="00821899">
        <w:t>Commonwealth grants</w:t>
      </w:r>
      <w:r w:rsidR="00356A95">
        <w:fldChar w:fldCharType="begin"/>
      </w:r>
      <w:r w:rsidR="00356A95">
        <w:instrText xml:space="preserve"> XE "Grants:Commonwealth" </w:instrText>
      </w:r>
      <w:r w:rsidR="00356A95">
        <w:fldChar w:fldCharType="end"/>
      </w:r>
      <w:r w:rsidRPr="00821899">
        <w:t xml:space="preserve"> for specific purposes are projected to be </w:t>
      </w:r>
      <w:r>
        <w:t>$14.2 billion</w:t>
      </w:r>
      <w:r w:rsidRPr="00821899">
        <w:t xml:space="preserve"> a year on average across the </w:t>
      </w:r>
      <w:r>
        <w:t>next four years</w:t>
      </w:r>
      <w:r w:rsidRPr="00821899">
        <w:t>. The Commonwealth provides these grants as contributions towards health</w:t>
      </w:r>
      <w:r>
        <w:t xml:space="preserve"> </w:t>
      </w:r>
      <w:r w:rsidRPr="00821899">
        <w:t xml:space="preserve">care, education, disability and other services, and major infrastructure investment. </w:t>
      </w:r>
    </w:p>
    <w:p w:rsidR="00552DFA" w:rsidRPr="00646F7A" w:rsidRDefault="00552DFA" w:rsidP="00423C3D">
      <w:pPr>
        <w:pStyle w:val="Heading30"/>
        <w:rPr>
          <w:rFonts w:eastAsiaTheme="minorHAnsi"/>
        </w:rPr>
      </w:pPr>
      <w:r w:rsidRPr="00646F7A">
        <w:rPr>
          <w:rFonts w:eastAsiaTheme="minorHAnsi"/>
        </w:rPr>
        <w:t>Other current revenue</w:t>
      </w:r>
    </w:p>
    <w:p w:rsidR="00552DFA" w:rsidRPr="00821899" w:rsidRDefault="00552DFA" w:rsidP="00423C3D">
      <w:r w:rsidRPr="00821899">
        <w:t xml:space="preserve">Other current revenue includes fines, royalties, donations and gifts, assets received free of charge and other miscellaneous revenues. Other current revenue is projected to decrease by </w:t>
      </w:r>
      <w:r>
        <w:t>5.8 per cent</w:t>
      </w:r>
      <w:r w:rsidRPr="00821899">
        <w:t xml:space="preserve"> to $2.5</w:t>
      </w:r>
      <w:r>
        <w:t> billion</w:t>
      </w:r>
      <w:r w:rsidRPr="00821899">
        <w:t xml:space="preserve"> in 2017</w:t>
      </w:r>
      <w:r>
        <w:noBreakHyphen/>
      </w:r>
      <w:r w:rsidRPr="00821899">
        <w:t>18</w:t>
      </w:r>
      <w:r>
        <w:t>, driven by</w:t>
      </w:r>
      <w:r w:rsidRPr="00821899">
        <w:t xml:space="preserve"> a large one</w:t>
      </w:r>
      <w:r>
        <w:noBreakHyphen/>
      </w:r>
      <w:r w:rsidRPr="00821899">
        <w:t>off increase in revenue in 2016</w:t>
      </w:r>
      <w:r>
        <w:noBreakHyphen/>
      </w:r>
      <w:r w:rsidRPr="00821899">
        <w:t xml:space="preserve">17 from </w:t>
      </w:r>
      <w:r>
        <w:t xml:space="preserve">the </w:t>
      </w:r>
      <w:r w:rsidRPr="00821899">
        <w:t xml:space="preserve">assets received free of charge associated with </w:t>
      </w:r>
      <w:r>
        <w:t xml:space="preserve">the transfer of assets </w:t>
      </w:r>
      <w:r w:rsidRPr="00821899">
        <w:t>from the Geelong City Council</w:t>
      </w:r>
      <w:r>
        <w:t xml:space="preserve"> to the </w:t>
      </w:r>
      <w:proofErr w:type="spellStart"/>
      <w:r>
        <w:t>Kardinia</w:t>
      </w:r>
      <w:proofErr w:type="spellEnd"/>
      <w:r>
        <w:t xml:space="preserve"> Park Stadium Trust</w:t>
      </w:r>
      <w:r w:rsidRPr="00821899">
        <w:t xml:space="preserve">. Other current revenue is projected to increase by an average of </w:t>
      </w:r>
      <w:r>
        <w:t>0.8 per cent</w:t>
      </w:r>
      <w:r w:rsidRPr="00821899">
        <w:t xml:space="preserve"> a year </w:t>
      </w:r>
      <w:r>
        <w:t>across the forward estimates</w:t>
      </w:r>
      <w:r w:rsidRPr="00821899">
        <w:t>.</w:t>
      </w:r>
    </w:p>
    <w:p w:rsidR="00552DFA" w:rsidRPr="00821899" w:rsidRDefault="00552DFA" w:rsidP="00423C3D">
      <w:r w:rsidRPr="00821899">
        <w:t xml:space="preserve">Further details of expected movements in the major categories of general government revenue are contained in Budget Paper No. 5, Chapter 4 </w:t>
      </w:r>
      <w:r w:rsidRPr="00821899">
        <w:rPr>
          <w:i/>
        </w:rPr>
        <w:t>State revenue</w:t>
      </w:r>
      <w:r w:rsidRPr="00821899">
        <w:t>.</w:t>
      </w:r>
    </w:p>
    <w:p w:rsidR="00552DFA" w:rsidRDefault="00552DFA">
      <w:pPr>
        <w:keepLines w:val="0"/>
        <w:rPr>
          <w:rFonts w:asciiTheme="majorHAnsi" w:hAnsiTheme="majorHAnsi" w:cstheme="majorBidi"/>
          <w:b/>
          <w:spacing w:val="-2"/>
          <w:sz w:val="26"/>
          <w:szCs w:val="26"/>
        </w:rPr>
      </w:pPr>
      <w:r>
        <w:br w:type="page"/>
      </w:r>
    </w:p>
    <w:p w:rsidR="00552DFA" w:rsidRPr="00821899" w:rsidRDefault="00552DFA" w:rsidP="00423C3D">
      <w:pPr>
        <w:pStyle w:val="Heading20"/>
        <w:rPr>
          <w:rFonts w:eastAsiaTheme="minorHAnsi"/>
        </w:rPr>
      </w:pPr>
      <w:r w:rsidRPr="00821899">
        <w:rPr>
          <w:rFonts w:eastAsiaTheme="minorHAnsi"/>
        </w:rPr>
        <w:lastRenderedPageBreak/>
        <w:t>Expenses outlook</w:t>
      </w:r>
    </w:p>
    <w:p w:rsidR="00552DFA" w:rsidRPr="00821899" w:rsidRDefault="00552DFA" w:rsidP="00423C3D">
      <w:r w:rsidRPr="00821899">
        <w:t xml:space="preserve">The Government is expected to spend </w:t>
      </w:r>
      <w:r>
        <w:t>$62.3 billion</w:t>
      </w:r>
      <w:r w:rsidRPr="00821899">
        <w:t xml:space="preserve"> in 2017</w:t>
      </w:r>
      <w:r>
        <w:rPr>
          <w:i/>
        </w:rPr>
        <w:noBreakHyphen/>
      </w:r>
      <w:r w:rsidRPr="00821899">
        <w:t xml:space="preserve">18 providing services </w:t>
      </w:r>
      <w:r>
        <w:t>that Victoria needs</w:t>
      </w:r>
      <w:r w:rsidRPr="00821899">
        <w:t xml:space="preserve">. Total expenses are expected to grow by </w:t>
      </w:r>
      <w:r>
        <w:t>3.2 per cent</w:t>
      </w:r>
      <w:r w:rsidRPr="00821899">
        <w:t xml:space="preserve"> a year on average </w:t>
      </w:r>
      <w:r>
        <w:t xml:space="preserve">over the four years </w:t>
      </w:r>
      <w:r w:rsidRPr="00821899">
        <w:t xml:space="preserve">to </w:t>
      </w:r>
      <w:r>
        <w:t>$67.4 billion</w:t>
      </w:r>
      <w:r w:rsidRPr="00821899">
        <w:t xml:space="preserve"> in 2020</w:t>
      </w:r>
      <w:r>
        <w:noBreakHyphen/>
      </w:r>
      <w:r w:rsidRPr="00821899">
        <w:t>21.</w:t>
      </w:r>
    </w:p>
    <w:p w:rsidR="00552DFA" w:rsidRPr="00821899" w:rsidRDefault="00552DFA" w:rsidP="00423C3D">
      <w:r w:rsidRPr="00821899">
        <w:t xml:space="preserve">The level and expected growth in expenses reflect the Government’s </w:t>
      </w:r>
      <w:r>
        <w:t>ongoing commitment to create and protect jobs, invest in transport, deliver first</w:t>
      </w:r>
      <w:r>
        <w:noBreakHyphen/>
        <w:t>rate education for all children, and ensure Victorians have health care when they need it</w:t>
      </w:r>
      <w:r w:rsidRPr="00821899">
        <w:t xml:space="preserve">. It also reflects </w:t>
      </w:r>
      <w:r>
        <w:t xml:space="preserve">significant </w:t>
      </w:r>
      <w:r w:rsidRPr="00821899">
        <w:t xml:space="preserve">investment in initiatives to build a society free from family violence. </w:t>
      </w:r>
      <w:r>
        <w:t>Specific movements in expenses include:</w:t>
      </w:r>
    </w:p>
    <w:p w:rsidR="00552DFA" w:rsidRPr="00821899" w:rsidRDefault="00552DFA" w:rsidP="00423C3D">
      <w:pPr>
        <w:pStyle w:val="ListBullet"/>
        <w:numPr>
          <w:ilvl w:val="0"/>
          <w:numId w:val="19"/>
        </w:numPr>
      </w:pPr>
      <w:r w:rsidRPr="00821899">
        <w:t>grants and other transfer expenses, such as funding provided to non</w:t>
      </w:r>
      <w:r>
        <w:noBreakHyphen/>
      </w:r>
      <w:r w:rsidRPr="00821899">
        <w:t xml:space="preserve">government schools, </w:t>
      </w:r>
      <w:proofErr w:type="spellStart"/>
      <w:r w:rsidRPr="00821899">
        <w:t>VicTrack</w:t>
      </w:r>
      <w:proofErr w:type="spellEnd"/>
      <w:r w:rsidRPr="00821899">
        <w:t xml:space="preserve"> and </w:t>
      </w:r>
      <w:r w:rsidRPr="004A2807">
        <w:rPr>
          <w:spacing w:val="-6"/>
        </w:rPr>
        <w:t>V/L</w:t>
      </w:r>
      <w:r w:rsidRPr="00821899">
        <w:t>ine for operational costs incurred in the provision of transport s</w:t>
      </w:r>
      <w:r>
        <w:t xml:space="preserve">ervices, and local governments, </w:t>
      </w:r>
      <w:r w:rsidRPr="00821899">
        <w:t xml:space="preserve">are forecast to increase by </w:t>
      </w:r>
      <w:r>
        <w:t>9.2 per cent</w:t>
      </w:r>
      <w:r w:rsidRPr="00821899">
        <w:t xml:space="preserve"> to </w:t>
      </w:r>
      <w:r>
        <w:t>$11.3 billion</w:t>
      </w:r>
      <w:r w:rsidRPr="00821899">
        <w:t xml:space="preserve"> in 2017</w:t>
      </w:r>
      <w:r>
        <w:noBreakHyphen/>
      </w:r>
      <w:r w:rsidRPr="00821899">
        <w:t xml:space="preserve">18. Thereafter, growth moderates to an average of </w:t>
      </w:r>
      <w:r>
        <w:t>5.4 per cent</w:t>
      </w:r>
      <w:r w:rsidRPr="00821899">
        <w:t xml:space="preserve"> a year </w:t>
      </w:r>
      <w:r>
        <w:t>over the forward estimates</w:t>
      </w:r>
      <w:r w:rsidRPr="00821899">
        <w:t>;</w:t>
      </w:r>
    </w:p>
    <w:p w:rsidR="00552DFA" w:rsidRPr="00821899" w:rsidRDefault="00552DFA" w:rsidP="00423C3D">
      <w:pPr>
        <w:pStyle w:val="ListBullet"/>
        <w:numPr>
          <w:ilvl w:val="0"/>
          <w:numId w:val="19"/>
        </w:numPr>
      </w:pPr>
      <w:r w:rsidRPr="00821899">
        <w:t xml:space="preserve">depreciation expense is projected to grow by </w:t>
      </w:r>
      <w:r>
        <w:t>4.4 per cent</w:t>
      </w:r>
      <w:r w:rsidRPr="00821899">
        <w:t xml:space="preserve"> to </w:t>
      </w:r>
      <w:r>
        <w:t>$2.8 billion</w:t>
      </w:r>
      <w:r w:rsidRPr="00821899">
        <w:t xml:space="preserve"> in 2017</w:t>
      </w:r>
      <w:r>
        <w:noBreakHyphen/>
      </w:r>
      <w:r w:rsidRPr="00821899">
        <w:t xml:space="preserve">18 and increase by </w:t>
      </w:r>
      <w:r>
        <w:t>6.8 per cent</w:t>
      </w:r>
      <w:r w:rsidRPr="00821899">
        <w:t xml:space="preserve"> a year on average </w:t>
      </w:r>
      <w:r>
        <w:t>over the following three years</w:t>
      </w:r>
      <w:r w:rsidRPr="00821899">
        <w:t xml:space="preserve"> to </w:t>
      </w:r>
      <w:r>
        <w:t>$3.4 billion</w:t>
      </w:r>
      <w:r w:rsidRPr="00821899">
        <w:t xml:space="preserve"> in 2020</w:t>
      </w:r>
      <w:r>
        <w:noBreakHyphen/>
      </w:r>
      <w:r w:rsidRPr="00821899">
        <w:t>21. This growth is broadly in line with the Government’s increased investment in infrastructure;</w:t>
      </w:r>
    </w:p>
    <w:p w:rsidR="00552DFA" w:rsidRDefault="00552DFA" w:rsidP="00423C3D">
      <w:pPr>
        <w:pStyle w:val="ListBullet"/>
        <w:numPr>
          <w:ilvl w:val="0"/>
          <w:numId w:val="19"/>
        </w:numPr>
      </w:pPr>
      <w:r>
        <w:t xml:space="preserve">employee expenses (including superannuation) </w:t>
      </w:r>
      <w:r w:rsidRPr="006E7AC0">
        <w:t xml:space="preserve">are expected to </w:t>
      </w:r>
      <w:r>
        <w:t>grow by 4.1 per cent</w:t>
      </w:r>
      <w:r w:rsidRPr="006E7AC0">
        <w:t xml:space="preserve"> </w:t>
      </w:r>
      <w:r>
        <w:t>in 2017</w:t>
      </w:r>
      <w:r>
        <w:noBreakHyphen/>
        <w:t xml:space="preserve">18 </w:t>
      </w:r>
      <w:r w:rsidRPr="006E7AC0">
        <w:t>and mode</w:t>
      </w:r>
      <w:r>
        <w:t>rate to an average increase of 2.9 per cent</w:t>
      </w:r>
      <w:r w:rsidRPr="006E7AC0">
        <w:t xml:space="preserve"> over the </w:t>
      </w:r>
      <w:r>
        <w:t>following three years</w:t>
      </w:r>
      <w:r w:rsidRPr="006E7AC0">
        <w:t xml:space="preserve"> to 2020</w:t>
      </w:r>
      <w:r>
        <w:noBreakHyphen/>
      </w:r>
      <w:r w:rsidRPr="006E7AC0">
        <w:t>21</w:t>
      </w:r>
      <w:r>
        <w:t xml:space="preserve"> (see Box 4.2);</w:t>
      </w:r>
    </w:p>
    <w:p w:rsidR="00552DFA" w:rsidRPr="00821899" w:rsidRDefault="00552DFA" w:rsidP="00423C3D">
      <w:pPr>
        <w:pStyle w:val="ListBullet"/>
        <w:numPr>
          <w:ilvl w:val="0"/>
          <w:numId w:val="19"/>
        </w:numPr>
      </w:pPr>
      <w:r>
        <w:t>o</w:t>
      </w:r>
      <w:r w:rsidRPr="00821899">
        <w:t xml:space="preserve">ther operating expenses are projected to increase by </w:t>
      </w:r>
      <w:r>
        <w:t>3.2 per cent</w:t>
      </w:r>
      <w:r w:rsidRPr="00821899">
        <w:t xml:space="preserve"> in 2017</w:t>
      </w:r>
      <w:r>
        <w:noBreakHyphen/>
      </w:r>
      <w:r w:rsidRPr="00821899">
        <w:t>18 and</w:t>
      </w:r>
      <w:r>
        <w:t xml:space="preserve"> to</w:t>
      </w:r>
      <w:r w:rsidRPr="00821899">
        <w:t xml:space="preserve"> grow by an average of </w:t>
      </w:r>
      <w:r>
        <w:t>0.3 per cent</w:t>
      </w:r>
      <w:r w:rsidRPr="00821899">
        <w:t xml:space="preserve"> </w:t>
      </w:r>
      <w:r>
        <w:t>over the following three years</w:t>
      </w:r>
      <w:r w:rsidRPr="00821899">
        <w:t xml:space="preserve"> to </w:t>
      </w:r>
      <w:r>
        <w:t>$20 billion</w:t>
      </w:r>
      <w:r w:rsidRPr="00821899">
        <w:t xml:space="preserve"> in 2020</w:t>
      </w:r>
      <w:r>
        <w:noBreakHyphen/>
      </w:r>
      <w:r w:rsidRPr="00821899">
        <w:t>21; and</w:t>
      </w:r>
    </w:p>
    <w:p w:rsidR="00552DFA" w:rsidRPr="00821899" w:rsidRDefault="00552DFA" w:rsidP="00423C3D">
      <w:pPr>
        <w:pStyle w:val="ListBullet"/>
        <w:numPr>
          <w:ilvl w:val="0"/>
          <w:numId w:val="19"/>
        </w:numPr>
        <w:rPr>
          <w:rFonts w:ascii="Calibri" w:hAnsi="Calibri"/>
          <w:b/>
        </w:rPr>
      </w:pPr>
      <w:r w:rsidRPr="00821899">
        <w:t xml:space="preserve">interest expense is expected to be </w:t>
      </w:r>
      <w:r>
        <w:t>$2.2 billion</w:t>
      </w:r>
      <w:r w:rsidRPr="00821899">
        <w:t xml:space="preserve"> in 2017</w:t>
      </w:r>
      <w:r>
        <w:noBreakHyphen/>
      </w:r>
      <w:r w:rsidRPr="00821899">
        <w:t xml:space="preserve">18. Interest expense </w:t>
      </w:r>
      <w:r>
        <w:t>over the forward estimates</w:t>
      </w:r>
      <w:r w:rsidRPr="00821899">
        <w:t xml:space="preserve"> is projected to be relatively stable, with declining </w:t>
      </w:r>
      <w:r>
        <w:t xml:space="preserve">interest </w:t>
      </w:r>
      <w:r w:rsidRPr="00821899">
        <w:t>rates being offset by an increase in the level of borrowings to fund infrastructure investment.</w:t>
      </w:r>
    </w:p>
    <w:p w:rsidR="00552DFA" w:rsidRPr="00CA3BA5" w:rsidRDefault="00552DFA" w:rsidP="00423C3D">
      <w:pPr>
        <w:pStyle w:val="HighlightBoxHeading"/>
        <w:tabs>
          <w:tab w:val="left" w:pos="993"/>
        </w:tabs>
      </w:pPr>
      <w:r w:rsidRPr="00690193">
        <w:t>Box 4.</w:t>
      </w:r>
      <w:r>
        <w:t xml:space="preserve">2: </w:t>
      </w:r>
      <w:r>
        <w:tab/>
        <w:t>Employee expenses growth</w:t>
      </w:r>
    </w:p>
    <w:p w:rsidR="00552DFA" w:rsidRPr="00F416B5" w:rsidRDefault="00552DFA" w:rsidP="00423C3D">
      <w:pPr>
        <w:pStyle w:val="HighlightBoxText"/>
        <w:rPr>
          <w:rFonts w:ascii="Garamond" w:hAnsi="Garamond"/>
        </w:rPr>
      </w:pPr>
      <w:r w:rsidRPr="00F416B5">
        <w:rPr>
          <w:rFonts w:ascii="Garamond" w:hAnsi="Garamond"/>
        </w:rPr>
        <w:t>Employee expenses (including superannuation) are projected to grow by $1.0 billion, or 4.1 per cent, to $26.1 billion in 2017</w:t>
      </w:r>
      <w:r>
        <w:rPr>
          <w:rFonts w:ascii="Garamond" w:hAnsi="Garamond"/>
        </w:rPr>
        <w:noBreakHyphen/>
      </w:r>
      <w:r w:rsidRPr="00F416B5">
        <w:rPr>
          <w:rFonts w:ascii="Garamond" w:hAnsi="Garamond"/>
        </w:rPr>
        <w:t>18 and by 2.9 per cent a year on average over</w:t>
      </w:r>
      <w:r>
        <w:rPr>
          <w:rFonts w:ascii="Garamond" w:hAnsi="Garamond"/>
        </w:rPr>
        <w:t xml:space="preserve"> the forward estimates</w:t>
      </w:r>
      <w:r w:rsidRPr="00F416B5">
        <w:rPr>
          <w:rFonts w:ascii="Garamond" w:hAnsi="Garamond"/>
        </w:rPr>
        <w:t xml:space="preserve">. </w:t>
      </w:r>
    </w:p>
    <w:p w:rsidR="00552DFA" w:rsidRPr="009B57BC" w:rsidRDefault="00552DFA" w:rsidP="00423C3D">
      <w:pPr>
        <w:pStyle w:val="HighlightBoxText"/>
        <w:rPr>
          <w:rFonts w:ascii="Garamond" w:hAnsi="Garamond"/>
        </w:rPr>
      </w:pPr>
      <w:r w:rsidRPr="009B57BC">
        <w:rPr>
          <w:rFonts w:ascii="Garamond" w:hAnsi="Garamond"/>
        </w:rPr>
        <w:t xml:space="preserve">This </w:t>
      </w:r>
      <w:r>
        <w:rPr>
          <w:rFonts w:ascii="Garamond" w:hAnsi="Garamond"/>
        </w:rPr>
        <w:t>reflects</w:t>
      </w:r>
      <w:r w:rsidRPr="009B57BC">
        <w:rPr>
          <w:rFonts w:ascii="Garamond" w:hAnsi="Garamond"/>
        </w:rPr>
        <w:t xml:space="preserve"> the largest ever investment in initiatives to end family violence, </w:t>
      </w:r>
      <w:r>
        <w:rPr>
          <w:rFonts w:ascii="Garamond" w:hAnsi="Garamond"/>
        </w:rPr>
        <w:t xml:space="preserve">commencement of the </w:t>
      </w:r>
      <w:r w:rsidRPr="009B57BC">
        <w:rPr>
          <w:rFonts w:ascii="Garamond" w:hAnsi="Garamond"/>
        </w:rPr>
        <w:t>recruitment of 2 729 additional police officers to tackle crime, and increased investments in hospitals to improve access to health</w:t>
      </w:r>
      <w:r>
        <w:rPr>
          <w:rFonts w:ascii="Garamond" w:hAnsi="Garamond"/>
        </w:rPr>
        <w:t xml:space="preserve"> </w:t>
      </w:r>
      <w:r w:rsidRPr="009B57BC">
        <w:rPr>
          <w:rFonts w:ascii="Garamond" w:hAnsi="Garamond"/>
        </w:rPr>
        <w:t>care.</w:t>
      </w:r>
    </w:p>
    <w:p w:rsidR="00552DFA" w:rsidRPr="009B57BC" w:rsidRDefault="00552DFA" w:rsidP="00423C3D">
      <w:pPr>
        <w:pStyle w:val="HighlightBoxText"/>
        <w:rPr>
          <w:rFonts w:ascii="Garamond" w:hAnsi="Garamond"/>
        </w:rPr>
      </w:pPr>
      <w:r w:rsidRPr="009B57BC">
        <w:rPr>
          <w:rFonts w:ascii="Garamond" w:hAnsi="Garamond"/>
        </w:rPr>
        <w:t>Growth in employee expenses</w:t>
      </w:r>
      <w:r>
        <w:rPr>
          <w:rFonts w:ascii="Garamond" w:hAnsi="Garamond"/>
        </w:rPr>
        <w:t xml:space="preserve"> also</w:t>
      </w:r>
      <w:r w:rsidRPr="009B57BC">
        <w:rPr>
          <w:rFonts w:ascii="Garamond" w:hAnsi="Garamond"/>
        </w:rPr>
        <w:t xml:space="preserve"> reflects</w:t>
      </w:r>
      <w:r>
        <w:rPr>
          <w:rFonts w:ascii="Garamond" w:hAnsi="Garamond"/>
        </w:rPr>
        <w:t xml:space="preserve"> </w:t>
      </w:r>
      <w:r w:rsidRPr="009B57BC">
        <w:rPr>
          <w:rFonts w:ascii="Garamond" w:hAnsi="Garamond"/>
        </w:rPr>
        <w:t>sustainable increases in public sector wages</w:t>
      </w:r>
      <w:r>
        <w:rPr>
          <w:rFonts w:ascii="Garamond" w:hAnsi="Garamond"/>
        </w:rPr>
        <w:t xml:space="preserve"> in line with wages policy.</w:t>
      </w:r>
    </w:p>
    <w:p w:rsidR="00552DFA" w:rsidRDefault="00552DFA" w:rsidP="00423C3D">
      <w:pPr>
        <w:pStyle w:val="HighlightBoxText"/>
        <w:rPr>
          <w:rFonts w:ascii="Garamond" w:eastAsia="Times New Roman" w:hAnsi="Garamond" w:cs="Times New Roman"/>
          <w:szCs w:val="20"/>
        </w:rPr>
      </w:pPr>
      <w:r>
        <w:rPr>
          <w:rFonts w:ascii="Garamond" w:hAnsi="Garamond"/>
        </w:rPr>
        <w:t>In recent budgets, investments have been made</w:t>
      </w:r>
      <w:r w:rsidRPr="009B57BC">
        <w:rPr>
          <w:rFonts w:ascii="Garamond" w:hAnsi="Garamond"/>
        </w:rPr>
        <w:t xml:space="preserve"> to </w:t>
      </w:r>
      <w:r>
        <w:rPr>
          <w:rFonts w:ascii="Garamond" w:hAnsi="Garamond"/>
        </w:rPr>
        <w:t>increase</w:t>
      </w:r>
      <w:r w:rsidRPr="009B57BC">
        <w:rPr>
          <w:rFonts w:ascii="Garamond" w:hAnsi="Garamond"/>
        </w:rPr>
        <w:t xml:space="preserve"> the quantity of services delivered, </w:t>
      </w:r>
      <w:r>
        <w:rPr>
          <w:rFonts w:ascii="Garamond" w:hAnsi="Garamond"/>
        </w:rPr>
        <w:t>as well as</w:t>
      </w:r>
      <w:r w:rsidRPr="009B57BC">
        <w:rPr>
          <w:rFonts w:ascii="Garamond" w:hAnsi="Garamond"/>
        </w:rPr>
        <w:t xml:space="preserve"> to continue to improve the quality of service delivery. This includes</w:t>
      </w:r>
      <w:r w:rsidRPr="009B57BC">
        <w:rPr>
          <w:rFonts w:ascii="Garamond" w:hAnsi="Garamond" w:cs="Arial"/>
          <w:color w:val="1D1D1D"/>
        </w:rPr>
        <w:t xml:space="preserve"> </w:t>
      </w:r>
      <w:r w:rsidRPr="009B57BC">
        <w:rPr>
          <w:rFonts w:ascii="Garamond" w:hAnsi="Garamond"/>
        </w:rPr>
        <w:t>enacting the Fair Work Commission’s work value recommendation on paramedi</w:t>
      </w:r>
      <w:r>
        <w:rPr>
          <w:rFonts w:ascii="Garamond" w:hAnsi="Garamond"/>
        </w:rPr>
        <w:t xml:space="preserve">cs’ pay and </w:t>
      </w:r>
      <w:r>
        <w:rPr>
          <w:rFonts w:ascii="Garamond" w:eastAsia="Times New Roman" w:hAnsi="Garamond" w:cs="Times New Roman"/>
          <w:szCs w:val="20"/>
        </w:rPr>
        <w:t>providing fair reward to police officers</w:t>
      </w:r>
      <w:r w:rsidRPr="00C90150">
        <w:rPr>
          <w:rFonts w:ascii="Garamond" w:eastAsia="Times New Roman" w:hAnsi="Garamond" w:cs="Times New Roman"/>
          <w:szCs w:val="20"/>
        </w:rPr>
        <w:t xml:space="preserve"> for working unsociab</w:t>
      </w:r>
      <w:r>
        <w:rPr>
          <w:rFonts w:ascii="Garamond" w:eastAsia="Times New Roman" w:hAnsi="Garamond" w:cs="Times New Roman"/>
          <w:szCs w:val="20"/>
        </w:rPr>
        <w:t>le</w:t>
      </w:r>
      <w:r w:rsidRPr="00C90150">
        <w:rPr>
          <w:rFonts w:ascii="Garamond" w:eastAsia="Times New Roman" w:hAnsi="Garamond" w:cs="Times New Roman"/>
          <w:szCs w:val="20"/>
        </w:rPr>
        <w:t xml:space="preserve"> hours such as late night</w:t>
      </w:r>
      <w:r>
        <w:rPr>
          <w:rFonts w:ascii="Garamond" w:eastAsia="Times New Roman" w:hAnsi="Garamond" w:cs="Times New Roman"/>
          <w:szCs w:val="20"/>
        </w:rPr>
        <w:t>s</w:t>
      </w:r>
      <w:r w:rsidRPr="00C90150">
        <w:rPr>
          <w:rFonts w:ascii="Garamond" w:eastAsia="Times New Roman" w:hAnsi="Garamond" w:cs="Times New Roman"/>
          <w:szCs w:val="20"/>
        </w:rPr>
        <w:t xml:space="preserve"> </w:t>
      </w:r>
      <w:r>
        <w:rPr>
          <w:rFonts w:ascii="Garamond" w:eastAsia="Times New Roman" w:hAnsi="Garamond" w:cs="Times New Roman"/>
          <w:szCs w:val="20"/>
        </w:rPr>
        <w:t xml:space="preserve">and </w:t>
      </w:r>
      <w:r w:rsidRPr="00565468">
        <w:rPr>
          <w:rFonts w:ascii="Garamond" w:eastAsia="Times New Roman" w:hAnsi="Garamond" w:cs="Times New Roman"/>
          <w:szCs w:val="20"/>
        </w:rPr>
        <w:t>weekend</w:t>
      </w:r>
      <w:r>
        <w:rPr>
          <w:rFonts w:ascii="Garamond" w:eastAsia="Times New Roman" w:hAnsi="Garamond" w:cs="Times New Roman"/>
          <w:szCs w:val="20"/>
        </w:rPr>
        <w:t>s.</w:t>
      </w:r>
    </w:p>
    <w:p w:rsidR="00552DFA" w:rsidRPr="00821899" w:rsidRDefault="00552DFA" w:rsidP="00423C3D">
      <w:pPr>
        <w:pStyle w:val="Heading20"/>
        <w:rPr>
          <w:rFonts w:eastAsiaTheme="minorHAnsi"/>
        </w:rPr>
      </w:pPr>
      <w:r w:rsidRPr="00821899">
        <w:rPr>
          <w:rFonts w:eastAsiaTheme="minorHAnsi"/>
        </w:rPr>
        <w:lastRenderedPageBreak/>
        <w:t xml:space="preserve">Reconciliation of estimates to the </w:t>
      </w:r>
      <w:r w:rsidRPr="00821899">
        <w:rPr>
          <w:rFonts w:eastAsiaTheme="minorHAnsi"/>
          <w:i/>
        </w:rPr>
        <w:t>2016</w:t>
      </w:r>
      <w:r>
        <w:rPr>
          <w:rFonts w:eastAsiaTheme="minorHAnsi"/>
          <w:i/>
        </w:rPr>
        <w:noBreakHyphen/>
      </w:r>
      <w:r w:rsidRPr="00821899">
        <w:rPr>
          <w:rFonts w:eastAsiaTheme="minorHAnsi"/>
          <w:i/>
        </w:rPr>
        <w:t>17 Budget Update</w:t>
      </w:r>
    </w:p>
    <w:p w:rsidR="00552DFA" w:rsidRPr="00821899" w:rsidRDefault="00552DFA" w:rsidP="00423C3D">
      <w:r w:rsidRPr="00821899">
        <w:t xml:space="preserve">Relative to the </w:t>
      </w:r>
      <w:r w:rsidRPr="00821899">
        <w:rPr>
          <w:i/>
        </w:rPr>
        <w:t>2016</w:t>
      </w:r>
      <w:r>
        <w:rPr>
          <w:i/>
        </w:rPr>
        <w:noBreakHyphen/>
      </w:r>
      <w:r w:rsidRPr="00821899">
        <w:rPr>
          <w:i/>
        </w:rPr>
        <w:t>17 Budget Update</w:t>
      </w:r>
      <w:r w:rsidRPr="00821899">
        <w:t>, the net result from transactions has been revised</w:t>
      </w:r>
      <w:r>
        <w:t xml:space="preserve"> down</w:t>
      </w:r>
      <w:r w:rsidRPr="00821899">
        <w:t xml:space="preserve"> </w:t>
      </w:r>
      <w:r w:rsidRPr="00951885">
        <w:t>by $</w:t>
      </w:r>
      <w:r>
        <w:t>75</w:t>
      </w:r>
      <w:r w:rsidRPr="00951885">
        <w:t> million</w:t>
      </w:r>
      <w:r>
        <w:t xml:space="preserve"> in 2017</w:t>
      </w:r>
      <w:r>
        <w:noBreakHyphen/>
        <w:t>18</w:t>
      </w:r>
      <w:r w:rsidRPr="00951885">
        <w:t xml:space="preserve">, </w:t>
      </w:r>
      <w:r>
        <w:t xml:space="preserve">up </w:t>
      </w:r>
      <w:r w:rsidRPr="00951885">
        <w:t>by $</w:t>
      </w:r>
      <w:r>
        <w:t>197</w:t>
      </w:r>
      <w:r w:rsidRPr="00951885">
        <w:t> million</w:t>
      </w:r>
      <w:r>
        <w:t xml:space="preserve"> in 2018</w:t>
      </w:r>
      <w:r>
        <w:noBreakHyphen/>
        <w:t>19 and down by $219 million in 2019</w:t>
      </w:r>
      <w:r>
        <w:noBreakHyphen/>
        <w:t>20 (Table 4.3).</w:t>
      </w:r>
    </w:p>
    <w:p w:rsidR="00552DFA" w:rsidRPr="00ED412F" w:rsidRDefault="00552DFA" w:rsidP="00423C3D">
      <w:pPr>
        <w:pStyle w:val="TableHeading"/>
        <w:rPr>
          <w:bCs/>
          <w:lang w:val="en-US"/>
        </w:rPr>
      </w:pPr>
      <w:r w:rsidRPr="00821899">
        <w:t xml:space="preserve">Table 4.3: </w:t>
      </w:r>
      <w:r w:rsidRPr="00821899">
        <w:tab/>
        <w:t xml:space="preserve">Reconciliation of estimates to the </w:t>
      </w:r>
      <w:r w:rsidRPr="00821899">
        <w:rPr>
          <w:i/>
        </w:rPr>
        <w:t>2016</w:t>
      </w:r>
      <w:r>
        <w:rPr>
          <w:i/>
        </w:rPr>
        <w:noBreakHyphen/>
      </w:r>
      <w:r w:rsidRPr="00821899">
        <w:rPr>
          <w:i/>
        </w:rPr>
        <w:t>17 Budget Update</w:t>
      </w:r>
      <w:r>
        <w:rPr>
          <w:i/>
        </w:rPr>
        <w:t xml:space="preserve"> </w:t>
      </w:r>
      <w:r w:rsidRPr="00821899">
        <w:rPr>
          <w:vertAlign w:val="superscript"/>
        </w:rPr>
        <w:t xml:space="preserve">(a) </w:t>
      </w:r>
      <w:r w:rsidRPr="00821899">
        <w:rPr>
          <w:vertAlign w:val="superscript"/>
        </w:rPr>
        <w:tab/>
      </w:r>
      <w:r w:rsidRPr="00821899">
        <w:t>($</w:t>
      </w:r>
      <w:r>
        <w:t> million</w:t>
      </w:r>
      <w:r w:rsidRPr="00821899">
        <w:t>)</w:t>
      </w:r>
    </w:p>
    <w:tbl>
      <w:tblPr>
        <w:tblStyle w:val="DTFTable"/>
        <w:tblW w:w="7766" w:type="dxa"/>
        <w:tblInd w:w="45" w:type="dxa"/>
        <w:tblLayout w:type="fixed"/>
        <w:tblCellMar>
          <w:left w:w="45" w:type="dxa"/>
          <w:right w:w="45" w:type="dxa"/>
        </w:tblCellMar>
        <w:tblLook w:val="06E0" w:firstRow="1" w:lastRow="1" w:firstColumn="1" w:lastColumn="0" w:noHBand="1" w:noVBand="1"/>
      </w:tblPr>
      <w:tblGrid>
        <w:gridCol w:w="5216"/>
        <w:gridCol w:w="850"/>
        <w:gridCol w:w="850"/>
        <w:gridCol w:w="850"/>
      </w:tblGrid>
      <w:tr w:rsidR="00552DFA" w:rsidRPr="00ED412F" w:rsidTr="00423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000000" w:fill="auto"/>
          </w:tcPr>
          <w:p w:rsidR="00552DFA" w:rsidRPr="00ED412F" w:rsidRDefault="00552DFA" w:rsidP="00423C3D">
            <w:pPr>
              <w:autoSpaceDE w:val="0"/>
              <w:autoSpaceDN w:val="0"/>
              <w:adjustRightInd w:val="0"/>
              <w:jc w:val="right"/>
              <w:rPr>
                <w:rFonts w:eastAsiaTheme="minorEastAsia" w:cs="Calibri"/>
                <w:iCs/>
                <w:color w:val="FFFFFF"/>
                <w:szCs w:val="19"/>
                <w:lang w:eastAsia="en-AU"/>
              </w:rPr>
            </w:pPr>
            <w:r w:rsidRPr="00ED412F">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552DFA" w:rsidRPr="00ED412F"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ED412F">
              <w:rPr>
                <w:rFonts w:eastAsiaTheme="minorEastAsia" w:cs="Calibri"/>
                <w:iCs/>
                <w:color w:val="FFFFFF"/>
                <w:szCs w:val="19"/>
                <w:lang w:eastAsia="en-AU"/>
              </w:rPr>
              <w:t>2017</w:t>
            </w:r>
            <w:r>
              <w:rPr>
                <w:rFonts w:eastAsiaTheme="minorEastAsia" w:cs="Calibri"/>
                <w:iCs/>
                <w:color w:val="FFFFFF"/>
                <w:szCs w:val="19"/>
                <w:lang w:eastAsia="en-AU"/>
              </w:rPr>
              <w:noBreakHyphen/>
            </w:r>
            <w:r w:rsidRPr="00ED412F">
              <w:rPr>
                <w:rFonts w:eastAsiaTheme="minorEastAsia" w:cs="Calibri"/>
                <w:iCs/>
                <w:color w:val="FFFFFF"/>
                <w:szCs w:val="19"/>
                <w:lang w:eastAsia="en-AU"/>
              </w:rPr>
              <w:t>18</w:t>
            </w:r>
          </w:p>
        </w:tc>
        <w:tc>
          <w:tcPr>
            <w:tcW w:w="850" w:type="dxa"/>
            <w:tcBorders>
              <w:top w:val="nil"/>
              <w:left w:val="nil"/>
              <w:bottom w:val="nil"/>
              <w:right w:val="nil"/>
            </w:tcBorders>
            <w:shd w:val="solid" w:color="000000" w:fill="auto"/>
          </w:tcPr>
          <w:p w:rsidR="00552DFA" w:rsidRPr="00ED412F"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ED412F">
              <w:rPr>
                <w:rFonts w:eastAsiaTheme="minorEastAsia" w:cs="Calibri"/>
                <w:iCs/>
                <w:color w:val="FFFFFF"/>
                <w:szCs w:val="19"/>
                <w:lang w:eastAsia="en-AU"/>
              </w:rPr>
              <w:t>2018</w:t>
            </w:r>
            <w:r>
              <w:rPr>
                <w:rFonts w:eastAsiaTheme="minorEastAsia" w:cs="Calibri"/>
                <w:iCs/>
                <w:color w:val="FFFFFF"/>
                <w:szCs w:val="19"/>
                <w:lang w:eastAsia="en-AU"/>
              </w:rPr>
              <w:noBreakHyphen/>
            </w:r>
            <w:r w:rsidRPr="00ED412F">
              <w:rPr>
                <w:rFonts w:eastAsiaTheme="minorEastAsia" w:cs="Calibri"/>
                <w:iCs/>
                <w:color w:val="FFFFFF"/>
                <w:szCs w:val="19"/>
                <w:lang w:eastAsia="en-AU"/>
              </w:rPr>
              <w:t>19</w:t>
            </w:r>
          </w:p>
        </w:tc>
        <w:tc>
          <w:tcPr>
            <w:tcW w:w="850" w:type="dxa"/>
            <w:tcBorders>
              <w:top w:val="nil"/>
              <w:left w:val="nil"/>
              <w:bottom w:val="nil"/>
              <w:right w:val="nil"/>
            </w:tcBorders>
            <w:shd w:val="solid" w:color="000000" w:fill="auto"/>
          </w:tcPr>
          <w:p w:rsidR="00552DFA" w:rsidRPr="00ED412F"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ED412F">
              <w:rPr>
                <w:rFonts w:eastAsiaTheme="minorEastAsia" w:cs="Calibri"/>
                <w:iCs/>
                <w:color w:val="FFFFFF"/>
                <w:szCs w:val="19"/>
                <w:lang w:eastAsia="en-AU"/>
              </w:rPr>
              <w:t>2019</w:t>
            </w:r>
            <w:r>
              <w:rPr>
                <w:rFonts w:eastAsiaTheme="minorEastAsia" w:cs="Calibri"/>
                <w:iCs/>
                <w:color w:val="FFFFFF"/>
                <w:szCs w:val="19"/>
                <w:lang w:eastAsia="en-AU"/>
              </w:rPr>
              <w:noBreakHyphen/>
            </w:r>
            <w:r w:rsidRPr="00ED412F">
              <w:rPr>
                <w:rFonts w:eastAsiaTheme="minorEastAsia" w:cs="Calibri"/>
                <w:iCs/>
                <w:color w:val="FFFFFF"/>
                <w:szCs w:val="19"/>
                <w:lang w:eastAsia="en-AU"/>
              </w:rPr>
              <w:t>20</w:t>
            </w:r>
          </w:p>
        </w:tc>
      </w:tr>
      <w:tr w:rsidR="00552DFA" w:rsidRPr="00ED412F" w:rsidTr="00423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shd w:val="solid" w:color="000000" w:fill="auto"/>
          </w:tcPr>
          <w:p w:rsidR="00552DFA" w:rsidRPr="00ED412F" w:rsidRDefault="00552DFA" w:rsidP="00423C3D">
            <w:pPr>
              <w:keepLines w:val="0"/>
              <w:autoSpaceDE w:val="0"/>
              <w:autoSpaceDN w:val="0"/>
              <w:adjustRightInd w:val="0"/>
              <w:jc w:val="right"/>
              <w:rPr>
                <w:rFonts w:eastAsiaTheme="minorEastAsia" w:cs="Calibri"/>
                <w:iCs/>
                <w:color w:val="FFFFFF"/>
                <w:szCs w:val="19"/>
                <w:lang w:eastAsia="en-AU"/>
              </w:rPr>
            </w:pPr>
            <w:r w:rsidRPr="00ED412F">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552DFA" w:rsidRPr="00ED412F"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ED412F">
              <w:rPr>
                <w:rFonts w:eastAsiaTheme="minorEastAsia" w:cs="Calibri"/>
                <w:iCs/>
                <w:color w:val="FFFFFF"/>
                <w:szCs w:val="19"/>
                <w:lang w:eastAsia="en-AU"/>
              </w:rPr>
              <w:t>budget</w:t>
            </w:r>
          </w:p>
        </w:tc>
        <w:tc>
          <w:tcPr>
            <w:tcW w:w="850" w:type="dxa"/>
            <w:tcBorders>
              <w:top w:val="nil"/>
              <w:left w:val="nil"/>
              <w:bottom w:val="nil"/>
              <w:right w:val="nil"/>
            </w:tcBorders>
            <w:shd w:val="solid" w:color="000000" w:fill="auto"/>
          </w:tcPr>
          <w:p w:rsidR="00552DFA" w:rsidRPr="00ED412F"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ED412F">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ED412F"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ED412F">
              <w:rPr>
                <w:rFonts w:eastAsiaTheme="minorEastAsia" w:cs="Calibri"/>
                <w:iCs/>
                <w:color w:val="FFFFFF"/>
                <w:szCs w:val="19"/>
                <w:lang w:eastAsia="en-AU"/>
              </w:rPr>
              <w:t>estimate</w:t>
            </w:r>
          </w:p>
        </w:tc>
      </w:tr>
      <w:tr w:rsidR="00552DFA" w:rsidRPr="00ED412F" w:rsidTr="00423C3D">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552DFA" w:rsidRPr="00ED412F" w:rsidRDefault="00552DFA" w:rsidP="00423C3D">
            <w:pPr>
              <w:keepLines w:val="0"/>
              <w:autoSpaceDE w:val="0"/>
              <w:autoSpaceDN w:val="0"/>
              <w:adjustRightInd w:val="0"/>
              <w:rPr>
                <w:rFonts w:eastAsiaTheme="minorEastAsia" w:cs="Calibri"/>
                <w:b/>
                <w:bCs/>
                <w:i/>
                <w:iCs/>
                <w:color w:val="000000"/>
                <w:szCs w:val="19"/>
                <w:lang w:eastAsia="en-AU"/>
              </w:rPr>
            </w:pPr>
            <w:r w:rsidRPr="00ED412F">
              <w:rPr>
                <w:rFonts w:eastAsiaTheme="minorEastAsia" w:cs="Calibri"/>
                <w:b/>
                <w:bCs/>
                <w:color w:val="000000"/>
                <w:szCs w:val="19"/>
                <w:lang w:eastAsia="en-AU"/>
              </w:rPr>
              <w:t xml:space="preserve">Net result from transactions: </w:t>
            </w:r>
            <w:r w:rsidRPr="00ED412F">
              <w:rPr>
                <w:rFonts w:eastAsiaTheme="minorEastAsia" w:cs="Calibri"/>
                <w:b/>
                <w:bCs/>
                <w:i/>
                <w:iCs/>
                <w:color w:val="000000"/>
                <w:szCs w:val="19"/>
                <w:lang w:eastAsia="en-AU"/>
              </w:rPr>
              <w:t>2016</w:t>
            </w:r>
            <w:r>
              <w:rPr>
                <w:rFonts w:eastAsiaTheme="minorEastAsia" w:cs="Calibri"/>
                <w:b/>
                <w:bCs/>
                <w:i/>
                <w:iCs/>
                <w:color w:val="000000"/>
                <w:szCs w:val="19"/>
                <w:lang w:eastAsia="en-AU"/>
              </w:rPr>
              <w:noBreakHyphen/>
            </w:r>
            <w:r w:rsidRPr="00ED412F">
              <w:rPr>
                <w:rFonts w:eastAsiaTheme="minorEastAsia" w:cs="Calibri"/>
                <w:b/>
                <w:bCs/>
                <w:i/>
                <w:iCs/>
                <w:color w:val="000000"/>
                <w:szCs w:val="19"/>
                <w:lang w:eastAsia="en-AU"/>
              </w:rPr>
              <w:t>17 Budget Update</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ED412F">
              <w:rPr>
                <w:rFonts w:eastAsiaTheme="minorEastAsia" w:cs="Calibri"/>
                <w:b/>
                <w:bCs/>
                <w:color w:val="000000"/>
                <w:szCs w:val="19"/>
                <w:lang w:eastAsia="en-AU"/>
              </w:rPr>
              <w:t>1 228</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ED412F">
              <w:rPr>
                <w:rFonts w:eastAsiaTheme="minorEastAsia" w:cs="Calibri"/>
                <w:b/>
                <w:bCs/>
                <w:color w:val="000000"/>
                <w:szCs w:val="19"/>
                <w:lang w:eastAsia="en-AU"/>
              </w:rPr>
              <w:t>1 778</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ED412F">
              <w:rPr>
                <w:rFonts w:eastAsiaTheme="minorEastAsia" w:cs="Calibri"/>
                <w:b/>
                <w:bCs/>
                <w:color w:val="000000"/>
                <w:szCs w:val="19"/>
                <w:lang w:eastAsia="en-AU"/>
              </w:rPr>
              <w:t>2 624</w:t>
            </w:r>
          </w:p>
        </w:tc>
      </w:tr>
      <w:tr w:rsidR="00552DFA" w:rsidRPr="00ED412F" w:rsidTr="00423C3D">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552DFA" w:rsidRPr="00ED412F" w:rsidRDefault="00552DFA" w:rsidP="00423C3D">
            <w:pPr>
              <w:keepLines w:val="0"/>
              <w:autoSpaceDE w:val="0"/>
              <w:autoSpaceDN w:val="0"/>
              <w:adjustRightInd w:val="0"/>
              <w:rPr>
                <w:rFonts w:eastAsiaTheme="minorEastAsia" w:cs="Calibri"/>
                <w:b/>
                <w:bCs/>
                <w:color w:val="000000"/>
                <w:szCs w:val="19"/>
                <w:lang w:eastAsia="en-AU"/>
              </w:rPr>
            </w:pPr>
            <w:r w:rsidRPr="00ED412F">
              <w:rPr>
                <w:rFonts w:eastAsiaTheme="minorEastAsia" w:cs="Calibri"/>
                <w:b/>
                <w:bCs/>
                <w:color w:val="000000"/>
                <w:szCs w:val="19"/>
                <w:lang w:eastAsia="en-AU"/>
              </w:rPr>
              <w:t>Policy decision variations</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p>
        </w:tc>
      </w:tr>
      <w:tr w:rsidR="00552DFA" w:rsidRPr="00ED412F" w:rsidTr="00423C3D">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552DFA" w:rsidRPr="00ED412F" w:rsidRDefault="00552DFA" w:rsidP="00423C3D">
            <w:pPr>
              <w:keepLines w:val="0"/>
              <w:autoSpaceDE w:val="0"/>
              <w:autoSpaceDN w:val="0"/>
              <w:adjustRightInd w:val="0"/>
              <w:rPr>
                <w:rFonts w:eastAsiaTheme="minorEastAsia" w:cs="Calibri"/>
                <w:color w:val="000000"/>
                <w:szCs w:val="19"/>
                <w:lang w:eastAsia="en-AU"/>
              </w:rPr>
            </w:pPr>
            <w:r w:rsidRPr="00ED412F">
              <w:rPr>
                <w:rFonts w:eastAsiaTheme="minorEastAsia" w:cs="Calibri"/>
                <w:color w:val="000000"/>
                <w:szCs w:val="19"/>
                <w:lang w:eastAsia="en-AU"/>
              </w:rPr>
              <w:t>Revenue policy decision variations</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(43)</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13</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126</w:t>
            </w:r>
          </w:p>
        </w:tc>
      </w:tr>
      <w:tr w:rsidR="00552DFA" w:rsidRPr="00ED412F" w:rsidTr="00423C3D">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552DFA" w:rsidRPr="00ED412F" w:rsidRDefault="00552DFA" w:rsidP="00423C3D">
            <w:pPr>
              <w:keepLines w:val="0"/>
              <w:autoSpaceDE w:val="0"/>
              <w:autoSpaceDN w:val="0"/>
              <w:adjustRightInd w:val="0"/>
              <w:rPr>
                <w:rFonts w:eastAsiaTheme="minorEastAsia" w:cs="Calibri"/>
                <w:color w:val="000000"/>
                <w:szCs w:val="19"/>
                <w:vertAlign w:val="superscript"/>
                <w:lang w:eastAsia="en-AU"/>
              </w:rPr>
            </w:pPr>
            <w:r w:rsidRPr="00ED412F">
              <w:rPr>
                <w:rFonts w:eastAsiaTheme="minorEastAsia" w:cs="Calibri"/>
                <w:color w:val="000000"/>
                <w:szCs w:val="19"/>
                <w:lang w:eastAsia="en-AU"/>
              </w:rPr>
              <w:t xml:space="preserve">Output policy decision variations </w:t>
            </w:r>
            <w:r w:rsidRPr="00ED412F">
              <w:rPr>
                <w:rFonts w:eastAsiaTheme="minorEastAsia" w:cs="Calibri"/>
                <w:color w:val="000000"/>
                <w:szCs w:val="19"/>
                <w:vertAlign w:val="superscript"/>
                <w:lang w:eastAsia="en-AU"/>
              </w:rPr>
              <w:t>(b)</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D412F">
              <w:rPr>
                <w:rFonts w:eastAsiaTheme="minorEastAsia" w:cs="Calibri"/>
                <w:color w:val="000000"/>
                <w:szCs w:val="19"/>
                <w:lang w:eastAsia="en-AU"/>
              </w:rPr>
              <w:t>(1 882)</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D412F">
              <w:rPr>
                <w:rFonts w:eastAsiaTheme="minorEastAsia" w:cs="Calibri"/>
                <w:color w:val="000000"/>
                <w:szCs w:val="19"/>
                <w:lang w:eastAsia="en-AU"/>
              </w:rPr>
              <w:t>(1 421)</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(838)</w:t>
            </w:r>
          </w:p>
        </w:tc>
      </w:tr>
      <w:tr w:rsidR="00552DFA" w:rsidRPr="00ED412F" w:rsidTr="00423C3D">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552DFA" w:rsidRPr="00ED412F" w:rsidRDefault="00552DFA" w:rsidP="00423C3D">
            <w:pPr>
              <w:keepLines w:val="0"/>
              <w:autoSpaceDE w:val="0"/>
              <w:autoSpaceDN w:val="0"/>
              <w:adjustRightInd w:val="0"/>
              <w:rPr>
                <w:rFonts w:eastAsiaTheme="minorEastAsia" w:cs="Calibri"/>
                <w:color w:val="000000"/>
                <w:szCs w:val="19"/>
                <w:lang w:eastAsia="en-AU"/>
              </w:rPr>
            </w:pPr>
            <w:r w:rsidRPr="00ED412F">
              <w:rPr>
                <w:rFonts w:eastAsiaTheme="minorEastAsia" w:cs="Calibri"/>
                <w:color w:val="000000"/>
                <w:szCs w:val="19"/>
                <w:lang w:eastAsia="en-AU"/>
              </w:rPr>
              <w:t xml:space="preserve"> </w:t>
            </w:r>
          </w:p>
        </w:tc>
        <w:tc>
          <w:tcPr>
            <w:tcW w:w="850" w:type="dxa"/>
            <w:tcBorders>
              <w:top w:val="single" w:sz="6" w:space="0" w:color="auto"/>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ED412F">
              <w:rPr>
                <w:rFonts w:eastAsiaTheme="minorEastAsia" w:cs="Calibri"/>
                <w:b/>
                <w:bCs/>
                <w:color w:val="000000"/>
                <w:szCs w:val="19"/>
                <w:lang w:eastAsia="en-AU"/>
              </w:rPr>
              <w:t>(1 925)</w:t>
            </w:r>
          </w:p>
        </w:tc>
        <w:tc>
          <w:tcPr>
            <w:tcW w:w="850" w:type="dxa"/>
            <w:tcBorders>
              <w:top w:val="single" w:sz="6" w:space="0" w:color="auto"/>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ED412F">
              <w:rPr>
                <w:rFonts w:eastAsiaTheme="minorEastAsia" w:cs="Calibri"/>
                <w:b/>
                <w:bCs/>
                <w:color w:val="000000"/>
                <w:szCs w:val="19"/>
                <w:lang w:eastAsia="en-AU"/>
              </w:rPr>
              <w:t>(1 408)</w:t>
            </w:r>
          </w:p>
        </w:tc>
        <w:tc>
          <w:tcPr>
            <w:tcW w:w="850" w:type="dxa"/>
            <w:tcBorders>
              <w:top w:val="single" w:sz="6" w:space="0" w:color="auto"/>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(712)</w:t>
            </w:r>
          </w:p>
        </w:tc>
      </w:tr>
      <w:tr w:rsidR="00552DFA" w:rsidRPr="00ED412F" w:rsidTr="00423C3D">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552DFA" w:rsidRPr="00ED412F" w:rsidRDefault="00552DFA" w:rsidP="00423C3D">
            <w:pPr>
              <w:keepLines w:val="0"/>
              <w:autoSpaceDE w:val="0"/>
              <w:autoSpaceDN w:val="0"/>
              <w:adjustRightInd w:val="0"/>
              <w:rPr>
                <w:rFonts w:eastAsiaTheme="minorEastAsia" w:cs="Calibri"/>
                <w:b/>
                <w:bCs/>
                <w:color w:val="000000"/>
                <w:szCs w:val="19"/>
                <w:lang w:eastAsia="en-AU"/>
              </w:rPr>
            </w:pPr>
            <w:r w:rsidRPr="00ED412F">
              <w:rPr>
                <w:rFonts w:eastAsiaTheme="minorEastAsia" w:cs="Calibri"/>
                <w:b/>
                <w:bCs/>
                <w:color w:val="000000"/>
                <w:szCs w:val="19"/>
                <w:lang w:eastAsia="en-AU"/>
              </w:rPr>
              <w:t>Economic/demographic variations</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p>
        </w:tc>
      </w:tr>
      <w:tr w:rsidR="00552DFA" w:rsidRPr="00ED412F" w:rsidTr="00423C3D">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552DFA" w:rsidRPr="00ED412F" w:rsidRDefault="00552DFA" w:rsidP="00423C3D">
            <w:pPr>
              <w:keepLines w:val="0"/>
              <w:autoSpaceDE w:val="0"/>
              <w:autoSpaceDN w:val="0"/>
              <w:adjustRightInd w:val="0"/>
              <w:rPr>
                <w:rFonts w:eastAsiaTheme="minorEastAsia" w:cs="Calibri"/>
                <w:color w:val="000000"/>
                <w:szCs w:val="19"/>
                <w:lang w:eastAsia="en-AU"/>
              </w:rPr>
            </w:pPr>
            <w:r w:rsidRPr="00ED412F">
              <w:rPr>
                <w:rFonts w:eastAsiaTheme="minorEastAsia" w:cs="Calibri"/>
                <w:color w:val="000000"/>
                <w:szCs w:val="19"/>
                <w:lang w:eastAsia="en-AU"/>
              </w:rPr>
              <w:t>Taxation</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380</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475</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520</w:t>
            </w:r>
          </w:p>
        </w:tc>
      </w:tr>
      <w:tr w:rsidR="00552DFA" w:rsidRPr="00ED412F" w:rsidTr="00423C3D">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552DFA" w:rsidRPr="00ED412F" w:rsidRDefault="00552DFA" w:rsidP="00423C3D">
            <w:pPr>
              <w:keepLines w:val="0"/>
              <w:autoSpaceDE w:val="0"/>
              <w:autoSpaceDN w:val="0"/>
              <w:adjustRightInd w:val="0"/>
              <w:rPr>
                <w:rFonts w:eastAsiaTheme="minorEastAsia" w:cs="Calibri"/>
                <w:color w:val="000000"/>
                <w:szCs w:val="19"/>
                <w:vertAlign w:val="superscript"/>
                <w:lang w:eastAsia="en-AU"/>
              </w:rPr>
            </w:pPr>
            <w:r w:rsidRPr="00ED412F">
              <w:rPr>
                <w:rFonts w:eastAsiaTheme="minorEastAsia" w:cs="Calibri"/>
                <w:color w:val="000000"/>
                <w:szCs w:val="19"/>
                <w:lang w:eastAsia="en-AU"/>
              </w:rPr>
              <w:t xml:space="preserve">Investment income </w:t>
            </w:r>
            <w:r w:rsidRPr="00ED412F">
              <w:rPr>
                <w:rFonts w:eastAsiaTheme="minorEastAsia" w:cs="Calibri"/>
                <w:color w:val="000000"/>
                <w:szCs w:val="19"/>
                <w:vertAlign w:val="superscript"/>
                <w:lang w:eastAsia="en-AU"/>
              </w:rPr>
              <w:t>(c)</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190</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(68)</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(144)</w:t>
            </w:r>
          </w:p>
        </w:tc>
      </w:tr>
      <w:tr w:rsidR="00552DFA" w:rsidRPr="00ED412F" w:rsidTr="00423C3D">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552DFA" w:rsidRPr="00ED412F" w:rsidRDefault="00552DFA" w:rsidP="00423C3D">
            <w:pPr>
              <w:keepLines w:val="0"/>
              <w:autoSpaceDE w:val="0"/>
              <w:autoSpaceDN w:val="0"/>
              <w:adjustRightInd w:val="0"/>
              <w:rPr>
                <w:rFonts w:eastAsiaTheme="minorEastAsia" w:cs="Calibri"/>
                <w:color w:val="000000"/>
                <w:szCs w:val="19"/>
                <w:lang w:eastAsia="en-AU"/>
              </w:rPr>
            </w:pPr>
            <w:r w:rsidRPr="00ED412F">
              <w:rPr>
                <w:rFonts w:eastAsiaTheme="minorEastAsia" w:cs="Calibri"/>
                <w:color w:val="000000"/>
                <w:szCs w:val="19"/>
                <w:lang w:eastAsia="en-AU"/>
              </w:rPr>
              <w:t xml:space="preserve"> </w:t>
            </w:r>
          </w:p>
        </w:tc>
        <w:tc>
          <w:tcPr>
            <w:tcW w:w="850" w:type="dxa"/>
            <w:tcBorders>
              <w:top w:val="single" w:sz="6" w:space="0" w:color="auto"/>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570</w:t>
            </w:r>
          </w:p>
        </w:tc>
        <w:tc>
          <w:tcPr>
            <w:tcW w:w="850" w:type="dxa"/>
            <w:tcBorders>
              <w:top w:val="single" w:sz="6" w:space="0" w:color="auto"/>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406</w:t>
            </w:r>
          </w:p>
        </w:tc>
        <w:tc>
          <w:tcPr>
            <w:tcW w:w="850" w:type="dxa"/>
            <w:tcBorders>
              <w:top w:val="single" w:sz="6" w:space="0" w:color="auto"/>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376</w:t>
            </w:r>
          </w:p>
        </w:tc>
      </w:tr>
      <w:tr w:rsidR="00552DFA" w:rsidRPr="00ED412F" w:rsidTr="00423C3D">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552DFA" w:rsidRPr="00ED412F" w:rsidRDefault="00552DFA" w:rsidP="00423C3D">
            <w:pPr>
              <w:keepLines w:val="0"/>
              <w:autoSpaceDE w:val="0"/>
              <w:autoSpaceDN w:val="0"/>
              <w:adjustRightInd w:val="0"/>
              <w:rPr>
                <w:rFonts w:eastAsiaTheme="minorEastAsia" w:cs="Calibri"/>
                <w:b/>
                <w:bCs/>
                <w:color w:val="000000"/>
                <w:szCs w:val="19"/>
                <w:lang w:eastAsia="en-AU"/>
              </w:rPr>
            </w:pPr>
            <w:r w:rsidRPr="00ED412F">
              <w:rPr>
                <w:rFonts w:eastAsiaTheme="minorEastAsia" w:cs="Calibri"/>
                <w:b/>
                <w:bCs/>
                <w:color w:val="000000"/>
                <w:szCs w:val="19"/>
                <w:lang w:eastAsia="en-AU"/>
              </w:rPr>
              <w:t>Commonwealth grant variations</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p>
        </w:tc>
      </w:tr>
      <w:tr w:rsidR="00552DFA" w:rsidRPr="00ED412F" w:rsidTr="00423C3D">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552DFA" w:rsidRPr="00ED412F" w:rsidRDefault="00552DFA" w:rsidP="00423C3D">
            <w:pPr>
              <w:keepLines w:val="0"/>
              <w:autoSpaceDE w:val="0"/>
              <w:autoSpaceDN w:val="0"/>
              <w:adjustRightInd w:val="0"/>
              <w:rPr>
                <w:rFonts w:eastAsiaTheme="minorEastAsia" w:cs="Calibri"/>
                <w:color w:val="000000"/>
                <w:szCs w:val="19"/>
                <w:lang w:eastAsia="en-AU"/>
              </w:rPr>
            </w:pPr>
            <w:r w:rsidRPr="00ED412F">
              <w:rPr>
                <w:rFonts w:eastAsiaTheme="minorEastAsia" w:cs="Calibri"/>
                <w:color w:val="000000"/>
                <w:szCs w:val="19"/>
                <w:lang w:eastAsia="en-AU"/>
              </w:rPr>
              <w:t>General purpose grants</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(12)</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(9)</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112</w:t>
            </w:r>
          </w:p>
        </w:tc>
      </w:tr>
      <w:tr w:rsidR="00552DFA" w:rsidRPr="00ED412F" w:rsidTr="00423C3D">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552DFA" w:rsidRPr="00ED412F" w:rsidRDefault="00552DFA" w:rsidP="00423C3D">
            <w:pPr>
              <w:keepLines w:val="0"/>
              <w:autoSpaceDE w:val="0"/>
              <w:autoSpaceDN w:val="0"/>
              <w:adjustRightInd w:val="0"/>
              <w:rPr>
                <w:rFonts w:eastAsiaTheme="minorEastAsia" w:cs="Calibri"/>
                <w:color w:val="000000"/>
                <w:szCs w:val="19"/>
                <w:vertAlign w:val="superscript"/>
                <w:lang w:eastAsia="en-AU"/>
              </w:rPr>
            </w:pPr>
            <w:r w:rsidRPr="00ED412F">
              <w:rPr>
                <w:rFonts w:eastAsiaTheme="minorEastAsia" w:cs="Calibri"/>
                <w:color w:val="000000"/>
                <w:szCs w:val="19"/>
                <w:lang w:eastAsia="en-AU"/>
              </w:rPr>
              <w:t xml:space="preserve">Specific purpose grants </w:t>
            </w:r>
            <w:r w:rsidRPr="00ED412F">
              <w:rPr>
                <w:rFonts w:eastAsiaTheme="minorEastAsia" w:cs="Calibri"/>
                <w:color w:val="000000"/>
                <w:szCs w:val="19"/>
                <w:vertAlign w:val="superscript"/>
                <w:lang w:eastAsia="en-AU"/>
              </w:rPr>
              <w:t>(d)</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240</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482</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(62)</w:t>
            </w:r>
          </w:p>
        </w:tc>
      </w:tr>
      <w:tr w:rsidR="00552DFA" w:rsidRPr="00ED412F" w:rsidTr="00423C3D">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552DFA" w:rsidRPr="00ED412F" w:rsidRDefault="00552DFA" w:rsidP="00423C3D">
            <w:pPr>
              <w:keepLines w:val="0"/>
              <w:autoSpaceDE w:val="0"/>
              <w:autoSpaceDN w:val="0"/>
              <w:adjustRightInd w:val="0"/>
              <w:rPr>
                <w:rFonts w:eastAsiaTheme="minorEastAsia" w:cs="Calibri"/>
                <w:color w:val="000000"/>
                <w:szCs w:val="19"/>
                <w:lang w:eastAsia="en-AU"/>
              </w:rPr>
            </w:pPr>
            <w:r w:rsidRPr="00ED412F">
              <w:rPr>
                <w:rFonts w:eastAsiaTheme="minorEastAsia" w:cs="Calibri"/>
                <w:color w:val="000000"/>
                <w:szCs w:val="19"/>
                <w:lang w:eastAsia="en-AU"/>
              </w:rPr>
              <w:t xml:space="preserve"> </w:t>
            </w:r>
          </w:p>
        </w:tc>
        <w:tc>
          <w:tcPr>
            <w:tcW w:w="850" w:type="dxa"/>
            <w:tcBorders>
              <w:top w:val="single" w:sz="6" w:space="0" w:color="auto"/>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228</w:t>
            </w:r>
          </w:p>
        </w:tc>
        <w:tc>
          <w:tcPr>
            <w:tcW w:w="850" w:type="dxa"/>
            <w:tcBorders>
              <w:top w:val="single" w:sz="6" w:space="0" w:color="auto"/>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474</w:t>
            </w:r>
          </w:p>
        </w:tc>
        <w:tc>
          <w:tcPr>
            <w:tcW w:w="850" w:type="dxa"/>
            <w:tcBorders>
              <w:top w:val="single" w:sz="6" w:space="0" w:color="auto"/>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50</w:t>
            </w:r>
          </w:p>
        </w:tc>
      </w:tr>
      <w:tr w:rsidR="00552DFA" w:rsidRPr="00ED412F" w:rsidTr="00423C3D">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552DFA" w:rsidRPr="00ED412F" w:rsidRDefault="00552DFA" w:rsidP="00423C3D">
            <w:pPr>
              <w:keepLines w:val="0"/>
              <w:autoSpaceDE w:val="0"/>
              <w:autoSpaceDN w:val="0"/>
              <w:adjustRightInd w:val="0"/>
              <w:rPr>
                <w:rFonts w:eastAsiaTheme="minorEastAsia" w:cs="Calibri"/>
                <w:b/>
                <w:bCs/>
                <w:color w:val="000000"/>
                <w:szCs w:val="19"/>
                <w:lang w:eastAsia="en-AU"/>
              </w:rPr>
            </w:pPr>
            <w:r w:rsidRPr="00ED412F">
              <w:rPr>
                <w:rFonts w:eastAsiaTheme="minorEastAsia" w:cs="Calibri"/>
                <w:b/>
                <w:bCs/>
                <w:color w:val="000000"/>
                <w:szCs w:val="19"/>
                <w:lang w:eastAsia="en-AU"/>
              </w:rPr>
              <w:t>Administrative variations</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p>
        </w:tc>
      </w:tr>
      <w:tr w:rsidR="00552DFA" w:rsidRPr="00ED412F" w:rsidTr="00423C3D">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552DFA" w:rsidRPr="00ED412F" w:rsidRDefault="00552DFA" w:rsidP="00423C3D">
            <w:pPr>
              <w:keepLines w:val="0"/>
              <w:autoSpaceDE w:val="0"/>
              <w:autoSpaceDN w:val="0"/>
              <w:adjustRightInd w:val="0"/>
              <w:rPr>
                <w:rFonts w:eastAsiaTheme="minorEastAsia" w:cs="Calibri"/>
                <w:color w:val="000000"/>
                <w:szCs w:val="19"/>
                <w:vertAlign w:val="superscript"/>
                <w:lang w:eastAsia="en-AU"/>
              </w:rPr>
            </w:pPr>
            <w:r w:rsidRPr="00ED412F">
              <w:rPr>
                <w:rFonts w:eastAsiaTheme="minorEastAsia" w:cs="Calibri"/>
                <w:color w:val="000000"/>
                <w:szCs w:val="19"/>
                <w:lang w:eastAsia="en-AU"/>
              </w:rPr>
              <w:t xml:space="preserve">Contingency offset for new policy </w:t>
            </w:r>
            <w:r w:rsidRPr="00ED412F">
              <w:rPr>
                <w:rFonts w:eastAsiaTheme="minorEastAsia" w:cs="Calibri"/>
                <w:color w:val="000000"/>
                <w:szCs w:val="19"/>
                <w:vertAlign w:val="superscript"/>
                <w:lang w:eastAsia="en-AU"/>
              </w:rPr>
              <w:t>(e)</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200</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200</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200</w:t>
            </w:r>
          </w:p>
        </w:tc>
      </w:tr>
      <w:tr w:rsidR="00552DFA" w:rsidRPr="00ED412F" w:rsidTr="00423C3D">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552DFA" w:rsidRPr="00ED412F" w:rsidRDefault="00552DFA" w:rsidP="00423C3D">
            <w:pPr>
              <w:keepLines w:val="0"/>
              <w:autoSpaceDE w:val="0"/>
              <w:autoSpaceDN w:val="0"/>
              <w:adjustRightInd w:val="0"/>
              <w:rPr>
                <w:rFonts w:eastAsiaTheme="minorEastAsia" w:cs="Calibri"/>
                <w:color w:val="000000"/>
                <w:szCs w:val="19"/>
                <w:lang w:eastAsia="en-AU"/>
              </w:rPr>
            </w:pPr>
            <w:r w:rsidRPr="00ED412F">
              <w:rPr>
                <w:rFonts w:eastAsiaTheme="minorEastAsia" w:cs="Calibri"/>
                <w:color w:val="000000"/>
                <w:szCs w:val="19"/>
                <w:lang w:eastAsia="en-AU"/>
              </w:rPr>
              <w:t>Other administrative variations</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851</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525</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(133)</w:t>
            </w:r>
          </w:p>
        </w:tc>
      </w:tr>
      <w:tr w:rsidR="00552DFA" w:rsidRPr="00ED412F" w:rsidTr="00423C3D">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552DFA" w:rsidRPr="00ED412F" w:rsidRDefault="00552DFA" w:rsidP="00423C3D">
            <w:pPr>
              <w:keepLines w:val="0"/>
              <w:autoSpaceDE w:val="0"/>
              <w:autoSpaceDN w:val="0"/>
              <w:adjustRightInd w:val="0"/>
              <w:rPr>
                <w:rFonts w:eastAsiaTheme="minorEastAsia" w:cs="Calibri"/>
                <w:color w:val="000000"/>
                <w:szCs w:val="19"/>
                <w:lang w:eastAsia="en-AU"/>
              </w:rPr>
            </w:pPr>
            <w:r w:rsidRPr="00ED412F">
              <w:rPr>
                <w:rFonts w:eastAsiaTheme="minorEastAsia" w:cs="Calibri"/>
                <w:color w:val="000000"/>
                <w:szCs w:val="19"/>
                <w:lang w:eastAsia="en-AU"/>
              </w:rPr>
              <w:t xml:space="preserve"> </w:t>
            </w:r>
          </w:p>
        </w:tc>
        <w:tc>
          <w:tcPr>
            <w:tcW w:w="850" w:type="dxa"/>
            <w:tcBorders>
              <w:top w:val="single" w:sz="6" w:space="0" w:color="auto"/>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ED412F">
              <w:rPr>
                <w:rFonts w:eastAsiaTheme="minorEastAsia" w:cs="Calibri"/>
                <w:b/>
                <w:bCs/>
                <w:color w:val="000000"/>
                <w:szCs w:val="19"/>
                <w:lang w:eastAsia="en-AU"/>
              </w:rPr>
              <w:t>1 051</w:t>
            </w:r>
          </w:p>
        </w:tc>
        <w:tc>
          <w:tcPr>
            <w:tcW w:w="850" w:type="dxa"/>
            <w:tcBorders>
              <w:top w:val="single" w:sz="6" w:space="0" w:color="auto"/>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725</w:t>
            </w:r>
          </w:p>
        </w:tc>
        <w:tc>
          <w:tcPr>
            <w:tcW w:w="850" w:type="dxa"/>
            <w:tcBorders>
              <w:top w:val="single" w:sz="6" w:space="0" w:color="auto"/>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67</w:t>
            </w:r>
          </w:p>
        </w:tc>
      </w:tr>
      <w:tr w:rsidR="00552DFA" w:rsidRPr="00ED412F" w:rsidTr="00423C3D">
        <w:trPr>
          <w:trHeight w:hRule="exact" w:val="120"/>
        </w:trPr>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552DFA" w:rsidRPr="00ED412F" w:rsidRDefault="00552DFA" w:rsidP="00423C3D">
            <w:pPr>
              <w:keepLines w:val="0"/>
              <w:autoSpaceDE w:val="0"/>
              <w:autoSpaceDN w:val="0"/>
              <w:adjustRightInd w:val="0"/>
              <w:rPr>
                <w:rFonts w:eastAsiaTheme="minorEastAsia" w:cs="Calibri"/>
                <w:color w:val="000000"/>
                <w:szCs w:val="19"/>
                <w:lang w:eastAsia="en-AU"/>
              </w:rPr>
            </w:pPr>
            <w:r w:rsidRPr="00ED412F">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p>
        </w:tc>
        <w:tc>
          <w:tcPr>
            <w:tcW w:w="850" w:type="dxa"/>
            <w:tcBorders>
              <w:top w:val="nil"/>
              <w:left w:val="nil"/>
              <w:bottom w:val="nil"/>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p>
        </w:tc>
      </w:tr>
      <w:tr w:rsidR="00552DFA" w:rsidRPr="00ED412F" w:rsidTr="00423C3D">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552DFA" w:rsidRPr="00ED412F" w:rsidRDefault="00552DFA" w:rsidP="00423C3D">
            <w:pPr>
              <w:keepLines w:val="0"/>
              <w:autoSpaceDE w:val="0"/>
              <w:autoSpaceDN w:val="0"/>
              <w:adjustRightInd w:val="0"/>
              <w:rPr>
                <w:rFonts w:eastAsiaTheme="minorEastAsia" w:cs="Calibri"/>
                <w:b/>
                <w:bCs/>
                <w:i/>
                <w:iCs/>
                <w:color w:val="000000"/>
                <w:szCs w:val="19"/>
                <w:lang w:eastAsia="en-AU"/>
              </w:rPr>
            </w:pPr>
            <w:r w:rsidRPr="00ED412F">
              <w:rPr>
                <w:rFonts w:eastAsiaTheme="minorEastAsia" w:cs="Calibri"/>
                <w:b/>
                <w:bCs/>
                <w:color w:val="000000"/>
                <w:szCs w:val="19"/>
                <w:lang w:eastAsia="en-AU"/>
              </w:rPr>
              <w:t xml:space="preserve">Total variation since </w:t>
            </w:r>
            <w:r w:rsidRPr="00ED412F">
              <w:rPr>
                <w:rFonts w:eastAsiaTheme="minorEastAsia" w:cs="Calibri"/>
                <w:b/>
                <w:bCs/>
                <w:i/>
                <w:iCs/>
                <w:color w:val="000000"/>
                <w:szCs w:val="19"/>
                <w:lang w:eastAsia="en-AU"/>
              </w:rPr>
              <w:t>2016</w:t>
            </w:r>
            <w:r>
              <w:rPr>
                <w:rFonts w:eastAsiaTheme="minorEastAsia" w:cs="Calibri"/>
                <w:b/>
                <w:bCs/>
                <w:i/>
                <w:iCs/>
                <w:color w:val="000000"/>
                <w:szCs w:val="19"/>
                <w:lang w:eastAsia="en-AU"/>
              </w:rPr>
              <w:noBreakHyphen/>
            </w:r>
            <w:r w:rsidRPr="00ED412F">
              <w:rPr>
                <w:rFonts w:eastAsiaTheme="minorEastAsia" w:cs="Calibri"/>
                <w:b/>
                <w:bCs/>
                <w:i/>
                <w:iCs/>
                <w:color w:val="000000"/>
                <w:szCs w:val="19"/>
                <w:lang w:eastAsia="en-AU"/>
              </w:rPr>
              <w:t>17 Budget Update</w:t>
            </w:r>
          </w:p>
        </w:tc>
        <w:tc>
          <w:tcPr>
            <w:tcW w:w="850" w:type="dxa"/>
            <w:tcBorders>
              <w:top w:val="nil"/>
              <w:left w:val="nil"/>
              <w:bottom w:val="single" w:sz="6" w:space="0" w:color="auto"/>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(75)</w:t>
            </w:r>
          </w:p>
        </w:tc>
        <w:tc>
          <w:tcPr>
            <w:tcW w:w="850" w:type="dxa"/>
            <w:tcBorders>
              <w:top w:val="nil"/>
              <w:left w:val="nil"/>
              <w:bottom w:val="single" w:sz="6" w:space="0" w:color="auto"/>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197</w:t>
            </w:r>
          </w:p>
        </w:tc>
        <w:tc>
          <w:tcPr>
            <w:tcW w:w="850" w:type="dxa"/>
            <w:tcBorders>
              <w:top w:val="nil"/>
              <w:left w:val="nil"/>
              <w:bottom w:val="single" w:sz="6" w:space="0" w:color="auto"/>
              <w:right w:val="nil"/>
            </w:tcBorders>
          </w:tcPr>
          <w:p w:rsidR="00552DFA" w:rsidRPr="00ED412F"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(219)</w:t>
            </w:r>
          </w:p>
        </w:tc>
      </w:tr>
      <w:tr w:rsidR="00552DFA" w:rsidRPr="00ED412F" w:rsidTr="00423C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6" w:type="dxa"/>
            <w:tcBorders>
              <w:top w:val="single" w:sz="6" w:space="0" w:color="auto"/>
              <w:bottom w:val="single" w:sz="12" w:space="0" w:color="auto"/>
            </w:tcBorders>
          </w:tcPr>
          <w:p w:rsidR="00552DFA" w:rsidRPr="00ED412F" w:rsidRDefault="00552DFA" w:rsidP="00423C3D">
            <w:pPr>
              <w:keepLines w:val="0"/>
              <w:autoSpaceDE w:val="0"/>
              <w:autoSpaceDN w:val="0"/>
              <w:adjustRightInd w:val="0"/>
              <w:rPr>
                <w:rFonts w:eastAsiaTheme="minorEastAsia" w:cs="Calibri"/>
                <w:bCs/>
                <w:i/>
                <w:iCs/>
                <w:color w:val="000000"/>
                <w:szCs w:val="19"/>
                <w:lang w:eastAsia="en-AU"/>
              </w:rPr>
            </w:pPr>
            <w:r w:rsidRPr="00ED412F">
              <w:rPr>
                <w:rFonts w:eastAsiaTheme="minorEastAsia" w:cs="Calibri"/>
                <w:bCs/>
                <w:color w:val="000000"/>
                <w:szCs w:val="19"/>
                <w:lang w:eastAsia="en-AU"/>
              </w:rPr>
              <w:t xml:space="preserve">Net Result from transactions: </w:t>
            </w:r>
            <w:r w:rsidRPr="00ED412F">
              <w:rPr>
                <w:rFonts w:eastAsiaTheme="minorEastAsia" w:cs="Calibri"/>
                <w:bCs/>
                <w:i/>
                <w:iCs/>
                <w:color w:val="000000"/>
                <w:szCs w:val="19"/>
                <w:lang w:eastAsia="en-AU"/>
              </w:rPr>
              <w:t>2017</w:t>
            </w:r>
            <w:r>
              <w:rPr>
                <w:rFonts w:eastAsiaTheme="minorEastAsia" w:cs="Calibri"/>
                <w:bCs/>
                <w:i/>
                <w:iCs/>
                <w:color w:val="000000"/>
                <w:szCs w:val="19"/>
                <w:lang w:eastAsia="en-AU"/>
              </w:rPr>
              <w:noBreakHyphen/>
            </w:r>
            <w:r w:rsidRPr="00ED412F">
              <w:rPr>
                <w:rFonts w:eastAsiaTheme="minorEastAsia" w:cs="Calibri"/>
                <w:bCs/>
                <w:i/>
                <w:iCs/>
                <w:color w:val="000000"/>
                <w:szCs w:val="19"/>
                <w:lang w:eastAsia="en-AU"/>
              </w:rPr>
              <w:t>18 Budget</w:t>
            </w:r>
          </w:p>
        </w:tc>
        <w:tc>
          <w:tcPr>
            <w:tcW w:w="850" w:type="dxa"/>
            <w:tcBorders>
              <w:top w:val="nil"/>
              <w:bottom w:val="single" w:sz="12" w:space="0" w:color="auto"/>
            </w:tcBorders>
          </w:tcPr>
          <w:p w:rsidR="00552DFA" w:rsidRPr="00ED412F"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ED412F">
              <w:rPr>
                <w:rFonts w:eastAsiaTheme="minorEastAsia" w:cs="Calibri"/>
                <w:bCs/>
                <w:color w:val="000000"/>
                <w:szCs w:val="19"/>
                <w:lang w:eastAsia="en-AU"/>
              </w:rPr>
              <w:t>1 153</w:t>
            </w:r>
          </w:p>
        </w:tc>
        <w:tc>
          <w:tcPr>
            <w:tcW w:w="850" w:type="dxa"/>
            <w:tcBorders>
              <w:top w:val="nil"/>
              <w:bottom w:val="single" w:sz="12" w:space="0" w:color="auto"/>
            </w:tcBorders>
          </w:tcPr>
          <w:p w:rsidR="00552DFA" w:rsidRPr="00ED412F"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ED412F">
              <w:rPr>
                <w:rFonts w:eastAsiaTheme="minorEastAsia" w:cs="Calibri"/>
                <w:bCs/>
                <w:color w:val="000000"/>
                <w:szCs w:val="19"/>
                <w:lang w:eastAsia="en-AU"/>
              </w:rPr>
              <w:t>1 975</w:t>
            </w:r>
          </w:p>
        </w:tc>
        <w:tc>
          <w:tcPr>
            <w:tcW w:w="850" w:type="dxa"/>
            <w:tcBorders>
              <w:top w:val="nil"/>
              <w:bottom w:val="single" w:sz="12" w:space="0" w:color="auto"/>
            </w:tcBorders>
          </w:tcPr>
          <w:p w:rsidR="00552DFA" w:rsidRPr="00ED412F"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ED412F">
              <w:rPr>
                <w:rFonts w:eastAsiaTheme="minorEastAsia" w:cs="Calibri"/>
                <w:bCs/>
                <w:color w:val="000000"/>
                <w:szCs w:val="19"/>
                <w:lang w:eastAsia="en-AU"/>
              </w:rPr>
              <w:t>2 405</w:t>
            </w:r>
          </w:p>
        </w:tc>
      </w:tr>
    </w:tbl>
    <w:p w:rsidR="00552DFA" w:rsidRPr="00821899" w:rsidRDefault="00552DFA" w:rsidP="00423C3D">
      <w:pPr>
        <w:pStyle w:val="Source"/>
      </w:pPr>
      <w:r w:rsidRPr="00821899">
        <w:t>Source: Department of Treasury and Finance</w:t>
      </w:r>
    </w:p>
    <w:p w:rsidR="00552DFA" w:rsidRPr="00821899" w:rsidRDefault="00552DFA" w:rsidP="00423C3D">
      <w:pPr>
        <w:pStyle w:val="Note"/>
      </w:pPr>
      <w:r w:rsidRPr="00821899">
        <w:t>Notes:</w:t>
      </w:r>
    </w:p>
    <w:p w:rsidR="00552DFA" w:rsidRPr="00821899" w:rsidRDefault="00552DFA" w:rsidP="00423C3D">
      <w:pPr>
        <w:pStyle w:val="Note"/>
      </w:pPr>
      <w:r w:rsidRPr="00821899">
        <w:t xml:space="preserve">(a) </w:t>
      </w:r>
      <w:r w:rsidRPr="00821899">
        <w:tab/>
        <w:t>Figures in this table are subject to rounding to the nearest</w:t>
      </w:r>
      <w:r>
        <w:t> million</w:t>
      </w:r>
      <w:r w:rsidRPr="00821899">
        <w:t xml:space="preserve"> and may not add up to totals.</w:t>
      </w:r>
    </w:p>
    <w:p w:rsidR="00552DFA" w:rsidRPr="00821899" w:rsidRDefault="00552DFA" w:rsidP="00423C3D">
      <w:pPr>
        <w:pStyle w:val="Note"/>
      </w:pPr>
      <w:r w:rsidRPr="00821899">
        <w:t xml:space="preserve">(b) </w:t>
      </w:r>
      <w:r w:rsidRPr="00821899">
        <w:tab/>
        <w:t xml:space="preserve">This is represented in Table 4.4 as the </w:t>
      </w:r>
      <w:r w:rsidRPr="00F323DE">
        <w:rPr>
          <w:i w:val="0"/>
        </w:rPr>
        <w:t>2017</w:t>
      </w:r>
      <w:r>
        <w:rPr>
          <w:i w:val="0"/>
        </w:rPr>
        <w:noBreakHyphen/>
      </w:r>
      <w:r w:rsidRPr="00F323DE">
        <w:rPr>
          <w:i w:val="0"/>
        </w:rPr>
        <w:t>18 Budget</w:t>
      </w:r>
      <w:r w:rsidRPr="00821899">
        <w:t xml:space="preserve"> output policy decisions.</w:t>
      </w:r>
    </w:p>
    <w:p w:rsidR="00552DFA" w:rsidRPr="00821899" w:rsidRDefault="00552DFA" w:rsidP="00423C3D">
      <w:pPr>
        <w:pStyle w:val="Note"/>
      </w:pPr>
      <w:r w:rsidRPr="00821899">
        <w:t>(c)</w:t>
      </w:r>
      <w:r w:rsidRPr="00821899">
        <w:tab/>
        <w:t>Investment income includes dividends and income tax and rate equivalent revenue.</w:t>
      </w:r>
    </w:p>
    <w:p w:rsidR="00552DFA" w:rsidRPr="00821899" w:rsidRDefault="00552DFA" w:rsidP="00423C3D">
      <w:pPr>
        <w:pStyle w:val="Note"/>
      </w:pPr>
      <w:r w:rsidRPr="00821899">
        <w:t>(d)</w:t>
      </w:r>
      <w:r w:rsidRPr="00821899">
        <w:tab/>
        <w:t>Reflects the chang</w:t>
      </w:r>
      <w:r>
        <w:t xml:space="preserve">e in grant revenue as per Note 1.2.4 </w:t>
      </w:r>
      <w:r w:rsidRPr="00821899">
        <w:t xml:space="preserve">of </w:t>
      </w:r>
      <w:r w:rsidRPr="004A2807">
        <w:t>Budget Paper No. 5</w:t>
      </w:r>
      <w:r w:rsidRPr="00821899">
        <w:t xml:space="preserve">, Chapter 1 </w:t>
      </w:r>
      <w:r w:rsidRPr="00F323DE">
        <w:rPr>
          <w:i w:val="0"/>
        </w:rPr>
        <w:t>Grant revenue less associated expense movements</w:t>
      </w:r>
      <w:r w:rsidRPr="00821899">
        <w:t>.</w:t>
      </w:r>
      <w:r>
        <w:t xml:space="preserve"> </w:t>
      </w:r>
    </w:p>
    <w:p w:rsidR="00552DFA" w:rsidRPr="00821899" w:rsidRDefault="00552DFA" w:rsidP="00423C3D">
      <w:pPr>
        <w:pStyle w:val="Note"/>
      </w:pPr>
      <w:r w:rsidRPr="00821899">
        <w:t>(e)</w:t>
      </w:r>
      <w:r w:rsidRPr="00821899">
        <w:tab/>
        <w:t>Represents releases from the Funding not allocated to specific purposes contingency associated with demand for government services. Further information on this conti</w:t>
      </w:r>
      <w:r>
        <w:t>ngency can be found at Note 1.3.5</w:t>
      </w:r>
      <w:r w:rsidRPr="00821899">
        <w:t xml:space="preserve"> of </w:t>
      </w:r>
      <w:r w:rsidRPr="004A2807">
        <w:t>Budget Paper No. 5</w:t>
      </w:r>
      <w:r w:rsidRPr="00821899">
        <w:t xml:space="preserve">, Chapter 1 </w:t>
      </w:r>
      <w:r w:rsidRPr="00821899">
        <w:rPr>
          <w:i w:val="0"/>
        </w:rPr>
        <w:t>Estimated financial statements for the general government sector</w:t>
      </w:r>
      <w:r w:rsidRPr="00821899">
        <w:t>.</w:t>
      </w:r>
      <w:r>
        <w:t xml:space="preserve"> </w:t>
      </w:r>
    </w:p>
    <w:p w:rsidR="00552DFA" w:rsidRDefault="00552DFA">
      <w:pPr>
        <w:keepLines w:val="0"/>
        <w:rPr>
          <w:rFonts w:asciiTheme="majorHAnsi" w:hAnsiTheme="majorHAnsi" w:cstheme="majorBidi"/>
          <w:b/>
          <w:bCs/>
          <w:i/>
          <w:spacing w:val="-2"/>
          <w:szCs w:val="26"/>
        </w:rPr>
      </w:pPr>
      <w:r>
        <w:rPr>
          <w:i/>
        </w:rPr>
        <w:br w:type="page"/>
      </w:r>
    </w:p>
    <w:p w:rsidR="00552DFA" w:rsidRPr="00ED25B3" w:rsidRDefault="00552DFA" w:rsidP="00423C3D">
      <w:pPr>
        <w:pStyle w:val="Heading30"/>
        <w:rPr>
          <w:rFonts w:eastAsiaTheme="minorHAnsi"/>
        </w:rPr>
      </w:pPr>
      <w:r w:rsidRPr="00ED25B3">
        <w:rPr>
          <w:rFonts w:eastAsiaTheme="minorHAnsi"/>
        </w:rPr>
        <w:lastRenderedPageBreak/>
        <w:t>Policy decision variations</w:t>
      </w:r>
    </w:p>
    <w:p w:rsidR="00552DFA" w:rsidRPr="00821899" w:rsidRDefault="00552DFA" w:rsidP="00423C3D">
      <w:r w:rsidRPr="00821899">
        <w:t xml:space="preserve">Policy variations reflect specific decisions by the Government that have an impact on the </w:t>
      </w:r>
      <w:r>
        <w:t>next four years</w:t>
      </w:r>
      <w:r w:rsidRPr="00821899">
        <w:t xml:space="preserve"> and are related to a new policy or represent a change in the Government’s existing policy position since the previous publication.</w:t>
      </w:r>
    </w:p>
    <w:p w:rsidR="00552DFA" w:rsidRPr="00821899" w:rsidRDefault="00552DFA" w:rsidP="00423C3D">
      <w:pPr>
        <w:pStyle w:val="Heading4"/>
        <w:rPr>
          <w:rFonts w:eastAsiaTheme="minorHAnsi"/>
        </w:rPr>
      </w:pPr>
      <w:r w:rsidRPr="00821899">
        <w:rPr>
          <w:rFonts w:eastAsiaTheme="minorHAnsi"/>
        </w:rPr>
        <w:t>Revenue policy decision variations</w:t>
      </w:r>
    </w:p>
    <w:p w:rsidR="00552DFA" w:rsidRPr="00821899" w:rsidRDefault="00552DFA" w:rsidP="00423C3D">
      <w:r>
        <w:t xml:space="preserve">Since the </w:t>
      </w:r>
      <w:r>
        <w:rPr>
          <w:i/>
        </w:rPr>
        <w:t>2016</w:t>
      </w:r>
      <w:r>
        <w:rPr>
          <w:i/>
        </w:rPr>
        <w:noBreakHyphen/>
        <w:t>17 Budget U</w:t>
      </w:r>
      <w:r w:rsidRPr="006D54BB">
        <w:rPr>
          <w:i/>
        </w:rPr>
        <w:t>pdate</w:t>
      </w:r>
      <w:r>
        <w:rPr>
          <w:i/>
        </w:rPr>
        <w:t xml:space="preserve">, </w:t>
      </w:r>
      <w:r w:rsidRPr="008F5E34">
        <w:t>new</w:t>
      </w:r>
      <w:r w:rsidRPr="00821899">
        <w:t xml:space="preserve"> revenue policy decision</w:t>
      </w:r>
      <w:r>
        <w:t>s</w:t>
      </w:r>
      <w:r w:rsidRPr="00821899">
        <w:t xml:space="preserve"> have increased the oper</w:t>
      </w:r>
      <w:r>
        <w:t>ating result by $313 million over the five years to 2020</w:t>
      </w:r>
      <w:r>
        <w:noBreakHyphen/>
        <w:t>21</w:t>
      </w:r>
      <w:r w:rsidRPr="00821899">
        <w:t xml:space="preserve">. Details of the specific policy initiatives since the </w:t>
      </w:r>
      <w:r w:rsidRPr="00821899">
        <w:rPr>
          <w:i/>
        </w:rPr>
        <w:t>2016</w:t>
      </w:r>
      <w:r>
        <w:rPr>
          <w:i/>
        </w:rPr>
        <w:noBreakHyphen/>
      </w:r>
      <w:r w:rsidRPr="00821899">
        <w:rPr>
          <w:i/>
        </w:rPr>
        <w:t xml:space="preserve">17 Budget Update </w:t>
      </w:r>
      <w:r w:rsidRPr="00821899">
        <w:t xml:space="preserve">are contained in Budget Paper No. 3, Chapter 1 </w:t>
      </w:r>
      <w:r w:rsidRPr="00821899">
        <w:rPr>
          <w:i/>
        </w:rPr>
        <w:t>Output, asset investment, savings and revenue initiatives.</w:t>
      </w:r>
    </w:p>
    <w:p w:rsidR="00552DFA" w:rsidRPr="00821899" w:rsidRDefault="00552DFA" w:rsidP="00423C3D">
      <w:pPr>
        <w:pStyle w:val="Heading4"/>
        <w:rPr>
          <w:rFonts w:eastAsiaTheme="minorHAnsi"/>
        </w:rPr>
      </w:pPr>
      <w:r w:rsidRPr="00821899">
        <w:rPr>
          <w:rFonts w:eastAsiaTheme="minorHAnsi"/>
        </w:rPr>
        <w:t>Output policy decision variations</w:t>
      </w:r>
    </w:p>
    <w:p w:rsidR="00552DFA" w:rsidRPr="00821899" w:rsidRDefault="00552DFA" w:rsidP="00423C3D">
      <w:pPr>
        <w:rPr>
          <w:i/>
        </w:rPr>
      </w:pPr>
      <w:r w:rsidRPr="00821899">
        <w:t xml:space="preserve">The </w:t>
      </w:r>
      <w:r w:rsidRPr="00821899">
        <w:rPr>
          <w:i/>
        </w:rPr>
        <w:t>2017</w:t>
      </w:r>
      <w:r>
        <w:rPr>
          <w:i/>
        </w:rPr>
        <w:noBreakHyphen/>
      </w:r>
      <w:r w:rsidRPr="00821899">
        <w:rPr>
          <w:i/>
        </w:rPr>
        <w:t>18 Budget</w:t>
      </w:r>
      <w:r>
        <w:t xml:space="preserve"> provides $9.6 billion</w:t>
      </w:r>
      <w:r w:rsidRPr="00821899">
        <w:t xml:space="preserve"> in new output initiatives over the five years t</w:t>
      </w:r>
      <w:r>
        <w:t>o</w:t>
      </w:r>
      <w:r w:rsidRPr="00821899">
        <w:t xml:space="preserve"> 2020</w:t>
      </w:r>
      <w:r>
        <w:noBreakHyphen/>
      </w:r>
      <w:r w:rsidRPr="00821899">
        <w:t xml:space="preserve">21. Table 4.4 shows the impact of the new output measures in this budget, with further detail in Budget Paper No. 3, Chapter 1 </w:t>
      </w:r>
      <w:r w:rsidRPr="00821899">
        <w:rPr>
          <w:i/>
        </w:rPr>
        <w:t>Output, asset investment, savings and revenue initiatives.</w:t>
      </w:r>
    </w:p>
    <w:p w:rsidR="00552DFA" w:rsidRPr="00DC137B" w:rsidRDefault="00552DFA" w:rsidP="00423C3D">
      <w:pPr>
        <w:pStyle w:val="TableHeading"/>
        <w:rPr>
          <w:bCs/>
          <w:lang w:val="en-US"/>
        </w:rPr>
      </w:pPr>
      <w:r w:rsidRPr="00821899">
        <w:t>Table 4.4:</w:t>
      </w:r>
      <w:r w:rsidRPr="00821899">
        <w:tab/>
        <w:t xml:space="preserve">Net impact of the </w:t>
      </w:r>
      <w:r w:rsidRPr="00821899">
        <w:rPr>
          <w:i/>
        </w:rPr>
        <w:t>2017</w:t>
      </w:r>
      <w:r>
        <w:rPr>
          <w:i/>
        </w:rPr>
        <w:noBreakHyphen/>
      </w:r>
      <w:r w:rsidRPr="00821899">
        <w:rPr>
          <w:i/>
        </w:rPr>
        <w:t>18 Budget</w:t>
      </w:r>
      <w:r w:rsidRPr="00821899">
        <w:t xml:space="preserve"> new output initiatives</w:t>
      </w:r>
      <w:r w:rsidR="00352F2E">
        <w:t xml:space="preserve"> </w:t>
      </w:r>
      <w:r w:rsidRPr="00821899">
        <w:rPr>
          <w:vertAlign w:val="superscript"/>
        </w:rPr>
        <w:t xml:space="preserve">(a) </w:t>
      </w:r>
      <w:r w:rsidRPr="00821899">
        <w:rPr>
          <w:vertAlign w:val="superscript"/>
        </w:rPr>
        <w:tab/>
      </w:r>
      <w:r w:rsidRPr="00821899">
        <w:t>($</w:t>
      </w:r>
      <w:r>
        <w:t> million</w:t>
      </w:r>
      <w:r w:rsidRPr="00821899">
        <w: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4365"/>
        <w:gridCol w:w="850"/>
        <w:gridCol w:w="850"/>
        <w:gridCol w:w="850"/>
        <w:gridCol w:w="850"/>
      </w:tblGrid>
      <w:tr w:rsidR="00352F2E" w:rsidRPr="00DC137B" w:rsidTr="008F2AE0">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4365" w:type="dxa"/>
            <w:tcBorders>
              <w:top w:val="nil"/>
              <w:left w:val="nil"/>
              <w:right w:val="nil"/>
            </w:tcBorders>
            <w:shd w:val="solid" w:color="000000" w:fill="auto"/>
          </w:tcPr>
          <w:p w:rsidR="00352F2E" w:rsidRPr="00DC137B" w:rsidRDefault="00352F2E" w:rsidP="00352F2E">
            <w:pPr>
              <w:autoSpaceDE w:val="0"/>
              <w:autoSpaceDN w:val="0"/>
              <w:adjustRightInd w:val="0"/>
              <w:rPr>
                <w:rFonts w:eastAsiaTheme="minorEastAsia" w:cs="Calibri"/>
                <w:iCs/>
                <w:color w:val="FFFFFF"/>
                <w:szCs w:val="19"/>
                <w:lang w:eastAsia="en-AU"/>
              </w:rPr>
            </w:pPr>
            <w:r w:rsidRPr="00DC137B">
              <w:rPr>
                <w:rFonts w:eastAsiaTheme="minorEastAsia" w:cs="Calibri"/>
                <w:iCs/>
                <w:color w:val="FFFFFF"/>
                <w:szCs w:val="19"/>
                <w:lang w:eastAsia="en-AU"/>
              </w:rPr>
              <w:t xml:space="preserve"> </w:t>
            </w:r>
          </w:p>
        </w:tc>
        <w:tc>
          <w:tcPr>
            <w:tcW w:w="850" w:type="dxa"/>
            <w:tcBorders>
              <w:top w:val="nil"/>
              <w:left w:val="nil"/>
              <w:right w:val="nil"/>
            </w:tcBorders>
            <w:shd w:val="solid" w:color="000000" w:fill="auto"/>
          </w:tcPr>
          <w:p w:rsidR="00352F2E" w:rsidRPr="00DC137B" w:rsidRDefault="00352F2E" w:rsidP="00352F2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DC137B">
              <w:rPr>
                <w:rFonts w:eastAsiaTheme="minorEastAsia" w:cs="Calibri"/>
                <w:iCs/>
                <w:color w:val="FFFFFF"/>
                <w:szCs w:val="19"/>
                <w:lang w:eastAsia="en-AU"/>
              </w:rPr>
              <w:t>2017</w:t>
            </w:r>
            <w:r>
              <w:rPr>
                <w:rFonts w:eastAsiaTheme="minorEastAsia" w:cs="Calibri"/>
                <w:iCs/>
                <w:color w:val="FFFFFF"/>
                <w:szCs w:val="19"/>
                <w:lang w:eastAsia="en-AU"/>
              </w:rPr>
              <w:noBreakHyphen/>
            </w:r>
            <w:r w:rsidRPr="00DC137B">
              <w:rPr>
                <w:rFonts w:eastAsiaTheme="minorEastAsia" w:cs="Calibri"/>
                <w:iCs/>
                <w:color w:val="FFFFFF"/>
                <w:szCs w:val="19"/>
                <w:lang w:eastAsia="en-AU"/>
              </w:rPr>
              <w:t>18</w:t>
            </w:r>
            <w:r>
              <w:rPr>
                <w:rFonts w:eastAsiaTheme="minorEastAsia" w:cs="Calibri"/>
                <w:iCs/>
                <w:color w:val="FFFFFF"/>
                <w:szCs w:val="19"/>
                <w:lang w:eastAsia="en-AU"/>
              </w:rPr>
              <w:br/>
            </w:r>
            <w:r w:rsidRPr="00DC137B">
              <w:rPr>
                <w:rFonts w:eastAsiaTheme="minorEastAsia" w:cs="Calibri"/>
                <w:iCs/>
                <w:color w:val="FFFFFF"/>
                <w:szCs w:val="19"/>
                <w:lang w:eastAsia="en-AU"/>
              </w:rPr>
              <w:t>budget</w:t>
            </w:r>
          </w:p>
        </w:tc>
        <w:tc>
          <w:tcPr>
            <w:tcW w:w="850" w:type="dxa"/>
            <w:tcBorders>
              <w:top w:val="nil"/>
              <w:left w:val="nil"/>
              <w:right w:val="nil"/>
            </w:tcBorders>
            <w:shd w:val="solid" w:color="000000" w:fill="auto"/>
          </w:tcPr>
          <w:p w:rsidR="00352F2E" w:rsidRPr="00DC137B" w:rsidRDefault="00352F2E" w:rsidP="00352F2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DC137B">
              <w:rPr>
                <w:rFonts w:eastAsiaTheme="minorEastAsia" w:cs="Calibri"/>
                <w:iCs/>
                <w:color w:val="FFFFFF"/>
                <w:szCs w:val="19"/>
                <w:lang w:eastAsia="en-AU"/>
              </w:rPr>
              <w:t>2018</w:t>
            </w:r>
            <w:r>
              <w:rPr>
                <w:rFonts w:eastAsiaTheme="minorEastAsia" w:cs="Calibri"/>
                <w:iCs/>
                <w:color w:val="FFFFFF"/>
                <w:szCs w:val="19"/>
                <w:lang w:eastAsia="en-AU"/>
              </w:rPr>
              <w:noBreakHyphen/>
            </w:r>
            <w:r w:rsidRPr="00DC137B">
              <w:rPr>
                <w:rFonts w:eastAsiaTheme="minorEastAsia" w:cs="Calibri"/>
                <w:iCs/>
                <w:color w:val="FFFFFF"/>
                <w:szCs w:val="19"/>
                <w:lang w:eastAsia="en-AU"/>
              </w:rPr>
              <w:t>19</w:t>
            </w:r>
            <w:r>
              <w:rPr>
                <w:rFonts w:eastAsiaTheme="minorEastAsia" w:cs="Calibri"/>
                <w:iCs/>
                <w:color w:val="FFFFFF"/>
                <w:szCs w:val="19"/>
                <w:lang w:eastAsia="en-AU"/>
              </w:rPr>
              <w:br/>
            </w:r>
            <w:r w:rsidRPr="00DC137B">
              <w:rPr>
                <w:rFonts w:eastAsiaTheme="minorEastAsia" w:cs="Calibri"/>
                <w:iCs/>
                <w:color w:val="FFFFFF"/>
                <w:szCs w:val="19"/>
                <w:lang w:eastAsia="en-AU"/>
              </w:rPr>
              <w:t>estimate</w:t>
            </w:r>
          </w:p>
        </w:tc>
        <w:tc>
          <w:tcPr>
            <w:tcW w:w="850" w:type="dxa"/>
            <w:tcBorders>
              <w:top w:val="nil"/>
              <w:left w:val="nil"/>
              <w:right w:val="nil"/>
            </w:tcBorders>
            <w:shd w:val="solid" w:color="000000" w:fill="auto"/>
          </w:tcPr>
          <w:p w:rsidR="00352F2E" w:rsidRPr="00DC137B" w:rsidRDefault="00352F2E" w:rsidP="00352F2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DC137B">
              <w:rPr>
                <w:rFonts w:eastAsiaTheme="minorEastAsia" w:cs="Calibri"/>
                <w:iCs/>
                <w:color w:val="FFFFFF"/>
                <w:szCs w:val="19"/>
                <w:lang w:eastAsia="en-AU"/>
              </w:rPr>
              <w:t>2019</w:t>
            </w:r>
            <w:r>
              <w:rPr>
                <w:rFonts w:eastAsiaTheme="minorEastAsia" w:cs="Calibri"/>
                <w:iCs/>
                <w:color w:val="FFFFFF"/>
                <w:szCs w:val="19"/>
                <w:lang w:eastAsia="en-AU"/>
              </w:rPr>
              <w:noBreakHyphen/>
            </w:r>
            <w:r w:rsidRPr="00DC137B">
              <w:rPr>
                <w:rFonts w:eastAsiaTheme="minorEastAsia" w:cs="Calibri"/>
                <w:iCs/>
                <w:color w:val="FFFFFF"/>
                <w:szCs w:val="19"/>
                <w:lang w:eastAsia="en-AU"/>
              </w:rPr>
              <w:t>20</w:t>
            </w:r>
            <w:r>
              <w:rPr>
                <w:rFonts w:eastAsiaTheme="minorEastAsia" w:cs="Calibri"/>
                <w:iCs/>
                <w:color w:val="FFFFFF"/>
                <w:szCs w:val="19"/>
                <w:lang w:eastAsia="en-AU"/>
              </w:rPr>
              <w:br/>
            </w:r>
            <w:r w:rsidRPr="00DC137B">
              <w:rPr>
                <w:rFonts w:eastAsiaTheme="minorEastAsia" w:cs="Calibri"/>
                <w:iCs/>
                <w:color w:val="FFFFFF"/>
                <w:szCs w:val="19"/>
                <w:lang w:eastAsia="en-AU"/>
              </w:rPr>
              <w:t>estimate</w:t>
            </w:r>
          </w:p>
        </w:tc>
        <w:tc>
          <w:tcPr>
            <w:tcW w:w="850" w:type="dxa"/>
            <w:tcBorders>
              <w:top w:val="nil"/>
              <w:left w:val="nil"/>
              <w:right w:val="nil"/>
            </w:tcBorders>
            <w:shd w:val="solid" w:color="000000" w:fill="auto"/>
          </w:tcPr>
          <w:p w:rsidR="00352F2E" w:rsidRPr="00DC137B" w:rsidRDefault="00352F2E" w:rsidP="00352F2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DC137B">
              <w:rPr>
                <w:rFonts w:eastAsiaTheme="minorEastAsia" w:cs="Calibri"/>
                <w:iCs/>
                <w:color w:val="FFFFFF"/>
                <w:szCs w:val="19"/>
                <w:lang w:eastAsia="en-AU"/>
              </w:rPr>
              <w:t>2020</w:t>
            </w:r>
            <w:r>
              <w:rPr>
                <w:rFonts w:eastAsiaTheme="minorEastAsia" w:cs="Calibri"/>
                <w:iCs/>
                <w:color w:val="FFFFFF"/>
                <w:szCs w:val="19"/>
                <w:lang w:eastAsia="en-AU"/>
              </w:rPr>
              <w:noBreakHyphen/>
            </w:r>
            <w:r w:rsidRPr="00DC137B">
              <w:rPr>
                <w:rFonts w:eastAsiaTheme="minorEastAsia" w:cs="Calibri"/>
                <w:iCs/>
                <w:color w:val="FFFFFF"/>
                <w:szCs w:val="19"/>
                <w:lang w:eastAsia="en-AU"/>
              </w:rPr>
              <w:t>21</w:t>
            </w:r>
            <w:r>
              <w:rPr>
                <w:rFonts w:eastAsiaTheme="minorEastAsia" w:cs="Calibri"/>
                <w:iCs/>
                <w:color w:val="FFFFFF"/>
                <w:szCs w:val="19"/>
                <w:lang w:eastAsia="en-AU"/>
              </w:rPr>
              <w:br/>
            </w:r>
            <w:r w:rsidRPr="00DC137B">
              <w:rPr>
                <w:rFonts w:eastAsiaTheme="minorEastAsia" w:cs="Calibri"/>
                <w:iCs/>
                <w:color w:val="FFFFFF"/>
                <w:szCs w:val="19"/>
                <w:lang w:eastAsia="en-AU"/>
              </w:rPr>
              <w:t>estimate</w:t>
            </w:r>
          </w:p>
        </w:tc>
      </w:tr>
      <w:tr w:rsidR="00552DFA" w:rsidRPr="00DC137B" w:rsidTr="00423C3D">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552DFA" w:rsidRPr="00DC137B" w:rsidRDefault="00552DFA" w:rsidP="00423C3D">
            <w:pPr>
              <w:keepLines w:val="0"/>
              <w:autoSpaceDE w:val="0"/>
              <w:autoSpaceDN w:val="0"/>
              <w:adjustRightInd w:val="0"/>
              <w:rPr>
                <w:rFonts w:eastAsiaTheme="minorEastAsia" w:cs="Calibri"/>
                <w:b/>
                <w:bCs/>
                <w:color w:val="000000"/>
                <w:szCs w:val="19"/>
                <w:lang w:eastAsia="en-AU"/>
              </w:rPr>
            </w:pPr>
            <w:r w:rsidRPr="00DC137B">
              <w:rPr>
                <w:rFonts w:eastAsiaTheme="minorEastAsia" w:cs="Calibri"/>
                <w:b/>
                <w:bCs/>
                <w:color w:val="000000"/>
                <w:szCs w:val="19"/>
                <w:lang w:eastAsia="en-AU"/>
              </w:rPr>
              <w:t>New output initiatives</w:t>
            </w:r>
          </w:p>
        </w:tc>
        <w:tc>
          <w:tcPr>
            <w:tcW w:w="850" w:type="dxa"/>
            <w:tcBorders>
              <w:top w:val="nil"/>
              <w:left w:val="nil"/>
              <w:bottom w:val="nil"/>
              <w:right w:val="nil"/>
            </w:tcBorders>
          </w:tcPr>
          <w:p w:rsidR="00552DFA" w:rsidRPr="00DC137B" w:rsidRDefault="00352F2E"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2 857</w:t>
            </w:r>
          </w:p>
        </w:tc>
        <w:tc>
          <w:tcPr>
            <w:tcW w:w="850" w:type="dxa"/>
            <w:tcBorders>
              <w:top w:val="nil"/>
              <w:left w:val="nil"/>
              <w:bottom w:val="nil"/>
              <w:right w:val="nil"/>
            </w:tcBorders>
          </w:tcPr>
          <w:p w:rsidR="00552DFA" w:rsidRPr="00DC137B" w:rsidRDefault="00352F2E"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2 393</w:t>
            </w:r>
          </w:p>
        </w:tc>
        <w:tc>
          <w:tcPr>
            <w:tcW w:w="850" w:type="dxa"/>
            <w:tcBorders>
              <w:top w:val="nil"/>
              <w:left w:val="nil"/>
              <w:bottom w:val="nil"/>
              <w:right w:val="nil"/>
            </w:tcBorders>
          </w:tcPr>
          <w:p w:rsidR="00552DFA" w:rsidRPr="00DC137B" w:rsidRDefault="00352F2E"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2 047</w:t>
            </w:r>
          </w:p>
        </w:tc>
        <w:tc>
          <w:tcPr>
            <w:tcW w:w="850" w:type="dxa"/>
            <w:tcBorders>
              <w:top w:val="nil"/>
              <w:left w:val="nil"/>
              <w:bottom w:val="nil"/>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2 147</w:t>
            </w:r>
          </w:p>
        </w:tc>
      </w:tr>
      <w:tr w:rsidR="00552DFA" w:rsidRPr="00DC137B" w:rsidTr="00423C3D">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552DFA" w:rsidRPr="00DC137B" w:rsidRDefault="00552DFA" w:rsidP="00423C3D">
            <w:pPr>
              <w:keepLines w:val="0"/>
              <w:autoSpaceDE w:val="0"/>
              <w:autoSpaceDN w:val="0"/>
              <w:adjustRightInd w:val="0"/>
              <w:rPr>
                <w:rFonts w:eastAsiaTheme="minorEastAsia" w:cs="Calibri"/>
                <w:color w:val="000000"/>
                <w:szCs w:val="19"/>
                <w:lang w:eastAsia="en-AU"/>
              </w:rPr>
            </w:pPr>
            <w:r w:rsidRPr="00DC137B">
              <w:rPr>
                <w:rFonts w:eastAsiaTheme="minorEastAsia" w:cs="Calibri"/>
                <w:color w:val="000000"/>
                <w:szCs w:val="19"/>
                <w:lang w:eastAsia="en-AU"/>
              </w:rPr>
              <w:t>Less:</w:t>
            </w:r>
          </w:p>
        </w:tc>
        <w:tc>
          <w:tcPr>
            <w:tcW w:w="850" w:type="dxa"/>
            <w:tcBorders>
              <w:top w:val="nil"/>
              <w:left w:val="nil"/>
              <w:bottom w:val="nil"/>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DC137B">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DC137B">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DC137B">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DC137B">
              <w:rPr>
                <w:rFonts w:eastAsiaTheme="minorEastAsia" w:cs="Calibri"/>
                <w:color w:val="000000"/>
                <w:szCs w:val="19"/>
                <w:lang w:eastAsia="en-AU"/>
              </w:rPr>
              <w:t xml:space="preserve"> </w:t>
            </w:r>
          </w:p>
        </w:tc>
      </w:tr>
      <w:tr w:rsidR="00552DFA" w:rsidRPr="00DC137B" w:rsidTr="00423C3D">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552DFA" w:rsidRPr="00DC137B" w:rsidRDefault="00552DFA" w:rsidP="00423C3D">
            <w:pPr>
              <w:keepLines w:val="0"/>
              <w:autoSpaceDE w:val="0"/>
              <w:autoSpaceDN w:val="0"/>
              <w:adjustRightInd w:val="0"/>
              <w:rPr>
                <w:rFonts w:eastAsiaTheme="minorEastAsia" w:cs="Calibri"/>
                <w:color w:val="000000"/>
                <w:szCs w:val="19"/>
                <w:vertAlign w:val="superscript"/>
                <w:lang w:eastAsia="en-AU"/>
              </w:rPr>
            </w:pPr>
            <w:r w:rsidRPr="00DC137B">
              <w:rPr>
                <w:rFonts w:eastAsiaTheme="minorEastAsia" w:cs="Calibri"/>
                <w:color w:val="000000"/>
                <w:szCs w:val="19"/>
                <w:lang w:eastAsia="en-AU"/>
              </w:rPr>
              <w:t xml:space="preserve">   Funding from reprioritisation of existing resources </w:t>
            </w:r>
            <w:r w:rsidRPr="00DC137B">
              <w:rPr>
                <w:rFonts w:eastAsiaTheme="minorEastAsia" w:cs="Calibri"/>
                <w:color w:val="000000"/>
                <w:szCs w:val="19"/>
                <w:vertAlign w:val="superscript"/>
                <w:lang w:eastAsia="en-AU"/>
              </w:rPr>
              <w:t>(b)</w:t>
            </w:r>
          </w:p>
        </w:tc>
        <w:tc>
          <w:tcPr>
            <w:tcW w:w="850" w:type="dxa"/>
            <w:tcBorders>
              <w:top w:val="nil"/>
              <w:left w:val="nil"/>
              <w:bottom w:val="nil"/>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DC137B">
              <w:rPr>
                <w:rFonts w:eastAsiaTheme="minorEastAsia" w:cs="Calibri"/>
                <w:color w:val="000000"/>
                <w:szCs w:val="19"/>
                <w:lang w:eastAsia="en-AU"/>
              </w:rPr>
              <w:t>682</w:t>
            </w:r>
          </w:p>
        </w:tc>
        <w:tc>
          <w:tcPr>
            <w:tcW w:w="850" w:type="dxa"/>
            <w:tcBorders>
              <w:top w:val="nil"/>
              <w:left w:val="nil"/>
              <w:bottom w:val="nil"/>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DC137B">
              <w:rPr>
                <w:rFonts w:eastAsiaTheme="minorEastAsia" w:cs="Calibri"/>
                <w:color w:val="000000"/>
                <w:szCs w:val="19"/>
                <w:lang w:eastAsia="en-AU"/>
              </w:rPr>
              <w:t>533</w:t>
            </w:r>
          </w:p>
        </w:tc>
        <w:tc>
          <w:tcPr>
            <w:tcW w:w="850" w:type="dxa"/>
            <w:tcBorders>
              <w:top w:val="nil"/>
              <w:left w:val="nil"/>
              <w:bottom w:val="nil"/>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DC137B">
              <w:rPr>
                <w:rFonts w:eastAsiaTheme="minorEastAsia" w:cs="Calibri"/>
                <w:color w:val="000000"/>
                <w:szCs w:val="19"/>
                <w:lang w:eastAsia="en-AU"/>
              </w:rPr>
              <w:t>461</w:t>
            </w:r>
          </w:p>
        </w:tc>
        <w:tc>
          <w:tcPr>
            <w:tcW w:w="850" w:type="dxa"/>
            <w:tcBorders>
              <w:top w:val="nil"/>
              <w:left w:val="nil"/>
              <w:bottom w:val="nil"/>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DC137B">
              <w:rPr>
                <w:rFonts w:eastAsiaTheme="minorEastAsia" w:cs="Calibri"/>
                <w:color w:val="000000"/>
                <w:szCs w:val="19"/>
                <w:lang w:eastAsia="en-AU"/>
              </w:rPr>
              <w:t>458</w:t>
            </w:r>
          </w:p>
        </w:tc>
      </w:tr>
      <w:tr w:rsidR="00552DFA" w:rsidRPr="00DC137B" w:rsidTr="00423C3D">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552DFA" w:rsidRPr="00DC137B" w:rsidRDefault="00552DFA" w:rsidP="00423C3D">
            <w:pPr>
              <w:keepLines w:val="0"/>
              <w:autoSpaceDE w:val="0"/>
              <w:autoSpaceDN w:val="0"/>
              <w:adjustRightInd w:val="0"/>
              <w:rPr>
                <w:rFonts w:eastAsiaTheme="minorEastAsia" w:cs="Calibri"/>
                <w:color w:val="000000"/>
                <w:szCs w:val="19"/>
                <w:vertAlign w:val="superscript"/>
                <w:lang w:eastAsia="en-AU"/>
              </w:rPr>
            </w:pPr>
            <w:r w:rsidRPr="00DC137B">
              <w:rPr>
                <w:rFonts w:eastAsiaTheme="minorEastAsia" w:cs="Calibri"/>
                <w:color w:val="000000"/>
                <w:szCs w:val="19"/>
                <w:lang w:eastAsia="en-AU"/>
              </w:rPr>
              <w:t xml:space="preserve">   Adjustments </w:t>
            </w:r>
            <w:r w:rsidRPr="00DC137B">
              <w:rPr>
                <w:rFonts w:eastAsiaTheme="minorEastAsia" w:cs="Calibri"/>
                <w:color w:val="000000"/>
                <w:szCs w:val="19"/>
                <w:vertAlign w:val="superscript"/>
                <w:lang w:eastAsia="en-AU"/>
              </w:rPr>
              <w:t>(c)</w:t>
            </w:r>
          </w:p>
        </w:tc>
        <w:tc>
          <w:tcPr>
            <w:tcW w:w="850" w:type="dxa"/>
            <w:tcBorders>
              <w:top w:val="nil"/>
              <w:left w:val="nil"/>
              <w:bottom w:val="nil"/>
              <w:right w:val="nil"/>
            </w:tcBorders>
          </w:tcPr>
          <w:p w:rsidR="00552DFA" w:rsidRPr="00DC137B" w:rsidRDefault="00352F2E"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96</w:t>
            </w:r>
          </w:p>
        </w:tc>
        <w:tc>
          <w:tcPr>
            <w:tcW w:w="850" w:type="dxa"/>
            <w:tcBorders>
              <w:top w:val="nil"/>
              <w:left w:val="nil"/>
              <w:bottom w:val="nil"/>
              <w:right w:val="nil"/>
            </w:tcBorders>
          </w:tcPr>
          <w:p w:rsidR="00552DFA" w:rsidRPr="00DC137B" w:rsidRDefault="00352F2E"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93</w:t>
            </w:r>
          </w:p>
        </w:tc>
        <w:tc>
          <w:tcPr>
            <w:tcW w:w="850" w:type="dxa"/>
            <w:tcBorders>
              <w:top w:val="nil"/>
              <w:left w:val="nil"/>
              <w:bottom w:val="nil"/>
              <w:right w:val="nil"/>
            </w:tcBorders>
          </w:tcPr>
          <w:p w:rsidR="00552DFA" w:rsidRPr="00DC137B" w:rsidRDefault="00352F2E"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396</w:t>
            </w:r>
          </w:p>
        </w:tc>
        <w:tc>
          <w:tcPr>
            <w:tcW w:w="850" w:type="dxa"/>
            <w:tcBorders>
              <w:top w:val="nil"/>
              <w:left w:val="nil"/>
              <w:bottom w:val="nil"/>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DC137B">
              <w:rPr>
                <w:rFonts w:eastAsiaTheme="minorEastAsia" w:cs="Calibri"/>
                <w:color w:val="000000"/>
                <w:szCs w:val="19"/>
                <w:lang w:eastAsia="en-AU"/>
              </w:rPr>
              <w:t>270</w:t>
            </w:r>
          </w:p>
        </w:tc>
      </w:tr>
      <w:tr w:rsidR="00552DFA" w:rsidRPr="00DC137B" w:rsidTr="00423C3D">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552DFA" w:rsidRPr="00DC137B" w:rsidRDefault="00552DFA" w:rsidP="00423C3D">
            <w:pPr>
              <w:keepLines w:val="0"/>
              <w:autoSpaceDE w:val="0"/>
              <w:autoSpaceDN w:val="0"/>
              <w:adjustRightInd w:val="0"/>
              <w:rPr>
                <w:rFonts w:eastAsiaTheme="minorEastAsia" w:cs="Calibri"/>
                <w:color w:val="000000"/>
                <w:szCs w:val="19"/>
                <w:lang w:eastAsia="en-AU"/>
              </w:rPr>
            </w:pPr>
            <w:r w:rsidRPr="00DC137B">
              <w:rPr>
                <w:rFonts w:eastAsiaTheme="minorEastAsia" w:cs="Calibri"/>
                <w:color w:val="000000"/>
                <w:szCs w:val="19"/>
                <w:lang w:eastAsia="en-AU"/>
              </w:rPr>
              <w:t xml:space="preserve">   Savings</w:t>
            </w:r>
          </w:p>
        </w:tc>
        <w:tc>
          <w:tcPr>
            <w:tcW w:w="850" w:type="dxa"/>
            <w:tcBorders>
              <w:top w:val="nil"/>
              <w:left w:val="nil"/>
              <w:bottom w:val="single" w:sz="6" w:space="0" w:color="auto"/>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197</w:t>
            </w:r>
          </w:p>
        </w:tc>
        <w:tc>
          <w:tcPr>
            <w:tcW w:w="850" w:type="dxa"/>
            <w:tcBorders>
              <w:top w:val="nil"/>
              <w:left w:val="nil"/>
              <w:bottom w:val="single" w:sz="6" w:space="0" w:color="auto"/>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346</w:t>
            </w:r>
          </w:p>
        </w:tc>
        <w:tc>
          <w:tcPr>
            <w:tcW w:w="850" w:type="dxa"/>
            <w:tcBorders>
              <w:top w:val="nil"/>
              <w:left w:val="nil"/>
              <w:bottom w:val="single" w:sz="6" w:space="0" w:color="auto"/>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353</w:t>
            </w:r>
          </w:p>
        </w:tc>
        <w:tc>
          <w:tcPr>
            <w:tcW w:w="850" w:type="dxa"/>
            <w:tcBorders>
              <w:top w:val="nil"/>
              <w:left w:val="nil"/>
              <w:bottom w:val="single" w:sz="6" w:space="0" w:color="auto"/>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454</w:t>
            </w:r>
          </w:p>
        </w:tc>
      </w:tr>
      <w:tr w:rsidR="00552DFA" w:rsidRPr="00DC137B" w:rsidTr="00423C3D">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left w:val="nil"/>
              <w:bottom w:val="single" w:sz="6" w:space="0" w:color="auto"/>
              <w:right w:val="nil"/>
            </w:tcBorders>
          </w:tcPr>
          <w:p w:rsidR="00552DFA" w:rsidRPr="00DC137B" w:rsidRDefault="00552DFA" w:rsidP="00423C3D">
            <w:pPr>
              <w:keepLines w:val="0"/>
              <w:autoSpaceDE w:val="0"/>
              <w:autoSpaceDN w:val="0"/>
              <w:adjustRightInd w:val="0"/>
              <w:rPr>
                <w:rFonts w:eastAsiaTheme="minorEastAsia" w:cs="Calibri"/>
                <w:b/>
                <w:bCs/>
                <w:color w:val="000000"/>
                <w:szCs w:val="19"/>
                <w:lang w:eastAsia="en-AU"/>
              </w:rPr>
            </w:pPr>
            <w:r w:rsidRPr="00DC137B">
              <w:rPr>
                <w:rFonts w:eastAsiaTheme="minorEastAsia" w:cs="Calibri"/>
                <w:b/>
                <w:bCs/>
                <w:i/>
                <w:iCs/>
                <w:color w:val="000000"/>
                <w:szCs w:val="19"/>
                <w:lang w:eastAsia="en-AU"/>
              </w:rPr>
              <w:t>2017</w:t>
            </w:r>
            <w:r>
              <w:rPr>
                <w:rFonts w:eastAsiaTheme="minorEastAsia" w:cs="Calibri"/>
                <w:b/>
                <w:bCs/>
                <w:i/>
                <w:iCs/>
                <w:color w:val="000000"/>
                <w:szCs w:val="19"/>
                <w:lang w:eastAsia="en-AU"/>
              </w:rPr>
              <w:noBreakHyphen/>
            </w:r>
            <w:r w:rsidRPr="00DC137B">
              <w:rPr>
                <w:rFonts w:eastAsiaTheme="minorEastAsia" w:cs="Calibri"/>
                <w:b/>
                <w:bCs/>
                <w:i/>
                <w:iCs/>
                <w:color w:val="000000"/>
                <w:szCs w:val="19"/>
                <w:lang w:eastAsia="en-AU"/>
              </w:rPr>
              <w:t>18 Budget</w:t>
            </w:r>
            <w:r w:rsidRPr="00DC137B">
              <w:rPr>
                <w:rFonts w:eastAsiaTheme="minorEastAsia" w:cs="Calibri"/>
                <w:b/>
                <w:bCs/>
                <w:color w:val="000000"/>
                <w:szCs w:val="19"/>
                <w:lang w:eastAsia="en-AU"/>
              </w:rPr>
              <w:t xml:space="preserve"> output policy decisions</w:t>
            </w:r>
          </w:p>
        </w:tc>
        <w:tc>
          <w:tcPr>
            <w:tcW w:w="850" w:type="dxa"/>
            <w:tcBorders>
              <w:top w:val="single" w:sz="6" w:space="0" w:color="auto"/>
              <w:left w:val="nil"/>
              <w:bottom w:val="single" w:sz="6" w:space="0" w:color="auto"/>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DC137B">
              <w:rPr>
                <w:rFonts w:eastAsiaTheme="minorEastAsia" w:cs="Calibri"/>
                <w:b/>
                <w:bCs/>
                <w:color w:val="000000"/>
                <w:szCs w:val="19"/>
                <w:lang w:eastAsia="en-AU"/>
              </w:rPr>
              <w:t>1 882</w:t>
            </w:r>
          </w:p>
        </w:tc>
        <w:tc>
          <w:tcPr>
            <w:tcW w:w="850" w:type="dxa"/>
            <w:tcBorders>
              <w:top w:val="single" w:sz="6" w:space="0" w:color="auto"/>
              <w:left w:val="nil"/>
              <w:bottom w:val="single" w:sz="6" w:space="0" w:color="auto"/>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DC137B">
              <w:rPr>
                <w:rFonts w:eastAsiaTheme="minorEastAsia" w:cs="Calibri"/>
                <w:b/>
                <w:bCs/>
                <w:color w:val="000000"/>
                <w:szCs w:val="19"/>
                <w:lang w:eastAsia="en-AU"/>
              </w:rPr>
              <w:t>1 421</w:t>
            </w:r>
          </w:p>
        </w:tc>
        <w:tc>
          <w:tcPr>
            <w:tcW w:w="850" w:type="dxa"/>
            <w:tcBorders>
              <w:top w:val="single" w:sz="6" w:space="0" w:color="auto"/>
              <w:left w:val="nil"/>
              <w:bottom w:val="single" w:sz="6" w:space="0" w:color="auto"/>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838</w:t>
            </w:r>
          </w:p>
        </w:tc>
        <w:tc>
          <w:tcPr>
            <w:tcW w:w="850" w:type="dxa"/>
            <w:tcBorders>
              <w:top w:val="single" w:sz="6" w:space="0" w:color="auto"/>
              <w:left w:val="nil"/>
              <w:bottom w:val="single" w:sz="6" w:space="0" w:color="auto"/>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965</w:t>
            </w:r>
          </w:p>
        </w:tc>
      </w:tr>
      <w:tr w:rsidR="00552DFA" w:rsidRPr="00DC137B" w:rsidTr="00423C3D">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left w:val="nil"/>
              <w:bottom w:val="nil"/>
              <w:right w:val="nil"/>
            </w:tcBorders>
          </w:tcPr>
          <w:p w:rsidR="00552DFA" w:rsidRPr="00DC137B" w:rsidRDefault="00552DFA" w:rsidP="00423C3D">
            <w:pPr>
              <w:keepLines w:val="0"/>
              <w:autoSpaceDE w:val="0"/>
              <w:autoSpaceDN w:val="0"/>
              <w:adjustRightInd w:val="0"/>
              <w:rPr>
                <w:rFonts w:eastAsiaTheme="minorEastAsia" w:cs="Calibri"/>
                <w:color w:val="000000"/>
                <w:szCs w:val="19"/>
                <w:vertAlign w:val="superscript"/>
                <w:lang w:eastAsia="en-AU"/>
              </w:rPr>
            </w:pPr>
            <w:r w:rsidRPr="00DC137B">
              <w:rPr>
                <w:rFonts w:eastAsiaTheme="minorEastAsia" w:cs="Calibri"/>
                <w:color w:val="000000"/>
                <w:szCs w:val="19"/>
                <w:lang w:eastAsia="en-AU"/>
              </w:rPr>
              <w:t xml:space="preserve">Less: contingency offset for new policy </w:t>
            </w:r>
            <w:r w:rsidRPr="00DC137B">
              <w:rPr>
                <w:rFonts w:eastAsiaTheme="minorEastAsia" w:cs="Calibri"/>
                <w:color w:val="000000"/>
                <w:szCs w:val="19"/>
                <w:vertAlign w:val="superscript"/>
                <w:lang w:eastAsia="en-AU"/>
              </w:rPr>
              <w:t>(d)</w:t>
            </w:r>
          </w:p>
        </w:tc>
        <w:tc>
          <w:tcPr>
            <w:tcW w:w="850" w:type="dxa"/>
            <w:tcBorders>
              <w:top w:val="single" w:sz="6" w:space="0" w:color="auto"/>
              <w:left w:val="nil"/>
              <w:bottom w:val="nil"/>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200</w:t>
            </w:r>
          </w:p>
        </w:tc>
        <w:tc>
          <w:tcPr>
            <w:tcW w:w="850" w:type="dxa"/>
            <w:tcBorders>
              <w:top w:val="single" w:sz="6" w:space="0" w:color="auto"/>
              <w:left w:val="nil"/>
              <w:bottom w:val="nil"/>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200</w:t>
            </w:r>
          </w:p>
        </w:tc>
        <w:tc>
          <w:tcPr>
            <w:tcW w:w="850" w:type="dxa"/>
            <w:tcBorders>
              <w:top w:val="single" w:sz="6" w:space="0" w:color="auto"/>
              <w:left w:val="nil"/>
              <w:bottom w:val="nil"/>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200</w:t>
            </w:r>
          </w:p>
        </w:tc>
        <w:tc>
          <w:tcPr>
            <w:tcW w:w="850" w:type="dxa"/>
            <w:tcBorders>
              <w:top w:val="single" w:sz="6" w:space="0" w:color="auto"/>
              <w:left w:val="nil"/>
              <w:bottom w:val="nil"/>
              <w:right w:val="nil"/>
            </w:tcBorders>
          </w:tcPr>
          <w:p w:rsidR="00552DFA" w:rsidRPr="00DC137B"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200</w:t>
            </w:r>
          </w:p>
        </w:tc>
      </w:tr>
      <w:tr w:rsidR="00552DFA" w:rsidRPr="00DC137B" w:rsidTr="00423C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bottom w:val="single" w:sz="12" w:space="0" w:color="auto"/>
            </w:tcBorders>
          </w:tcPr>
          <w:p w:rsidR="00552DFA" w:rsidRPr="00DC137B" w:rsidRDefault="00552DFA" w:rsidP="00423C3D">
            <w:pPr>
              <w:keepLines w:val="0"/>
              <w:autoSpaceDE w:val="0"/>
              <w:autoSpaceDN w:val="0"/>
              <w:adjustRightInd w:val="0"/>
              <w:rPr>
                <w:rFonts w:eastAsiaTheme="minorEastAsia" w:cs="Calibri"/>
                <w:bCs/>
                <w:color w:val="000000"/>
                <w:szCs w:val="19"/>
                <w:lang w:eastAsia="en-AU"/>
              </w:rPr>
            </w:pPr>
            <w:r w:rsidRPr="00DC137B">
              <w:rPr>
                <w:rFonts w:eastAsiaTheme="minorEastAsia" w:cs="Calibri"/>
                <w:bCs/>
                <w:color w:val="000000"/>
                <w:szCs w:val="19"/>
                <w:lang w:eastAsia="en-AU"/>
              </w:rPr>
              <w:t xml:space="preserve">Net impact </w:t>
            </w:r>
          </w:p>
        </w:tc>
        <w:tc>
          <w:tcPr>
            <w:tcW w:w="850" w:type="dxa"/>
            <w:tcBorders>
              <w:top w:val="single" w:sz="6" w:space="0" w:color="auto"/>
              <w:bottom w:val="single" w:sz="12" w:space="0" w:color="auto"/>
            </w:tcBorders>
          </w:tcPr>
          <w:p w:rsidR="00552DFA" w:rsidRPr="00DC137B"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DC137B">
              <w:rPr>
                <w:rFonts w:eastAsiaTheme="minorEastAsia" w:cs="Calibri"/>
                <w:bCs/>
                <w:color w:val="000000"/>
                <w:szCs w:val="19"/>
                <w:lang w:eastAsia="en-AU"/>
              </w:rPr>
              <w:t>1 682</w:t>
            </w:r>
          </w:p>
        </w:tc>
        <w:tc>
          <w:tcPr>
            <w:tcW w:w="850" w:type="dxa"/>
            <w:tcBorders>
              <w:top w:val="single" w:sz="6" w:space="0" w:color="auto"/>
              <w:bottom w:val="single" w:sz="12" w:space="0" w:color="auto"/>
            </w:tcBorders>
          </w:tcPr>
          <w:p w:rsidR="00552DFA" w:rsidRPr="00DC137B"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DC137B">
              <w:rPr>
                <w:rFonts w:eastAsiaTheme="minorEastAsia" w:cs="Calibri"/>
                <w:bCs/>
                <w:color w:val="000000"/>
                <w:szCs w:val="19"/>
                <w:lang w:eastAsia="en-AU"/>
              </w:rPr>
              <w:t>1 221</w:t>
            </w:r>
          </w:p>
        </w:tc>
        <w:tc>
          <w:tcPr>
            <w:tcW w:w="850" w:type="dxa"/>
            <w:tcBorders>
              <w:top w:val="single" w:sz="6" w:space="0" w:color="auto"/>
              <w:bottom w:val="single" w:sz="12" w:space="0" w:color="auto"/>
            </w:tcBorders>
          </w:tcPr>
          <w:p w:rsidR="00552DFA" w:rsidRPr="00DC137B"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638</w:t>
            </w:r>
          </w:p>
        </w:tc>
        <w:tc>
          <w:tcPr>
            <w:tcW w:w="850" w:type="dxa"/>
            <w:tcBorders>
              <w:top w:val="single" w:sz="6" w:space="0" w:color="auto"/>
              <w:bottom w:val="single" w:sz="12" w:space="0" w:color="auto"/>
            </w:tcBorders>
          </w:tcPr>
          <w:p w:rsidR="00552DFA" w:rsidRPr="00DC137B"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765</w:t>
            </w:r>
          </w:p>
        </w:tc>
      </w:tr>
    </w:tbl>
    <w:p w:rsidR="00552DFA" w:rsidRPr="00821899" w:rsidRDefault="00552DFA" w:rsidP="00423C3D">
      <w:pPr>
        <w:pStyle w:val="Source"/>
      </w:pPr>
      <w:r w:rsidRPr="00821899">
        <w:t>Source: Department of Treasury and Finance</w:t>
      </w:r>
    </w:p>
    <w:p w:rsidR="00552DFA" w:rsidRPr="00821899" w:rsidRDefault="00552DFA" w:rsidP="00423C3D">
      <w:pPr>
        <w:pStyle w:val="Note"/>
      </w:pPr>
      <w:r w:rsidRPr="00821899">
        <w:t>Notes:</w:t>
      </w:r>
    </w:p>
    <w:p w:rsidR="00552DFA" w:rsidRPr="00821899" w:rsidRDefault="00552DFA" w:rsidP="00423C3D">
      <w:pPr>
        <w:pStyle w:val="Note"/>
      </w:pPr>
      <w:r w:rsidRPr="00821899">
        <w:t>(a)</w:t>
      </w:r>
      <w:r w:rsidRPr="00821899">
        <w:tab/>
        <w:t>Figures in this table are subject to rounding to the nearest</w:t>
      </w:r>
      <w:r>
        <w:t> million</w:t>
      </w:r>
      <w:r w:rsidRPr="00821899">
        <w:t xml:space="preserve"> and may not add up to totals.</w:t>
      </w:r>
    </w:p>
    <w:p w:rsidR="00552DFA" w:rsidRPr="00821899" w:rsidRDefault="00552DFA" w:rsidP="00423C3D">
      <w:pPr>
        <w:pStyle w:val="Note"/>
      </w:pPr>
      <w:r w:rsidRPr="00821899">
        <w:t>(b)</w:t>
      </w:r>
      <w:r w:rsidRPr="00821899">
        <w:tab/>
        <w:t>This includes the reprioritisation of resources previously allocated to departments and retained revenues.</w:t>
      </w:r>
    </w:p>
    <w:p w:rsidR="00552DFA" w:rsidRPr="00821899" w:rsidRDefault="00552DFA" w:rsidP="00423C3D">
      <w:pPr>
        <w:pStyle w:val="Note"/>
      </w:pPr>
      <w:r w:rsidRPr="00821899">
        <w:t>(c)</w:t>
      </w:r>
      <w:r w:rsidRPr="00821899">
        <w:tab/>
        <w:t>Primarily incorporates the net impact of the creation and release of decisions made but not yet allocated contingencies.</w:t>
      </w:r>
    </w:p>
    <w:p w:rsidR="00552DFA" w:rsidRDefault="00552DFA" w:rsidP="00423C3D">
      <w:pPr>
        <w:pStyle w:val="Note"/>
      </w:pPr>
      <w:r w:rsidRPr="00821899">
        <w:t>(d)</w:t>
      </w:r>
      <w:r w:rsidRPr="00821899">
        <w:tab/>
        <w:t xml:space="preserve">Represents releases from the Funding not allocated to specific purposes contingency associated with demand for government services. Further information on this contingency can be found at Note </w:t>
      </w:r>
      <w:r>
        <w:t>1.3.5</w:t>
      </w:r>
      <w:r w:rsidRPr="00821899">
        <w:t xml:space="preserve"> of Budget Paper No. 5, Chapter 1 </w:t>
      </w:r>
      <w:r w:rsidRPr="00821899">
        <w:rPr>
          <w:i w:val="0"/>
        </w:rPr>
        <w:t>Estimated financial statements for the general government sector</w:t>
      </w:r>
      <w:r w:rsidRPr="00821899">
        <w:t>.</w:t>
      </w:r>
      <w:r>
        <w:t xml:space="preserve"> </w:t>
      </w:r>
    </w:p>
    <w:p w:rsidR="00552DFA" w:rsidRPr="00821899" w:rsidRDefault="00552DFA" w:rsidP="00423C3D">
      <w:pPr>
        <w:pStyle w:val="Note"/>
      </w:pPr>
    </w:p>
    <w:p w:rsidR="00552DFA" w:rsidRDefault="00552DFA">
      <w:pPr>
        <w:keepLines w:val="0"/>
      </w:pPr>
      <w:r>
        <w:br w:type="page"/>
      </w:r>
    </w:p>
    <w:p w:rsidR="00552DFA" w:rsidRPr="000B2E79" w:rsidRDefault="00552DFA" w:rsidP="00423C3D">
      <w:pPr>
        <w:pStyle w:val="Heading4"/>
        <w:rPr>
          <w:rFonts w:eastAsiaTheme="minorHAnsi"/>
        </w:rPr>
      </w:pPr>
      <w:r w:rsidRPr="000B2E79">
        <w:rPr>
          <w:rFonts w:eastAsiaTheme="minorHAnsi"/>
        </w:rPr>
        <w:lastRenderedPageBreak/>
        <w:t>Economic and demographic variations</w:t>
      </w:r>
    </w:p>
    <w:p w:rsidR="00552DFA" w:rsidRPr="00821899" w:rsidRDefault="00552DFA" w:rsidP="00423C3D">
      <w:r w:rsidRPr="00821899">
        <w:t xml:space="preserve">Since the </w:t>
      </w:r>
      <w:r w:rsidRPr="00821899">
        <w:rPr>
          <w:i/>
        </w:rPr>
        <w:t>2016</w:t>
      </w:r>
      <w:r>
        <w:rPr>
          <w:i/>
        </w:rPr>
        <w:noBreakHyphen/>
      </w:r>
      <w:r w:rsidRPr="00821899">
        <w:rPr>
          <w:i/>
        </w:rPr>
        <w:t>17 Budget Update</w:t>
      </w:r>
      <w:r w:rsidRPr="00821899">
        <w:t xml:space="preserve">, land transfer duty, land tax and investment income have been </w:t>
      </w:r>
      <w:r>
        <w:t>most affected by</w:t>
      </w:r>
      <w:r w:rsidRPr="00821899">
        <w:t xml:space="preserve"> expected economic and demographic variations:</w:t>
      </w:r>
    </w:p>
    <w:p w:rsidR="00552DFA" w:rsidRPr="00FF708A" w:rsidRDefault="00552DFA" w:rsidP="00423C3D">
      <w:pPr>
        <w:pStyle w:val="ListParagraph"/>
        <w:numPr>
          <w:ilvl w:val="0"/>
          <w:numId w:val="20"/>
        </w:numPr>
      </w:pPr>
      <w:r>
        <w:t>l</w:t>
      </w:r>
      <w:r w:rsidRPr="00FF708A">
        <w:t>and transfer duty revenue is expected to be $</w:t>
      </w:r>
      <w:r>
        <w:t>377</w:t>
      </w:r>
      <w:r w:rsidRPr="00FF708A">
        <w:t> million a year higher on average from 2017</w:t>
      </w:r>
      <w:r>
        <w:noBreakHyphen/>
      </w:r>
      <w:r w:rsidRPr="00FF708A">
        <w:t>18 to 2019</w:t>
      </w:r>
      <w:r>
        <w:noBreakHyphen/>
      </w:r>
      <w:r w:rsidRPr="00FF708A">
        <w:t xml:space="preserve">20 compared with the </w:t>
      </w:r>
      <w:r w:rsidRPr="00FF708A">
        <w:rPr>
          <w:i/>
        </w:rPr>
        <w:t>2016</w:t>
      </w:r>
      <w:r>
        <w:rPr>
          <w:i/>
        </w:rPr>
        <w:noBreakHyphen/>
      </w:r>
      <w:r w:rsidRPr="00FF708A">
        <w:rPr>
          <w:i/>
        </w:rPr>
        <w:t xml:space="preserve">17 Budget Update. </w:t>
      </w:r>
      <w:r w:rsidRPr="00FF708A">
        <w:t>This reflects the continuing strength in the property market, underpinned by historically low interest rates and strong demand in both the residential and commercial markets;</w:t>
      </w:r>
    </w:p>
    <w:p w:rsidR="00552DFA" w:rsidRPr="00FF708A" w:rsidRDefault="00552DFA" w:rsidP="00423C3D">
      <w:pPr>
        <w:pStyle w:val="ListParagraph"/>
        <w:numPr>
          <w:ilvl w:val="0"/>
          <w:numId w:val="20"/>
        </w:numPr>
      </w:pPr>
      <w:r>
        <w:t>l</w:t>
      </w:r>
      <w:r w:rsidRPr="00FF708A">
        <w:t>and tax revenue is forecast to be $</w:t>
      </w:r>
      <w:r>
        <w:t>92</w:t>
      </w:r>
      <w:r w:rsidRPr="00FF708A">
        <w:t xml:space="preserve"> million a year higher, on average, from </w:t>
      </w:r>
      <w:r>
        <w:t>2017</w:t>
      </w:r>
      <w:r>
        <w:noBreakHyphen/>
      </w:r>
      <w:r w:rsidRPr="00FF708A">
        <w:t>18 to 2019</w:t>
      </w:r>
      <w:r>
        <w:noBreakHyphen/>
      </w:r>
      <w:r w:rsidRPr="00FF708A">
        <w:t xml:space="preserve">20 compared with the </w:t>
      </w:r>
      <w:r w:rsidRPr="00FF708A">
        <w:rPr>
          <w:i/>
        </w:rPr>
        <w:t>2016</w:t>
      </w:r>
      <w:r>
        <w:rPr>
          <w:i/>
        </w:rPr>
        <w:noBreakHyphen/>
      </w:r>
      <w:r w:rsidRPr="00FF708A">
        <w:rPr>
          <w:i/>
        </w:rPr>
        <w:t>17 Budget Update.</w:t>
      </w:r>
      <w:r w:rsidRPr="00FF708A">
        <w:t xml:space="preserve"> This growth reflects recent strength in the property </w:t>
      </w:r>
      <w:r>
        <w:t>market and an update to the</w:t>
      </w:r>
      <w:r w:rsidRPr="00FF708A">
        <w:t xml:space="preserve"> revaluation estimates;</w:t>
      </w:r>
    </w:p>
    <w:p w:rsidR="00552DFA" w:rsidRPr="00FF708A" w:rsidRDefault="00552DFA" w:rsidP="00423C3D">
      <w:pPr>
        <w:pStyle w:val="ListParagraph"/>
        <w:numPr>
          <w:ilvl w:val="0"/>
          <w:numId w:val="20"/>
        </w:numPr>
      </w:pPr>
      <w:r>
        <w:t>g</w:t>
      </w:r>
      <w:r w:rsidRPr="00FF708A">
        <w:t>ambling revenue is expected to be $</w:t>
      </w:r>
      <w:r>
        <w:t>51</w:t>
      </w:r>
      <w:r w:rsidRPr="00FF708A">
        <w:t> million lower, on average, from 2017</w:t>
      </w:r>
      <w:r>
        <w:noBreakHyphen/>
      </w:r>
      <w:r w:rsidRPr="00FF708A">
        <w:t>18 to 2019</w:t>
      </w:r>
      <w:r>
        <w:noBreakHyphen/>
      </w:r>
      <w:r w:rsidRPr="00FF708A">
        <w:t xml:space="preserve">20 compared with the </w:t>
      </w:r>
      <w:r w:rsidRPr="00FF708A">
        <w:rPr>
          <w:i/>
        </w:rPr>
        <w:t>2016</w:t>
      </w:r>
      <w:r>
        <w:rPr>
          <w:i/>
        </w:rPr>
        <w:noBreakHyphen/>
      </w:r>
      <w:r w:rsidRPr="00FF708A">
        <w:rPr>
          <w:i/>
        </w:rPr>
        <w:t>17 Budget Update</w:t>
      </w:r>
      <w:r w:rsidRPr="00FF708A">
        <w:t>. This largely reflects a downgrade to the outlook for lotteries revenue; and</w:t>
      </w:r>
    </w:p>
    <w:p w:rsidR="00552DFA" w:rsidRPr="00FF708A" w:rsidRDefault="00552DFA" w:rsidP="00423C3D">
      <w:pPr>
        <w:pStyle w:val="ListParagraph"/>
        <w:numPr>
          <w:ilvl w:val="0"/>
          <w:numId w:val="20"/>
        </w:numPr>
      </w:pPr>
      <w:r>
        <w:t>t</w:t>
      </w:r>
      <w:r w:rsidRPr="00FF708A">
        <w:t>otal investment income is forecast to be $</w:t>
      </w:r>
      <w:r>
        <w:t>7 </w:t>
      </w:r>
      <w:r w:rsidRPr="00FF708A">
        <w:t>m</w:t>
      </w:r>
      <w:r>
        <w:t>illion</w:t>
      </w:r>
      <w:r w:rsidRPr="00FF708A">
        <w:t xml:space="preserve"> a </w:t>
      </w:r>
      <w:r>
        <w:t xml:space="preserve">year lower </w:t>
      </w:r>
      <w:r w:rsidRPr="00FF708A">
        <w:t>on average, from 2017</w:t>
      </w:r>
      <w:r>
        <w:noBreakHyphen/>
      </w:r>
      <w:r w:rsidRPr="00FF708A">
        <w:t>18 to 2019</w:t>
      </w:r>
      <w:r>
        <w:noBreakHyphen/>
      </w:r>
      <w:r w:rsidRPr="00FF708A">
        <w:t xml:space="preserve">20. </w:t>
      </w:r>
    </w:p>
    <w:p w:rsidR="00552DFA" w:rsidRPr="00EC63FE" w:rsidRDefault="00552DFA" w:rsidP="00423C3D">
      <w:pPr>
        <w:pStyle w:val="Heading4"/>
        <w:rPr>
          <w:rFonts w:eastAsiaTheme="minorHAnsi"/>
        </w:rPr>
      </w:pPr>
      <w:r w:rsidRPr="00EC63FE">
        <w:rPr>
          <w:rFonts w:eastAsiaTheme="minorHAnsi"/>
        </w:rPr>
        <w:t>Commonwealth grants</w:t>
      </w:r>
      <w:r w:rsidR="00356A95">
        <w:rPr>
          <w:rFonts w:eastAsiaTheme="minorHAnsi"/>
        </w:rPr>
        <w:fldChar w:fldCharType="begin"/>
      </w:r>
      <w:r w:rsidR="00356A95">
        <w:rPr>
          <w:rFonts w:eastAsiaTheme="minorHAnsi"/>
        </w:rPr>
        <w:instrText xml:space="preserve"> XE "</w:instrText>
      </w:r>
      <w:r w:rsidR="00356A95">
        <w:instrText>Grants:Commonwealth"</w:instrText>
      </w:r>
      <w:r w:rsidR="00356A95">
        <w:rPr>
          <w:rFonts w:eastAsiaTheme="minorHAnsi"/>
        </w:rPr>
        <w:instrText xml:space="preserve"> </w:instrText>
      </w:r>
      <w:r w:rsidR="00356A95">
        <w:rPr>
          <w:rFonts w:eastAsiaTheme="minorHAnsi"/>
        </w:rPr>
        <w:fldChar w:fldCharType="end"/>
      </w:r>
      <w:r w:rsidRPr="00EC63FE">
        <w:rPr>
          <w:rFonts w:eastAsiaTheme="minorHAnsi"/>
        </w:rPr>
        <w:t xml:space="preserve"> variations</w:t>
      </w:r>
    </w:p>
    <w:p w:rsidR="00552DFA" w:rsidRPr="00E22EE0" w:rsidRDefault="00552DFA" w:rsidP="00423C3D">
      <w:pPr>
        <w:rPr>
          <w:b/>
          <w:bCs/>
        </w:rPr>
      </w:pPr>
      <w:r w:rsidRPr="00821899">
        <w:t>Commonwealth general purpose grants (or GST</w:t>
      </w:r>
      <w:r w:rsidR="00356A95">
        <w:fldChar w:fldCharType="begin"/>
      </w:r>
      <w:r w:rsidR="00356A95">
        <w:instrText xml:space="preserve"> XE "Taxation:Goods and services tax" </w:instrText>
      </w:r>
      <w:r w:rsidR="00356A95">
        <w:fldChar w:fldCharType="end"/>
      </w:r>
      <w:r w:rsidRPr="00821899">
        <w:t xml:space="preserve"> grants) estimates </w:t>
      </w:r>
      <w:r>
        <w:t>have been revised down by $12 million</w:t>
      </w:r>
      <w:r w:rsidRPr="00821899">
        <w:t xml:space="preserve"> in 2017</w:t>
      </w:r>
      <w:r>
        <w:noBreakHyphen/>
      </w:r>
      <w:r w:rsidRPr="00821899">
        <w:t>18</w:t>
      </w:r>
      <w:r>
        <w:t xml:space="preserve"> and by $9 million</w:t>
      </w:r>
      <w:r w:rsidRPr="00821899">
        <w:t xml:space="preserve"> in 2018</w:t>
      </w:r>
      <w:r>
        <w:noBreakHyphen/>
        <w:t>19, but revised up by $112 million in 2019</w:t>
      </w:r>
      <w:r>
        <w:noBreakHyphen/>
        <w:t xml:space="preserve">20 compared with the </w:t>
      </w:r>
      <w:r w:rsidRPr="0019454B">
        <w:rPr>
          <w:i/>
        </w:rPr>
        <w:t>2016</w:t>
      </w:r>
      <w:r>
        <w:rPr>
          <w:i/>
        </w:rPr>
        <w:noBreakHyphen/>
      </w:r>
      <w:r w:rsidRPr="0019454B">
        <w:rPr>
          <w:i/>
        </w:rPr>
        <w:t>17 Budget Update</w:t>
      </w:r>
      <w:r>
        <w:t>.</w:t>
      </w:r>
    </w:p>
    <w:p w:rsidR="00552DFA" w:rsidRPr="00821899" w:rsidRDefault="00552DFA" w:rsidP="00423C3D">
      <w:r w:rsidRPr="00206203">
        <w:t>Net changes to specific purpose grants have increased the operating result by $</w:t>
      </w:r>
      <w:r>
        <w:t>240</w:t>
      </w:r>
      <w:r w:rsidRPr="00206203">
        <w:t> million in 2017</w:t>
      </w:r>
      <w:r>
        <w:noBreakHyphen/>
      </w:r>
      <w:r w:rsidRPr="00206203">
        <w:t>18 and by $</w:t>
      </w:r>
      <w:r>
        <w:t>482 million</w:t>
      </w:r>
      <w:r w:rsidRPr="00206203">
        <w:t xml:space="preserve"> in 2018</w:t>
      </w:r>
      <w:r>
        <w:noBreakHyphen/>
      </w:r>
      <w:r w:rsidRPr="00206203">
        <w:t>19</w:t>
      </w:r>
      <w:r>
        <w:t>, but decreased it by $62 million in 2019</w:t>
      </w:r>
      <w:r>
        <w:noBreakHyphen/>
        <w:t>20</w:t>
      </w:r>
      <w:r w:rsidRPr="00206203">
        <w:t xml:space="preserve">. These movements are largely due to a </w:t>
      </w:r>
      <w:proofErr w:type="spellStart"/>
      <w:r w:rsidRPr="00206203">
        <w:t>rephasing</w:t>
      </w:r>
      <w:proofErr w:type="spellEnd"/>
      <w:r w:rsidRPr="00206203">
        <w:t xml:space="preserve"> of project timelines and associated state expenditure for the Goulburn</w:t>
      </w:r>
      <w:r>
        <w:noBreakHyphen/>
      </w:r>
      <w:r w:rsidRPr="00206203">
        <w:t>Murray Water Connections Project</w:t>
      </w:r>
      <w:r w:rsidR="00356A95">
        <w:fldChar w:fldCharType="begin"/>
      </w:r>
      <w:r w:rsidR="00356A95">
        <w:instrText xml:space="preserve"> XE "Goulburn-Murray Water Connections Project" </w:instrText>
      </w:r>
      <w:r w:rsidR="00356A95">
        <w:fldChar w:fldCharType="end"/>
      </w:r>
      <w:r w:rsidRPr="00206203">
        <w:t>.</w:t>
      </w:r>
    </w:p>
    <w:p w:rsidR="00552DFA" w:rsidRDefault="00552DFA" w:rsidP="00423C3D">
      <w:pPr>
        <w:pStyle w:val="Heading4"/>
        <w:rPr>
          <w:rFonts w:eastAsiaTheme="minorHAnsi"/>
        </w:rPr>
      </w:pPr>
      <w:r w:rsidRPr="00DE4751">
        <w:rPr>
          <w:rFonts w:eastAsiaTheme="minorHAnsi"/>
        </w:rPr>
        <w:t>Administrative variations</w:t>
      </w:r>
    </w:p>
    <w:p w:rsidR="00552DFA" w:rsidRPr="00EC63FE" w:rsidRDefault="00552DFA" w:rsidP="00423C3D">
      <w:r w:rsidRPr="00EC63FE">
        <w:t xml:space="preserve">Other administrative variations are expected to </w:t>
      </w:r>
      <w:r>
        <w:t>increase</w:t>
      </w:r>
      <w:r w:rsidRPr="00EC63FE">
        <w:t xml:space="preserve"> the oper</w:t>
      </w:r>
      <w:r>
        <w:t>ating result by $851 million in 2017</w:t>
      </w:r>
      <w:r>
        <w:noBreakHyphen/>
        <w:t>18 and by $525 million in 2018</w:t>
      </w:r>
      <w:r>
        <w:noBreakHyphen/>
        <w:t>19 and decrease it by $133 million in 2019</w:t>
      </w:r>
      <w:r>
        <w:noBreakHyphen/>
        <w:t>20</w:t>
      </w:r>
      <w:r w:rsidRPr="00EC63FE">
        <w:t xml:space="preserve">. These movements </w:t>
      </w:r>
      <w:r w:rsidR="00CD3AC2">
        <w:t>include</w:t>
      </w:r>
      <w:r w:rsidRPr="00EC63FE">
        <w:t xml:space="preserve">: </w:t>
      </w:r>
    </w:p>
    <w:p w:rsidR="00552DFA" w:rsidRPr="00EC63FE" w:rsidRDefault="00552DFA" w:rsidP="00423C3D">
      <w:pPr>
        <w:pStyle w:val="ListParagraph"/>
        <w:numPr>
          <w:ilvl w:val="0"/>
          <w:numId w:val="20"/>
        </w:numPr>
      </w:pPr>
      <w:r w:rsidRPr="00EC63FE">
        <w:t>additional depreciation related to a revaluation of school assets;</w:t>
      </w:r>
      <w:r>
        <w:t xml:space="preserve"> </w:t>
      </w:r>
    </w:p>
    <w:p w:rsidR="00552DFA" w:rsidRDefault="00552DFA" w:rsidP="00423C3D">
      <w:pPr>
        <w:pStyle w:val="ListParagraph"/>
        <w:numPr>
          <w:ilvl w:val="0"/>
          <w:numId w:val="20"/>
        </w:numPr>
      </w:pPr>
      <w:r w:rsidRPr="00EC63FE">
        <w:t xml:space="preserve">an increase in superannuation expenses; </w:t>
      </w:r>
    </w:p>
    <w:p w:rsidR="00552DFA" w:rsidRPr="00EC63FE" w:rsidRDefault="00552DFA" w:rsidP="00423C3D">
      <w:pPr>
        <w:pStyle w:val="ListParagraph"/>
        <w:numPr>
          <w:ilvl w:val="0"/>
          <w:numId w:val="20"/>
        </w:numPr>
      </w:pPr>
      <w:r>
        <w:t xml:space="preserve">adjustments to the provision for decisions made but not yet allocated that is outlined in note 1.3.5 of Budget Paper No. 5, Chapter 1 </w:t>
      </w:r>
      <w:r w:rsidRPr="001849C9">
        <w:rPr>
          <w:i/>
        </w:rPr>
        <w:t>Estimated financial statements for the general government sector</w:t>
      </w:r>
      <w:r>
        <w:t>. The impact of these changes vary between financial years;</w:t>
      </w:r>
      <w:r w:rsidR="00953556">
        <w:t xml:space="preserve"> and</w:t>
      </w:r>
    </w:p>
    <w:p w:rsidR="00552DFA" w:rsidRPr="00EC63FE" w:rsidRDefault="00552DFA" w:rsidP="00423C3D">
      <w:pPr>
        <w:pStyle w:val="ListParagraph"/>
        <w:numPr>
          <w:ilvl w:val="0"/>
          <w:numId w:val="20"/>
        </w:numPr>
      </w:pPr>
      <w:r w:rsidRPr="00EC63FE">
        <w:t>an expected increase in fees and fines revenue.</w:t>
      </w:r>
    </w:p>
    <w:p w:rsidR="00552DFA" w:rsidRDefault="00552DFA">
      <w:pPr>
        <w:keepLines w:val="0"/>
        <w:rPr>
          <w:rFonts w:asciiTheme="majorHAnsi" w:hAnsiTheme="majorHAnsi" w:cstheme="majorBidi"/>
          <w:b/>
          <w:spacing w:val="-2"/>
          <w:sz w:val="26"/>
          <w:szCs w:val="26"/>
        </w:rPr>
      </w:pPr>
      <w:r>
        <w:br w:type="page"/>
      </w:r>
    </w:p>
    <w:p w:rsidR="00552DFA" w:rsidRPr="00821899" w:rsidRDefault="00552DFA" w:rsidP="00423C3D">
      <w:pPr>
        <w:pStyle w:val="Heading20"/>
        <w:rPr>
          <w:rFonts w:eastAsiaTheme="minorHAnsi"/>
        </w:rPr>
      </w:pPr>
      <w:r w:rsidRPr="00821899">
        <w:rPr>
          <w:rFonts w:eastAsiaTheme="minorHAnsi"/>
        </w:rPr>
        <w:lastRenderedPageBreak/>
        <w:t>Capital expenditure</w:t>
      </w:r>
    </w:p>
    <w:p w:rsidR="00552DFA" w:rsidRDefault="00552DFA" w:rsidP="00423C3D">
      <w:r w:rsidRPr="00F65712">
        <w:t xml:space="preserve">The investments in the </w:t>
      </w:r>
      <w:r w:rsidRPr="00F65712">
        <w:rPr>
          <w:i/>
        </w:rPr>
        <w:t>2017</w:t>
      </w:r>
      <w:r>
        <w:rPr>
          <w:i/>
        </w:rPr>
        <w:noBreakHyphen/>
      </w:r>
      <w:r w:rsidRPr="00F65712">
        <w:rPr>
          <w:i/>
        </w:rPr>
        <w:t>18 Budget</w:t>
      </w:r>
      <w:r w:rsidRPr="00F65712">
        <w:t xml:space="preserve"> reflect </w:t>
      </w:r>
      <w:r>
        <w:t xml:space="preserve">a balance between investing in infrastructure to deliver the services Victorians need and the transformational projects that will enhance Victoria’s future prosperity. </w:t>
      </w:r>
    </w:p>
    <w:p w:rsidR="00552DFA" w:rsidRDefault="00552DFA" w:rsidP="00423C3D">
      <w:r>
        <w:t>Government infrastructure investment</w:t>
      </w:r>
      <w:r w:rsidR="00356A95">
        <w:fldChar w:fldCharType="begin"/>
      </w:r>
      <w:r w:rsidR="00356A95">
        <w:instrText xml:space="preserve"> XE "Infrastructure investment:Government infrastructure investment" </w:instrText>
      </w:r>
      <w:r w:rsidR="00356A95">
        <w:fldChar w:fldCharType="end"/>
      </w:r>
      <w:r>
        <w:t xml:space="preserve"> (GII) captures investment funded or facilitated by the Government. It includes both the Government’s direct investment and cash flow estimates for projects being delivered by the private sector through public private partnership arrangements.</w:t>
      </w:r>
      <w:r w:rsidRPr="00821899" w:rsidDel="00D97722">
        <w:t xml:space="preserve"> </w:t>
      </w:r>
    </w:p>
    <w:p w:rsidR="00552DFA" w:rsidRDefault="00552DFA" w:rsidP="00423C3D">
      <w:r w:rsidRPr="00821899">
        <w:t xml:space="preserve">GII </w:t>
      </w:r>
      <w:r>
        <w:t>is anticipated to average $9.6 billion</w:t>
      </w:r>
      <w:r w:rsidRPr="00821899">
        <w:t xml:space="preserve"> across the </w:t>
      </w:r>
      <w:r>
        <w:t>next four years</w:t>
      </w:r>
      <w:r w:rsidRPr="00821899">
        <w:t>,</w:t>
      </w:r>
      <w:r>
        <w:t xml:space="preserve"> significantly higher than the </w:t>
      </w:r>
      <w:r w:rsidRPr="00821899">
        <w:t>average GII for t</w:t>
      </w:r>
      <w:r>
        <w:t>he past decade t</w:t>
      </w:r>
      <w:r w:rsidRPr="00821899">
        <w:t>o 2016</w:t>
      </w:r>
      <w:r>
        <w:noBreakHyphen/>
      </w:r>
      <w:r w:rsidRPr="00821899">
        <w:t>17 of $</w:t>
      </w:r>
      <w:r>
        <w:t>5.6 billion</w:t>
      </w:r>
      <w:r w:rsidRPr="00821899">
        <w:t xml:space="preserve"> (</w:t>
      </w:r>
      <w:r>
        <w:t>Chart 4.1</w:t>
      </w:r>
      <w:r w:rsidRPr="00821899">
        <w:t>).</w:t>
      </w:r>
      <w:r>
        <w:t xml:space="preserve"> </w:t>
      </w:r>
      <w:r w:rsidRPr="00821899">
        <w:t>Th</w:t>
      </w:r>
      <w:r>
        <w:t xml:space="preserve">is </w:t>
      </w:r>
      <w:r w:rsidRPr="00821899">
        <w:t xml:space="preserve">reflects </w:t>
      </w:r>
      <w:r>
        <w:t xml:space="preserve">the Government’s commitment to </w:t>
      </w:r>
      <w:r w:rsidRPr="00821899">
        <w:t>substantial and ongoing investment in transformative projects, including Metro Tunnel</w:t>
      </w:r>
      <w:r w:rsidR="00356A95">
        <w:fldChar w:fldCharType="begin"/>
      </w:r>
      <w:r w:rsidR="00356A95">
        <w:instrText xml:space="preserve"> XE "Metro Tunnel" </w:instrText>
      </w:r>
      <w:r w:rsidR="00356A95">
        <w:fldChar w:fldCharType="end"/>
      </w:r>
      <w:r>
        <w:t>, the Level Crossing Removal Program</w:t>
      </w:r>
      <w:r w:rsidR="00356A95">
        <w:fldChar w:fldCharType="begin"/>
      </w:r>
      <w:r w:rsidR="00356A95">
        <w:instrText xml:space="preserve"> XE "Level Crossing Removal Program" </w:instrText>
      </w:r>
      <w:r w:rsidR="00356A95">
        <w:fldChar w:fldCharType="end"/>
      </w:r>
      <w:r>
        <w:t>, the West Gate Tunnel Projec</w:t>
      </w:r>
      <w:r w:rsidRPr="00821899">
        <w:t>t</w:t>
      </w:r>
      <w:r w:rsidR="00356A95">
        <w:fldChar w:fldCharType="begin"/>
      </w:r>
      <w:r w:rsidR="00356A95">
        <w:instrText xml:space="preserve"> XE "West Gate Tunnel Project" </w:instrText>
      </w:r>
      <w:r w:rsidR="00356A95">
        <w:fldChar w:fldCharType="end"/>
      </w:r>
      <w:r>
        <w:t xml:space="preserve"> and the Western Suburbs Road Package. The projects announced in the </w:t>
      </w:r>
      <w:r w:rsidRPr="008639DB">
        <w:rPr>
          <w:i/>
        </w:rPr>
        <w:t>2017</w:t>
      </w:r>
      <w:r>
        <w:rPr>
          <w:i/>
        </w:rPr>
        <w:noBreakHyphen/>
      </w:r>
      <w:r w:rsidRPr="008639DB">
        <w:rPr>
          <w:i/>
        </w:rPr>
        <w:t>18 Budget</w:t>
      </w:r>
      <w:r>
        <w:rPr>
          <w:i/>
        </w:rPr>
        <w:t xml:space="preserve"> </w:t>
      </w:r>
      <w:r>
        <w:t xml:space="preserve">continue the Government’s commitment to a substantial infrastructure program. </w:t>
      </w:r>
    </w:p>
    <w:p w:rsidR="00552DFA" w:rsidRPr="00821899" w:rsidRDefault="00552DFA" w:rsidP="00423C3D">
      <w:pPr>
        <w:pStyle w:val="TableHeading"/>
        <w:rPr>
          <w:vertAlign w:val="superscript"/>
        </w:rPr>
      </w:pPr>
      <w:r>
        <w:t>Chart 4.1:</w:t>
      </w:r>
      <w:r>
        <w:tab/>
      </w:r>
      <w:r w:rsidRPr="00821899">
        <w:t>Government infrastructure investment</w:t>
      </w:r>
      <w:r w:rsidR="00356A95">
        <w:fldChar w:fldCharType="begin"/>
      </w:r>
      <w:r w:rsidR="00356A95">
        <w:instrText xml:space="preserve"> XE "Infrastructure investment:Government infrastructure investment" </w:instrText>
      </w:r>
      <w:r w:rsidR="00356A95">
        <w:fldChar w:fldCharType="end"/>
      </w:r>
      <w:r>
        <w:t xml:space="preserve"> </w:t>
      </w:r>
      <w:r w:rsidRPr="00821899">
        <w:rPr>
          <w:vertAlign w:val="superscript"/>
        </w:rPr>
        <w:t>(a)(b)(c)</w:t>
      </w:r>
    </w:p>
    <w:p w:rsidR="00552DFA" w:rsidRDefault="0049535D" w:rsidP="00423C3D">
      <w:pPr>
        <w:pStyle w:val="Source"/>
        <w:jc w:val="center"/>
      </w:pPr>
      <w:r>
        <w:pict>
          <v:shape id="_x0000_i1037" type="#_x0000_t75" style="width:361.65pt;height:236.1pt">
            <v:imagedata r:id="rId36" o:title="" cropbottom="2959f"/>
          </v:shape>
        </w:pict>
      </w:r>
    </w:p>
    <w:p w:rsidR="00552DFA" w:rsidRPr="00821899" w:rsidRDefault="00552DFA" w:rsidP="00423C3D">
      <w:pPr>
        <w:pStyle w:val="Source"/>
      </w:pPr>
      <w:r w:rsidRPr="00821899">
        <w:t>Source: Department of Treasury and Finance</w:t>
      </w:r>
    </w:p>
    <w:p w:rsidR="00552DFA" w:rsidRPr="00304A44" w:rsidRDefault="00552DFA" w:rsidP="00423C3D">
      <w:pPr>
        <w:pStyle w:val="Note"/>
      </w:pPr>
      <w:r w:rsidRPr="00304A44">
        <w:t>Notes:</w:t>
      </w:r>
    </w:p>
    <w:p w:rsidR="00552DFA" w:rsidRPr="00304A44" w:rsidRDefault="00552DFA" w:rsidP="00423C3D">
      <w:pPr>
        <w:pStyle w:val="Note"/>
      </w:pPr>
      <w:r w:rsidRPr="00304A44">
        <w:t>(a)</w:t>
      </w:r>
      <w:r w:rsidRPr="00304A44">
        <w:tab/>
        <w:t>Includes general government net infrastructure investment and estimated cash flows for Partnerships Victoria projects and the State contribution to the West Gate Tunnel Project</w:t>
      </w:r>
      <w:r w:rsidR="00356A95">
        <w:fldChar w:fldCharType="begin"/>
      </w:r>
      <w:r w:rsidR="00356A95">
        <w:instrText xml:space="preserve"> XE "West Gate Tunnel Project" </w:instrText>
      </w:r>
      <w:r w:rsidR="00356A95">
        <w:fldChar w:fldCharType="end"/>
      </w:r>
      <w:r w:rsidRPr="00304A44">
        <w:t>.</w:t>
      </w:r>
    </w:p>
    <w:p w:rsidR="00552DFA" w:rsidRDefault="00552DFA" w:rsidP="00423C3D">
      <w:pPr>
        <w:pStyle w:val="Note"/>
      </w:pPr>
      <w:r w:rsidRPr="00304A44">
        <w:t>(b)</w:t>
      </w:r>
      <w:r w:rsidRPr="00304A44">
        <w:tab/>
        <w:t>Excludes the impact of the medium</w:t>
      </w:r>
      <w:r>
        <w:noBreakHyphen/>
      </w:r>
      <w:r w:rsidRPr="00304A44">
        <w:t>term lease over the operations of the Port of Melbourne</w:t>
      </w:r>
      <w:r w:rsidR="00563960">
        <w:t>.</w:t>
      </w:r>
      <w:r w:rsidRPr="00304A44">
        <w:t xml:space="preserve"> </w:t>
      </w:r>
    </w:p>
    <w:p w:rsidR="00552DFA" w:rsidRDefault="00552DFA" w:rsidP="00423C3D">
      <w:pPr>
        <w:pStyle w:val="Note"/>
      </w:pPr>
      <w:r w:rsidRPr="00821899">
        <w:t>(c)</w:t>
      </w:r>
      <w:r w:rsidRPr="00821899">
        <w:tab/>
        <w:t>The figure for 2016</w:t>
      </w:r>
      <w:r>
        <w:noBreakHyphen/>
      </w:r>
      <w:r w:rsidRPr="00821899">
        <w:t>17 is an estimate.</w:t>
      </w:r>
    </w:p>
    <w:p w:rsidR="00552DFA" w:rsidRPr="00821899" w:rsidRDefault="00552DFA" w:rsidP="00423C3D">
      <w:pPr>
        <w:pStyle w:val="Note"/>
      </w:pPr>
    </w:p>
    <w:p w:rsidR="00552DFA" w:rsidRPr="00ED25B3" w:rsidRDefault="00552DFA" w:rsidP="00423C3D">
      <w:pPr>
        <w:pStyle w:val="Heading30"/>
        <w:rPr>
          <w:rFonts w:eastAsiaTheme="minorHAnsi"/>
          <w:b w:val="0"/>
        </w:rPr>
      </w:pPr>
      <w:r w:rsidRPr="00ED25B3">
        <w:rPr>
          <w:rFonts w:eastAsiaTheme="minorHAnsi"/>
        </w:rPr>
        <w:lastRenderedPageBreak/>
        <w:t>New asset initiatives</w:t>
      </w:r>
    </w:p>
    <w:p w:rsidR="00552DFA" w:rsidRPr="00821899" w:rsidRDefault="00552DFA" w:rsidP="007814B1">
      <w:pPr>
        <w:spacing w:before="100"/>
      </w:pPr>
      <w:r w:rsidRPr="00821899">
        <w:t xml:space="preserve">The </w:t>
      </w:r>
      <w:r w:rsidRPr="00821899">
        <w:rPr>
          <w:i/>
        </w:rPr>
        <w:t>2017</w:t>
      </w:r>
      <w:r>
        <w:rPr>
          <w:i/>
        </w:rPr>
        <w:noBreakHyphen/>
      </w:r>
      <w:r w:rsidRPr="00821899">
        <w:rPr>
          <w:i/>
        </w:rPr>
        <w:t>18 Budget</w:t>
      </w:r>
      <w:r w:rsidRPr="00821899">
        <w:t xml:space="preserve"> includes up to </w:t>
      </w:r>
      <w:r>
        <w:t>$6.1 billion</w:t>
      </w:r>
      <w:r w:rsidRPr="00821899">
        <w:t xml:space="preserve"> TEI</w:t>
      </w:r>
      <w:r w:rsidR="00356A95">
        <w:fldChar w:fldCharType="begin"/>
      </w:r>
      <w:r w:rsidR="00356A95">
        <w:instrText xml:space="preserve"> XE "Total Estimated Investment (TEI)" </w:instrText>
      </w:r>
      <w:r w:rsidR="00356A95">
        <w:fldChar w:fldCharType="end"/>
      </w:r>
      <w:r w:rsidRPr="00821899">
        <w:t xml:space="preserve"> of new infrastructure investment that </w:t>
      </w:r>
      <w:r>
        <w:t>will enhance</w:t>
      </w:r>
      <w:r w:rsidRPr="00821899">
        <w:t xml:space="preserve"> productivity, boo</w:t>
      </w:r>
      <w:r>
        <w:t>st economic growth, and improve the</w:t>
      </w:r>
      <w:r w:rsidRPr="00821899">
        <w:t xml:space="preserve"> liveability</w:t>
      </w:r>
      <w:r>
        <w:t xml:space="preserve"> of communities</w:t>
      </w:r>
      <w:r w:rsidRPr="00821899">
        <w:t xml:space="preserve"> </w:t>
      </w:r>
      <w:r>
        <w:t>for</w:t>
      </w:r>
      <w:r w:rsidRPr="00821899">
        <w:t xml:space="preserve"> all Victorians. </w:t>
      </w:r>
    </w:p>
    <w:p w:rsidR="00552DFA" w:rsidRPr="005638CD" w:rsidRDefault="00552DFA" w:rsidP="00423C3D">
      <w:r w:rsidRPr="005638CD">
        <w:t xml:space="preserve">Investment in new asset initiatives includes: </w:t>
      </w:r>
    </w:p>
    <w:p w:rsidR="00552DFA" w:rsidRDefault="00552DFA" w:rsidP="00423C3D">
      <w:pPr>
        <w:pStyle w:val="ListBullet"/>
        <w:numPr>
          <w:ilvl w:val="0"/>
          <w:numId w:val="19"/>
        </w:numPr>
      </w:pPr>
      <w:r w:rsidRPr="005638CD">
        <w:t>$</w:t>
      </w:r>
      <w:r>
        <w:t>685 million to invest in school infrastructure;</w:t>
      </w:r>
    </w:p>
    <w:p w:rsidR="00552DFA" w:rsidRDefault="00552DFA" w:rsidP="00423C3D">
      <w:pPr>
        <w:pStyle w:val="ListBullet"/>
        <w:numPr>
          <w:ilvl w:val="0"/>
          <w:numId w:val="19"/>
        </w:numPr>
      </w:pPr>
      <w:r>
        <w:t>$673 </w:t>
      </w:r>
      <w:r w:rsidRPr="005638CD">
        <w:t>m</w:t>
      </w:r>
      <w:r>
        <w:t>illion</w:t>
      </w:r>
      <w:r w:rsidRPr="005638CD">
        <w:t xml:space="preserve"> for the final upgrade to the M80 Ring Road</w:t>
      </w:r>
      <w:r w:rsidR="00356A95">
        <w:fldChar w:fldCharType="begin"/>
      </w:r>
      <w:r w:rsidR="00356A95">
        <w:instrText xml:space="preserve"> XE "M80 Ring Road" </w:instrText>
      </w:r>
      <w:r w:rsidR="00356A95">
        <w:fldChar w:fldCharType="end"/>
      </w:r>
      <w:r w:rsidRPr="005638CD">
        <w:t>, which will complement the North East Link</w:t>
      </w:r>
      <w:r w:rsidR="00356A95">
        <w:fldChar w:fldCharType="begin"/>
      </w:r>
      <w:r w:rsidR="00356A95">
        <w:instrText xml:space="preserve"> XE "North East Link" </w:instrText>
      </w:r>
      <w:r w:rsidR="00356A95">
        <w:fldChar w:fldCharType="end"/>
      </w:r>
      <w:r w:rsidRPr="005638CD">
        <w:t>;</w:t>
      </w:r>
    </w:p>
    <w:p w:rsidR="00552DFA" w:rsidRPr="005638CD" w:rsidRDefault="00552DFA" w:rsidP="00423C3D">
      <w:pPr>
        <w:pStyle w:val="ListBullet"/>
        <w:numPr>
          <w:ilvl w:val="0"/>
          <w:numId w:val="19"/>
        </w:numPr>
      </w:pPr>
      <w:r>
        <w:t>$498 million for new and upgraded health facilities, infrastructure and vital health equipment;</w:t>
      </w:r>
    </w:p>
    <w:p w:rsidR="00552DFA" w:rsidRPr="005638CD" w:rsidRDefault="00552DFA" w:rsidP="00423C3D">
      <w:pPr>
        <w:pStyle w:val="ListBullet"/>
        <w:numPr>
          <w:ilvl w:val="0"/>
          <w:numId w:val="19"/>
        </w:numPr>
      </w:pPr>
      <w:r w:rsidRPr="005638CD">
        <w:t>$435</w:t>
      </w:r>
      <w:r>
        <w:t> </w:t>
      </w:r>
      <w:r w:rsidRPr="005638CD">
        <w:t>m</w:t>
      </w:r>
      <w:r>
        <w:t>illion</w:t>
      </w:r>
      <w:r w:rsidRPr="005638CD">
        <w:t xml:space="preserve"> for </w:t>
      </w:r>
      <w:r>
        <w:t xml:space="preserve">an upgrade to </w:t>
      </w:r>
      <w:r w:rsidRPr="005638CD">
        <w:t>Gippsland Rail</w:t>
      </w:r>
      <w:r w:rsidR="00356A95">
        <w:fldChar w:fldCharType="begin"/>
      </w:r>
      <w:r w:rsidR="00356A95">
        <w:instrText xml:space="preserve"> XE "Gippsland Rail" </w:instrText>
      </w:r>
      <w:r w:rsidR="00356A95">
        <w:fldChar w:fldCharType="end"/>
      </w:r>
      <w:r>
        <w:t>;</w:t>
      </w:r>
      <w:r w:rsidRPr="00036AE1">
        <w:t xml:space="preserve"> </w:t>
      </w:r>
      <w:r>
        <w:t>and</w:t>
      </w:r>
    </w:p>
    <w:p w:rsidR="00552DFA" w:rsidRPr="005638CD" w:rsidRDefault="00552DFA" w:rsidP="00423C3D">
      <w:pPr>
        <w:pStyle w:val="ListBullet"/>
        <w:numPr>
          <w:ilvl w:val="0"/>
          <w:numId w:val="19"/>
        </w:numPr>
      </w:pPr>
      <w:r w:rsidRPr="005638CD">
        <w:t>$100</w:t>
      </w:r>
      <w:r>
        <w:t> </w:t>
      </w:r>
      <w:r w:rsidRPr="005638CD">
        <w:t>m</w:t>
      </w:r>
      <w:r>
        <w:t>illion</w:t>
      </w:r>
      <w:r w:rsidRPr="005638CD">
        <w:t xml:space="preserve"> to complete planning and pre</w:t>
      </w:r>
      <w:r>
        <w:noBreakHyphen/>
      </w:r>
      <w:r w:rsidRPr="005638CD">
        <w:t xml:space="preserve">construction for </w:t>
      </w:r>
      <w:r>
        <w:t>the North East Link</w:t>
      </w:r>
      <w:r w:rsidR="00356A95">
        <w:fldChar w:fldCharType="begin"/>
      </w:r>
      <w:r w:rsidR="00356A95">
        <w:instrText xml:space="preserve"> XE "North East Link" </w:instrText>
      </w:r>
      <w:r w:rsidR="00356A95">
        <w:fldChar w:fldCharType="end"/>
      </w:r>
      <w:r>
        <w:t>.</w:t>
      </w:r>
    </w:p>
    <w:p w:rsidR="00552DFA" w:rsidRDefault="00552DFA" w:rsidP="004E5248">
      <w:pPr>
        <w:rPr>
          <w:rFonts w:asciiTheme="majorHAnsi" w:hAnsiTheme="majorHAnsi" w:cstheme="majorBidi"/>
          <w:b/>
          <w:spacing w:val="-2"/>
          <w:sz w:val="26"/>
          <w:szCs w:val="26"/>
        </w:rPr>
      </w:pPr>
      <w:r w:rsidRPr="00821899">
        <w:t xml:space="preserve">Details of individual asset initiatives can be found in Budget Paper No. 3, Chapter 1 </w:t>
      </w:r>
      <w:r w:rsidRPr="00821899">
        <w:rPr>
          <w:i/>
        </w:rPr>
        <w:t>Output, asset investment, savings and revenue initiatives</w:t>
      </w:r>
      <w:r w:rsidRPr="00821899">
        <w:t>.</w:t>
      </w:r>
      <w:r w:rsidR="007814B1">
        <w:t xml:space="preserve"> </w:t>
      </w:r>
    </w:p>
    <w:p w:rsidR="00552DFA" w:rsidRPr="00821899" w:rsidRDefault="00552DFA" w:rsidP="007814B1">
      <w:pPr>
        <w:pStyle w:val="Heading20"/>
        <w:spacing w:before="120"/>
        <w:rPr>
          <w:rFonts w:eastAsiaTheme="minorHAnsi"/>
          <w:b w:val="0"/>
        </w:rPr>
      </w:pPr>
      <w:r w:rsidRPr="00821899">
        <w:rPr>
          <w:rFonts w:eastAsiaTheme="minorHAnsi"/>
        </w:rPr>
        <w:t>Net debt</w:t>
      </w:r>
      <w:r w:rsidR="00356A95">
        <w:rPr>
          <w:rFonts w:eastAsiaTheme="minorHAnsi"/>
        </w:rPr>
        <w:fldChar w:fldCharType="begin"/>
      </w:r>
      <w:r w:rsidR="00356A95">
        <w:rPr>
          <w:rFonts w:eastAsiaTheme="minorHAnsi"/>
        </w:rPr>
        <w:instrText xml:space="preserve"> XE "</w:instrText>
      </w:r>
      <w:r w:rsidR="00356A95">
        <w:instrText>Debt:Net debt"</w:instrText>
      </w:r>
      <w:r w:rsidR="00356A95">
        <w:rPr>
          <w:rFonts w:eastAsiaTheme="minorHAnsi"/>
        </w:rPr>
        <w:instrText xml:space="preserve"> </w:instrText>
      </w:r>
      <w:r w:rsidR="00356A95">
        <w:rPr>
          <w:rFonts w:eastAsiaTheme="minorHAnsi"/>
        </w:rPr>
        <w:fldChar w:fldCharType="end"/>
      </w:r>
    </w:p>
    <w:p w:rsidR="00552DFA" w:rsidRPr="003C7BF1" w:rsidRDefault="00552DFA" w:rsidP="007814B1">
      <w:pPr>
        <w:spacing w:before="100"/>
      </w:pPr>
      <w:r>
        <w:t>Net debt</w:t>
      </w:r>
      <w:r w:rsidR="00356A95">
        <w:fldChar w:fldCharType="begin"/>
      </w:r>
      <w:r w:rsidR="00356A95">
        <w:instrText xml:space="preserve"> XE "Debt:Net debt" </w:instrText>
      </w:r>
      <w:r w:rsidR="00356A95">
        <w:fldChar w:fldCharType="end"/>
      </w:r>
      <w:r>
        <w:t xml:space="preserve"> as a proportion of GSP is expected to be 4.6 per cent at June 2017 (Chart 4.2), rising to 6.0 per cent of GSP by June 2021. This </w:t>
      </w:r>
      <w:r w:rsidRPr="003C7BF1">
        <w:t>reflects the Government’s previously advocated position on the use of debt financing to sustain sens</w:t>
      </w:r>
      <w:r>
        <w:t>ible investment in productivity</w:t>
      </w:r>
      <w:r>
        <w:noBreakHyphen/>
      </w:r>
      <w:r w:rsidRPr="003C7BF1">
        <w:t xml:space="preserve">enhancing infrastructure that grows the State’s economy. </w:t>
      </w:r>
    </w:p>
    <w:p w:rsidR="00552DFA" w:rsidRDefault="00552DFA" w:rsidP="007814B1">
      <w:pPr>
        <w:spacing w:before="100"/>
      </w:pPr>
      <w:r w:rsidRPr="003C7BF1">
        <w:t xml:space="preserve">Initiatives in the </w:t>
      </w:r>
      <w:r w:rsidRPr="009E2B71">
        <w:rPr>
          <w:i/>
        </w:rPr>
        <w:t>2017</w:t>
      </w:r>
      <w:r>
        <w:rPr>
          <w:i/>
        </w:rPr>
        <w:noBreakHyphen/>
      </w:r>
      <w:r w:rsidRPr="009E2B71">
        <w:rPr>
          <w:i/>
        </w:rPr>
        <w:t>18 Budget</w:t>
      </w:r>
      <w:r w:rsidRPr="003C7BF1">
        <w:t>, such as the M80 Ring Road</w:t>
      </w:r>
      <w:r w:rsidR="00356A95">
        <w:fldChar w:fldCharType="begin"/>
      </w:r>
      <w:r w:rsidR="00356A95">
        <w:instrText xml:space="preserve"> XE "M80 Ring Road" </w:instrText>
      </w:r>
      <w:r w:rsidR="00356A95">
        <w:fldChar w:fldCharType="end"/>
      </w:r>
      <w:r w:rsidRPr="003C7BF1">
        <w:t xml:space="preserve"> upgrade and the Mordialloc Bypass</w:t>
      </w:r>
      <w:r w:rsidR="00356A95">
        <w:fldChar w:fldCharType="begin"/>
      </w:r>
      <w:r w:rsidR="00356A95">
        <w:instrText xml:space="preserve"> XE "Mordialloc Bypass" </w:instrText>
      </w:r>
      <w:r w:rsidR="00356A95">
        <w:fldChar w:fldCharType="end"/>
      </w:r>
      <w:r w:rsidRPr="003C7BF1">
        <w:t>, further add to the previously announced transformative projects of national significance</w:t>
      </w:r>
      <w:r>
        <w:t xml:space="preserve"> currently being delivered by the Government such as </w:t>
      </w:r>
      <w:r w:rsidRPr="003C7BF1">
        <w:t>Metro Tunnel</w:t>
      </w:r>
      <w:r w:rsidR="00356A95">
        <w:fldChar w:fldCharType="begin"/>
      </w:r>
      <w:r w:rsidR="00356A95">
        <w:instrText xml:space="preserve"> XE "Metro Tunnel" </w:instrText>
      </w:r>
      <w:r w:rsidR="00356A95">
        <w:fldChar w:fldCharType="end"/>
      </w:r>
      <w:r w:rsidRPr="003C7BF1">
        <w:t xml:space="preserve">, the Level Crossing Removal </w:t>
      </w:r>
      <w:r>
        <w:t>P</w:t>
      </w:r>
      <w:r w:rsidRPr="003C7BF1">
        <w:t>rogram</w:t>
      </w:r>
      <w:r w:rsidR="00356A95">
        <w:fldChar w:fldCharType="begin"/>
      </w:r>
      <w:r w:rsidR="00356A95">
        <w:instrText xml:space="preserve"> XE "Level Crossing Removal Program" </w:instrText>
      </w:r>
      <w:r w:rsidR="00356A95">
        <w:fldChar w:fldCharType="end"/>
      </w:r>
      <w:r w:rsidRPr="003C7BF1">
        <w:t xml:space="preserve"> and the West Gate Tunnel Project</w:t>
      </w:r>
      <w:r w:rsidR="00356A95">
        <w:fldChar w:fldCharType="begin"/>
      </w:r>
      <w:r w:rsidR="00356A95">
        <w:instrText xml:space="preserve"> XE "West Gate Tunnel Project" </w:instrText>
      </w:r>
      <w:r w:rsidR="00356A95">
        <w:fldChar w:fldCharType="end"/>
      </w:r>
      <w:r w:rsidRPr="003C7BF1">
        <w:t>.</w:t>
      </w:r>
    </w:p>
    <w:p w:rsidR="00552DFA" w:rsidRDefault="00552DFA" w:rsidP="007814B1">
      <w:pPr>
        <w:pStyle w:val="TableHeading"/>
        <w:spacing w:before="180"/>
      </w:pPr>
      <w:r>
        <w:t>Chart 4.2</w:t>
      </w:r>
      <w:r w:rsidRPr="00821899">
        <w:t>:</w:t>
      </w:r>
      <w:r w:rsidRPr="00821899">
        <w:tab/>
        <w:t>General government net debt</w:t>
      </w:r>
      <w:r w:rsidR="00356A95">
        <w:fldChar w:fldCharType="begin"/>
      </w:r>
      <w:r w:rsidR="00356A95">
        <w:instrText xml:space="preserve"> XE "Debt:General government net debt" </w:instrText>
      </w:r>
      <w:r w:rsidR="00356A95">
        <w:fldChar w:fldCharType="end"/>
      </w:r>
      <w:r>
        <w:t xml:space="preserve"> to GSP</w:t>
      </w:r>
    </w:p>
    <w:p w:rsidR="00552DFA" w:rsidRDefault="0049535D" w:rsidP="00A95794">
      <w:r>
        <w:pict>
          <v:shape id="_x0000_i1038" type="#_x0000_t75" style="width:369.2pt;height:194.25pt">
            <v:imagedata r:id="rId37" o:title="" croptop="4355f" cropbottom="5807f"/>
          </v:shape>
        </w:pict>
      </w:r>
    </w:p>
    <w:p w:rsidR="00552DFA" w:rsidRPr="00821899" w:rsidRDefault="00552DFA" w:rsidP="00423C3D">
      <w:pPr>
        <w:pStyle w:val="Source"/>
      </w:pPr>
      <w:r w:rsidRPr="00821899">
        <w:t>Source: Department of Treasury and Finance</w:t>
      </w:r>
    </w:p>
    <w:p w:rsidR="00552DFA" w:rsidRDefault="00552DFA" w:rsidP="00423C3D">
      <w:pPr>
        <w:pStyle w:val="Source"/>
        <w:tabs>
          <w:tab w:val="left" w:pos="567"/>
        </w:tabs>
      </w:pPr>
      <w:r>
        <w:t xml:space="preserve">Note: </w:t>
      </w:r>
      <w:r>
        <w:tab/>
        <w:t>The decrease in 2016</w:t>
      </w:r>
      <w:r>
        <w:noBreakHyphen/>
        <w:t>17 reflects the receipt of proceeds from entering into a medium</w:t>
      </w:r>
      <w:r>
        <w:noBreakHyphen/>
        <w:t xml:space="preserve">term lease over the operations of the </w:t>
      </w:r>
      <w:r>
        <w:br/>
      </w:r>
      <w:r>
        <w:tab/>
        <w:t>Port of Melbourne.</w:t>
      </w:r>
    </w:p>
    <w:p w:rsidR="00552DFA" w:rsidRDefault="00552DFA" w:rsidP="00423C3D">
      <w:r w:rsidRPr="00821899">
        <w:lastRenderedPageBreak/>
        <w:t xml:space="preserve">The application of cash resources for the general government sector (Table 4.5) outlines the annual movements </w:t>
      </w:r>
      <w:r>
        <w:t>in</w:t>
      </w:r>
      <w:r w:rsidRPr="00821899">
        <w:t xml:space="preserve"> net debt. General government sector cash from operating acti</w:t>
      </w:r>
      <w:r>
        <w:t>vities is expected to average $4.6 billion</w:t>
      </w:r>
      <w:r w:rsidRPr="00821899">
        <w:t xml:space="preserve"> a year over the </w:t>
      </w:r>
      <w:r>
        <w:t>next four years</w:t>
      </w:r>
      <w:r w:rsidRPr="00821899">
        <w:t xml:space="preserve">. </w:t>
      </w:r>
    </w:p>
    <w:p w:rsidR="00552DFA" w:rsidRPr="00B448A2" w:rsidRDefault="00552DFA" w:rsidP="00423C3D">
      <w:pPr>
        <w:pStyle w:val="TableHeading"/>
        <w:rPr>
          <w:bCs/>
          <w:lang w:val="en-US"/>
        </w:rPr>
      </w:pPr>
      <w:r w:rsidRPr="00821899">
        <w:t>Table 4.5:</w:t>
      </w:r>
      <w:r w:rsidRPr="00821899">
        <w:tab/>
        <w:t>Application of cash resources for the general government sector</w:t>
      </w:r>
      <w:r>
        <w:t xml:space="preserve"> </w:t>
      </w:r>
      <w:r w:rsidRPr="00821899">
        <w:rPr>
          <w:vertAlign w:val="superscript"/>
        </w:rPr>
        <w:t>(a)</w:t>
      </w:r>
      <w:r w:rsidRPr="00821899">
        <w:rPr>
          <w:vertAlign w:val="superscript"/>
        </w:rPr>
        <w:tab/>
      </w:r>
      <w:r w:rsidRPr="00821899">
        <w:t>($</w:t>
      </w:r>
      <w:r>
        <w:t> million</w:t>
      </w:r>
      <w:r w:rsidRPr="00821899">
        <w: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850"/>
        <w:gridCol w:w="850"/>
        <w:gridCol w:w="850"/>
        <w:gridCol w:w="850"/>
        <w:gridCol w:w="850"/>
        <w:gridCol w:w="850"/>
      </w:tblGrid>
      <w:tr w:rsidR="00552DFA" w:rsidRPr="00B448A2" w:rsidTr="00423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552DFA" w:rsidRPr="00B448A2" w:rsidRDefault="00552DFA" w:rsidP="00423C3D">
            <w:pPr>
              <w:autoSpaceDE w:val="0"/>
              <w:autoSpaceDN w:val="0"/>
              <w:adjustRightInd w:val="0"/>
              <w:rPr>
                <w:rFonts w:eastAsiaTheme="minorEastAsia" w:cs="Calibri"/>
                <w:iCs/>
                <w:color w:val="FFFFFF"/>
                <w:szCs w:val="19"/>
                <w:lang w:eastAsia="en-AU"/>
              </w:rPr>
            </w:pPr>
            <w:r w:rsidRPr="00B448A2">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2015</w:t>
            </w:r>
            <w:r>
              <w:rPr>
                <w:rFonts w:eastAsiaTheme="minorEastAsia" w:cs="Calibri"/>
                <w:iCs/>
                <w:color w:val="FFFFFF"/>
                <w:szCs w:val="19"/>
                <w:lang w:eastAsia="en-AU"/>
              </w:rPr>
              <w:noBreakHyphen/>
            </w:r>
            <w:r w:rsidRPr="00B448A2">
              <w:rPr>
                <w:rFonts w:eastAsiaTheme="minorEastAsia" w:cs="Calibri"/>
                <w:iCs/>
                <w:color w:val="FFFFFF"/>
                <w:szCs w:val="19"/>
                <w:lang w:eastAsia="en-AU"/>
              </w:rPr>
              <w:t>16</w:t>
            </w:r>
          </w:p>
        </w:tc>
        <w:tc>
          <w:tcPr>
            <w:tcW w:w="850" w:type="dxa"/>
            <w:tcBorders>
              <w:top w:val="nil"/>
              <w:left w:val="nil"/>
              <w:bottom w:val="nil"/>
              <w:right w:val="nil"/>
            </w:tcBorders>
            <w:shd w:val="solid" w:color="000000" w:fill="auto"/>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2016</w:t>
            </w:r>
            <w:r>
              <w:rPr>
                <w:rFonts w:eastAsiaTheme="minorEastAsia" w:cs="Calibri"/>
                <w:iCs/>
                <w:color w:val="FFFFFF"/>
                <w:szCs w:val="19"/>
                <w:lang w:eastAsia="en-AU"/>
              </w:rPr>
              <w:noBreakHyphen/>
            </w:r>
            <w:r w:rsidRPr="00B448A2">
              <w:rPr>
                <w:rFonts w:eastAsiaTheme="minorEastAsia" w:cs="Calibri"/>
                <w:iCs/>
                <w:color w:val="FFFFFF"/>
                <w:szCs w:val="19"/>
                <w:lang w:eastAsia="en-AU"/>
              </w:rPr>
              <w:t>17</w:t>
            </w:r>
          </w:p>
        </w:tc>
        <w:tc>
          <w:tcPr>
            <w:tcW w:w="850" w:type="dxa"/>
            <w:tcBorders>
              <w:top w:val="nil"/>
              <w:left w:val="nil"/>
              <w:bottom w:val="nil"/>
              <w:right w:val="nil"/>
            </w:tcBorders>
            <w:shd w:val="solid" w:color="000000" w:fill="auto"/>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2017</w:t>
            </w:r>
            <w:r>
              <w:rPr>
                <w:rFonts w:eastAsiaTheme="minorEastAsia" w:cs="Calibri"/>
                <w:iCs/>
                <w:color w:val="FFFFFF"/>
                <w:szCs w:val="19"/>
                <w:lang w:eastAsia="en-AU"/>
              </w:rPr>
              <w:noBreakHyphen/>
            </w:r>
            <w:r w:rsidRPr="00B448A2">
              <w:rPr>
                <w:rFonts w:eastAsiaTheme="minorEastAsia" w:cs="Calibri"/>
                <w:iCs/>
                <w:color w:val="FFFFFF"/>
                <w:szCs w:val="19"/>
                <w:lang w:eastAsia="en-AU"/>
              </w:rPr>
              <w:t>18</w:t>
            </w:r>
          </w:p>
        </w:tc>
        <w:tc>
          <w:tcPr>
            <w:tcW w:w="850" w:type="dxa"/>
            <w:tcBorders>
              <w:top w:val="nil"/>
              <w:left w:val="nil"/>
              <w:bottom w:val="nil"/>
              <w:right w:val="nil"/>
            </w:tcBorders>
            <w:shd w:val="solid" w:color="000000" w:fill="auto"/>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2018</w:t>
            </w:r>
            <w:r>
              <w:rPr>
                <w:rFonts w:eastAsiaTheme="minorEastAsia" w:cs="Calibri"/>
                <w:iCs/>
                <w:color w:val="FFFFFF"/>
                <w:szCs w:val="19"/>
                <w:lang w:eastAsia="en-AU"/>
              </w:rPr>
              <w:noBreakHyphen/>
            </w:r>
            <w:r w:rsidRPr="00B448A2">
              <w:rPr>
                <w:rFonts w:eastAsiaTheme="minorEastAsia" w:cs="Calibri"/>
                <w:iCs/>
                <w:color w:val="FFFFFF"/>
                <w:szCs w:val="19"/>
                <w:lang w:eastAsia="en-AU"/>
              </w:rPr>
              <w:t>19</w:t>
            </w:r>
          </w:p>
        </w:tc>
        <w:tc>
          <w:tcPr>
            <w:tcW w:w="850" w:type="dxa"/>
            <w:tcBorders>
              <w:top w:val="nil"/>
              <w:left w:val="nil"/>
              <w:bottom w:val="nil"/>
              <w:right w:val="nil"/>
            </w:tcBorders>
            <w:shd w:val="solid" w:color="000000" w:fill="auto"/>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2019</w:t>
            </w:r>
            <w:r>
              <w:rPr>
                <w:rFonts w:eastAsiaTheme="minorEastAsia" w:cs="Calibri"/>
                <w:iCs/>
                <w:color w:val="FFFFFF"/>
                <w:szCs w:val="19"/>
                <w:lang w:eastAsia="en-AU"/>
              </w:rPr>
              <w:noBreakHyphen/>
            </w:r>
            <w:r w:rsidRPr="00B448A2">
              <w:rPr>
                <w:rFonts w:eastAsiaTheme="minorEastAsia" w:cs="Calibri"/>
                <w:iCs/>
                <w:color w:val="FFFFFF"/>
                <w:szCs w:val="19"/>
                <w:lang w:eastAsia="en-AU"/>
              </w:rPr>
              <w:t>20</w:t>
            </w:r>
          </w:p>
        </w:tc>
        <w:tc>
          <w:tcPr>
            <w:tcW w:w="850" w:type="dxa"/>
            <w:tcBorders>
              <w:top w:val="nil"/>
              <w:left w:val="nil"/>
              <w:bottom w:val="nil"/>
              <w:right w:val="nil"/>
            </w:tcBorders>
            <w:shd w:val="solid" w:color="000000" w:fill="auto"/>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2020</w:t>
            </w:r>
            <w:r>
              <w:rPr>
                <w:rFonts w:eastAsiaTheme="minorEastAsia" w:cs="Calibri"/>
                <w:iCs/>
                <w:color w:val="FFFFFF"/>
                <w:szCs w:val="19"/>
                <w:lang w:eastAsia="en-AU"/>
              </w:rPr>
              <w:noBreakHyphen/>
            </w:r>
            <w:r w:rsidRPr="00B448A2">
              <w:rPr>
                <w:rFonts w:eastAsiaTheme="minorEastAsia" w:cs="Calibri"/>
                <w:iCs/>
                <w:color w:val="FFFFFF"/>
                <w:szCs w:val="19"/>
                <w:lang w:eastAsia="en-AU"/>
              </w:rPr>
              <w:t>21</w:t>
            </w:r>
          </w:p>
        </w:tc>
      </w:tr>
      <w:tr w:rsidR="00552DFA" w:rsidRPr="00B448A2" w:rsidTr="00423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552DFA" w:rsidRPr="00B448A2" w:rsidRDefault="00552DFA" w:rsidP="00423C3D">
            <w:pPr>
              <w:keepLines w:val="0"/>
              <w:autoSpaceDE w:val="0"/>
              <w:autoSpaceDN w:val="0"/>
              <w:adjustRightInd w:val="0"/>
              <w:rPr>
                <w:rFonts w:eastAsiaTheme="minorEastAsia" w:cs="Calibri"/>
                <w:iCs/>
                <w:color w:val="FFFFFF"/>
                <w:szCs w:val="19"/>
                <w:lang w:eastAsia="en-AU"/>
              </w:rPr>
            </w:pPr>
            <w:r w:rsidRPr="00B448A2">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actual</w:t>
            </w:r>
          </w:p>
        </w:tc>
        <w:tc>
          <w:tcPr>
            <w:tcW w:w="850" w:type="dxa"/>
            <w:tcBorders>
              <w:top w:val="nil"/>
              <w:left w:val="nil"/>
              <w:bottom w:val="nil"/>
              <w:right w:val="nil"/>
            </w:tcBorders>
            <w:shd w:val="solid" w:color="000000" w:fill="auto"/>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revised</w:t>
            </w:r>
          </w:p>
        </w:tc>
        <w:tc>
          <w:tcPr>
            <w:tcW w:w="850" w:type="dxa"/>
            <w:tcBorders>
              <w:top w:val="nil"/>
              <w:left w:val="nil"/>
              <w:bottom w:val="nil"/>
              <w:right w:val="nil"/>
            </w:tcBorders>
            <w:shd w:val="solid" w:color="000000" w:fill="auto"/>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budget</w:t>
            </w:r>
          </w:p>
        </w:tc>
        <w:tc>
          <w:tcPr>
            <w:tcW w:w="850" w:type="dxa"/>
            <w:tcBorders>
              <w:top w:val="nil"/>
              <w:left w:val="nil"/>
              <w:bottom w:val="nil"/>
              <w:right w:val="nil"/>
            </w:tcBorders>
            <w:shd w:val="solid" w:color="000000" w:fill="auto"/>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B448A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B448A2">
              <w:rPr>
                <w:rFonts w:eastAsiaTheme="minorEastAsia" w:cs="Calibri"/>
                <w:iCs/>
                <w:color w:val="FFFFFF"/>
                <w:szCs w:val="19"/>
                <w:lang w:eastAsia="en-AU"/>
              </w:rPr>
              <w:t>estimate</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B448A2" w:rsidRDefault="00552DFA" w:rsidP="00423C3D">
            <w:pPr>
              <w:keepLines w:val="0"/>
              <w:autoSpaceDE w:val="0"/>
              <w:autoSpaceDN w:val="0"/>
              <w:adjustRightInd w:val="0"/>
              <w:rPr>
                <w:rFonts w:eastAsiaTheme="minorEastAsia" w:cs="Calibri"/>
                <w:b/>
                <w:bCs/>
                <w:color w:val="000000"/>
                <w:szCs w:val="19"/>
                <w:lang w:eastAsia="en-AU"/>
              </w:rPr>
            </w:pPr>
            <w:r w:rsidRPr="00B448A2">
              <w:rPr>
                <w:rFonts w:eastAsiaTheme="minorEastAsia" w:cs="Calibri"/>
                <w:b/>
                <w:bCs/>
                <w:color w:val="000000"/>
                <w:szCs w:val="19"/>
                <w:lang w:eastAsia="en-AU"/>
              </w:rPr>
              <w:t>Net result from transactions</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2 664</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1 344</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1 153</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1 975</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2 405</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2 727</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000000"/>
              <w:right w:val="nil"/>
            </w:tcBorders>
          </w:tcPr>
          <w:p w:rsidR="00552DFA" w:rsidRPr="00B448A2" w:rsidRDefault="00552DFA" w:rsidP="00423C3D">
            <w:pPr>
              <w:keepLines w:val="0"/>
              <w:autoSpaceDE w:val="0"/>
              <w:autoSpaceDN w:val="0"/>
              <w:adjustRightInd w:val="0"/>
              <w:rPr>
                <w:rFonts w:eastAsiaTheme="minorEastAsia" w:cs="Calibri"/>
                <w:color w:val="000000"/>
                <w:szCs w:val="19"/>
                <w:vertAlign w:val="superscript"/>
                <w:lang w:eastAsia="en-AU"/>
              </w:rPr>
            </w:pPr>
            <w:r w:rsidRPr="00B448A2">
              <w:rPr>
                <w:rFonts w:eastAsiaTheme="minorEastAsia" w:cs="Calibri"/>
                <w:color w:val="000000"/>
                <w:szCs w:val="19"/>
                <w:lang w:eastAsia="en-AU"/>
              </w:rPr>
              <w:t>Add back: non</w:t>
            </w:r>
            <w:r>
              <w:rPr>
                <w:rFonts w:eastAsiaTheme="minorEastAsia" w:cs="Calibri"/>
                <w:color w:val="000000"/>
                <w:szCs w:val="19"/>
                <w:lang w:eastAsia="en-AU"/>
              </w:rPr>
              <w:noBreakHyphen/>
            </w:r>
            <w:r w:rsidRPr="00B448A2">
              <w:rPr>
                <w:rFonts w:eastAsiaTheme="minorEastAsia" w:cs="Calibri"/>
                <w:color w:val="000000"/>
                <w:szCs w:val="19"/>
                <w:lang w:eastAsia="en-AU"/>
              </w:rPr>
              <w:t xml:space="preserve">cash revenue and expenses (net) </w:t>
            </w:r>
            <w:r w:rsidRPr="00B448A2">
              <w:rPr>
                <w:rFonts w:eastAsiaTheme="minorEastAsia" w:cs="Calibri"/>
                <w:color w:val="000000"/>
                <w:szCs w:val="19"/>
                <w:vertAlign w:val="superscript"/>
                <w:lang w:eastAsia="en-AU"/>
              </w:rPr>
              <w:t>(b)</w:t>
            </w:r>
          </w:p>
        </w:tc>
        <w:tc>
          <w:tcPr>
            <w:tcW w:w="850" w:type="dxa"/>
            <w:tcBorders>
              <w:top w:val="nil"/>
              <w:left w:val="nil"/>
              <w:bottom w:val="single" w:sz="6" w:space="0" w:color="000000"/>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2 695</w:t>
            </w:r>
          </w:p>
        </w:tc>
        <w:tc>
          <w:tcPr>
            <w:tcW w:w="850" w:type="dxa"/>
            <w:tcBorders>
              <w:top w:val="nil"/>
              <w:left w:val="nil"/>
              <w:bottom w:val="single" w:sz="6" w:space="0" w:color="000000"/>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2 300</w:t>
            </w:r>
          </w:p>
        </w:tc>
        <w:tc>
          <w:tcPr>
            <w:tcW w:w="850" w:type="dxa"/>
            <w:tcBorders>
              <w:top w:val="nil"/>
              <w:left w:val="nil"/>
              <w:bottom w:val="single" w:sz="6" w:space="0" w:color="000000"/>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2 448</w:t>
            </w:r>
          </w:p>
        </w:tc>
        <w:tc>
          <w:tcPr>
            <w:tcW w:w="850" w:type="dxa"/>
            <w:tcBorders>
              <w:top w:val="nil"/>
              <w:left w:val="nil"/>
              <w:bottom w:val="single" w:sz="6" w:space="0" w:color="000000"/>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3 768</w:t>
            </w:r>
          </w:p>
        </w:tc>
        <w:tc>
          <w:tcPr>
            <w:tcW w:w="850" w:type="dxa"/>
            <w:tcBorders>
              <w:top w:val="nil"/>
              <w:left w:val="nil"/>
              <w:bottom w:val="single" w:sz="6" w:space="0" w:color="000000"/>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1 754</w:t>
            </w:r>
          </w:p>
        </w:tc>
        <w:tc>
          <w:tcPr>
            <w:tcW w:w="850" w:type="dxa"/>
            <w:tcBorders>
              <w:top w:val="nil"/>
              <w:left w:val="nil"/>
              <w:bottom w:val="single" w:sz="6" w:space="0" w:color="000000"/>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1 997</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B448A2" w:rsidRDefault="00552DFA" w:rsidP="00423C3D">
            <w:pPr>
              <w:keepLines w:val="0"/>
              <w:autoSpaceDE w:val="0"/>
              <w:autoSpaceDN w:val="0"/>
              <w:adjustRightInd w:val="0"/>
              <w:rPr>
                <w:rFonts w:eastAsiaTheme="minorEastAsia" w:cs="Calibri"/>
                <w:b/>
                <w:bCs/>
                <w:color w:val="000000"/>
                <w:szCs w:val="19"/>
                <w:lang w:eastAsia="en-AU"/>
              </w:rPr>
            </w:pPr>
            <w:r w:rsidRPr="00B448A2">
              <w:rPr>
                <w:rFonts w:eastAsiaTheme="minorEastAsia" w:cs="Calibri"/>
                <w:b/>
                <w:bCs/>
                <w:color w:val="000000"/>
                <w:szCs w:val="19"/>
                <w:lang w:eastAsia="en-AU"/>
              </w:rPr>
              <w:t>Net cash flows from operating activities</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5 359</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3 644</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3 601</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5 743</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4 159</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4 725</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000000"/>
              <w:left w:val="nil"/>
              <w:bottom w:val="nil"/>
              <w:right w:val="nil"/>
            </w:tcBorders>
          </w:tcPr>
          <w:p w:rsidR="00552DFA" w:rsidRPr="00B448A2" w:rsidRDefault="00552DFA" w:rsidP="00423C3D">
            <w:pPr>
              <w:keepLines w:val="0"/>
              <w:autoSpaceDE w:val="0"/>
              <w:autoSpaceDN w:val="0"/>
              <w:adjustRightInd w:val="0"/>
              <w:rPr>
                <w:rFonts w:eastAsiaTheme="minorEastAsia" w:cs="Calibri"/>
                <w:b/>
                <w:bCs/>
                <w:color w:val="000000"/>
                <w:szCs w:val="19"/>
                <w:vertAlign w:val="superscript"/>
                <w:lang w:eastAsia="en-AU"/>
              </w:rPr>
            </w:pPr>
            <w:r w:rsidRPr="00B448A2">
              <w:rPr>
                <w:rFonts w:eastAsiaTheme="minorEastAsia" w:cs="Calibri"/>
                <w:b/>
                <w:bCs/>
                <w:color w:val="000000"/>
                <w:szCs w:val="19"/>
                <w:lang w:eastAsia="en-AU"/>
              </w:rPr>
              <w:t xml:space="preserve">Less: Total net investment in fixed assets </w:t>
            </w:r>
            <w:r w:rsidRPr="00B448A2">
              <w:rPr>
                <w:rFonts w:eastAsiaTheme="minorEastAsia" w:cs="Calibri"/>
                <w:b/>
                <w:bCs/>
                <w:color w:val="000000"/>
                <w:szCs w:val="19"/>
                <w:vertAlign w:val="superscript"/>
                <w:lang w:eastAsia="en-AU"/>
              </w:rPr>
              <w:t>(c)</w:t>
            </w:r>
          </w:p>
        </w:tc>
        <w:tc>
          <w:tcPr>
            <w:tcW w:w="850" w:type="dxa"/>
            <w:tcBorders>
              <w:top w:val="single" w:sz="6" w:space="0" w:color="000000"/>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4 137</w:t>
            </w:r>
          </w:p>
        </w:tc>
        <w:tc>
          <w:tcPr>
            <w:tcW w:w="850" w:type="dxa"/>
            <w:tcBorders>
              <w:top w:val="single" w:sz="6" w:space="0" w:color="000000"/>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6 763</w:t>
            </w:r>
          </w:p>
        </w:tc>
        <w:tc>
          <w:tcPr>
            <w:tcW w:w="850" w:type="dxa"/>
            <w:tcBorders>
              <w:top w:val="single" w:sz="6" w:space="0" w:color="000000"/>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5 930</w:t>
            </w:r>
          </w:p>
        </w:tc>
        <w:tc>
          <w:tcPr>
            <w:tcW w:w="850" w:type="dxa"/>
            <w:tcBorders>
              <w:top w:val="single" w:sz="6" w:space="0" w:color="000000"/>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4 902</w:t>
            </w:r>
          </w:p>
        </w:tc>
        <w:tc>
          <w:tcPr>
            <w:tcW w:w="850" w:type="dxa"/>
            <w:tcBorders>
              <w:top w:val="single" w:sz="6" w:space="0" w:color="000000"/>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4 583</w:t>
            </w:r>
          </w:p>
        </w:tc>
        <w:tc>
          <w:tcPr>
            <w:tcW w:w="850" w:type="dxa"/>
            <w:tcBorders>
              <w:top w:val="single" w:sz="6" w:space="0" w:color="000000"/>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3 843</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000000"/>
              <w:left w:val="nil"/>
              <w:bottom w:val="single" w:sz="6" w:space="0" w:color="000000"/>
              <w:right w:val="nil"/>
            </w:tcBorders>
          </w:tcPr>
          <w:p w:rsidR="00552DFA" w:rsidRPr="00B448A2" w:rsidRDefault="00552DFA" w:rsidP="00423C3D">
            <w:pPr>
              <w:keepLines w:val="0"/>
              <w:autoSpaceDE w:val="0"/>
              <w:autoSpaceDN w:val="0"/>
              <w:adjustRightInd w:val="0"/>
              <w:rPr>
                <w:rFonts w:eastAsiaTheme="minorEastAsia" w:cs="Calibri"/>
                <w:b/>
                <w:bCs/>
                <w:color w:val="000000"/>
                <w:szCs w:val="19"/>
                <w:lang w:eastAsia="en-AU"/>
              </w:rPr>
            </w:pPr>
            <w:r w:rsidRPr="00B448A2">
              <w:rPr>
                <w:rFonts w:eastAsiaTheme="minorEastAsia" w:cs="Calibri"/>
                <w:b/>
                <w:bCs/>
                <w:color w:val="000000"/>
                <w:szCs w:val="19"/>
                <w:lang w:eastAsia="en-AU"/>
              </w:rPr>
              <w:t>Surplus/(deficit) of cash from operations after funding net investment in fixed assets</w:t>
            </w:r>
          </w:p>
        </w:tc>
        <w:tc>
          <w:tcPr>
            <w:tcW w:w="850" w:type="dxa"/>
            <w:tcBorders>
              <w:top w:val="single" w:sz="6" w:space="0" w:color="000000"/>
              <w:left w:val="nil"/>
              <w:bottom w:val="single" w:sz="6" w:space="0" w:color="000000"/>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B448A2">
              <w:rPr>
                <w:rFonts w:eastAsiaTheme="minorEastAsia" w:cs="Calibri"/>
                <w:b/>
                <w:bCs/>
                <w:color w:val="000000"/>
                <w:szCs w:val="19"/>
                <w:lang w:eastAsia="en-AU"/>
              </w:rPr>
              <w:t>1 222</w:t>
            </w:r>
          </w:p>
        </w:tc>
        <w:tc>
          <w:tcPr>
            <w:tcW w:w="850" w:type="dxa"/>
            <w:tcBorders>
              <w:top w:val="single" w:sz="6" w:space="0" w:color="000000"/>
              <w:left w:val="nil"/>
              <w:bottom w:val="single" w:sz="6" w:space="0" w:color="000000"/>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(3 118)</w:t>
            </w:r>
          </w:p>
        </w:tc>
        <w:tc>
          <w:tcPr>
            <w:tcW w:w="850" w:type="dxa"/>
            <w:tcBorders>
              <w:top w:val="single" w:sz="6" w:space="0" w:color="000000"/>
              <w:left w:val="nil"/>
              <w:bottom w:val="single" w:sz="6" w:space="0" w:color="000000"/>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(2 328)</w:t>
            </w:r>
          </w:p>
        </w:tc>
        <w:tc>
          <w:tcPr>
            <w:tcW w:w="850" w:type="dxa"/>
            <w:tcBorders>
              <w:top w:val="single" w:sz="6" w:space="0" w:color="000000"/>
              <w:left w:val="nil"/>
              <w:bottom w:val="single" w:sz="6" w:space="0" w:color="000000"/>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841</w:t>
            </w:r>
          </w:p>
        </w:tc>
        <w:tc>
          <w:tcPr>
            <w:tcW w:w="850" w:type="dxa"/>
            <w:tcBorders>
              <w:top w:val="single" w:sz="6" w:space="0" w:color="000000"/>
              <w:left w:val="nil"/>
              <w:bottom w:val="single" w:sz="6" w:space="0" w:color="000000"/>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(424)</w:t>
            </w:r>
          </w:p>
        </w:tc>
        <w:tc>
          <w:tcPr>
            <w:tcW w:w="850" w:type="dxa"/>
            <w:tcBorders>
              <w:top w:val="single" w:sz="6" w:space="0" w:color="000000"/>
              <w:left w:val="nil"/>
              <w:bottom w:val="single" w:sz="6" w:space="0" w:color="000000"/>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882</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B448A2" w:rsidRDefault="00552DFA" w:rsidP="00423C3D">
            <w:pPr>
              <w:keepLines w:val="0"/>
              <w:autoSpaceDE w:val="0"/>
              <w:autoSpaceDN w:val="0"/>
              <w:adjustRightInd w:val="0"/>
              <w:rPr>
                <w:rFonts w:eastAsiaTheme="minorEastAsia" w:cs="Calibri"/>
                <w:color w:val="000000"/>
                <w:szCs w:val="19"/>
                <w:vertAlign w:val="superscript"/>
                <w:lang w:eastAsia="en-AU"/>
              </w:rPr>
            </w:pPr>
            <w:r w:rsidRPr="00B448A2">
              <w:rPr>
                <w:rFonts w:eastAsiaTheme="minorEastAsia" w:cs="Calibri"/>
                <w:color w:val="000000"/>
                <w:szCs w:val="19"/>
                <w:lang w:eastAsia="en-AU"/>
              </w:rPr>
              <w:t xml:space="preserve">Finance leases </w:t>
            </w:r>
            <w:r w:rsidRPr="00B448A2">
              <w:rPr>
                <w:rFonts w:eastAsiaTheme="minorEastAsia" w:cs="Calibri"/>
                <w:color w:val="000000"/>
                <w:szCs w:val="19"/>
                <w:vertAlign w:val="superscript"/>
                <w:lang w:eastAsia="en-AU"/>
              </w:rPr>
              <w:t>(d)</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1 050</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517</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647</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415</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312</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964</w:t>
            </w:r>
          </w:p>
        </w:tc>
      </w:tr>
      <w:tr w:rsidR="00552DFA" w:rsidRPr="00B448A2"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B448A2" w:rsidRDefault="00552DFA" w:rsidP="00423C3D">
            <w:pPr>
              <w:keepLines w:val="0"/>
              <w:autoSpaceDE w:val="0"/>
              <w:autoSpaceDN w:val="0"/>
              <w:adjustRightInd w:val="0"/>
              <w:rPr>
                <w:rFonts w:eastAsiaTheme="minorEastAsia" w:cs="Calibri"/>
                <w:color w:val="000000"/>
                <w:szCs w:val="19"/>
                <w:lang w:eastAsia="en-AU"/>
              </w:rPr>
            </w:pPr>
            <w:r w:rsidRPr="00B448A2">
              <w:rPr>
                <w:rFonts w:eastAsiaTheme="minorEastAsia" w:cs="Calibri"/>
                <w:color w:val="000000"/>
                <w:szCs w:val="19"/>
                <w:lang w:eastAsia="en-AU"/>
              </w:rPr>
              <w:t>Other movements</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153</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(7 820)</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2 698</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1 771</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1 475</w:t>
            </w:r>
          </w:p>
        </w:tc>
        <w:tc>
          <w:tcPr>
            <w:tcW w:w="850" w:type="dxa"/>
            <w:tcBorders>
              <w:top w:val="nil"/>
              <w:left w:val="nil"/>
              <w:bottom w:val="nil"/>
              <w:right w:val="nil"/>
            </w:tcBorders>
          </w:tcPr>
          <w:p w:rsidR="00552DFA" w:rsidRPr="00B448A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B448A2">
              <w:rPr>
                <w:rFonts w:eastAsiaTheme="minorEastAsia" w:cs="Calibri"/>
                <w:color w:val="000000"/>
                <w:szCs w:val="19"/>
                <w:lang w:eastAsia="en-AU"/>
              </w:rPr>
              <w:t>1 481</w:t>
            </w:r>
          </w:p>
        </w:tc>
      </w:tr>
      <w:tr w:rsidR="00552DFA" w:rsidRPr="00B448A2" w:rsidTr="00423C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000000"/>
              <w:bottom w:val="single" w:sz="12" w:space="0" w:color="000000"/>
            </w:tcBorders>
          </w:tcPr>
          <w:p w:rsidR="00552DFA" w:rsidRPr="00B448A2" w:rsidRDefault="00552DFA" w:rsidP="00423C3D">
            <w:pPr>
              <w:keepLines w:val="0"/>
              <w:autoSpaceDE w:val="0"/>
              <w:autoSpaceDN w:val="0"/>
              <w:adjustRightInd w:val="0"/>
              <w:rPr>
                <w:rFonts w:eastAsiaTheme="minorEastAsia" w:cs="Calibri"/>
                <w:bCs/>
                <w:color w:val="000000"/>
                <w:szCs w:val="19"/>
                <w:lang w:eastAsia="en-AU"/>
              </w:rPr>
            </w:pPr>
            <w:r w:rsidRPr="00B448A2">
              <w:rPr>
                <w:rFonts w:eastAsiaTheme="minorEastAsia" w:cs="Calibri"/>
                <w:bCs/>
                <w:color w:val="000000"/>
                <w:szCs w:val="19"/>
                <w:lang w:eastAsia="en-AU"/>
              </w:rPr>
              <w:t>Decrease/(increase) in net debt</w:t>
            </w:r>
          </w:p>
        </w:tc>
        <w:tc>
          <w:tcPr>
            <w:tcW w:w="850" w:type="dxa"/>
            <w:tcBorders>
              <w:top w:val="single" w:sz="6" w:space="0" w:color="000000"/>
              <w:bottom w:val="single" w:sz="12" w:space="0" w:color="000000"/>
            </w:tcBorders>
          </w:tcPr>
          <w:p w:rsidR="00552DFA" w:rsidRPr="00B448A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19</w:t>
            </w:r>
          </w:p>
        </w:tc>
        <w:tc>
          <w:tcPr>
            <w:tcW w:w="850" w:type="dxa"/>
            <w:tcBorders>
              <w:top w:val="single" w:sz="6" w:space="0" w:color="000000"/>
              <w:bottom w:val="single" w:sz="12" w:space="0" w:color="000000"/>
            </w:tcBorders>
          </w:tcPr>
          <w:p w:rsidR="00552DFA" w:rsidRPr="00B448A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B448A2">
              <w:rPr>
                <w:rFonts w:eastAsiaTheme="minorEastAsia" w:cs="Calibri"/>
                <w:bCs/>
                <w:color w:val="000000"/>
                <w:szCs w:val="19"/>
                <w:lang w:eastAsia="en-AU"/>
              </w:rPr>
              <w:t>4 184</w:t>
            </w:r>
          </w:p>
        </w:tc>
        <w:tc>
          <w:tcPr>
            <w:tcW w:w="850" w:type="dxa"/>
            <w:tcBorders>
              <w:top w:val="single" w:sz="6" w:space="0" w:color="000000"/>
              <w:bottom w:val="single" w:sz="12" w:space="0" w:color="000000"/>
            </w:tcBorders>
          </w:tcPr>
          <w:p w:rsidR="00552DFA" w:rsidRPr="00B448A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(5 673)</w:t>
            </w:r>
          </w:p>
        </w:tc>
        <w:tc>
          <w:tcPr>
            <w:tcW w:w="850" w:type="dxa"/>
            <w:tcBorders>
              <w:top w:val="single" w:sz="6" w:space="0" w:color="000000"/>
              <w:bottom w:val="single" w:sz="12" w:space="0" w:color="000000"/>
            </w:tcBorders>
          </w:tcPr>
          <w:p w:rsidR="00552DFA" w:rsidRPr="00B448A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(1 346)</w:t>
            </w:r>
          </w:p>
        </w:tc>
        <w:tc>
          <w:tcPr>
            <w:tcW w:w="850" w:type="dxa"/>
            <w:tcBorders>
              <w:top w:val="single" w:sz="6" w:space="0" w:color="000000"/>
              <w:bottom w:val="single" w:sz="12" w:space="0" w:color="000000"/>
            </w:tcBorders>
          </w:tcPr>
          <w:p w:rsidR="00552DFA" w:rsidRPr="00B448A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(2 211)</w:t>
            </w:r>
          </w:p>
        </w:tc>
        <w:tc>
          <w:tcPr>
            <w:tcW w:w="850" w:type="dxa"/>
            <w:tcBorders>
              <w:top w:val="single" w:sz="6" w:space="0" w:color="000000"/>
              <w:bottom w:val="single" w:sz="12" w:space="0" w:color="000000"/>
            </w:tcBorders>
          </w:tcPr>
          <w:p w:rsidR="00552DFA" w:rsidRPr="00B448A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(1 563)</w:t>
            </w:r>
          </w:p>
        </w:tc>
      </w:tr>
    </w:tbl>
    <w:p w:rsidR="00552DFA" w:rsidRPr="00821899" w:rsidRDefault="00552DFA" w:rsidP="00423C3D">
      <w:pPr>
        <w:pStyle w:val="Source"/>
      </w:pPr>
      <w:r w:rsidRPr="00821899">
        <w:t>Source: Department of Treasury and Finance</w:t>
      </w:r>
    </w:p>
    <w:p w:rsidR="00552DFA" w:rsidRPr="00821899" w:rsidRDefault="00552DFA" w:rsidP="00423C3D">
      <w:pPr>
        <w:pStyle w:val="Note"/>
      </w:pPr>
      <w:r w:rsidRPr="00821899">
        <w:t>Notes:</w:t>
      </w:r>
    </w:p>
    <w:p w:rsidR="00552DFA" w:rsidRPr="00821899" w:rsidRDefault="00552DFA" w:rsidP="00423C3D">
      <w:pPr>
        <w:pStyle w:val="Note"/>
      </w:pPr>
      <w:r w:rsidRPr="00821899">
        <w:t xml:space="preserve">(a) </w:t>
      </w:r>
      <w:r w:rsidRPr="00821899">
        <w:tab/>
        <w:t>Figures in this table are subject to rounding to the nearest</w:t>
      </w:r>
      <w:r>
        <w:t> million</w:t>
      </w:r>
      <w:r w:rsidRPr="00821899">
        <w:t xml:space="preserve"> and may not add up to totals.</w:t>
      </w:r>
    </w:p>
    <w:p w:rsidR="00552DFA" w:rsidRPr="00821899" w:rsidRDefault="00552DFA" w:rsidP="00423C3D">
      <w:pPr>
        <w:pStyle w:val="Note"/>
      </w:pPr>
      <w:r w:rsidRPr="00821899">
        <w:t xml:space="preserve">(b) </w:t>
      </w:r>
      <w:r w:rsidRPr="00821899">
        <w:tab/>
        <w:t>Includes depreciation, movements in the unfunded superannuation liability and liability for employee benefits.</w:t>
      </w:r>
    </w:p>
    <w:p w:rsidR="00552DFA" w:rsidRPr="00821899" w:rsidRDefault="00552DFA" w:rsidP="00423C3D">
      <w:pPr>
        <w:pStyle w:val="Note"/>
      </w:pPr>
      <w:r w:rsidRPr="00821899">
        <w:t xml:space="preserve">(c) </w:t>
      </w:r>
      <w:r w:rsidRPr="00821899">
        <w:tab/>
        <w:t>Includes total purchases of plant, property and equipment, and net capital contributions to other sectors of government net of proceeds from asset recycling</w:t>
      </w:r>
      <w:r w:rsidRPr="00821899">
        <w:fldChar w:fldCharType="begin"/>
      </w:r>
      <w:r w:rsidRPr="00821899">
        <w:instrText xml:space="preserve"> "Asset recycling" </w:instrText>
      </w:r>
      <w:r w:rsidRPr="00821899">
        <w:fldChar w:fldCharType="end"/>
      </w:r>
      <w:r w:rsidRPr="00821899">
        <w:t>.</w:t>
      </w:r>
    </w:p>
    <w:p w:rsidR="00552DFA" w:rsidRDefault="00552DFA" w:rsidP="00423C3D">
      <w:pPr>
        <w:pStyle w:val="Note"/>
      </w:pPr>
      <w:r w:rsidRPr="00F140D0">
        <w:t>(d)</w:t>
      </w:r>
      <w:r w:rsidRPr="00F140D0">
        <w:tab/>
      </w:r>
      <w:r w:rsidRPr="00962243">
        <w:t>The finance lease acquisition in 2016</w:t>
      </w:r>
      <w:r>
        <w:noBreakHyphen/>
      </w:r>
      <w:r w:rsidRPr="00962243">
        <w:t>17 relates to the new Bendigo Hospital</w:t>
      </w:r>
      <w:r w:rsidR="00356A95">
        <w:fldChar w:fldCharType="begin"/>
      </w:r>
      <w:r w:rsidR="00356A95">
        <w:instrText xml:space="preserve"> XE "Health:Hospitals" </w:instrText>
      </w:r>
      <w:r w:rsidR="00356A95">
        <w:fldChar w:fldCharType="end"/>
      </w:r>
      <w:r w:rsidRPr="00962243">
        <w:t xml:space="preserve"> project (stage 1), the New Schools</w:t>
      </w:r>
      <w:r w:rsidR="00356A95">
        <w:fldChar w:fldCharType="begin"/>
      </w:r>
      <w:r w:rsidR="00356A95">
        <w:instrText xml:space="preserve"> XE "Schools" </w:instrText>
      </w:r>
      <w:r w:rsidR="00356A95">
        <w:fldChar w:fldCharType="end"/>
      </w:r>
      <w:r w:rsidRPr="00962243">
        <w:t xml:space="preserve"> PPP</w:t>
      </w:r>
      <w:r w:rsidR="00356A95">
        <w:fldChar w:fldCharType="begin"/>
      </w:r>
      <w:r w:rsidR="00356A95">
        <w:instrText xml:space="preserve"> XE "Public Private Partnerships (PPPs)" </w:instrText>
      </w:r>
      <w:r w:rsidR="00356A95">
        <w:fldChar w:fldCharType="end"/>
      </w:r>
      <w:r w:rsidRPr="00962243">
        <w:t xml:space="preserve"> project (tranche 1) and the metropolitan Melbourne buses contract. The 2017</w:t>
      </w:r>
      <w:r>
        <w:noBreakHyphen/>
      </w:r>
      <w:r w:rsidRPr="00962243">
        <w:t>18 estimate relates to the Ravenhall Prison project, the new Bendigo Hospital project (stage 2) and the New Schools PPP project (tranche 2). The 2018</w:t>
      </w:r>
      <w:r>
        <w:noBreakHyphen/>
      </w:r>
      <w:r w:rsidRPr="00962243">
        <w:t>19 and 2019</w:t>
      </w:r>
      <w:r>
        <w:noBreakHyphen/>
      </w:r>
      <w:r w:rsidRPr="00962243">
        <w:t>20 estimates relate to the High Capacity Metropolitan Trains project. The 2020</w:t>
      </w:r>
      <w:r>
        <w:noBreakHyphen/>
      </w:r>
      <w:r w:rsidRPr="00962243">
        <w:t xml:space="preserve">21 estimates relate to the High Capacity Metropolitan Trains project and </w:t>
      </w:r>
      <w:r>
        <w:t>the Western Suburbs Road Package.</w:t>
      </w:r>
    </w:p>
    <w:p w:rsidR="00553CEB" w:rsidRPr="00962243" w:rsidRDefault="00553CEB" w:rsidP="00423C3D">
      <w:pPr>
        <w:pStyle w:val="Note"/>
      </w:pPr>
    </w:p>
    <w:p w:rsidR="00552DFA" w:rsidRPr="00165693" w:rsidRDefault="00552DFA" w:rsidP="00423C3D">
      <w:pPr>
        <w:pStyle w:val="Heading20"/>
        <w:rPr>
          <w:rFonts w:eastAsiaTheme="minorHAnsi"/>
        </w:rPr>
      </w:pPr>
      <w:r>
        <w:rPr>
          <w:rFonts w:eastAsiaTheme="minorHAnsi"/>
        </w:rPr>
        <w:t>Unfunded superannuation liability</w:t>
      </w:r>
      <w:r w:rsidR="00356A95">
        <w:rPr>
          <w:rFonts w:eastAsiaTheme="minorHAnsi"/>
        </w:rPr>
        <w:fldChar w:fldCharType="begin"/>
      </w:r>
      <w:r w:rsidR="00356A95">
        <w:rPr>
          <w:rFonts w:eastAsiaTheme="minorHAnsi"/>
        </w:rPr>
        <w:instrText xml:space="preserve"> XE "</w:instrText>
      </w:r>
      <w:r w:rsidR="00356A95">
        <w:instrText>Superannuation:Unfunded superannuation liability"</w:instrText>
      </w:r>
      <w:r w:rsidR="00356A95">
        <w:rPr>
          <w:rFonts w:eastAsiaTheme="minorHAnsi"/>
        </w:rPr>
        <w:instrText xml:space="preserve"> </w:instrText>
      </w:r>
      <w:r w:rsidR="00356A95">
        <w:rPr>
          <w:rFonts w:eastAsiaTheme="minorHAnsi"/>
        </w:rPr>
        <w:fldChar w:fldCharType="end"/>
      </w:r>
    </w:p>
    <w:p w:rsidR="00552DFA" w:rsidRPr="00BB0B5A" w:rsidRDefault="00552DFA" w:rsidP="00423C3D">
      <w:r>
        <w:t xml:space="preserve">The Government is on track to fully fund the State’s unfunded </w:t>
      </w:r>
      <w:r w:rsidRPr="00165693">
        <w:t xml:space="preserve">superannuation </w:t>
      </w:r>
      <w:r w:rsidR="008F0067">
        <w:t>liability by </w:t>
      </w:r>
      <w:r>
        <w:t>2035. Information on the reported superannuation liability is shown in note </w:t>
      </w:r>
      <w:r w:rsidRPr="008B6811">
        <w:t>1.6.3</w:t>
      </w:r>
      <w:r w:rsidRPr="00165693">
        <w:t xml:space="preserve"> of Budget Paper </w:t>
      </w:r>
      <w:r>
        <w:t>No. 5, Chapter </w:t>
      </w:r>
      <w:r w:rsidRPr="00165693">
        <w:t xml:space="preserve">1 </w:t>
      </w:r>
      <w:r w:rsidRPr="002E4060">
        <w:rPr>
          <w:i/>
        </w:rPr>
        <w:t>Estimated financial statements for the general government sector.</w:t>
      </w:r>
      <w:r w:rsidRPr="00AE00F5">
        <w:t xml:space="preserve"> </w:t>
      </w:r>
    </w:p>
    <w:p w:rsidR="007814B1" w:rsidRDefault="007814B1">
      <w:pPr>
        <w:keepLines w:val="0"/>
        <w:rPr>
          <w:rFonts w:asciiTheme="majorHAnsi" w:hAnsiTheme="majorHAnsi" w:cstheme="majorBidi"/>
          <w:b/>
          <w:bCs/>
          <w:caps/>
          <w:spacing w:val="-2"/>
          <w:sz w:val="26"/>
          <w:szCs w:val="28"/>
        </w:rPr>
      </w:pPr>
      <w:bookmarkStart w:id="43" w:name="_Toc449123068"/>
      <w:bookmarkStart w:id="44" w:name="_Toc481160574"/>
      <w:r>
        <w:br w:type="page"/>
      </w:r>
    </w:p>
    <w:p w:rsidR="00552DFA" w:rsidRPr="00821899" w:rsidRDefault="00552DFA" w:rsidP="00423C3D">
      <w:pPr>
        <w:pStyle w:val="Heading10"/>
        <w:rPr>
          <w:rFonts w:eastAsiaTheme="minorHAnsi"/>
        </w:rPr>
      </w:pPr>
      <w:bookmarkStart w:id="45" w:name="_Toc481246482"/>
      <w:r w:rsidRPr="00821899">
        <w:rPr>
          <w:rFonts w:eastAsiaTheme="minorHAnsi"/>
        </w:rPr>
        <w:lastRenderedPageBreak/>
        <w:t>Fiscal risk</w:t>
      </w:r>
      <w:r w:rsidR="00356A95">
        <w:rPr>
          <w:rFonts w:eastAsiaTheme="minorHAnsi"/>
        </w:rPr>
        <w:fldChar w:fldCharType="begin"/>
      </w:r>
      <w:r w:rsidR="00356A95">
        <w:rPr>
          <w:rFonts w:eastAsiaTheme="minorHAnsi"/>
        </w:rPr>
        <w:instrText xml:space="preserve"> XE "</w:instrText>
      </w:r>
      <w:r w:rsidR="00356A95">
        <w:instrText>Risks:Fiscal"</w:instrText>
      </w:r>
      <w:r w:rsidR="00356A95">
        <w:rPr>
          <w:rFonts w:eastAsiaTheme="minorHAnsi"/>
        </w:rPr>
        <w:instrText xml:space="preserve"> </w:instrText>
      </w:r>
      <w:r w:rsidR="00356A95">
        <w:rPr>
          <w:rFonts w:eastAsiaTheme="minorHAnsi"/>
        </w:rPr>
        <w:fldChar w:fldCharType="end"/>
      </w:r>
      <w:r w:rsidRPr="00821899">
        <w:rPr>
          <w:rFonts w:eastAsiaTheme="minorHAnsi"/>
        </w:rPr>
        <w:t>s</w:t>
      </w:r>
      <w:bookmarkEnd w:id="43"/>
      <w:bookmarkEnd w:id="44"/>
      <w:bookmarkEnd w:id="45"/>
    </w:p>
    <w:p w:rsidR="00552DFA" w:rsidRPr="00821899" w:rsidRDefault="00552DFA" w:rsidP="00423C3D">
      <w:r w:rsidRPr="00821899">
        <w:t xml:space="preserve">This section contains a number of known risks which, if realised, are likely to impact on the State’s financial position and budget outcomes. </w:t>
      </w:r>
    </w:p>
    <w:p w:rsidR="00552DFA" w:rsidRPr="00821899" w:rsidRDefault="00552DFA" w:rsidP="00423C3D">
      <w:r w:rsidRPr="00821899">
        <w:t>Details of specific contingent assets and liabilities, defined as possible assets or liabilities that arise from past events, whose existence will be confirmed only by the occurrence or non</w:t>
      </w:r>
      <w:r>
        <w:noBreakHyphen/>
      </w:r>
      <w:r w:rsidRPr="00821899">
        <w:t xml:space="preserve">occurrence of one or more uncertain future events not wholly within the control of the entity, are contained within Budget Paper No. 5, Chapter 6 </w:t>
      </w:r>
      <w:r w:rsidRPr="00821899">
        <w:rPr>
          <w:i/>
        </w:rPr>
        <w:t>Contingent assets and contingent liabilities.</w:t>
      </w:r>
    </w:p>
    <w:p w:rsidR="00552DFA" w:rsidRPr="00676BC8" w:rsidRDefault="00552DFA" w:rsidP="00423C3D">
      <w:pPr>
        <w:pStyle w:val="Heading20"/>
        <w:rPr>
          <w:rFonts w:eastAsiaTheme="minorHAnsi"/>
        </w:rPr>
      </w:pPr>
      <w:r w:rsidRPr="00676BC8">
        <w:rPr>
          <w:rFonts w:eastAsiaTheme="minorHAnsi"/>
        </w:rPr>
        <w:t>General fiscal risks</w:t>
      </w:r>
      <w:r w:rsidR="00356A95">
        <w:rPr>
          <w:rFonts w:eastAsiaTheme="minorHAnsi"/>
        </w:rPr>
        <w:fldChar w:fldCharType="begin"/>
      </w:r>
      <w:r w:rsidR="00356A95">
        <w:rPr>
          <w:rFonts w:eastAsiaTheme="minorHAnsi"/>
        </w:rPr>
        <w:instrText xml:space="preserve"> XE "</w:instrText>
      </w:r>
      <w:r w:rsidR="00356A95">
        <w:instrText>General fiscal risks"</w:instrText>
      </w:r>
      <w:r w:rsidR="00356A95">
        <w:rPr>
          <w:rFonts w:eastAsiaTheme="minorHAnsi"/>
        </w:rPr>
        <w:instrText xml:space="preserve"> </w:instrText>
      </w:r>
      <w:r w:rsidR="00356A95">
        <w:rPr>
          <w:rFonts w:eastAsiaTheme="minorHAnsi"/>
        </w:rPr>
        <w:fldChar w:fldCharType="end"/>
      </w:r>
    </w:p>
    <w:p w:rsidR="00552DFA" w:rsidRPr="00821899" w:rsidRDefault="00552DFA" w:rsidP="00423C3D">
      <w:pPr>
        <w:pStyle w:val="Heading30"/>
        <w:rPr>
          <w:rFonts w:eastAsiaTheme="minorHAnsi"/>
        </w:rPr>
      </w:pPr>
      <w:r w:rsidRPr="00821899">
        <w:rPr>
          <w:rFonts w:eastAsiaTheme="minorHAnsi"/>
        </w:rPr>
        <w:t>State taxes</w:t>
      </w:r>
    </w:p>
    <w:p w:rsidR="00552DFA" w:rsidRPr="00821899" w:rsidRDefault="00552DFA" w:rsidP="00423C3D">
      <w:r w:rsidRPr="00821899">
        <w:t>State tax forecasts are primarily based on an estimated relationship between taxation revenue and projected economic variables. As a result, the main source of risk to the taxation estimates is the economic environment.</w:t>
      </w:r>
    </w:p>
    <w:p w:rsidR="00552DFA" w:rsidRPr="00821899" w:rsidRDefault="00552DFA" w:rsidP="00423C3D">
      <w:r w:rsidRPr="00821899">
        <w:t xml:space="preserve">Specific economic risks are presented in Chapter 2 </w:t>
      </w:r>
      <w:r w:rsidRPr="00821899">
        <w:rPr>
          <w:i/>
        </w:rPr>
        <w:t>Economic context</w:t>
      </w:r>
      <w:r w:rsidRPr="00821899">
        <w:t xml:space="preserve"> and the fiscal implications of variations in economic parameters from forecasts are considered in Appendix A </w:t>
      </w:r>
      <w:r w:rsidRPr="00821899">
        <w:rPr>
          <w:i/>
        </w:rPr>
        <w:t>Sensitivity analysis</w:t>
      </w:r>
      <w:r w:rsidRPr="00821899">
        <w:t>.</w:t>
      </w:r>
    </w:p>
    <w:p w:rsidR="00552DFA" w:rsidRPr="007F7D06" w:rsidRDefault="00552DFA" w:rsidP="00423C3D">
      <w:r w:rsidRPr="007F7D06">
        <w:t>In particular, the outlook for interest rates is a key driver</w:t>
      </w:r>
      <w:r>
        <w:t xml:space="preserve"> of land transfer duty</w:t>
      </w:r>
      <w:r w:rsidRPr="007F7D06">
        <w:t xml:space="preserve">. While the Reserve Bank of Australia’s current cash rate is at historic lows, rates </w:t>
      </w:r>
      <w:r>
        <w:t xml:space="preserve">are expected </w:t>
      </w:r>
      <w:r w:rsidRPr="007F7D06">
        <w:t>to increase only gradually across the forward estimates. This reflects a benign outlook for price and wages growth in the domestic economy. However, if interest rates rise more quickly than currently expected, land transfer duty revenue will be lower than forecast. This risk is reinforced by Australia’s high level of household debt and the corresponding sensitivity of households to changes in mortgage repayments. A series of successive rate rises would sharply reduce consumer sentiment and significantly increase the possibility of a slowdown in both property prices and transaction volumes.</w:t>
      </w:r>
    </w:p>
    <w:p w:rsidR="00552DFA" w:rsidRPr="00821899" w:rsidRDefault="00552DFA" w:rsidP="00423C3D">
      <w:r w:rsidRPr="007F7D06">
        <w:t>A further risk to land transfer duty revenue stems from recent changes to housing finance regulations. In March and April 2017, the Australian Prudential Regulation Authority announced new measures to reduce banks’ exposure to investor lending and increase capital reserve ratios. These measures increase the likelihood that banks</w:t>
      </w:r>
      <w:r>
        <w:t xml:space="preserve"> will</w:t>
      </w:r>
      <w:r w:rsidRPr="007F7D06">
        <w:t xml:space="preserve"> raise interest rates independently of any movement in the official cash rate.</w:t>
      </w:r>
    </w:p>
    <w:p w:rsidR="00552DFA" w:rsidRPr="00821899" w:rsidRDefault="00552DFA" w:rsidP="00423C3D">
      <w:pPr>
        <w:pStyle w:val="Heading30"/>
        <w:rPr>
          <w:rFonts w:eastAsiaTheme="minorHAnsi"/>
        </w:rPr>
      </w:pPr>
      <w:r w:rsidRPr="00821899">
        <w:rPr>
          <w:rFonts w:eastAsiaTheme="minorHAnsi"/>
        </w:rPr>
        <w:t>Employee expenses</w:t>
      </w:r>
    </w:p>
    <w:p w:rsidR="00552DFA" w:rsidRPr="00821899" w:rsidRDefault="00552DFA" w:rsidP="00423C3D">
      <w:r w:rsidRPr="00821899">
        <w:t>Employee expenses are the State’s largest expense. Wages</w:t>
      </w:r>
      <w:r w:rsidR="00356A95">
        <w:fldChar w:fldCharType="begin"/>
      </w:r>
      <w:r w:rsidR="00356A95">
        <w:instrText xml:space="preserve"> XE "Wages" </w:instrText>
      </w:r>
      <w:r w:rsidR="00356A95">
        <w:fldChar w:fldCharType="end"/>
      </w:r>
      <w:r w:rsidRPr="00821899">
        <w:t xml:space="preserve"> policy sets the framework for enterprise agreement negotiations and in part contributes to the projection of employee expenses. The composition and profile of the workforce and rostering arrangements also contribute to the projection of employee expenses.</w:t>
      </w:r>
    </w:p>
    <w:p w:rsidR="00552DFA" w:rsidRPr="00821899" w:rsidRDefault="00552DFA" w:rsidP="00423C3D">
      <w:pPr>
        <w:pStyle w:val="Heading30"/>
        <w:rPr>
          <w:rFonts w:eastAsiaTheme="minorHAnsi"/>
        </w:rPr>
      </w:pPr>
      <w:r w:rsidRPr="00821899">
        <w:rPr>
          <w:rFonts w:eastAsiaTheme="minorHAnsi"/>
        </w:rPr>
        <w:lastRenderedPageBreak/>
        <w:t>Demand growth</w:t>
      </w:r>
    </w:p>
    <w:p w:rsidR="00552DFA" w:rsidRPr="00821899" w:rsidRDefault="00552DFA" w:rsidP="00423C3D">
      <w:r w:rsidRPr="00821899">
        <w:t xml:space="preserve">Another key risk is growth in demand for government services exceeding current projections. This can occur, for example, as a result of higher than forecast population growth or expenditure in response to unforeseen events such as natural disasters, including bushfires and floods. </w:t>
      </w:r>
    </w:p>
    <w:p w:rsidR="00552DFA" w:rsidRPr="00821899" w:rsidRDefault="00552DFA" w:rsidP="00423C3D">
      <w:r w:rsidRPr="00821899">
        <w:t>The estimates incorporate contingency provisions to mitigate the impact of expenditure risks</w:t>
      </w:r>
      <w:r>
        <w:t>,</w:t>
      </w:r>
      <w:r w:rsidRPr="00821899">
        <w:t xml:space="preserve"> which may be realised during the </w:t>
      </w:r>
      <w:r>
        <w:t>next four years</w:t>
      </w:r>
      <w:r w:rsidRPr="00821899">
        <w:t xml:space="preserve">. The contingency provisions are designed to </w:t>
      </w:r>
      <w:r>
        <w:t>allow for</w:t>
      </w:r>
      <w:r w:rsidRPr="00821899">
        <w:t xml:space="preserve"> the likely growth in Victoria’s population and consequent derived demand for government services.</w:t>
      </w:r>
    </w:p>
    <w:p w:rsidR="00552DFA" w:rsidRPr="00435D08" w:rsidRDefault="00552DFA" w:rsidP="00423C3D">
      <w:pPr>
        <w:pStyle w:val="Heading30"/>
      </w:pPr>
      <w:r w:rsidRPr="0052355C">
        <w:rPr>
          <w:rFonts w:eastAsiaTheme="minorHAnsi"/>
        </w:rPr>
        <w:t>Specific fiscal risks</w:t>
      </w:r>
    </w:p>
    <w:p w:rsidR="00552DFA" w:rsidRPr="0052355C" w:rsidRDefault="00552DFA" w:rsidP="007814B1">
      <w:pPr>
        <w:pStyle w:val="Heading4"/>
        <w:spacing w:before="160"/>
        <w:rPr>
          <w:rFonts w:eastAsiaTheme="minorHAnsi"/>
        </w:rPr>
      </w:pPr>
      <w:r w:rsidRPr="0052355C">
        <w:rPr>
          <w:rFonts w:eastAsiaTheme="minorHAnsi"/>
        </w:rPr>
        <w:t>National Disability Insurance Scheme</w:t>
      </w:r>
      <w:r w:rsidR="00356A95">
        <w:rPr>
          <w:rFonts w:eastAsiaTheme="minorHAnsi"/>
        </w:rPr>
        <w:fldChar w:fldCharType="begin"/>
      </w:r>
      <w:r w:rsidR="00356A95">
        <w:rPr>
          <w:rFonts w:eastAsiaTheme="minorHAnsi"/>
        </w:rPr>
        <w:instrText xml:space="preserve"> XE "</w:instrText>
      </w:r>
      <w:r w:rsidR="00356A95">
        <w:instrText>National Disability Insurance Scheme"</w:instrText>
      </w:r>
      <w:r w:rsidR="00356A95">
        <w:rPr>
          <w:rFonts w:eastAsiaTheme="minorHAnsi"/>
        </w:rPr>
        <w:instrText xml:space="preserve"> </w:instrText>
      </w:r>
      <w:r w:rsidR="00356A95">
        <w:rPr>
          <w:rFonts w:eastAsiaTheme="minorHAnsi"/>
        </w:rPr>
        <w:fldChar w:fldCharType="end"/>
      </w:r>
      <w:r w:rsidRPr="0052355C">
        <w:rPr>
          <w:rFonts w:eastAsiaTheme="minorHAnsi"/>
        </w:rPr>
        <w:t xml:space="preserve"> </w:t>
      </w:r>
    </w:p>
    <w:p w:rsidR="00552DFA" w:rsidRPr="0052355C" w:rsidRDefault="00552DFA" w:rsidP="00423C3D">
      <w:r w:rsidRPr="0052355C">
        <w:t>Victoria commenced transition to the National Disability Insurance Scheme</w:t>
      </w:r>
      <w:r w:rsidR="00356A95">
        <w:fldChar w:fldCharType="begin"/>
      </w:r>
      <w:r w:rsidR="00356A95">
        <w:instrText xml:space="preserve"> XE "National Disability Insurance Scheme" </w:instrText>
      </w:r>
      <w:r w:rsidR="00356A95">
        <w:fldChar w:fldCharType="end"/>
      </w:r>
      <w:r w:rsidRPr="0052355C">
        <w:t xml:space="preserve"> (NDIS) on 1 July 2016 and is expected to reach full scheme across the State by July 2019. Once fully implemented, Victoria’s investment in the NDIS will be an estimated $2.5</w:t>
      </w:r>
      <w:r>
        <w:t> billion</w:t>
      </w:r>
      <w:r w:rsidRPr="0052355C">
        <w:t xml:space="preserve"> a year, with the Commonwealth providing up to $2.6</w:t>
      </w:r>
      <w:r>
        <w:t> billion</w:t>
      </w:r>
      <w:r w:rsidRPr="0052355C">
        <w:t xml:space="preserve"> a year. Victoria will work with the Commonwealth Government to monitor and manage any risks associated with transition.</w:t>
      </w:r>
    </w:p>
    <w:p w:rsidR="00552DFA" w:rsidRPr="00821899" w:rsidRDefault="00552DFA" w:rsidP="007814B1">
      <w:pPr>
        <w:pStyle w:val="Heading4"/>
        <w:spacing w:before="160"/>
        <w:rPr>
          <w:rFonts w:eastAsiaTheme="minorHAnsi"/>
        </w:rPr>
      </w:pPr>
      <w:r w:rsidRPr="00821899">
        <w:rPr>
          <w:rFonts w:eastAsiaTheme="minorHAnsi"/>
        </w:rPr>
        <w:t xml:space="preserve">Commonwealth schools funding </w:t>
      </w:r>
    </w:p>
    <w:p w:rsidR="00552DFA" w:rsidRPr="00821899" w:rsidRDefault="00552DFA" w:rsidP="00423C3D">
      <w:r w:rsidRPr="00821899">
        <w:t xml:space="preserve">Commonwealth contributions to school education via </w:t>
      </w:r>
      <w:r w:rsidRPr="00217C81">
        <w:rPr>
          <w:i/>
        </w:rPr>
        <w:t>Students First</w:t>
      </w:r>
      <w:r w:rsidRPr="00821899">
        <w:t xml:space="preserve"> funding is yet to be determined for the 2018 school year onwards. While the Commonwealth is committed to per student funding for school education, the quantum and conditions of funding </w:t>
      </w:r>
      <w:r>
        <w:t>are</w:t>
      </w:r>
      <w:r w:rsidRPr="00821899">
        <w:t xml:space="preserve"> dependent on formal negotiations between the Commonwealth, the </w:t>
      </w:r>
      <w:r>
        <w:t>s</w:t>
      </w:r>
      <w:r w:rsidRPr="00821899">
        <w:t>tates and the non</w:t>
      </w:r>
      <w:r>
        <w:noBreakHyphen/>
        <w:t xml:space="preserve">government </w:t>
      </w:r>
      <w:r w:rsidRPr="00821899">
        <w:t>schools sector.</w:t>
      </w:r>
    </w:p>
    <w:p w:rsidR="00552DFA" w:rsidRPr="00821899" w:rsidRDefault="00552DFA" w:rsidP="007814B1">
      <w:pPr>
        <w:pStyle w:val="Heading4"/>
        <w:spacing w:before="160"/>
        <w:rPr>
          <w:rFonts w:eastAsiaTheme="minorHAnsi"/>
        </w:rPr>
      </w:pPr>
      <w:r w:rsidRPr="00821899">
        <w:rPr>
          <w:rFonts w:eastAsiaTheme="minorHAnsi"/>
        </w:rPr>
        <w:t>Universal Access to Early Childhood Education</w:t>
      </w:r>
    </w:p>
    <w:p w:rsidR="00552DFA" w:rsidRPr="00821899" w:rsidRDefault="00552DFA" w:rsidP="00423C3D">
      <w:r w:rsidRPr="00821899">
        <w:t>Commonwealth funding under the National Partnership Agreement on Universal Access to Early Childhood Education provides for one</w:t>
      </w:r>
      <w:r>
        <w:noBreakHyphen/>
      </w:r>
      <w:r w:rsidRPr="00821899">
        <w:t>third of the 15 hours per week of pre</w:t>
      </w:r>
      <w:r>
        <w:noBreakHyphen/>
      </w:r>
      <w:r w:rsidRPr="00821899">
        <w:t>school support per student. Funding is due to cease on 31 December 2017, with ongoing Commonwealth funding uncertain.</w:t>
      </w:r>
    </w:p>
    <w:p w:rsidR="00552DFA" w:rsidRPr="00821899" w:rsidRDefault="00552DFA" w:rsidP="007814B1">
      <w:pPr>
        <w:pStyle w:val="Heading4"/>
        <w:spacing w:before="160"/>
        <w:rPr>
          <w:rFonts w:eastAsiaTheme="minorHAnsi"/>
        </w:rPr>
      </w:pPr>
      <w:r w:rsidRPr="00821899">
        <w:rPr>
          <w:rFonts w:eastAsiaTheme="minorHAnsi"/>
        </w:rPr>
        <w:t>National Health Reform</w:t>
      </w:r>
    </w:p>
    <w:p w:rsidR="00552DFA" w:rsidRPr="00821899" w:rsidRDefault="00552DFA" w:rsidP="00423C3D">
      <w:pPr>
        <w:autoSpaceDE w:val="0"/>
        <w:autoSpaceDN w:val="0"/>
        <w:adjustRightInd w:val="0"/>
      </w:pPr>
      <w:r w:rsidRPr="00821899">
        <w:t>Under the National Health Reform Agreement (NHRA), Commonwealth growth funding is derived from a complex model based on the number of procedures delivered (activity) and an efficient price determined by an independent administrator.</w:t>
      </w:r>
    </w:p>
    <w:p w:rsidR="00552DFA" w:rsidRPr="00821899" w:rsidRDefault="00552DFA" w:rsidP="00423C3D">
      <w:pPr>
        <w:autoSpaceDE w:val="0"/>
        <w:autoSpaceDN w:val="0"/>
        <w:adjustRightInd w:val="0"/>
      </w:pPr>
      <w:r w:rsidRPr="00821899">
        <w:t>These arrangements were scheduled to cease from 1 July 2017, however, in April 2016 the Commonwealth agreed to continue the NHRA from 1 July 2017 until 30 June 2020. Conditions attached to the new agreement may increase fiscal risk for the State and include:</w:t>
      </w:r>
    </w:p>
    <w:p w:rsidR="00552DFA" w:rsidRPr="00821899" w:rsidRDefault="00552DFA" w:rsidP="00423C3D">
      <w:pPr>
        <w:pStyle w:val="ListBullet"/>
        <w:numPr>
          <w:ilvl w:val="0"/>
          <w:numId w:val="19"/>
        </w:numPr>
      </w:pPr>
      <w:r w:rsidRPr="00821899">
        <w:t>a national cap on Commonwealth annual expenditure growth of 6.5</w:t>
      </w:r>
      <w:r>
        <w:t> per cent</w:t>
      </w:r>
      <w:r w:rsidRPr="00821899">
        <w:t xml:space="preserve"> (above which the State may fund all hospital activity);</w:t>
      </w:r>
    </w:p>
    <w:p w:rsidR="00552DFA" w:rsidRPr="00821899" w:rsidRDefault="00552DFA" w:rsidP="00423C3D">
      <w:pPr>
        <w:pStyle w:val="ListBullet"/>
        <w:numPr>
          <w:ilvl w:val="0"/>
          <w:numId w:val="19"/>
        </w:numPr>
      </w:pPr>
      <w:r w:rsidRPr="00821899">
        <w:t>reduced funding to the State for avoidable hospital admissions or unsafe care; and</w:t>
      </w:r>
    </w:p>
    <w:p w:rsidR="00552DFA" w:rsidRPr="00821899" w:rsidRDefault="00552DFA" w:rsidP="00423C3D">
      <w:pPr>
        <w:pStyle w:val="ListBullet"/>
        <w:numPr>
          <w:ilvl w:val="0"/>
          <w:numId w:val="19"/>
        </w:numPr>
      </w:pPr>
      <w:r>
        <w:t xml:space="preserve">the </w:t>
      </w:r>
      <w:r w:rsidRPr="00821899">
        <w:t>Commonwealth withholding funds until hospital activity data is provided.</w:t>
      </w:r>
    </w:p>
    <w:p w:rsidR="00552DFA" w:rsidRPr="00F5655F" w:rsidRDefault="00552DFA" w:rsidP="00423C3D">
      <w:pPr>
        <w:pStyle w:val="Heading4"/>
        <w:rPr>
          <w:rFonts w:eastAsiaTheme="minorHAnsi"/>
        </w:rPr>
      </w:pPr>
      <w:r w:rsidRPr="00F5655F">
        <w:rPr>
          <w:rFonts w:eastAsiaTheme="minorHAnsi"/>
        </w:rPr>
        <w:lastRenderedPageBreak/>
        <w:t>Victoria’s GST</w:t>
      </w:r>
      <w:r w:rsidR="00356A95">
        <w:rPr>
          <w:rFonts w:eastAsiaTheme="minorHAnsi"/>
        </w:rPr>
        <w:fldChar w:fldCharType="begin"/>
      </w:r>
      <w:r w:rsidR="00356A95">
        <w:rPr>
          <w:rFonts w:eastAsiaTheme="minorHAnsi"/>
        </w:rPr>
        <w:instrText xml:space="preserve"> XE "</w:instrText>
      </w:r>
      <w:r w:rsidR="00356A95">
        <w:instrText>Taxation:Goods and services tax"</w:instrText>
      </w:r>
      <w:r w:rsidR="00356A95">
        <w:rPr>
          <w:rFonts w:eastAsiaTheme="minorHAnsi"/>
        </w:rPr>
        <w:instrText xml:space="preserve"> </w:instrText>
      </w:r>
      <w:r w:rsidR="00356A95">
        <w:rPr>
          <w:rFonts w:eastAsiaTheme="minorHAnsi"/>
        </w:rPr>
        <w:fldChar w:fldCharType="end"/>
      </w:r>
      <w:r w:rsidRPr="00F5655F">
        <w:rPr>
          <w:rFonts w:eastAsiaTheme="minorHAnsi"/>
        </w:rPr>
        <w:t xml:space="preserve"> revenue</w:t>
      </w:r>
    </w:p>
    <w:p w:rsidR="00552DFA" w:rsidRPr="00821899" w:rsidRDefault="00552DFA" w:rsidP="00423C3D">
      <w:pPr>
        <w:pStyle w:val="ListBullet"/>
        <w:numPr>
          <w:ilvl w:val="0"/>
          <w:numId w:val="0"/>
        </w:numPr>
      </w:pPr>
      <w:r w:rsidRPr="00821899">
        <w:t>The distribution of GST</w:t>
      </w:r>
      <w:r w:rsidR="00356A95">
        <w:fldChar w:fldCharType="begin"/>
      </w:r>
      <w:r w:rsidR="00356A95">
        <w:instrText xml:space="preserve"> XE "Taxation:Goods and services tax" </w:instrText>
      </w:r>
      <w:r w:rsidR="00356A95">
        <w:fldChar w:fldCharType="end"/>
      </w:r>
      <w:r w:rsidRPr="00821899">
        <w:t xml:space="preserve"> grants between states and territories is determined by the size of the national GST pool and each jurisdiction’s population share weighted by its GST relativity. Revenue sharing relativities are determined by the Commonwealth Treasurer, as informed by the recommendations of the </w:t>
      </w:r>
      <w:r>
        <w:t>Commonwealth Grants Commission</w:t>
      </w:r>
      <w:r w:rsidRPr="00821899">
        <w:t>.</w:t>
      </w:r>
    </w:p>
    <w:p w:rsidR="00552DFA" w:rsidRPr="00821899" w:rsidRDefault="00552DFA" w:rsidP="00423C3D">
      <w:pPr>
        <w:pStyle w:val="ListBullet"/>
        <w:numPr>
          <w:ilvl w:val="0"/>
          <w:numId w:val="0"/>
        </w:numPr>
      </w:pPr>
      <w:r>
        <w:t>D</w:t>
      </w:r>
      <w:r w:rsidRPr="00821899">
        <w:t>rivers of Victoria’s GST</w:t>
      </w:r>
      <w:r w:rsidR="00356A95">
        <w:fldChar w:fldCharType="begin"/>
      </w:r>
      <w:r w:rsidR="00356A95">
        <w:instrText xml:space="preserve"> XE "Taxation:Goods and services tax" </w:instrText>
      </w:r>
      <w:r w:rsidR="00356A95">
        <w:fldChar w:fldCharType="end"/>
      </w:r>
      <w:r w:rsidRPr="00821899">
        <w:t xml:space="preserve"> relativities are discussed in Budget Paper No. 5, </w:t>
      </w:r>
      <w:r w:rsidRPr="006F79A4">
        <w:t xml:space="preserve">Chapter 4 </w:t>
      </w:r>
      <w:r w:rsidR="007814B1">
        <w:rPr>
          <w:i/>
        </w:rPr>
        <w:t>State </w:t>
      </w:r>
      <w:r w:rsidRPr="00DA548D">
        <w:rPr>
          <w:i/>
        </w:rPr>
        <w:t>revenue</w:t>
      </w:r>
      <w:r w:rsidRPr="00821899">
        <w:t xml:space="preserve">. There are three specific </w:t>
      </w:r>
      <w:r>
        <w:t>risks to Victoria’s GST revenue:</w:t>
      </w:r>
    </w:p>
    <w:p w:rsidR="00552DFA" w:rsidRPr="00821899" w:rsidRDefault="00552DFA" w:rsidP="00423C3D">
      <w:pPr>
        <w:pStyle w:val="ListBullet"/>
        <w:numPr>
          <w:ilvl w:val="0"/>
          <w:numId w:val="19"/>
        </w:numPr>
      </w:pPr>
      <w:r w:rsidRPr="00821899">
        <w:t>Victoria’s population growth relative to the national average is a key driver of Victoria’s share of the national GST</w:t>
      </w:r>
      <w:r w:rsidR="00356A95">
        <w:fldChar w:fldCharType="begin"/>
      </w:r>
      <w:r w:rsidR="00356A95">
        <w:instrText xml:space="preserve"> XE "Taxation:Goods and services tax" </w:instrText>
      </w:r>
      <w:r w:rsidR="00356A95">
        <w:fldChar w:fldCharType="end"/>
      </w:r>
      <w:r w:rsidRPr="00821899">
        <w:t xml:space="preserve"> pool. The transition from the mining boom is driving significant shifts in population between the states and is likely to remain a source of uncertainty in the near term. If Victoria’s share of net overseas migration or level of net interstate migration is higher than expected, this would see Victoria’s share of GST revenue increase.</w:t>
      </w:r>
    </w:p>
    <w:p w:rsidR="00552DFA" w:rsidRPr="00821899" w:rsidRDefault="00552DFA" w:rsidP="00423C3D">
      <w:pPr>
        <w:pStyle w:val="ListBullet"/>
        <w:numPr>
          <w:ilvl w:val="0"/>
          <w:numId w:val="19"/>
        </w:numPr>
      </w:pPr>
      <w:r w:rsidRPr="00821899">
        <w:t>The outlook for the national GST</w:t>
      </w:r>
      <w:r w:rsidR="00356A95">
        <w:fldChar w:fldCharType="begin"/>
      </w:r>
      <w:r w:rsidR="00356A95">
        <w:instrText xml:space="preserve"> XE "Taxation:Goods and services tax" </w:instrText>
      </w:r>
      <w:r w:rsidR="00356A95">
        <w:fldChar w:fldCharType="end"/>
      </w:r>
      <w:r w:rsidRPr="00821899">
        <w:t xml:space="preserve"> pool reflects the current environment of low price and income growth. If inflation and wages growth do not pick up over the forecast period as expected, there is a risk that the GST pool could grow more slowly than anticipated.</w:t>
      </w:r>
    </w:p>
    <w:p w:rsidR="00552DFA" w:rsidRDefault="00552DFA" w:rsidP="00423C3D">
      <w:pPr>
        <w:pStyle w:val="ListBullet"/>
        <w:numPr>
          <w:ilvl w:val="0"/>
          <w:numId w:val="19"/>
        </w:numPr>
      </w:pPr>
      <w:r w:rsidRPr="00821899">
        <w:t xml:space="preserve">Mining royalties are an important driver for the per capita relativities of each jurisdiction </w:t>
      </w:r>
      <w:r>
        <w:t>over the following three years</w:t>
      </w:r>
      <w:r w:rsidRPr="00821899">
        <w:t>. Royalty revenue is influenced by commodity prices, the value of the Australian dollar and production and expo</w:t>
      </w:r>
      <w:r>
        <w:t>rt volumes. Variation in prices</w:t>
      </w:r>
      <w:r w:rsidRPr="00821899">
        <w:t xml:space="preserve"> relative to our current forecasts, particularly in iron ore and coal, pose a </w:t>
      </w:r>
      <w:r>
        <w:t>risk for Victoria’s GST</w:t>
      </w:r>
      <w:r w:rsidR="00356A95">
        <w:fldChar w:fldCharType="begin"/>
      </w:r>
      <w:r w:rsidR="00356A95">
        <w:instrText xml:space="preserve"> XE "Taxation:Goods and services tax" </w:instrText>
      </w:r>
      <w:r w:rsidR="00356A95">
        <w:fldChar w:fldCharType="end"/>
      </w:r>
      <w:r>
        <w:t xml:space="preserve"> revenue.</w:t>
      </w:r>
    </w:p>
    <w:p w:rsidR="00552DFA" w:rsidRDefault="00552DFA" w:rsidP="00627E95">
      <w:pPr>
        <w:sectPr w:rsidR="00552DFA" w:rsidSect="008E76F5">
          <w:footerReference w:type="even" r:id="rId38"/>
          <w:footerReference w:type="default" r:id="rId39"/>
          <w:type w:val="oddPage"/>
          <w:pgSz w:w="9979" w:h="14175" w:code="34"/>
          <w:pgMar w:top="1138" w:right="1138" w:bottom="1138" w:left="1138" w:header="619" w:footer="562" w:gutter="0"/>
          <w:cols w:sep="1" w:space="567"/>
          <w:docGrid w:linePitch="360"/>
        </w:sectPr>
      </w:pPr>
    </w:p>
    <w:p w:rsidR="00552DFA" w:rsidRDefault="00552DFA" w:rsidP="00423C3D">
      <w:pPr>
        <w:pStyle w:val="Chapterheading"/>
        <w:pBdr>
          <w:bottom w:val="single" w:sz="12" w:space="0" w:color="auto"/>
        </w:pBdr>
      </w:pPr>
      <w:bookmarkStart w:id="46" w:name="_Toc481160575"/>
      <w:bookmarkStart w:id="47" w:name="_Toc481246483"/>
      <w:r>
        <w:lastRenderedPageBreak/>
        <w:t>Chapter 5 – Position and outlook of the broader public sector</w:t>
      </w:r>
      <w:bookmarkEnd w:id="46"/>
      <w:bookmarkEnd w:id="47"/>
    </w:p>
    <w:p w:rsidR="00552DFA" w:rsidRPr="00C47CCB" w:rsidRDefault="00552DFA" w:rsidP="00423C3D">
      <w:pPr>
        <w:pStyle w:val="HighlightBoxBullet"/>
      </w:pPr>
      <w:r w:rsidRPr="00C47CCB">
        <w:t>The non</w:t>
      </w:r>
      <w:r>
        <w:noBreakHyphen/>
      </w:r>
      <w:r w:rsidRPr="00C47CCB">
        <w:t>financial public sector (NF</w:t>
      </w:r>
      <w:r>
        <w:t xml:space="preserve">PS) is estimated to generate </w:t>
      </w:r>
      <w:r w:rsidRPr="00C47CCB">
        <w:t xml:space="preserve">operating </w:t>
      </w:r>
      <w:r>
        <w:t>surpluses over the budget and forward estimates</w:t>
      </w:r>
      <w:r w:rsidRPr="00C47CCB">
        <w:t xml:space="preserve">. This reflects the positive </w:t>
      </w:r>
      <w:r>
        <w:t xml:space="preserve">fiscal </w:t>
      </w:r>
      <w:r w:rsidRPr="00C47CCB">
        <w:t xml:space="preserve">outlook in the </w:t>
      </w:r>
      <w:r w:rsidRPr="00AF63EB">
        <w:t>general</w:t>
      </w:r>
      <w:r w:rsidRPr="00C47CCB">
        <w:t xml:space="preserve"> government se</w:t>
      </w:r>
      <w:r>
        <w:t>ctor, which is focused on delivering meaningful services to all Victorians in a fiscally responsible manner.</w:t>
      </w:r>
    </w:p>
    <w:p w:rsidR="00552DFA" w:rsidRPr="00C47CCB" w:rsidRDefault="00552DFA" w:rsidP="00423C3D">
      <w:pPr>
        <w:pStyle w:val="HighlightBoxBullet"/>
      </w:pPr>
      <w:r w:rsidRPr="00C47CCB">
        <w:t xml:space="preserve">NFPS </w:t>
      </w:r>
      <w:r>
        <w:t>net debt to gross state product (GSP) is estimated to average 9.8 per cent over the budget and forward estimates. The strong outlook for the State’s financial position supports Victoria’s triple</w:t>
      </w:r>
      <w:r>
        <w:noBreakHyphen/>
        <w:t>A credit rating.</w:t>
      </w:r>
    </w:p>
    <w:p w:rsidR="00552DFA" w:rsidRPr="00C47CCB" w:rsidRDefault="00552DFA" w:rsidP="00423C3D">
      <w:pPr>
        <w:pStyle w:val="HighlightBoxBullet"/>
      </w:pPr>
      <w:r w:rsidRPr="00C47CCB">
        <w:t>The net result from transactions of the public non</w:t>
      </w:r>
      <w:r>
        <w:noBreakHyphen/>
      </w:r>
      <w:r w:rsidRPr="00C47CCB">
        <w:t>financial corporations (PNFC</w:t>
      </w:r>
      <w:r w:rsidR="00356A95">
        <w:fldChar w:fldCharType="begin"/>
      </w:r>
      <w:r w:rsidR="00356A95">
        <w:instrText xml:space="preserve"> XE "Public non-financial corporations" </w:instrText>
      </w:r>
      <w:r w:rsidR="00356A95">
        <w:fldChar w:fldCharType="end"/>
      </w:r>
      <w:r w:rsidRPr="00C47CCB">
        <w:t>) sector is estimated to be an average deficit of $</w:t>
      </w:r>
      <w:r>
        <w:t>689 million</w:t>
      </w:r>
      <w:r w:rsidRPr="00C47CCB">
        <w:t xml:space="preserve"> a year over the </w:t>
      </w:r>
      <w:r>
        <w:t>budget and forward estimates.</w:t>
      </w:r>
    </w:p>
    <w:p w:rsidR="00552DFA" w:rsidRPr="00C47CCB" w:rsidRDefault="00552DFA" w:rsidP="00423C3D">
      <w:pPr>
        <w:pStyle w:val="HighlightBoxBullet"/>
      </w:pPr>
      <w:r w:rsidRPr="00C47CCB">
        <w:t>The net result of the public financial corporations (PFC</w:t>
      </w:r>
      <w:r w:rsidR="00356A95">
        <w:fldChar w:fldCharType="begin"/>
      </w:r>
      <w:r w:rsidR="00356A95">
        <w:instrText xml:space="preserve"> XE "Public financial corporations" </w:instrText>
      </w:r>
      <w:r w:rsidR="00356A95">
        <w:fldChar w:fldCharType="end"/>
      </w:r>
      <w:r w:rsidRPr="00C47CCB">
        <w:t>) sector is estimated to be st</w:t>
      </w:r>
      <w:r>
        <w:t>able over time, with surpluses averaging $224 million</w:t>
      </w:r>
      <w:r w:rsidRPr="00C47CCB">
        <w:t xml:space="preserve"> a year over the </w:t>
      </w:r>
      <w:r>
        <w:t>budget and forward estimates</w:t>
      </w:r>
      <w:r w:rsidRPr="00C47CCB">
        <w:t>.</w:t>
      </w:r>
      <w:r>
        <w:t xml:space="preserve"> The average operating cash flow surplus of the PFC sector is a surplus of $510 million.</w:t>
      </w:r>
    </w:p>
    <w:p w:rsidR="00552DFA" w:rsidRDefault="00552DFA" w:rsidP="00423C3D">
      <w:r>
        <w:t>This chapter provides an overview of the activities of the broader public sector, comprising:</w:t>
      </w:r>
    </w:p>
    <w:p w:rsidR="00552DFA" w:rsidRPr="00F106B3" w:rsidRDefault="00552DFA" w:rsidP="00423C3D">
      <w:pPr>
        <w:pStyle w:val="ListBullet"/>
        <w:numPr>
          <w:ilvl w:val="0"/>
          <w:numId w:val="23"/>
        </w:numPr>
        <w:ind w:left="284" w:hanging="284"/>
      </w:pPr>
      <w:r w:rsidRPr="00F106B3">
        <w:t>the NFPS, which consolidates the general government sector and the PNFC</w:t>
      </w:r>
      <w:r w:rsidR="00356A95">
        <w:fldChar w:fldCharType="begin"/>
      </w:r>
      <w:r w:rsidR="00356A95">
        <w:instrText xml:space="preserve"> XE "Public non-financial corporations" </w:instrText>
      </w:r>
      <w:r w:rsidR="00356A95">
        <w:fldChar w:fldCharType="end"/>
      </w:r>
      <w:r w:rsidRPr="00F106B3">
        <w:t xml:space="preserve"> sector. The general government sector is discussed in Chapter 4 </w:t>
      </w:r>
      <w:r w:rsidRPr="00960820">
        <w:rPr>
          <w:i/>
        </w:rPr>
        <w:t>Budget Position and Outlook</w:t>
      </w:r>
      <w:r w:rsidRPr="00F106B3">
        <w:t>. The PNFC sector comprises a wide range of entities that provide services primarily funded from user charges and fees. The largest PNFCs provide wat</w:t>
      </w:r>
      <w:r>
        <w:t xml:space="preserve">er, housing, and transport </w:t>
      </w:r>
      <w:r w:rsidRPr="00F106B3">
        <w:t>services; and</w:t>
      </w:r>
    </w:p>
    <w:p w:rsidR="00552DFA" w:rsidRPr="00F106B3" w:rsidRDefault="00552DFA" w:rsidP="00423C3D">
      <w:pPr>
        <w:pStyle w:val="ListBullet"/>
        <w:numPr>
          <w:ilvl w:val="0"/>
          <w:numId w:val="23"/>
        </w:numPr>
        <w:ind w:left="284" w:hanging="284"/>
      </w:pPr>
      <w:r w:rsidRPr="00F106B3">
        <w:t>the State of Victoria</w:t>
      </w:r>
      <w:r w:rsidR="00356A95">
        <w:fldChar w:fldCharType="begin"/>
      </w:r>
      <w:r w:rsidR="00356A95">
        <w:instrText xml:space="preserve"> XE "State of Victoria" </w:instrText>
      </w:r>
      <w:r w:rsidR="00356A95">
        <w:fldChar w:fldCharType="end"/>
      </w:r>
      <w:r w:rsidRPr="00F106B3">
        <w:t>, which is the consolidation of the NFPS and the PFC</w:t>
      </w:r>
      <w:r w:rsidR="00356A95">
        <w:fldChar w:fldCharType="begin"/>
      </w:r>
      <w:r w:rsidR="00356A95">
        <w:instrText xml:space="preserve"> XE "Public financial corporations" </w:instrText>
      </w:r>
      <w:r w:rsidR="00356A95">
        <w:fldChar w:fldCharType="end"/>
      </w:r>
      <w:r w:rsidRPr="00F106B3">
        <w:t xml:space="preserve"> sectors. PFCs can be categorised into two broad types: those that provide services to the general public and businesses (such as </w:t>
      </w:r>
      <w:proofErr w:type="spellStart"/>
      <w:r w:rsidRPr="00F106B3">
        <w:t>WorkSafe</w:t>
      </w:r>
      <w:proofErr w:type="spellEnd"/>
      <w:r w:rsidRPr="00F106B3">
        <w:t xml:space="preserve"> Victoria and the Transport Accident Commission), and those that provide financial services, predominantly to other government entities (such as the Victorian Funds Management Corporation, Treasury Corporation of Victoria and the Victorian Managed Insurance Authority).</w:t>
      </w:r>
    </w:p>
    <w:p w:rsidR="00552DFA" w:rsidRDefault="00552DFA">
      <w:pPr>
        <w:keepLines w:val="0"/>
        <w:rPr>
          <w:rFonts w:ascii="Calibri" w:eastAsia="Times New Roman" w:hAnsi="Calibri" w:cs="Times New Roman"/>
          <w:b/>
        </w:rPr>
      </w:pPr>
      <w:r>
        <w:br w:type="page"/>
      </w:r>
    </w:p>
    <w:p w:rsidR="00552DFA" w:rsidRPr="00960820" w:rsidRDefault="00552DFA" w:rsidP="00423C3D">
      <w:pPr>
        <w:pStyle w:val="Heading10"/>
      </w:pPr>
      <w:bookmarkStart w:id="48" w:name="_Toc481160576"/>
      <w:bookmarkStart w:id="49" w:name="_Toc481246484"/>
      <w:r w:rsidRPr="00960820">
        <w:lastRenderedPageBreak/>
        <w:t>Non</w:t>
      </w:r>
      <w:r>
        <w:noBreakHyphen/>
      </w:r>
      <w:r w:rsidRPr="00960820">
        <w:t>financial public sector</w:t>
      </w:r>
      <w:bookmarkEnd w:id="48"/>
      <w:bookmarkEnd w:id="49"/>
      <w:r w:rsidR="00356A95">
        <w:fldChar w:fldCharType="begin"/>
      </w:r>
      <w:r w:rsidR="00356A95">
        <w:instrText xml:space="preserve"> XE "Non-financial public sector" </w:instrText>
      </w:r>
      <w:r w:rsidR="00356A95">
        <w:fldChar w:fldCharType="end"/>
      </w:r>
    </w:p>
    <w:p w:rsidR="00552DFA" w:rsidRPr="00E124E5" w:rsidRDefault="00552DFA" w:rsidP="00423C3D">
      <w:r>
        <w:t xml:space="preserve">Table 5.1 shows the operating performance of the NFPS is forecast to improve over the budget and forward estimates, with the net result from transactions rising to a </w:t>
      </w:r>
      <w:r w:rsidRPr="00D9621C">
        <w:t>$</w:t>
      </w:r>
      <w:r>
        <w:t>1.8 billion surplus by 2020</w:t>
      </w:r>
      <w:r>
        <w:noBreakHyphen/>
        <w:t xml:space="preserve">21. The improvement is mainly due to the general government sector, which is projected to record a net result from transactions of </w:t>
      </w:r>
      <w:r w:rsidRPr="00D9621C">
        <w:t>$</w:t>
      </w:r>
      <w:r>
        <w:t>2.7 billion in 2020</w:t>
      </w:r>
      <w:r>
        <w:noBreakHyphen/>
        <w:t xml:space="preserve">21. </w:t>
      </w:r>
    </w:p>
    <w:p w:rsidR="00552DFA" w:rsidRPr="00670A0C" w:rsidRDefault="00552DFA" w:rsidP="00423C3D">
      <w:pPr>
        <w:pStyle w:val="TableHeading"/>
        <w:rPr>
          <w:bCs/>
          <w:lang w:val="en-US"/>
        </w:rPr>
      </w:pPr>
      <w:r w:rsidRPr="00156B13">
        <w:rPr>
          <w:szCs w:val="22"/>
        </w:rPr>
        <w:t xml:space="preserve">Table 5.1: </w:t>
      </w:r>
      <w:r w:rsidRPr="00156B13">
        <w:rPr>
          <w:szCs w:val="22"/>
        </w:rPr>
        <w:tab/>
        <w:t>Summary operating statement for the non</w:t>
      </w:r>
      <w:r>
        <w:rPr>
          <w:szCs w:val="22"/>
        </w:rPr>
        <w:noBreakHyphen/>
      </w:r>
      <w:r w:rsidRPr="00156B13">
        <w:rPr>
          <w:szCs w:val="22"/>
        </w:rPr>
        <w:t>financial public sector</w:t>
      </w:r>
      <w:r>
        <w:rPr>
          <w:szCs w:val="22"/>
        </w:rPr>
        <w:t xml:space="preserve"> </w:t>
      </w:r>
      <w:r w:rsidRPr="00156B13">
        <w:rPr>
          <w:szCs w:val="22"/>
          <w:vertAlign w:val="superscript"/>
        </w:rPr>
        <w:t>(a)</w:t>
      </w:r>
      <w:r>
        <w:rPr>
          <w:szCs w:val="22"/>
          <w:vertAlign w:val="superscript"/>
        </w:rPr>
        <w:tab/>
      </w:r>
      <w:r w:rsidRPr="00F106B3">
        <w:t>($</w:t>
      </w:r>
      <w:r>
        <w:t> </w:t>
      </w:r>
      <w:r w:rsidRPr="00F106B3">
        <w:t>m</w:t>
      </w:r>
      <w:r>
        <w:t>illion</w:t>
      </w:r>
      <w:r w:rsidRPr="00F106B3">
        <w: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850"/>
        <w:gridCol w:w="850"/>
        <w:gridCol w:w="850"/>
        <w:gridCol w:w="850"/>
        <w:gridCol w:w="850"/>
        <w:gridCol w:w="850"/>
      </w:tblGrid>
      <w:tr w:rsidR="00552DFA" w:rsidRPr="00670A0C" w:rsidTr="00423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552DFA" w:rsidRPr="00670A0C" w:rsidRDefault="00552DFA" w:rsidP="00423C3D">
            <w:pPr>
              <w:autoSpaceDE w:val="0"/>
              <w:autoSpaceDN w:val="0"/>
              <w:adjustRightInd w:val="0"/>
              <w:jc w:val="right"/>
              <w:rPr>
                <w:rFonts w:eastAsiaTheme="minorEastAsia" w:cs="Calibri"/>
                <w:iCs/>
                <w:color w:val="FFFFFF"/>
                <w:szCs w:val="19"/>
                <w:lang w:eastAsia="en-AU"/>
              </w:rPr>
            </w:pPr>
            <w:r w:rsidRPr="00670A0C">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2015</w:t>
            </w:r>
            <w:r>
              <w:rPr>
                <w:rFonts w:eastAsiaTheme="minorEastAsia" w:cs="Calibri"/>
                <w:iCs/>
                <w:color w:val="FFFFFF"/>
                <w:szCs w:val="19"/>
                <w:lang w:eastAsia="en-AU"/>
              </w:rPr>
              <w:noBreakHyphen/>
            </w:r>
            <w:r w:rsidRPr="00670A0C">
              <w:rPr>
                <w:rFonts w:eastAsiaTheme="minorEastAsia" w:cs="Calibri"/>
                <w:iCs/>
                <w:color w:val="FFFFFF"/>
                <w:szCs w:val="19"/>
                <w:lang w:eastAsia="en-AU"/>
              </w:rPr>
              <w:t>16</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2016</w:t>
            </w:r>
            <w:r>
              <w:rPr>
                <w:rFonts w:eastAsiaTheme="minorEastAsia" w:cs="Calibri"/>
                <w:iCs/>
                <w:color w:val="FFFFFF"/>
                <w:szCs w:val="19"/>
                <w:lang w:eastAsia="en-AU"/>
              </w:rPr>
              <w:noBreakHyphen/>
            </w:r>
            <w:r w:rsidRPr="00670A0C">
              <w:rPr>
                <w:rFonts w:eastAsiaTheme="minorEastAsia" w:cs="Calibri"/>
                <w:iCs/>
                <w:color w:val="FFFFFF"/>
                <w:szCs w:val="19"/>
                <w:lang w:eastAsia="en-AU"/>
              </w:rPr>
              <w:t>17</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2017</w:t>
            </w:r>
            <w:r>
              <w:rPr>
                <w:rFonts w:eastAsiaTheme="minorEastAsia" w:cs="Calibri"/>
                <w:iCs/>
                <w:color w:val="FFFFFF"/>
                <w:szCs w:val="19"/>
                <w:lang w:eastAsia="en-AU"/>
              </w:rPr>
              <w:noBreakHyphen/>
            </w:r>
            <w:r w:rsidRPr="00670A0C">
              <w:rPr>
                <w:rFonts w:eastAsiaTheme="minorEastAsia" w:cs="Calibri"/>
                <w:iCs/>
                <w:color w:val="FFFFFF"/>
                <w:szCs w:val="19"/>
                <w:lang w:eastAsia="en-AU"/>
              </w:rPr>
              <w:t>18</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2018</w:t>
            </w:r>
            <w:r>
              <w:rPr>
                <w:rFonts w:eastAsiaTheme="minorEastAsia" w:cs="Calibri"/>
                <w:iCs/>
                <w:color w:val="FFFFFF"/>
                <w:szCs w:val="19"/>
                <w:lang w:eastAsia="en-AU"/>
              </w:rPr>
              <w:noBreakHyphen/>
            </w:r>
            <w:r w:rsidRPr="00670A0C">
              <w:rPr>
                <w:rFonts w:eastAsiaTheme="minorEastAsia" w:cs="Calibri"/>
                <w:iCs/>
                <w:color w:val="FFFFFF"/>
                <w:szCs w:val="19"/>
                <w:lang w:eastAsia="en-AU"/>
              </w:rPr>
              <w:t>19</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2019</w:t>
            </w:r>
            <w:r>
              <w:rPr>
                <w:rFonts w:eastAsiaTheme="minorEastAsia" w:cs="Calibri"/>
                <w:iCs/>
                <w:color w:val="FFFFFF"/>
                <w:szCs w:val="19"/>
                <w:lang w:eastAsia="en-AU"/>
              </w:rPr>
              <w:noBreakHyphen/>
            </w:r>
            <w:r w:rsidRPr="00670A0C">
              <w:rPr>
                <w:rFonts w:eastAsiaTheme="minorEastAsia" w:cs="Calibri"/>
                <w:iCs/>
                <w:color w:val="FFFFFF"/>
                <w:szCs w:val="19"/>
                <w:lang w:eastAsia="en-AU"/>
              </w:rPr>
              <w:t>20</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2020</w:t>
            </w:r>
            <w:r>
              <w:rPr>
                <w:rFonts w:eastAsiaTheme="minorEastAsia" w:cs="Calibri"/>
                <w:iCs/>
                <w:color w:val="FFFFFF"/>
                <w:szCs w:val="19"/>
                <w:lang w:eastAsia="en-AU"/>
              </w:rPr>
              <w:noBreakHyphen/>
            </w:r>
            <w:r w:rsidRPr="00670A0C">
              <w:rPr>
                <w:rFonts w:eastAsiaTheme="minorEastAsia" w:cs="Calibri"/>
                <w:iCs/>
                <w:color w:val="FFFFFF"/>
                <w:szCs w:val="19"/>
                <w:lang w:eastAsia="en-AU"/>
              </w:rPr>
              <w:t>21</w:t>
            </w:r>
          </w:p>
        </w:tc>
      </w:tr>
      <w:tr w:rsidR="00552DFA" w:rsidRPr="00670A0C" w:rsidTr="00423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jc w:val="right"/>
              <w:rPr>
                <w:rFonts w:eastAsiaTheme="minorEastAsia" w:cs="Calibri"/>
                <w:iCs/>
                <w:color w:val="FFFFFF"/>
                <w:szCs w:val="19"/>
                <w:lang w:eastAsia="en-AU"/>
              </w:rPr>
            </w:pPr>
            <w:r w:rsidRPr="00670A0C">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actual</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revised</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b/>
                <w:bCs/>
                <w:color w:val="000000"/>
                <w:szCs w:val="19"/>
                <w:lang w:eastAsia="en-AU"/>
              </w:rPr>
            </w:pPr>
            <w:r w:rsidRPr="00670A0C">
              <w:rPr>
                <w:rFonts w:eastAsiaTheme="minorEastAsia" w:cs="Calibri"/>
                <w:b/>
                <w:bCs/>
                <w:color w:val="000000"/>
                <w:szCs w:val="19"/>
                <w:lang w:eastAsia="en-AU"/>
              </w:rPr>
              <w:t>Revenue</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Taxation revenue</w:t>
            </w:r>
            <w:r w:rsidR="00356A95">
              <w:rPr>
                <w:rFonts w:eastAsiaTheme="minorEastAsia" w:cs="Calibri"/>
                <w:color w:val="000000"/>
                <w:szCs w:val="19"/>
                <w:lang w:eastAsia="en-AU"/>
              </w:rPr>
              <w:fldChar w:fldCharType="begin"/>
            </w:r>
            <w:r w:rsidR="00356A95">
              <w:rPr>
                <w:rFonts w:eastAsiaTheme="minorEastAsia" w:cs="Calibri"/>
                <w:color w:val="000000"/>
                <w:szCs w:val="19"/>
                <w:lang w:eastAsia="en-AU"/>
              </w:rPr>
              <w:instrText xml:space="preserve"> XE "</w:instrText>
            </w:r>
            <w:r w:rsidR="00356A95">
              <w:instrText>Taxation:Revenue"</w:instrText>
            </w:r>
            <w:r w:rsidR="00356A95">
              <w:rPr>
                <w:rFonts w:eastAsiaTheme="minorEastAsia" w:cs="Calibri"/>
                <w:color w:val="000000"/>
                <w:szCs w:val="19"/>
                <w:lang w:eastAsia="en-AU"/>
              </w:rPr>
              <w:instrText xml:space="preserve"> </w:instrText>
            </w:r>
            <w:r w:rsidR="00356A95">
              <w:rPr>
                <w:rFonts w:eastAsiaTheme="minorEastAsia" w:cs="Calibri"/>
                <w:color w:val="000000"/>
                <w:szCs w:val="19"/>
                <w:lang w:eastAsia="en-AU"/>
              </w:rPr>
              <w:fldChar w:fldCharType="end"/>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19 460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21 827</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21 468</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22 742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24 038</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25 335</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vertAlign w:val="superscript"/>
                <w:lang w:eastAsia="en-AU"/>
              </w:rPr>
            </w:pPr>
            <w:r w:rsidRPr="00670A0C">
              <w:rPr>
                <w:rFonts w:eastAsiaTheme="minorEastAsia" w:cs="Calibri"/>
                <w:color w:val="000000"/>
                <w:szCs w:val="19"/>
                <w:lang w:eastAsia="en-AU"/>
              </w:rPr>
              <w:t xml:space="preserve">Dividends, income tax equivalent and interest </w:t>
            </w:r>
            <w:r w:rsidRPr="00670A0C">
              <w:rPr>
                <w:rFonts w:eastAsiaTheme="minorEastAsia" w:cs="Calibri"/>
                <w:color w:val="000000"/>
                <w:szCs w:val="19"/>
                <w:vertAlign w:val="superscript"/>
                <w:lang w:eastAsia="en-AU"/>
              </w:rPr>
              <w:t>(b)</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662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544</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863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583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720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786</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Sales of goods and services</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10 869</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10 914</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11 293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11 713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12 141</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12 812</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Grants</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25 402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27 518</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29 812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31 909</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31 613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32 274</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Other current revenue</w:t>
            </w:r>
          </w:p>
        </w:tc>
        <w:tc>
          <w:tcPr>
            <w:tcW w:w="850" w:type="dxa"/>
            <w:tcBorders>
              <w:top w:val="nil"/>
              <w:left w:val="nil"/>
              <w:bottom w:val="single" w:sz="6" w:space="0" w:color="auto"/>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3 814</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3 265</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3 092</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3 094</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3 110</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3 143</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b/>
                <w:bCs/>
                <w:color w:val="000000"/>
                <w:szCs w:val="19"/>
                <w:lang w:eastAsia="en-AU"/>
              </w:rPr>
            </w:pPr>
            <w:r w:rsidRPr="00670A0C">
              <w:rPr>
                <w:rFonts w:eastAsiaTheme="minorEastAsia" w:cs="Calibri"/>
                <w:b/>
                <w:bCs/>
                <w:color w:val="000000"/>
                <w:szCs w:val="19"/>
                <w:lang w:eastAsia="en-AU"/>
              </w:rPr>
              <w:t>Total revenue</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60 206</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64 068</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66 528</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70 042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71 622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74 350</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i/>
                <w:iCs/>
                <w:color w:val="000000"/>
                <w:szCs w:val="19"/>
                <w:lang w:eastAsia="en-AU"/>
              </w:rPr>
            </w:pPr>
            <w:r w:rsidRPr="00670A0C">
              <w:rPr>
                <w:rFonts w:eastAsiaTheme="minorEastAsia" w:cs="Calibri"/>
                <w:i/>
                <w:iCs/>
                <w:color w:val="000000"/>
                <w:szCs w:val="19"/>
                <w:lang w:eastAsia="en-AU"/>
              </w:rPr>
              <w:t>% change</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5.2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6.4</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3.8</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5.3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3.8</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b/>
                <w:bCs/>
                <w:color w:val="000000"/>
                <w:szCs w:val="19"/>
                <w:lang w:eastAsia="en-AU"/>
              </w:rPr>
            </w:pPr>
            <w:r w:rsidRPr="00670A0C">
              <w:rPr>
                <w:rFonts w:eastAsiaTheme="minorEastAsia" w:cs="Calibri"/>
                <w:b/>
                <w:bCs/>
                <w:color w:val="000000"/>
                <w:szCs w:val="19"/>
                <w:lang w:eastAsia="en-AU"/>
              </w:rPr>
              <w:t>Expenses</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Employee expenses</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21 101</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23 180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24 196</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25 249</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25 971</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26 628</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vertAlign w:val="superscript"/>
                <w:lang w:eastAsia="en-AU"/>
              </w:rPr>
            </w:pPr>
            <w:r w:rsidRPr="00670A0C">
              <w:rPr>
                <w:rFonts w:eastAsiaTheme="minorEastAsia" w:cs="Calibri"/>
                <w:color w:val="000000"/>
                <w:szCs w:val="19"/>
                <w:lang w:eastAsia="en-AU"/>
              </w:rPr>
              <w:t xml:space="preserve">Superannuation </w:t>
            </w:r>
            <w:r w:rsidRPr="00670A0C">
              <w:rPr>
                <w:rFonts w:eastAsiaTheme="minorEastAsia" w:cs="Calibri"/>
                <w:color w:val="000000"/>
                <w:szCs w:val="19"/>
                <w:vertAlign w:val="superscript"/>
                <w:lang w:eastAsia="en-AU"/>
              </w:rPr>
              <w:t>(c)</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3 110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3 139</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3 220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3 227</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3 254</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3 260</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 xml:space="preserve">Depreciation </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4 658</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4 882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5 198</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5 586</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5 823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6 082</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Interest expense</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2 659</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2 443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2 600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2 678</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2 740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2 850</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Grant expense</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5 649</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7 507</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8 151</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9 750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10 067</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10 007</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Other operating expenses</w:t>
            </w:r>
          </w:p>
        </w:tc>
        <w:tc>
          <w:tcPr>
            <w:tcW w:w="850" w:type="dxa"/>
            <w:tcBorders>
              <w:top w:val="nil"/>
              <w:left w:val="nil"/>
              <w:bottom w:val="single" w:sz="6" w:space="0" w:color="auto"/>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20 349</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22 382</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23 051</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22 543</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22 209</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23 705</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b/>
                <w:bCs/>
                <w:color w:val="000000"/>
                <w:szCs w:val="19"/>
                <w:lang w:eastAsia="en-AU"/>
              </w:rPr>
            </w:pPr>
            <w:r w:rsidRPr="00670A0C">
              <w:rPr>
                <w:rFonts w:eastAsiaTheme="minorEastAsia" w:cs="Calibri"/>
                <w:b/>
                <w:bCs/>
                <w:color w:val="000000"/>
                <w:szCs w:val="19"/>
                <w:lang w:eastAsia="en-AU"/>
              </w:rPr>
              <w:t>Total expenses</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57 526</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63 533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66 416</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69 032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70 066</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72 532</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552DFA" w:rsidRPr="00670A0C" w:rsidRDefault="00552DFA" w:rsidP="00423C3D">
            <w:pPr>
              <w:keepLines w:val="0"/>
              <w:autoSpaceDE w:val="0"/>
              <w:autoSpaceDN w:val="0"/>
              <w:adjustRightInd w:val="0"/>
              <w:rPr>
                <w:rFonts w:eastAsiaTheme="minorEastAsia" w:cs="Calibri"/>
                <w:i/>
                <w:iCs/>
                <w:color w:val="000000"/>
                <w:szCs w:val="19"/>
                <w:lang w:eastAsia="en-AU"/>
              </w:rPr>
            </w:pPr>
            <w:r w:rsidRPr="00670A0C">
              <w:rPr>
                <w:rFonts w:eastAsiaTheme="minorEastAsia" w:cs="Calibri"/>
                <w:i/>
                <w:iCs/>
                <w:color w:val="000000"/>
                <w:szCs w:val="19"/>
                <w:lang w:eastAsia="en-AU"/>
              </w:rPr>
              <w:t>% change</w:t>
            </w:r>
          </w:p>
        </w:tc>
        <w:tc>
          <w:tcPr>
            <w:tcW w:w="850" w:type="dxa"/>
            <w:tcBorders>
              <w:top w:val="nil"/>
              <w:left w:val="nil"/>
              <w:bottom w:val="single" w:sz="6" w:space="0" w:color="auto"/>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1.9</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10.4</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4.5</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3.9</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1.5</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3.5</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552DFA" w:rsidRPr="00670A0C" w:rsidRDefault="00552DFA" w:rsidP="00423C3D">
            <w:pPr>
              <w:keepLines w:val="0"/>
              <w:autoSpaceDE w:val="0"/>
              <w:autoSpaceDN w:val="0"/>
              <w:adjustRightInd w:val="0"/>
              <w:rPr>
                <w:rFonts w:eastAsiaTheme="minorEastAsia" w:cs="Calibri"/>
                <w:b/>
                <w:bCs/>
                <w:color w:val="000000"/>
                <w:szCs w:val="19"/>
                <w:lang w:eastAsia="en-AU"/>
              </w:rPr>
            </w:pPr>
            <w:r w:rsidRPr="00670A0C">
              <w:rPr>
                <w:rFonts w:eastAsiaTheme="minorEastAsia" w:cs="Calibri"/>
                <w:b/>
                <w:bCs/>
                <w:color w:val="000000"/>
                <w:szCs w:val="19"/>
                <w:lang w:eastAsia="en-AU"/>
              </w:rPr>
              <w:t>Net result from transactions</w:t>
            </w:r>
          </w:p>
        </w:tc>
        <w:tc>
          <w:tcPr>
            <w:tcW w:w="850" w:type="dxa"/>
            <w:tcBorders>
              <w:top w:val="nil"/>
              <w:left w:val="nil"/>
              <w:bottom w:val="single" w:sz="6" w:space="0" w:color="auto"/>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2 680</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535</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113</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1 010</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1 556</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1 817</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rPr>
                <w:rFonts w:eastAsiaTheme="minorEastAsia" w:cs="Calibri"/>
                <w:b/>
                <w:bCs/>
                <w:color w:val="000000"/>
                <w:szCs w:val="19"/>
                <w:lang w:eastAsia="en-AU"/>
              </w:rPr>
            </w:pPr>
            <w:r w:rsidRPr="00670A0C">
              <w:rPr>
                <w:rFonts w:eastAsiaTheme="minorEastAsia" w:cs="Calibri"/>
                <w:b/>
                <w:bCs/>
                <w:color w:val="000000"/>
                <w:szCs w:val="19"/>
                <w:lang w:eastAsia="en-AU"/>
              </w:rPr>
              <w:t>Total other economic flows included in net result</w:t>
            </w:r>
          </w:p>
        </w:tc>
        <w:tc>
          <w:tcPr>
            <w:tcW w:w="850" w:type="dxa"/>
            <w:tcBorders>
              <w:top w:val="single" w:sz="6" w:space="0" w:color="auto"/>
              <w:left w:val="nil"/>
              <w:bottom w:val="single" w:sz="6" w:space="0" w:color="auto"/>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(1 007)</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(319)</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(224)</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(429)</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(263)</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(288)</w:t>
            </w:r>
          </w:p>
        </w:tc>
      </w:tr>
      <w:tr w:rsidR="00552DFA" w:rsidRPr="00670A0C" w:rsidTr="00423C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bottom w:val="single" w:sz="12" w:space="0" w:color="auto"/>
            </w:tcBorders>
          </w:tcPr>
          <w:p w:rsidR="00552DFA" w:rsidRPr="00670A0C" w:rsidRDefault="00552DFA" w:rsidP="00423C3D">
            <w:pPr>
              <w:keepLines w:val="0"/>
              <w:autoSpaceDE w:val="0"/>
              <w:autoSpaceDN w:val="0"/>
              <w:adjustRightInd w:val="0"/>
              <w:rPr>
                <w:rFonts w:eastAsiaTheme="minorEastAsia" w:cs="Calibri"/>
                <w:bCs/>
                <w:color w:val="000000"/>
                <w:szCs w:val="19"/>
                <w:lang w:eastAsia="en-AU"/>
              </w:rPr>
            </w:pPr>
            <w:r w:rsidRPr="00670A0C">
              <w:rPr>
                <w:rFonts w:eastAsiaTheme="minorEastAsia" w:cs="Calibri"/>
                <w:bCs/>
                <w:color w:val="000000"/>
                <w:szCs w:val="19"/>
                <w:lang w:eastAsia="en-AU"/>
              </w:rPr>
              <w:t>Net result</w:t>
            </w:r>
          </w:p>
        </w:tc>
        <w:tc>
          <w:tcPr>
            <w:tcW w:w="850" w:type="dxa"/>
            <w:tcBorders>
              <w:top w:val="single" w:sz="6" w:space="0" w:color="auto"/>
              <w:bottom w:val="single" w:sz="12" w:space="0" w:color="auto"/>
            </w:tcBorders>
            <w:shd w:val="solid" w:color="FFFFFF" w:fill="auto"/>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670A0C">
              <w:rPr>
                <w:rFonts w:eastAsiaTheme="minorEastAsia" w:cs="Calibri"/>
                <w:bCs/>
                <w:color w:val="000000"/>
                <w:szCs w:val="19"/>
                <w:lang w:eastAsia="en-AU"/>
              </w:rPr>
              <w:t>1 673</w:t>
            </w:r>
          </w:p>
        </w:tc>
        <w:tc>
          <w:tcPr>
            <w:tcW w:w="850" w:type="dxa"/>
            <w:tcBorders>
              <w:top w:val="single" w:sz="6" w:space="0" w:color="auto"/>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216</w:t>
            </w:r>
          </w:p>
        </w:tc>
        <w:tc>
          <w:tcPr>
            <w:tcW w:w="850" w:type="dxa"/>
            <w:tcBorders>
              <w:top w:val="single" w:sz="6" w:space="0" w:color="auto"/>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(112)</w:t>
            </w:r>
          </w:p>
        </w:tc>
        <w:tc>
          <w:tcPr>
            <w:tcW w:w="850" w:type="dxa"/>
            <w:tcBorders>
              <w:top w:val="single" w:sz="6" w:space="0" w:color="auto"/>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581</w:t>
            </w:r>
          </w:p>
        </w:tc>
        <w:tc>
          <w:tcPr>
            <w:tcW w:w="850" w:type="dxa"/>
            <w:tcBorders>
              <w:top w:val="single" w:sz="6" w:space="0" w:color="auto"/>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670A0C">
              <w:rPr>
                <w:rFonts w:eastAsiaTheme="minorEastAsia" w:cs="Calibri"/>
                <w:bCs/>
                <w:color w:val="000000"/>
                <w:szCs w:val="19"/>
                <w:lang w:eastAsia="en-AU"/>
              </w:rPr>
              <w:t>1 294</w:t>
            </w:r>
          </w:p>
        </w:tc>
        <w:tc>
          <w:tcPr>
            <w:tcW w:w="850" w:type="dxa"/>
            <w:tcBorders>
              <w:top w:val="single" w:sz="6" w:space="0" w:color="auto"/>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670A0C">
              <w:rPr>
                <w:rFonts w:eastAsiaTheme="minorEastAsia" w:cs="Calibri"/>
                <w:bCs/>
                <w:color w:val="000000"/>
                <w:szCs w:val="19"/>
                <w:lang w:eastAsia="en-AU"/>
              </w:rPr>
              <w:t>1 530</w:t>
            </w:r>
          </w:p>
        </w:tc>
      </w:tr>
    </w:tbl>
    <w:p w:rsidR="00552DFA" w:rsidRPr="00E124E5" w:rsidRDefault="00552DFA" w:rsidP="00423C3D">
      <w:pPr>
        <w:pStyle w:val="Source"/>
      </w:pPr>
      <w:r>
        <w:t>Source</w:t>
      </w:r>
      <w:r w:rsidRPr="00E124E5">
        <w:t>:</w:t>
      </w:r>
      <w:r>
        <w:t xml:space="preserve"> Department of Treasury and Finance</w:t>
      </w:r>
    </w:p>
    <w:p w:rsidR="00552DFA" w:rsidRPr="00E124E5" w:rsidRDefault="00552DFA" w:rsidP="00423C3D">
      <w:pPr>
        <w:pStyle w:val="Note"/>
      </w:pPr>
      <w:r w:rsidRPr="00E124E5">
        <w:t>Notes:</w:t>
      </w:r>
    </w:p>
    <w:p w:rsidR="00552DFA" w:rsidRPr="00E124E5" w:rsidRDefault="00552DFA" w:rsidP="00423C3D">
      <w:pPr>
        <w:pStyle w:val="Note"/>
      </w:pPr>
      <w:r w:rsidRPr="00E124E5">
        <w:t xml:space="preserve">(a) </w:t>
      </w:r>
      <w:r w:rsidRPr="00E124E5">
        <w:tab/>
        <w:t xml:space="preserve">This is a </w:t>
      </w:r>
      <w:r>
        <w:t>summary operating</w:t>
      </w:r>
      <w:r w:rsidRPr="00E124E5">
        <w:t xml:space="preserve"> statement. The </w:t>
      </w:r>
      <w:r>
        <w:t xml:space="preserve">comprehensive operating statement is presented in Budget Paper No. 5 </w:t>
      </w:r>
      <w:r w:rsidRPr="007C794B">
        <w:rPr>
          <w:i w:val="0"/>
        </w:rPr>
        <w:t>Statement of Finances</w:t>
      </w:r>
      <w:r w:rsidRPr="00FC2D4B">
        <w:t>.</w:t>
      </w:r>
      <w:r>
        <w:t xml:space="preserve"> Figures in this table are subject to rounding and may not add up to the totals.</w:t>
      </w:r>
    </w:p>
    <w:p w:rsidR="00552DFA" w:rsidRPr="00E124E5" w:rsidRDefault="00552DFA" w:rsidP="00423C3D">
      <w:pPr>
        <w:pStyle w:val="Note"/>
      </w:pPr>
      <w:r w:rsidRPr="00E124E5">
        <w:t>(b)</w:t>
      </w:r>
      <w:r w:rsidRPr="00E124E5">
        <w:tab/>
      </w:r>
      <w:r>
        <w:t>Comprises dividends, income tax and rate equivalent revenue and interest</w:t>
      </w:r>
      <w:r w:rsidRPr="00E124E5">
        <w:t>.</w:t>
      </w:r>
    </w:p>
    <w:p w:rsidR="00552DFA" w:rsidRDefault="00552DFA" w:rsidP="00423C3D">
      <w:pPr>
        <w:pStyle w:val="Note"/>
      </w:pPr>
      <w:r w:rsidRPr="00E124E5">
        <w:t>(c)</w:t>
      </w:r>
      <w:r w:rsidRPr="00E124E5">
        <w:tab/>
      </w:r>
      <w:r>
        <w:t>Comprises superannuation interest expense and other superannuation expenses.</w:t>
      </w:r>
    </w:p>
    <w:p w:rsidR="00552DFA" w:rsidRDefault="00552DFA" w:rsidP="00423C3D"/>
    <w:p w:rsidR="00552DFA" w:rsidRDefault="00552DFA" w:rsidP="00423C3D">
      <w:r>
        <w:t>The PNFC</w:t>
      </w:r>
      <w:r w:rsidR="00356A95">
        <w:fldChar w:fldCharType="begin"/>
      </w:r>
      <w:r w:rsidR="00356A95">
        <w:instrText xml:space="preserve"> XE "Public non-financial corporations" </w:instrText>
      </w:r>
      <w:r w:rsidR="00356A95">
        <w:fldChar w:fldCharType="end"/>
      </w:r>
      <w:r>
        <w:t xml:space="preserve"> sector is projected to record an average deficit of $689 million over the budget and forward estimates.</w:t>
      </w:r>
      <w:r w:rsidRPr="00BE3E36">
        <w:t xml:space="preserve"> </w:t>
      </w:r>
      <w:r>
        <w:t>However, the average operating cash flow surplus of the PNFC sector is a surplus of $1.6 billion.</w:t>
      </w:r>
    </w:p>
    <w:p w:rsidR="00552DFA" w:rsidRDefault="00552DFA" w:rsidP="00423C3D">
      <w:proofErr w:type="spellStart"/>
      <w:r>
        <w:lastRenderedPageBreak/>
        <w:t>VicTrack</w:t>
      </w:r>
      <w:proofErr w:type="spellEnd"/>
      <w:r>
        <w:t xml:space="preserve"> and the Director of Housing are major contributors towards the operating deficits of the PNFC</w:t>
      </w:r>
      <w:r w:rsidR="00356A95">
        <w:fldChar w:fldCharType="begin"/>
      </w:r>
      <w:r w:rsidR="00356A95">
        <w:instrText xml:space="preserve"> XE "Public non-financial corporations" </w:instrText>
      </w:r>
      <w:r w:rsidR="00356A95">
        <w:fldChar w:fldCharType="end"/>
      </w:r>
      <w:r>
        <w:t xml:space="preserve"> sector. However, </w:t>
      </w:r>
      <w:proofErr w:type="spellStart"/>
      <w:r>
        <w:t>VicTrack</w:t>
      </w:r>
      <w:proofErr w:type="spellEnd"/>
      <w:r>
        <w:t xml:space="preserve"> and the Director of Housing generate net operating cash flow surpluses averaging $130 million a year over the budget and forward estimates. These surpluses do not fully cover depreciation on its significant asset base, resulting in a deficit on the net result from transactions of, on average, $1 billion over the budget and forward estimates. However, given the cash flow surpluses, </w:t>
      </w:r>
      <w:proofErr w:type="spellStart"/>
      <w:r>
        <w:t>VicTrack</w:t>
      </w:r>
      <w:proofErr w:type="spellEnd"/>
      <w:r>
        <w:t xml:space="preserve"> and the Director of Housing remain in a financially sustainable position.</w:t>
      </w:r>
    </w:p>
    <w:p w:rsidR="00552DFA" w:rsidRDefault="00552DFA" w:rsidP="00423C3D">
      <w:r>
        <w:t>Most PNFC</w:t>
      </w:r>
      <w:r w:rsidR="00356A95">
        <w:fldChar w:fldCharType="begin"/>
      </w:r>
      <w:r w:rsidR="00356A95">
        <w:instrText xml:space="preserve"> XE "Public non-financial corporations" </w:instrText>
      </w:r>
      <w:r w:rsidR="00356A95">
        <w:fldChar w:fldCharType="end"/>
      </w:r>
      <w:r>
        <w:t xml:space="preserve"> entities are projected to record operating surpluses over the budget and forward estimates. The average net result from transactions of the metropolitan water sector over this period is $273 million. </w:t>
      </w:r>
    </w:p>
    <w:p w:rsidR="00552DFA" w:rsidRPr="00990E98" w:rsidRDefault="00552DFA" w:rsidP="00D46C60">
      <w:pPr>
        <w:pStyle w:val="Heading20"/>
        <w:rPr>
          <w:rFonts w:eastAsiaTheme="minorHAnsi"/>
          <w:bCs/>
          <w:caps/>
        </w:rPr>
      </w:pPr>
      <w:bookmarkStart w:id="50" w:name="_Toc481160577"/>
      <w:r w:rsidRPr="00990E98">
        <w:rPr>
          <w:rFonts w:eastAsiaTheme="minorHAnsi"/>
        </w:rPr>
        <w:t>Application of cash resources</w:t>
      </w:r>
      <w:bookmarkEnd w:id="50"/>
    </w:p>
    <w:p w:rsidR="00552DFA" w:rsidRDefault="00552DFA" w:rsidP="00423C3D">
      <w:r>
        <w:t>Table 5.2 shows that the NFPS is projected to generate net operating cash flow surpluses averaging $5.9 billion a year over the budget and forward estimates.</w:t>
      </w:r>
    </w:p>
    <w:p w:rsidR="00552DFA" w:rsidRPr="00670A0C" w:rsidRDefault="00552DFA" w:rsidP="00423C3D">
      <w:pPr>
        <w:pStyle w:val="TableHeading"/>
        <w:rPr>
          <w:bCs/>
          <w:lang w:val="en-US"/>
        </w:rPr>
      </w:pPr>
      <w:r>
        <w:t>Table 5.2:</w:t>
      </w:r>
      <w:r>
        <w:tab/>
      </w:r>
      <w:r w:rsidRPr="00A42741">
        <w:t>Application of cash resources for the non</w:t>
      </w:r>
      <w:r>
        <w:noBreakHyphen/>
      </w:r>
      <w:r w:rsidRPr="00A42741">
        <w:t>financial public sector</w:t>
      </w:r>
      <w:r w:rsidRPr="00773D5A">
        <w:rPr>
          <w:vertAlign w:val="superscript"/>
        </w:rPr>
        <w:t xml:space="preserve"> (a)</w:t>
      </w:r>
      <w:r>
        <w:rPr>
          <w:vertAlign w:val="superscript"/>
        </w:rPr>
        <w:t xml:space="preserve"> </w:t>
      </w:r>
      <w:r>
        <w:rPr>
          <w:vertAlign w:val="superscript"/>
        </w:rPr>
        <w:tab/>
      </w:r>
      <w:r w:rsidRPr="00F106B3">
        <w:t>($</w:t>
      </w:r>
      <w:r>
        <w:t> </w:t>
      </w:r>
      <w:r w:rsidRPr="00F106B3">
        <w:t>m</w:t>
      </w:r>
      <w:r>
        <w:t>illion</w:t>
      </w:r>
      <w:r w:rsidRPr="00F106B3">
        <w:t>)</w:t>
      </w:r>
    </w:p>
    <w:tbl>
      <w:tblPr>
        <w:tblStyle w:val="DTFTable"/>
        <w:tblW w:w="7759" w:type="dxa"/>
        <w:tblInd w:w="45" w:type="dxa"/>
        <w:tblLayout w:type="fixed"/>
        <w:tblCellMar>
          <w:left w:w="45" w:type="dxa"/>
          <w:right w:w="45" w:type="dxa"/>
        </w:tblCellMar>
        <w:tblLook w:val="06E0" w:firstRow="1" w:lastRow="1" w:firstColumn="1" w:lastColumn="0" w:noHBand="1" w:noVBand="1"/>
      </w:tblPr>
      <w:tblGrid>
        <w:gridCol w:w="2755"/>
        <w:gridCol w:w="85"/>
        <w:gridCol w:w="669"/>
        <w:gridCol w:w="850"/>
        <w:gridCol w:w="850"/>
        <w:gridCol w:w="850"/>
        <w:gridCol w:w="850"/>
        <w:gridCol w:w="850"/>
      </w:tblGrid>
      <w:tr w:rsidR="00552DFA" w:rsidRPr="00670A0C" w:rsidTr="00423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5" w:type="dxa"/>
            <w:tcBorders>
              <w:top w:val="nil"/>
              <w:left w:val="nil"/>
              <w:bottom w:val="nil"/>
              <w:right w:val="nil"/>
            </w:tcBorders>
            <w:shd w:val="solid" w:color="000000" w:fill="auto"/>
          </w:tcPr>
          <w:p w:rsidR="00552DFA" w:rsidRPr="00670A0C" w:rsidRDefault="00552DFA" w:rsidP="00423C3D">
            <w:pPr>
              <w:autoSpaceDE w:val="0"/>
              <w:autoSpaceDN w:val="0"/>
              <w:adjustRightInd w:val="0"/>
              <w:jc w:val="right"/>
              <w:rPr>
                <w:rFonts w:eastAsiaTheme="minorEastAsia" w:cs="Calibri"/>
                <w:iCs/>
                <w:color w:val="FFFFFF"/>
                <w:szCs w:val="19"/>
                <w:lang w:eastAsia="en-AU"/>
              </w:rPr>
            </w:pPr>
            <w:r w:rsidRPr="00670A0C">
              <w:rPr>
                <w:rFonts w:eastAsiaTheme="minorEastAsia" w:cs="Calibri"/>
                <w:iCs/>
                <w:color w:val="FFFFFF"/>
                <w:szCs w:val="19"/>
                <w:lang w:eastAsia="en-AU"/>
              </w:rPr>
              <w:t xml:space="preserve"> </w:t>
            </w:r>
          </w:p>
        </w:tc>
        <w:tc>
          <w:tcPr>
            <w:tcW w:w="754" w:type="dxa"/>
            <w:gridSpan w:val="2"/>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2015</w:t>
            </w:r>
            <w:r>
              <w:rPr>
                <w:rFonts w:eastAsiaTheme="minorEastAsia" w:cs="Calibri"/>
                <w:iCs/>
                <w:color w:val="FFFFFF"/>
                <w:szCs w:val="19"/>
                <w:lang w:eastAsia="en-AU"/>
              </w:rPr>
              <w:noBreakHyphen/>
            </w:r>
            <w:r w:rsidRPr="00670A0C">
              <w:rPr>
                <w:rFonts w:eastAsiaTheme="minorEastAsia" w:cs="Calibri"/>
                <w:iCs/>
                <w:color w:val="FFFFFF"/>
                <w:szCs w:val="19"/>
                <w:lang w:eastAsia="en-AU"/>
              </w:rPr>
              <w:t>16</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2016</w:t>
            </w:r>
            <w:r>
              <w:rPr>
                <w:rFonts w:eastAsiaTheme="minorEastAsia" w:cs="Calibri"/>
                <w:iCs/>
                <w:color w:val="FFFFFF"/>
                <w:szCs w:val="19"/>
                <w:lang w:eastAsia="en-AU"/>
              </w:rPr>
              <w:noBreakHyphen/>
            </w:r>
            <w:r w:rsidRPr="00670A0C">
              <w:rPr>
                <w:rFonts w:eastAsiaTheme="minorEastAsia" w:cs="Calibri"/>
                <w:iCs/>
                <w:color w:val="FFFFFF"/>
                <w:szCs w:val="19"/>
                <w:lang w:eastAsia="en-AU"/>
              </w:rPr>
              <w:t>17</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2017</w:t>
            </w:r>
            <w:r>
              <w:rPr>
                <w:rFonts w:eastAsiaTheme="minorEastAsia" w:cs="Calibri"/>
                <w:iCs/>
                <w:color w:val="FFFFFF"/>
                <w:szCs w:val="19"/>
                <w:lang w:eastAsia="en-AU"/>
              </w:rPr>
              <w:noBreakHyphen/>
            </w:r>
            <w:r w:rsidRPr="00670A0C">
              <w:rPr>
                <w:rFonts w:eastAsiaTheme="minorEastAsia" w:cs="Calibri"/>
                <w:iCs/>
                <w:color w:val="FFFFFF"/>
                <w:szCs w:val="19"/>
                <w:lang w:eastAsia="en-AU"/>
              </w:rPr>
              <w:t>18</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2018</w:t>
            </w:r>
            <w:r>
              <w:rPr>
                <w:rFonts w:eastAsiaTheme="minorEastAsia" w:cs="Calibri"/>
                <w:iCs/>
                <w:color w:val="FFFFFF"/>
                <w:szCs w:val="19"/>
                <w:lang w:eastAsia="en-AU"/>
              </w:rPr>
              <w:noBreakHyphen/>
            </w:r>
            <w:r w:rsidRPr="00670A0C">
              <w:rPr>
                <w:rFonts w:eastAsiaTheme="minorEastAsia" w:cs="Calibri"/>
                <w:iCs/>
                <w:color w:val="FFFFFF"/>
                <w:szCs w:val="19"/>
                <w:lang w:eastAsia="en-AU"/>
              </w:rPr>
              <w:t>19</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2019</w:t>
            </w:r>
            <w:r>
              <w:rPr>
                <w:rFonts w:eastAsiaTheme="minorEastAsia" w:cs="Calibri"/>
                <w:iCs/>
                <w:color w:val="FFFFFF"/>
                <w:szCs w:val="19"/>
                <w:lang w:eastAsia="en-AU"/>
              </w:rPr>
              <w:noBreakHyphen/>
            </w:r>
            <w:r w:rsidRPr="00670A0C">
              <w:rPr>
                <w:rFonts w:eastAsiaTheme="minorEastAsia" w:cs="Calibri"/>
                <w:iCs/>
                <w:color w:val="FFFFFF"/>
                <w:szCs w:val="19"/>
                <w:lang w:eastAsia="en-AU"/>
              </w:rPr>
              <w:t>20</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2020</w:t>
            </w:r>
            <w:r>
              <w:rPr>
                <w:rFonts w:eastAsiaTheme="minorEastAsia" w:cs="Calibri"/>
                <w:iCs/>
                <w:color w:val="FFFFFF"/>
                <w:szCs w:val="19"/>
                <w:lang w:eastAsia="en-AU"/>
              </w:rPr>
              <w:noBreakHyphen/>
            </w:r>
            <w:r w:rsidRPr="00670A0C">
              <w:rPr>
                <w:rFonts w:eastAsiaTheme="minorEastAsia" w:cs="Calibri"/>
                <w:iCs/>
                <w:color w:val="FFFFFF"/>
                <w:szCs w:val="19"/>
                <w:lang w:eastAsia="en-AU"/>
              </w:rPr>
              <w:t>21</w:t>
            </w:r>
          </w:p>
        </w:tc>
      </w:tr>
      <w:tr w:rsidR="00552DFA" w:rsidRPr="00670A0C" w:rsidTr="00423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5"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jc w:val="right"/>
              <w:rPr>
                <w:rFonts w:eastAsiaTheme="minorEastAsia" w:cs="Calibri"/>
                <w:iCs/>
                <w:color w:val="FFFFFF"/>
                <w:szCs w:val="19"/>
                <w:lang w:eastAsia="en-AU"/>
              </w:rPr>
            </w:pPr>
            <w:r w:rsidRPr="00670A0C">
              <w:rPr>
                <w:rFonts w:eastAsiaTheme="minorEastAsia" w:cs="Calibri"/>
                <w:iCs/>
                <w:color w:val="FFFFFF"/>
                <w:szCs w:val="19"/>
                <w:lang w:eastAsia="en-AU"/>
              </w:rPr>
              <w:t xml:space="preserve"> </w:t>
            </w:r>
          </w:p>
        </w:tc>
        <w:tc>
          <w:tcPr>
            <w:tcW w:w="754" w:type="dxa"/>
            <w:gridSpan w:val="2"/>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actual</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revised</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75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b/>
                <w:bCs/>
                <w:color w:val="000000"/>
                <w:szCs w:val="19"/>
                <w:lang w:eastAsia="en-AU"/>
              </w:rPr>
            </w:pPr>
            <w:r w:rsidRPr="00670A0C">
              <w:rPr>
                <w:rFonts w:eastAsiaTheme="minorEastAsia" w:cs="Calibri"/>
                <w:b/>
                <w:bCs/>
                <w:color w:val="000000"/>
                <w:szCs w:val="19"/>
                <w:lang w:eastAsia="en-AU"/>
              </w:rPr>
              <w:t>Net result from transactions</w:t>
            </w:r>
          </w:p>
        </w:tc>
        <w:tc>
          <w:tcPr>
            <w:tcW w:w="754" w:type="dxa"/>
            <w:gridSpan w:val="2"/>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2 680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535</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113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1 010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1 556</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1 817</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755" w:type="dxa"/>
            <w:tcBorders>
              <w:top w:val="nil"/>
              <w:left w:val="nil"/>
              <w:bottom w:val="single" w:sz="6" w:space="0" w:color="auto"/>
              <w:right w:val="nil"/>
            </w:tcBorders>
          </w:tcPr>
          <w:p w:rsidR="00552DFA" w:rsidRPr="00670A0C" w:rsidRDefault="00552DFA" w:rsidP="00423C3D">
            <w:pPr>
              <w:keepLines w:val="0"/>
              <w:autoSpaceDE w:val="0"/>
              <w:autoSpaceDN w:val="0"/>
              <w:adjustRightInd w:val="0"/>
              <w:rPr>
                <w:rFonts w:eastAsiaTheme="minorEastAsia" w:cs="Calibri"/>
                <w:color w:val="000000"/>
                <w:szCs w:val="19"/>
                <w:vertAlign w:val="superscript"/>
                <w:lang w:eastAsia="en-AU"/>
              </w:rPr>
            </w:pPr>
            <w:r w:rsidRPr="00670A0C">
              <w:rPr>
                <w:rFonts w:eastAsiaTheme="minorEastAsia" w:cs="Calibri"/>
                <w:color w:val="000000"/>
                <w:szCs w:val="19"/>
                <w:lang w:eastAsia="en-AU"/>
              </w:rPr>
              <w:t>Add back: non</w:t>
            </w:r>
            <w:r>
              <w:rPr>
                <w:rFonts w:eastAsiaTheme="minorEastAsia" w:cs="Calibri"/>
                <w:color w:val="000000"/>
                <w:szCs w:val="19"/>
                <w:lang w:eastAsia="en-AU"/>
              </w:rPr>
              <w:noBreakHyphen/>
            </w:r>
            <w:r w:rsidRPr="00670A0C">
              <w:rPr>
                <w:rFonts w:eastAsiaTheme="minorEastAsia" w:cs="Calibri"/>
                <w:color w:val="000000"/>
                <w:szCs w:val="19"/>
                <w:lang w:eastAsia="en-AU"/>
              </w:rPr>
              <w:t xml:space="preserve">cash income and expenses (net) </w:t>
            </w:r>
            <w:r w:rsidRPr="00670A0C">
              <w:rPr>
                <w:rFonts w:eastAsiaTheme="minorEastAsia" w:cs="Calibri"/>
                <w:color w:val="000000"/>
                <w:szCs w:val="19"/>
                <w:vertAlign w:val="superscript"/>
                <w:lang w:eastAsia="en-AU"/>
              </w:rPr>
              <w:t>(b)</w:t>
            </w:r>
          </w:p>
        </w:tc>
        <w:tc>
          <w:tcPr>
            <w:tcW w:w="754" w:type="dxa"/>
            <w:gridSpan w:val="2"/>
            <w:tcBorders>
              <w:top w:val="nil"/>
              <w:left w:val="nil"/>
              <w:bottom w:val="single" w:sz="6" w:space="0" w:color="auto"/>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4 371</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12 921</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4 615</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6 046</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4 014</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4 391</w:t>
            </w:r>
          </w:p>
        </w:tc>
      </w:tr>
      <w:tr w:rsidR="00552DFA" w:rsidRPr="00670A0C" w:rsidTr="008F0067">
        <w:tc>
          <w:tcPr>
            <w:cnfStyle w:val="001000000000" w:firstRow="0" w:lastRow="0" w:firstColumn="1" w:lastColumn="0" w:oddVBand="0" w:evenVBand="0" w:oddHBand="0" w:evenHBand="0" w:firstRowFirstColumn="0" w:firstRowLastColumn="0" w:lastRowFirstColumn="0" w:lastRowLastColumn="0"/>
            <w:tcW w:w="2840" w:type="dxa"/>
            <w:gridSpan w:val="2"/>
            <w:tcBorders>
              <w:top w:val="nil"/>
              <w:left w:val="nil"/>
              <w:bottom w:val="single" w:sz="4" w:space="0" w:color="auto"/>
              <w:right w:val="nil"/>
            </w:tcBorders>
          </w:tcPr>
          <w:p w:rsidR="00552DFA" w:rsidRPr="00670A0C" w:rsidRDefault="00552DFA" w:rsidP="00423C3D">
            <w:pPr>
              <w:keepLines w:val="0"/>
              <w:autoSpaceDE w:val="0"/>
              <w:autoSpaceDN w:val="0"/>
              <w:adjustRightInd w:val="0"/>
              <w:rPr>
                <w:rFonts w:eastAsiaTheme="minorEastAsia" w:cs="Calibri"/>
                <w:b/>
                <w:bCs/>
                <w:color w:val="000000"/>
                <w:szCs w:val="19"/>
                <w:lang w:eastAsia="en-AU"/>
              </w:rPr>
            </w:pPr>
            <w:r w:rsidRPr="00670A0C">
              <w:rPr>
                <w:rFonts w:eastAsiaTheme="minorEastAsia" w:cs="Calibri"/>
                <w:b/>
                <w:bCs/>
                <w:color w:val="000000"/>
                <w:szCs w:val="19"/>
                <w:lang w:eastAsia="en-AU"/>
              </w:rPr>
              <w:t>Net cash flow from operating activities</w:t>
            </w:r>
          </w:p>
        </w:tc>
        <w:tc>
          <w:tcPr>
            <w:tcW w:w="669" w:type="dxa"/>
            <w:tcBorders>
              <w:top w:val="nil"/>
              <w:left w:val="nil"/>
              <w:bottom w:val="single" w:sz="4" w:space="0" w:color="auto"/>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7 051</w:t>
            </w:r>
          </w:p>
        </w:tc>
        <w:tc>
          <w:tcPr>
            <w:tcW w:w="850" w:type="dxa"/>
            <w:tcBorders>
              <w:top w:val="nil"/>
              <w:left w:val="nil"/>
              <w:bottom w:val="single" w:sz="4"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13 457</w:t>
            </w:r>
          </w:p>
        </w:tc>
        <w:tc>
          <w:tcPr>
            <w:tcW w:w="850" w:type="dxa"/>
            <w:tcBorders>
              <w:top w:val="nil"/>
              <w:left w:val="nil"/>
              <w:bottom w:val="single" w:sz="4"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4 728</w:t>
            </w:r>
          </w:p>
        </w:tc>
        <w:tc>
          <w:tcPr>
            <w:tcW w:w="850" w:type="dxa"/>
            <w:tcBorders>
              <w:top w:val="nil"/>
              <w:left w:val="nil"/>
              <w:bottom w:val="single" w:sz="4"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7 055</w:t>
            </w:r>
          </w:p>
        </w:tc>
        <w:tc>
          <w:tcPr>
            <w:tcW w:w="850" w:type="dxa"/>
            <w:tcBorders>
              <w:top w:val="nil"/>
              <w:left w:val="nil"/>
              <w:bottom w:val="single" w:sz="4"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5 570</w:t>
            </w:r>
          </w:p>
        </w:tc>
        <w:tc>
          <w:tcPr>
            <w:tcW w:w="850" w:type="dxa"/>
            <w:tcBorders>
              <w:top w:val="nil"/>
              <w:left w:val="nil"/>
              <w:bottom w:val="single" w:sz="4"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6 208</w:t>
            </w:r>
          </w:p>
        </w:tc>
      </w:tr>
      <w:tr w:rsidR="00552DFA" w:rsidRPr="008F0067" w:rsidTr="008F0067">
        <w:tc>
          <w:tcPr>
            <w:cnfStyle w:val="001000000000" w:firstRow="0" w:lastRow="0" w:firstColumn="1" w:lastColumn="0" w:oddVBand="0" w:evenVBand="0" w:oddHBand="0" w:evenHBand="0" w:firstRowFirstColumn="0" w:firstRowLastColumn="0" w:lastRowFirstColumn="0" w:lastRowLastColumn="0"/>
            <w:tcW w:w="2755" w:type="dxa"/>
            <w:tcBorders>
              <w:top w:val="nil"/>
              <w:left w:val="nil"/>
              <w:bottom w:val="single" w:sz="6" w:space="0" w:color="auto"/>
              <w:right w:val="nil"/>
            </w:tcBorders>
          </w:tcPr>
          <w:p w:rsidR="00552DFA" w:rsidRPr="008F0067" w:rsidRDefault="008F0067" w:rsidP="00423C3D">
            <w:pPr>
              <w:keepLines w:val="0"/>
              <w:autoSpaceDE w:val="0"/>
              <w:autoSpaceDN w:val="0"/>
              <w:adjustRightInd w:val="0"/>
              <w:rPr>
                <w:rFonts w:eastAsiaTheme="minorEastAsia" w:cs="Calibri"/>
                <w:b/>
                <w:bCs/>
                <w:color w:val="000000"/>
                <w:szCs w:val="19"/>
                <w:vertAlign w:val="superscript"/>
                <w:lang w:eastAsia="en-AU"/>
              </w:rPr>
            </w:pPr>
            <w:r w:rsidRPr="008F0067">
              <w:rPr>
                <w:rFonts w:eastAsiaTheme="minorEastAsia" w:cs="Calibri"/>
                <w:b/>
                <w:color w:val="000000"/>
                <w:szCs w:val="19"/>
                <w:lang w:eastAsia="en-AU"/>
              </w:rPr>
              <w:t xml:space="preserve">Less: </w:t>
            </w:r>
            <w:r w:rsidR="00552DFA" w:rsidRPr="008F0067">
              <w:rPr>
                <w:rFonts w:eastAsiaTheme="minorEastAsia" w:cs="Calibri"/>
                <w:b/>
                <w:bCs/>
                <w:color w:val="000000"/>
                <w:szCs w:val="19"/>
                <w:lang w:eastAsia="en-AU"/>
              </w:rPr>
              <w:t xml:space="preserve">Total net investment in fixed assets </w:t>
            </w:r>
            <w:r w:rsidR="00552DFA" w:rsidRPr="008F0067">
              <w:rPr>
                <w:rFonts w:eastAsiaTheme="minorEastAsia" w:cs="Calibri"/>
                <w:b/>
                <w:bCs/>
                <w:color w:val="000000"/>
                <w:szCs w:val="19"/>
                <w:vertAlign w:val="superscript"/>
                <w:lang w:eastAsia="en-AU"/>
              </w:rPr>
              <w:t>(c)</w:t>
            </w:r>
          </w:p>
        </w:tc>
        <w:tc>
          <w:tcPr>
            <w:tcW w:w="754" w:type="dxa"/>
            <w:gridSpan w:val="2"/>
            <w:tcBorders>
              <w:top w:val="nil"/>
              <w:left w:val="nil"/>
              <w:bottom w:val="single" w:sz="6" w:space="0" w:color="auto"/>
              <w:right w:val="nil"/>
            </w:tcBorders>
            <w:shd w:val="solid" w:color="FFFFFF" w:fill="auto"/>
          </w:tcPr>
          <w:p w:rsidR="00552DFA" w:rsidRPr="008F0067"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8F0067">
              <w:rPr>
                <w:rFonts w:eastAsiaTheme="minorEastAsia" w:cs="Calibri"/>
                <w:b/>
                <w:bCs/>
                <w:color w:val="000000"/>
                <w:szCs w:val="19"/>
                <w:lang w:eastAsia="en-AU"/>
              </w:rPr>
              <w:t>6 003</w:t>
            </w:r>
          </w:p>
        </w:tc>
        <w:tc>
          <w:tcPr>
            <w:tcW w:w="850" w:type="dxa"/>
            <w:tcBorders>
              <w:top w:val="nil"/>
              <w:left w:val="nil"/>
              <w:bottom w:val="single" w:sz="6" w:space="0" w:color="auto"/>
              <w:right w:val="nil"/>
            </w:tcBorders>
          </w:tcPr>
          <w:p w:rsidR="00552DFA" w:rsidRPr="008F0067"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8F0067">
              <w:rPr>
                <w:rFonts w:eastAsiaTheme="minorEastAsia" w:cs="Calibri"/>
                <w:b/>
                <w:bCs/>
                <w:color w:val="000000"/>
                <w:szCs w:val="19"/>
                <w:lang w:eastAsia="en-AU"/>
              </w:rPr>
              <w:t>9 287</w:t>
            </w:r>
          </w:p>
        </w:tc>
        <w:tc>
          <w:tcPr>
            <w:tcW w:w="850" w:type="dxa"/>
            <w:tcBorders>
              <w:top w:val="nil"/>
              <w:left w:val="nil"/>
              <w:bottom w:val="single" w:sz="6" w:space="0" w:color="auto"/>
              <w:right w:val="nil"/>
            </w:tcBorders>
          </w:tcPr>
          <w:p w:rsidR="00552DFA" w:rsidRPr="008F0067"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8F0067">
              <w:rPr>
                <w:rFonts w:eastAsiaTheme="minorEastAsia" w:cs="Calibri"/>
                <w:b/>
                <w:bCs/>
                <w:color w:val="000000"/>
                <w:szCs w:val="19"/>
                <w:lang w:eastAsia="en-AU"/>
              </w:rPr>
              <w:t>11 278</w:t>
            </w:r>
          </w:p>
        </w:tc>
        <w:tc>
          <w:tcPr>
            <w:tcW w:w="850" w:type="dxa"/>
            <w:tcBorders>
              <w:top w:val="nil"/>
              <w:left w:val="nil"/>
              <w:bottom w:val="single" w:sz="6" w:space="0" w:color="auto"/>
              <w:right w:val="nil"/>
            </w:tcBorders>
          </w:tcPr>
          <w:p w:rsidR="00552DFA" w:rsidRPr="008F0067"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8F0067">
              <w:rPr>
                <w:rFonts w:eastAsiaTheme="minorEastAsia" w:cs="Calibri"/>
                <w:b/>
                <w:bCs/>
                <w:color w:val="000000"/>
                <w:szCs w:val="19"/>
                <w:lang w:eastAsia="en-AU"/>
              </w:rPr>
              <w:t>8 482</w:t>
            </w:r>
          </w:p>
        </w:tc>
        <w:tc>
          <w:tcPr>
            <w:tcW w:w="850" w:type="dxa"/>
            <w:tcBorders>
              <w:top w:val="nil"/>
              <w:left w:val="nil"/>
              <w:bottom w:val="single" w:sz="6" w:space="0" w:color="auto"/>
              <w:right w:val="nil"/>
            </w:tcBorders>
          </w:tcPr>
          <w:p w:rsidR="00552DFA" w:rsidRPr="008F0067"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8F0067">
              <w:rPr>
                <w:rFonts w:eastAsiaTheme="minorEastAsia" w:cs="Calibri"/>
                <w:b/>
                <w:bCs/>
                <w:color w:val="000000"/>
                <w:szCs w:val="19"/>
                <w:lang w:eastAsia="en-AU"/>
              </w:rPr>
              <w:t>8 169</w:t>
            </w:r>
          </w:p>
        </w:tc>
        <w:tc>
          <w:tcPr>
            <w:tcW w:w="850" w:type="dxa"/>
            <w:tcBorders>
              <w:top w:val="nil"/>
              <w:left w:val="nil"/>
              <w:bottom w:val="single" w:sz="6" w:space="0" w:color="auto"/>
              <w:right w:val="nil"/>
            </w:tcBorders>
          </w:tcPr>
          <w:p w:rsidR="00552DFA" w:rsidRPr="008F0067"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8F0067">
              <w:rPr>
                <w:rFonts w:eastAsiaTheme="minorEastAsia" w:cs="Calibri"/>
                <w:b/>
                <w:bCs/>
                <w:color w:val="000000"/>
                <w:szCs w:val="19"/>
                <w:lang w:eastAsia="en-AU"/>
              </w:rPr>
              <w:t>7 105</w:t>
            </w:r>
          </w:p>
        </w:tc>
      </w:tr>
      <w:tr w:rsidR="00552DFA" w:rsidRPr="00670A0C" w:rsidTr="008F0067">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rPr>
                <w:rFonts w:eastAsiaTheme="minorEastAsia" w:cs="Calibri"/>
                <w:b/>
                <w:bCs/>
                <w:color w:val="000000"/>
                <w:szCs w:val="19"/>
                <w:lang w:eastAsia="en-AU"/>
              </w:rPr>
            </w:pPr>
            <w:r w:rsidRPr="00670A0C">
              <w:rPr>
                <w:rFonts w:eastAsiaTheme="minorEastAsia" w:cs="Calibri"/>
                <w:b/>
                <w:bCs/>
                <w:color w:val="000000"/>
                <w:szCs w:val="19"/>
                <w:lang w:eastAsia="en-AU"/>
              </w:rPr>
              <w:t>Surplus/(deficit) of cash from operations after funding net investments in fixed assets</w:t>
            </w:r>
          </w:p>
        </w:tc>
        <w:tc>
          <w:tcPr>
            <w:tcW w:w="754" w:type="dxa"/>
            <w:gridSpan w:val="2"/>
            <w:tcBorders>
              <w:top w:val="single" w:sz="6" w:space="0" w:color="auto"/>
              <w:left w:val="nil"/>
              <w:bottom w:val="single" w:sz="6" w:space="0" w:color="auto"/>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1 047</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4 169</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(6 551)</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(1 427)</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(2 599)</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(897)</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75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vertAlign w:val="superscript"/>
                <w:lang w:eastAsia="en-AU"/>
              </w:rPr>
            </w:pPr>
            <w:r w:rsidRPr="00670A0C">
              <w:rPr>
                <w:rFonts w:eastAsiaTheme="minorEastAsia" w:cs="Calibri"/>
                <w:color w:val="000000"/>
                <w:szCs w:val="19"/>
                <w:lang w:eastAsia="en-AU"/>
              </w:rPr>
              <w:t xml:space="preserve">Finance leases </w:t>
            </w:r>
            <w:r w:rsidRPr="00670A0C">
              <w:rPr>
                <w:rFonts w:eastAsiaTheme="minorEastAsia" w:cs="Calibri"/>
                <w:color w:val="000000"/>
                <w:szCs w:val="19"/>
                <w:vertAlign w:val="superscript"/>
                <w:lang w:eastAsia="en-AU"/>
              </w:rPr>
              <w:t>(d)</w:t>
            </w:r>
          </w:p>
        </w:tc>
        <w:tc>
          <w:tcPr>
            <w:tcW w:w="754" w:type="dxa"/>
            <w:gridSpan w:val="2"/>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1 050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517</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647</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415</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312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964</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755" w:type="dxa"/>
            <w:tcBorders>
              <w:top w:val="nil"/>
              <w:left w:val="nil"/>
              <w:bottom w:val="single" w:sz="6" w:space="0" w:color="auto"/>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Other movements</w:t>
            </w:r>
          </w:p>
        </w:tc>
        <w:tc>
          <w:tcPr>
            <w:tcW w:w="754" w:type="dxa"/>
            <w:gridSpan w:val="2"/>
            <w:tcBorders>
              <w:top w:val="nil"/>
              <w:left w:val="nil"/>
              <w:bottom w:val="single" w:sz="6" w:space="0" w:color="auto"/>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27</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(24)</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(10)</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(16)</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(6)</w:t>
            </w:r>
          </w:p>
        </w:tc>
      </w:tr>
      <w:tr w:rsidR="00552DFA" w:rsidRPr="00670A0C" w:rsidTr="00423C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Borders>
              <w:top w:val="nil"/>
              <w:bottom w:val="single" w:sz="12" w:space="0" w:color="auto"/>
            </w:tcBorders>
          </w:tcPr>
          <w:p w:rsidR="00552DFA" w:rsidRPr="00670A0C" w:rsidRDefault="00552DFA" w:rsidP="00423C3D">
            <w:pPr>
              <w:keepLines w:val="0"/>
              <w:autoSpaceDE w:val="0"/>
              <w:autoSpaceDN w:val="0"/>
              <w:adjustRightInd w:val="0"/>
              <w:rPr>
                <w:rFonts w:eastAsiaTheme="minorEastAsia" w:cs="Calibri"/>
                <w:bCs/>
                <w:color w:val="000000"/>
                <w:szCs w:val="19"/>
                <w:lang w:eastAsia="en-AU"/>
              </w:rPr>
            </w:pPr>
            <w:r w:rsidRPr="00670A0C">
              <w:rPr>
                <w:rFonts w:eastAsiaTheme="minorEastAsia" w:cs="Calibri"/>
                <w:bCs/>
                <w:color w:val="000000"/>
                <w:szCs w:val="19"/>
                <w:lang w:eastAsia="en-AU"/>
              </w:rPr>
              <w:t>Decrease/(increase) in net debt</w:t>
            </w:r>
          </w:p>
        </w:tc>
        <w:tc>
          <w:tcPr>
            <w:tcW w:w="754" w:type="dxa"/>
            <w:gridSpan w:val="2"/>
            <w:tcBorders>
              <w:top w:val="nil"/>
              <w:bottom w:val="single" w:sz="12" w:space="0" w:color="auto"/>
            </w:tcBorders>
            <w:shd w:val="solid" w:color="FFFFFF" w:fill="auto"/>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(30)</w:t>
            </w:r>
          </w:p>
        </w:tc>
        <w:tc>
          <w:tcPr>
            <w:tcW w:w="850" w:type="dxa"/>
            <w:tcBorders>
              <w:top w:val="nil"/>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670A0C">
              <w:rPr>
                <w:rFonts w:eastAsiaTheme="minorEastAsia" w:cs="Calibri"/>
                <w:bCs/>
                <w:color w:val="000000"/>
                <w:szCs w:val="19"/>
                <w:lang w:eastAsia="en-AU"/>
              </w:rPr>
              <w:t>3 677</w:t>
            </w:r>
          </w:p>
        </w:tc>
        <w:tc>
          <w:tcPr>
            <w:tcW w:w="850" w:type="dxa"/>
            <w:tcBorders>
              <w:top w:val="nil"/>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(7 200)</w:t>
            </w:r>
          </w:p>
        </w:tc>
        <w:tc>
          <w:tcPr>
            <w:tcW w:w="850" w:type="dxa"/>
            <w:tcBorders>
              <w:top w:val="nil"/>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(1 832)</w:t>
            </w:r>
          </w:p>
        </w:tc>
        <w:tc>
          <w:tcPr>
            <w:tcW w:w="850" w:type="dxa"/>
            <w:tcBorders>
              <w:top w:val="nil"/>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(2 894)</w:t>
            </w:r>
          </w:p>
        </w:tc>
        <w:tc>
          <w:tcPr>
            <w:tcW w:w="850" w:type="dxa"/>
            <w:tcBorders>
              <w:top w:val="nil"/>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(1 855)</w:t>
            </w:r>
          </w:p>
        </w:tc>
      </w:tr>
    </w:tbl>
    <w:p w:rsidR="00552DFA" w:rsidRDefault="00552DFA" w:rsidP="00423C3D">
      <w:pPr>
        <w:pStyle w:val="Source"/>
      </w:pPr>
      <w:r>
        <w:t>Source</w:t>
      </w:r>
      <w:r w:rsidRPr="00E124E5">
        <w:t>:</w:t>
      </w:r>
      <w:r>
        <w:t xml:space="preserve"> Department of Treasury and Finance</w:t>
      </w:r>
    </w:p>
    <w:p w:rsidR="00552DFA" w:rsidRPr="00BE6C60" w:rsidRDefault="00552DFA" w:rsidP="00423C3D">
      <w:pPr>
        <w:pStyle w:val="Note"/>
      </w:pPr>
      <w:r w:rsidRPr="00BE6C60">
        <w:t>Note</w:t>
      </w:r>
      <w:r>
        <w:t>s</w:t>
      </w:r>
      <w:r w:rsidRPr="00BE6C60">
        <w:t>:</w:t>
      </w:r>
    </w:p>
    <w:p w:rsidR="00552DFA" w:rsidRDefault="00552DFA" w:rsidP="00423C3D">
      <w:pPr>
        <w:pStyle w:val="Note"/>
      </w:pPr>
      <w:r>
        <w:t>(a)</w:t>
      </w:r>
      <w:r>
        <w:tab/>
        <w:t>Figures in this table are subject to rounding and may not add up to the totals.</w:t>
      </w:r>
    </w:p>
    <w:p w:rsidR="00552DFA" w:rsidRDefault="00552DFA" w:rsidP="00423C3D">
      <w:pPr>
        <w:pStyle w:val="Note"/>
      </w:pPr>
      <w:r>
        <w:t>(b)</w:t>
      </w:r>
      <w:r>
        <w:tab/>
      </w:r>
      <w:r w:rsidRPr="00BE6C60">
        <w:t>Includes depreciation and movements in the unfunded superannuation liability and l</w:t>
      </w:r>
      <w:r>
        <w:t>iability for employee benefits.</w:t>
      </w:r>
    </w:p>
    <w:p w:rsidR="00552DFA" w:rsidRDefault="00552DFA" w:rsidP="00423C3D">
      <w:pPr>
        <w:pStyle w:val="Note"/>
      </w:pPr>
      <w:r>
        <w:t>(c)</w:t>
      </w:r>
      <w:r>
        <w:tab/>
      </w:r>
      <w:r w:rsidRPr="00BE6C60">
        <w:t xml:space="preserve">Includes total purchases of plant, property and equipment, and </w:t>
      </w:r>
      <w:r w:rsidR="00775AB7">
        <w:t xml:space="preserve">net </w:t>
      </w:r>
      <w:r w:rsidRPr="00BE6C60">
        <w:t>capital contributions to other sectors of government net of proceeds from asset sales.</w:t>
      </w:r>
    </w:p>
    <w:p w:rsidR="00552DFA" w:rsidRPr="00962243" w:rsidRDefault="00552DFA" w:rsidP="00423C3D">
      <w:pPr>
        <w:pStyle w:val="Note"/>
      </w:pPr>
      <w:r>
        <w:t>(d)</w:t>
      </w:r>
      <w:r>
        <w:tab/>
      </w:r>
      <w:r w:rsidRPr="00962243">
        <w:t>The finance lease acquisition in 2016</w:t>
      </w:r>
      <w:r>
        <w:noBreakHyphen/>
      </w:r>
      <w:r w:rsidRPr="00962243">
        <w:t>17 relates to the new Bendigo Hospital</w:t>
      </w:r>
      <w:r w:rsidR="00356A95">
        <w:fldChar w:fldCharType="begin"/>
      </w:r>
      <w:r w:rsidR="00356A95">
        <w:instrText xml:space="preserve"> XE "Health:Hospitals" </w:instrText>
      </w:r>
      <w:r w:rsidR="00356A95">
        <w:fldChar w:fldCharType="end"/>
      </w:r>
      <w:r w:rsidRPr="00962243">
        <w:t xml:space="preserve"> project (stage 1), the New Schools</w:t>
      </w:r>
      <w:r w:rsidR="00356A95">
        <w:fldChar w:fldCharType="begin"/>
      </w:r>
      <w:r w:rsidR="00356A95">
        <w:instrText xml:space="preserve"> XE "Schools" </w:instrText>
      </w:r>
      <w:r w:rsidR="00356A95">
        <w:fldChar w:fldCharType="end"/>
      </w:r>
      <w:r w:rsidRPr="00962243">
        <w:t xml:space="preserve"> PPP</w:t>
      </w:r>
      <w:r w:rsidR="00356A95">
        <w:fldChar w:fldCharType="begin"/>
      </w:r>
      <w:r w:rsidR="00356A95">
        <w:instrText xml:space="preserve"> XE "Public Private Partnerships (PPPs)" </w:instrText>
      </w:r>
      <w:r w:rsidR="00356A95">
        <w:fldChar w:fldCharType="end"/>
      </w:r>
      <w:r w:rsidRPr="00962243">
        <w:t xml:space="preserve"> project (tranche 1) and the metropolitan Melbourne buses contract. The 2017</w:t>
      </w:r>
      <w:r>
        <w:noBreakHyphen/>
      </w:r>
      <w:r w:rsidRPr="00962243">
        <w:t>18 estimate relates to the Ravenhall Prison project, the new Bendigo Hospital project (stage 2) and the New Schools PPP project (tranche 2). The 2018</w:t>
      </w:r>
      <w:r>
        <w:noBreakHyphen/>
      </w:r>
      <w:r w:rsidRPr="00962243">
        <w:t>19 and 2019</w:t>
      </w:r>
      <w:r>
        <w:noBreakHyphen/>
      </w:r>
      <w:r w:rsidRPr="00962243">
        <w:t xml:space="preserve">20 estimates relate to the High Capacity Metro Trains </w:t>
      </w:r>
      <w:r>
        <w:t>P</w:t>
      </w:r>
      <w:r w:rsidRPr="00962243">
        <w:t>roject. The 2020</w:t>
      </w:r>
      <w:r>
        <w:noBreakHyphen/>
      </w:r>
      <w:r w:rsidRPr="00962243">
        <w:t xml:space="preserve">21 estimates relate to the High Capacity Metro Trains </w:t>
      </w:r>
      <w:r>
        <w:t>P</w:t>
      </w:r>
      <w:r w:rsidRPr="00962243">
        <w:t xml:space="preserve">roject and </w:t>
      </w:r>
      <w:r>
        <w:t>the Western Suburbs Roads Package</w:t>
      </w:r>
      <w:r w:rsidR="00356A95">
        <w:fldChar w:fldCharType="begin"/>
      </w:r>
      <w:r w:rsidR="00356A95">
        <w:instrText xml:space="preserve"> XE "</w:instrText>
      </w:r>
      <w:r w:rsidR="00356A95" w:rsidRPr="00FE6453">
        <w:instrText>Western Suburbs Roads Package</w:instrText>
      </w:r>
      <w:r w:rsidR="00356A95">
        <w:instrText xml:space="preserve">" </w:instrText>
      </w:r>
      <w:r w:rsidR="00356A95">
        <w:fldChar w:fldCharType="end"/>
      </w:r>
      <w:r>
        <w:t>.</w:t>
      </w:r>
    </w:p>
    <w:p w:rsidR="00552DFA" w:rsidRPr="00006FB2" w:rsidRDefault="00552DFA" w:rsidP="00423C3D">
      <w:pPr>
        <w:pStyle w:val="Note"/>
      </w:pPr>
    </w:p>
    <w:p w:rsidR="00552DFA" w:rsidRDefault="00552DFA">
      <w:pPr>
        <w:keepLines w:val="0"/>
        <w:rPr>
          <w:rFonts w:asciiTheme="majorHAnsi" w:hAnsiTheme="majorHAnsi"/>
          <w:b/>
          <w:sz w:val="26"/>
          <w:szCs w:val="26"/>
        </w:rPr>
      </w:pPr>
      <w:r>
        <w:rPr>
          <w:bCs/>
          <w:caps/>
          <w:szCs w:val="26"/>
        </w:rPr>
        <w:br w:type="page"/>
      </w:r>
    </w:p>
    <w:p w:rsidR="00552DFA" w:rsidRPr="00DD7F5D" w:rsidRDefault="00552DFA" w:rsidP="00D46C60">
      <w:pPr>
        <w:pStyle w:val="Heading20"/>
        <w:rPr>
          <w:rFonts w:eastAsiaTheme="minorHAnsi"/>
          <w:bCs/>
          <w:caps/>
        </w:rPr>
      </w:pPr>
      <w:bookmarkStart w:id="51" w:name="_Toc481160578"/>
      <w:r w:rsidRPr="00DD7F5D">
        <w:rPr>
          <w:rFonts w:eastAsiaTheme="minorHAnsi"/>
        </w:rPr>
        <w:lastRenderedPageBreak/>
        <w:t>Infrastructure</w:t>
      </w:r>
      <w:bookmarkEnd w:id="51"/>
    </w:p>
    <w:p w:rsidR="00552DFA" w:rsidRDefault="00552DFA" w:rsidP="00423C3D">
      <w:r>
        <w:t>Table 5.2 also provides the estimates of net investment in non</w:t>
      </w:r>
      <w:r>
        <w:noBreakHyphen/>
        <w:t>financial assets, which is infrastructure expenditure net of proceeds from asset sales. Over the budget and forward estimates NFPS total net investments in non</w:t>
      </w:r>
      <w:r>
        <w:noBreakHyphen/>
        <w:t>financial assets will average $9.4 billion.</w:t>
      </w:r>
    </w:p>
    <w:p w:rsidR="00552DFA" w:rsidRDefault="00552DFA" w:rsidP="00423C3D">
      <w:r>
        <w:t>The main PNFC</w:t>
      </w:r>
      <w:r w:rsidR="00356A95">
        <w:fldChar w:fldCharType="begin"/>
      </w:r>
      <w:r w:rsidR="00356A95">
        <w:instrText xml:space="preserve"> XE "Public non-financial corporations" </w:instrText>
      </w:r>
      <w:r w:rsidR="00356A95">
        <w:fldChar w:fldCharType="end"/>
      </w:r>
      <w:r>
        <w:t xml:space="preserve"> sector infrastructure projects under development include:</w:t>
      </w:r>
    </w:p>
    <w:p w:rsidR="00552DFA" w:rsidRDefault="00552DFA" w:rsidP="00423C3D">
      <w:pPr>
        <w:pStyle w:val="ListBullet"/>
        <w:rPr>
          <w:lang w:eastAsia="en-AU"/>
        </w:rPr>
      </w:pPr>
      <w:r w:rsidRPr="002C40D9">
        <w:rPr>
          <w:lang w:eastAsia="en-AU"/>
        </w:rPr>
        <w:t>investing in transport infrastructure to meet patronage increases, network performance, and developing future capabilities. This includes infrastructure investment</w:t>
      </w:r>
      <w:r w:rsidRPr="001E10DE">
        <w:rPr>
          <w:lang w:eastAsia="en-AU"/>
        </w:rPr>
        <w:t xml:space="preserve"> </w:t>
      </w:r>
      <w:r>
        <w:rPr>
          <w:lang w:eastAsia="en-AU"/>
        </w:rPr>
        <w:t xml:space="preserve">for the </w:t>
      </w:r>
      <w:r w:rsidRPr="001E10DE">
        <w:rPr>
          <w:lang w:eastAsia="en-AU"/>
        </w:rPr>
        <w:t>Regional Rail Revival – Gippsland Rail</w:t>
      </w:r>
      <w:r w:rsidR="00356A95">
        <w:rPr>
          <w:lang w:eastAsia="en-AU"/>
        </w:rPr>
        <w:fldChar w:fldCharType="begin"/>
      </w:r>
      <w:r w:rsidR="00356A95">
        <w:rPr>
          <w:lang w:eastAsia="en-AU"/>
        </w:rPr>
        <w:instrText xml:space="preserve"> XE "</w:instrText>
      </w:r>
      <w:r w:rsidR="00356A95">
        <w:instrText>Gippsland Rail"</w:instrText>
      </w:r>
      <w:r w:rsidR="00356A95">
        <w:rPr>
          <w:lang w:eastAsia="en-AU"/>
        </w:rPr>
        <w:instrText xml:space="preserve"> </w:instrText>
      </w:r>
      <w:r w:rsidR="00356A95">
        <w:rPr>
          <w:lang w:eastAsia="en-AU"/>
        </w:rPr>
        <w:fldChar w:fldCharType="end"/>
      </w:r>
      <w:r w:rsidRPr="001E10DE">
        <w:rPr>
          <w:lang w:eastAsia="en-AU"/>
        </w:rPr>
        <w:t xml:space="preserve"> Upgrade</w:t>
      </w:r>
      <w:r>
        <w:rPr>
          <w:lang w:eastAsia="en-AU"/>
        </w:rPr>
        <w:t xml:space="preserve"> </w:t>
      </w:r>
      <w:r w:rsidRPr="002C40D9">
        <w:rPr>
          <w:lang w:eastAsia="en-AU"/>
        </w:rPr>
        <w:t xml:space="preserve">and procuring additional rolling stock with a further 39 new </w:t>
      </w:r>
      <w:proofErr w:type="spellStart"/>
      <w:r w:rsidRPr="002C40D9">
        <w:rPr>
          <w:lang w:eastAsia="en-AU"/>
        </w:rPr>
        <w:t>VLocity</w:t>
      </w:r>
      <w:proofErr w:type="spellEnd"/>
      <w:r w:rsidRPr="002C40D9">
        <w:rPr>
          <w:lang w:eastAsia="en-AU"/>
        </w:rPr>
        <w:t xml:space="preserve"> train carriages to meet demand on the regional network. Additional regional rolling stock investment also includes sustainment works to V/Line trains and carriages. Investment in metropolitan rail infrastructure includes upgrades to the Frankston </w:t>
      </w:r>
      <w:r>
        <w:rPr>
          <w:lang w:eastAsia="en-AU"/>
        </w:rPr>
        <w:t>Station P</w:t>
      </w:r>
      <w:r w:rsidRPr="002C40D9">
        <w:rPr>
          <w:lang w:eastAsia="en-AU"/>
        </w:rPr>
        <w:t>recinct and station upgrades to enhance passenger experience and improve access to public transport</w:t>
      </w:r>
      <w:r>
        <w:rPr>
          <w:lang w:eastAsia="en-AU"/>
        </w:rPr>
        <w:t>; and</w:t>
      </w:r>
    </w:p>
    <w:p w:rsidR="00552DFA" w:rsidRDefault="00552DFA" w:rsidP="00423C3D">
      <w:pPr>
        <w:pStyle w:val="ListBullet"/>
      </w:pPr>
      <w:r>
        <w:t>various water</w:t>
      </w:r>
      <w:r>
        <w:noBreakHyphen/>
        <w:t>related infrastructure projects, including the Goulburn</w:t>
      </w:r>
      <w:r>
        <w:noBreakHyphen/>
        <w:t>Murray Water Connections Project</w:t>
      </w:r>
      <w:r w:rsidR="00356A95">
        <w:fldChar w:fldCharType="begin"/>
      </w:r>
      <w:r w:rsidR="00356A95">
        <w:instrText xml:space="preserve"> XE "Goulburn-Murray Water Connections Project" </w:instrText>
      </w:r>
      <w:r w:rsidR="00356A95">
        <w:fldChar w:fldCharType="end"/>
      </w:r>
      <w:r>
        <w:t>, connecting irrigators to a modernised system of irrigation ch</w:t>
      </w:r>
      <w:bookmarkStart w:id="52" w:name="_Toc449123071"/>
      <w:r>
        <w:t>annels.</w:t>
      </w:r>
    </w:p>
    <w:p w:rsidR="00552DFA" w:rsidRDefault="00552DFA">
      <w:pPr>
        <w:keepLines w:val="0"/>
        <w:rPr>
          <w:rFonts w:asciiTheme="majorHAnsi" w:eastAsiaTheme="majorEastAsia" w:hAnsiTheme="majorHAnsi" w:cstheme="majorBidi"/>
          <w:b/>
          <w:spacing w:val="-2"/>
          <w:sz w:val="26"/>
          <w:szCs w:val="26"/>
        </w:rPr>
      </w:pPr>
      <w:r>
        <w:br w:type="page"/>
      </w:r>
    </w:p>
    <w:p w:rsidR="00552DFA" w:rsidRPr="00BE6C60" w:rsidRDefault="00552DFA" w:rsidP="00423C3D">
      <w:pPr>
        <w:pStyle w:val="Heading20"/>
      </w:pPr>
      <w:r>
        <w:lastRenderedPageBreak/>
        <w:t>Non</w:t>
      </w:r>
      <w:r>
        <w:noBreakHyphen/>
        <w:t>financial public sector</w:t>
      </w:r>
      <w:r w:rsidR="00356A95">
        <w:fldChar w:fldCharType="begin"/>
      </w:r>
      <w:r w:rsidR="00356A95">
        <w:instrText xml:space="preserve"> XE "Non-financial public sector" </w:instrText>
      </w:r>
      <w:r w:rsidR="00356A95">
        <w:fldChar w:fldCharType="end"/>
      </w:r>
      <w:r>
        <w:t xml:space="preserve"> net debt and net financial liabilities</w:t>
      </w:r>
      <w:bookmarkEnd w:id="52"/>
    </w:p>
    <w:p w:rsidR="00552DFA" w:rsidRDefault="00552DFA" w:rsidP="00423C3D">
      <w:r>
        <w:t>Table 5.3 details the NFPS net debt and superannuation liabilities. It shows the ratio of net debt to GSP averages 9.8 per cent over the budget and forward estimates.</w:t>
      </w:r>
    </w:p>
    <w:p w:rsidR="00552DFA" w:rsidRDefault="00552DFA" w:rsidP="00423C3D">
      <w:r>
        <w:t>Superannuation liabilities are projected to fall, resulting in a decline in the net financial liabilities to GSP ratio from 19.3 per cent in 2017</w:t>
      </w:r>
      <w:r>
        <w:noBreakHyphen/>
        <w:t>18 to 17.3 per cent in 2020</w:t>
      </w:r>
      <w:r>
        <w:noBreakHyphen/>
        <w:t>21.</w:t>
      </w:r>
    </w:p>
    <w:p w:rsidR="00552DFA" w:rsidRPr="00670A0C" w:rsidRDefault="00552DFA" w:rsidP="00423C3D">
      <w:pPr>
        <w:pStyle w:val="TableHeading"/>
        <w:rPr>
          <w:bCs/>
          <w:lang w:val="en-US"/>
        </w:rPr>
      </w:pPr>
      <w:r w:rsidRPr="00A42741">
        <w:t xml:space="preserve">Table 5.3: </w:t>
      </w:r>
      <w:r>
        <w:tab/>
      </w:r>
      <w:r w:rsidRPr="00A42741">
        <w:t>Non</w:t>
      </w:r>
      <w:r>
        <w:noBreakHyphen/>
      </w:r>
      <w:r w:rsidRPr="00A42741">
        <w:t>financial public sector</w:t>
      </w:r>
      <w:r w:rsidR="00356A95">
        <w:fldChar w:fldCharType="begin"/>
      </w:r>
      <w:r w:rsidR="00356A95">
        <w:instrText xml:space="preserve"> XE "Non-financial public sector" </w:instrText>
      </w:r>
      <w:r w:rsidR="00356A95">
        <w:fldChar w:fldCharType="end"/>
      </w:r>
      <w:r w:rsidRPr="00A42741">
        <w:t xml:space="preserve"> net debt and financial liabilities</w:t>
      </w:r>
      <w:r>
        <w:t xml:space="preserve"> </w:t>
      </w:r>
      <w:r w:rsidRPr="0038692D">
        <w:rPr>
          <w:vertAlign w:val="superscript"/>
        </w:rPr>
        <w:t>(a)</w:t>
      </w:r>
      <w:r>
        <w:rPr>
          <w:vertAlign w:val="superscript"/>
        </w:rPr>
        <w:tab/>
      </w:r>
      <w:r w:rsidRPr="000F2F58">
        <w:t>($</w:t>
      </w:r>
      <w:r>
        <w:t> </w:t>
      </w:r>
      <w:r w:rsidRPr="000F2F58">
        <w:t>b</w:t>
      </w:r>
      <w:r>
        <w:t>illion</w:t>
      </w:r>
      <w:r w:rsidRPr="000F2F58">
        <w:t>)</w:t>
      </w:r>
    </w:p>
    <w:tbl>
      <w:tblPr>
        <w:tblStyle w:val="DTFTable"/>
        <w:tblW w:w="7767" w:type="dxa"/>
        <w:tblInd w:w="45" w:type="dxa"/>
        <w:tblLayout w:type="fixed"/>
        <w:tblCellMar>
          <w:left w:w="45" w:type="dxa"/>
          <w:right w:w="45" w:type="dxa"/>
        </w:tblCellMar>
        <w:tblLook w:val="06E0" w:firstRow="1" w:lastRow="1" w:firstColumn="1" w:lastColumn="0" w:noHBand="1" w:noVBand="1"/>
      </w:tblPr>
      <w:tblGrid>
        <w:gridCol w:w="3510"/>
        <w:gridCol w:w="702"/>
        <w:gridCol w:w="702"/>
        <w:gridCol w:w="702"/>
        <w:gridCol w:w="592"/>
        <w:gridCol w:w="110"/>
        <w:gridCol w:w="702"/>
        <w:gridCol w:w="747"/>
      </w:tblGrid>
      <w:tr w:rsidR="00552DFA" w:rsidRPr="00E14B35" w:rsidTr="00E14B3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shd w:val="solid" w:color="000000" w:fill="auto"/>
          </w:tcPr>
          <w:p w:rsidR="00552DFA" w:rsidRPr="00E14B35" w:rsidRDefault="00552DFA" w:rsidP="00E14B35">
            <w:pPr>
              <w:autoSpaceDE w:val="0"/>
              <w:autoSpaceDN w:val="0"/>
              <w:adjustRightInd w:val="0"/>
              <w:jc w:val="right"/>
              <w:rPr>
                <w:rFonts w:eastAsiaTheme="minorEastAsia" w:cs="Calibri"/>
                <w:iCs/>
                <w:color w:val="FFFFFF"/>
                <w:szCs w:val="19"/>
                <w:lang w:eastAsia="en-AU"/>
              </w:rPr>
            </w:pPr>
            <w:r w:rsidRPr="00E14B35">
              <w:rPr>
                <w:rFonts w:eastAsiaTheme="minorEastAsia" w:cs="Calibri"/>
                <w:iCs/>
                <w:color w:val="FFFFFF"/>
                <w:szCs w:val="19"/>
                <w:lang w:eastAsia="en-AU"/>
              </w:rPr>
              <w:t xml:space="preserve"> </w:t>
            </w:r>
          </w:p>
        </w:tc>
        <w:tc>
          <w:tcPr>
            <w:tcW w:w="702" w:type="dxa"/>
            <w:tcBorders>
              <w:top w:val="nil"/>
              <w:left w:val="nil"/>
              <w:bottom w:val="nil"/>
              <w:right w:val="nil"/>
            </w:tcBorders>
            <w:shd w:val="solid" w:color="000000" w:fill="auto"/>
          </w:tcPr>
          <w:p w:rsidR="00552DFA" w:rsidRPr="00E14B35" w:rsidRDefault="00552DFA" w:rsidP="00E14B3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E14B35">
              <w:rPr>
                <w:rFonts w:eastAsiaTheme="minorEastAsia" w:cs="Calibri"/>
                <w:iCs/>
                <w:color w:val="FFFFFF"/>
                <w:szCs w:val="19"/>
                <w:lang w:eastAsia="en-AU"/>
              </w:rPr>
              <w:t>2015</w:t>
            </w:r>
            <w:r>
              <w:rPr>
                <w:rFonts w:eastAsiaTheme="minorEastAsia" w:cs="Calibri"/>
                <w:iCs/>
                <w:color w:val="FFFFFF"/>
                <w:szCs w:val="19"/>
                <w:lang w:eastAsia="en-AU"/>
              </w:rPr>
              <w:noBreakHyphen/>
            </w:r>
            <w:r w:rsidRPr="00E14B35">
              <w:rPr>
                <w:rFonts w:eastAsiaTheme="minorEastAsia" w:cs="Calibri"/>
                <w:iCs/>
                <w:color w:val="FFFFFF"/>
                <w:szCs w:val="19"/>
                <w:lang w:eastAsia="en-AU"/>
              </w:rPr>
              <w:t>16</w:t>
            </w:r>
          </w:p>
        </w:tc>
        <w:tc>
          <w:tcPr>
            <w:tcW w:w="702" w:type="dxa"/>
            <w:tcBorders>
              <w:top w:val="nil"/>
              <w:left w:val="nil"/>
              <w:bottom w:val="nil"/>
              <w:right w:val="nil"/>
            </w:tcBorders>
            <w:shd w:val="solid" w:color="000000" w:fill="auto"/>
          </w:tcPr>
          <w:p w:rsidR="00552DFA" w:rsidRPr="00E14B35" w:rsidRDefault="00552DFA" w:rsidP="00E14B3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E14B35">
              <w:rPr>
                <w:rFonts w:eastAsiaTheme="minorEastAsia" w:cs="Calibri"/>
                <w:iCs/>
                <w:color w:val="FFFFFF"/>
                <w:szCs w:val="19"/>
                <w:lang w:eastAsia="en-AU"/>
              </w:rPr>
              <w:t>2016</w:t>
            </w:r>
            <w:r>
              <w:rPr>
                <w:rFonts w:eastAsiaTheme="minorEastAsia" w:cs="Calibri"/>
                <w:iCs/>
                <w:color w:val="FFFFFF"/>
                <w:szCs w:val="19"/>
                <w:lang w:eastAsia="en-AU"/>
              </w:rPr>
              <w:noBreakHyphen/>
            </w:r>
            <w:r w:rsidRPr="00E14B35">
              <w:rPr>
                <w:rFonts w:eastAsiaTheme="minorEastAsia" w:cs="Calibri"/>
                <w:iCs/>
                <w:color w:val="FFFFFF"/>
                <w:szCs w:val="19"/>
                <w:lang w:eastAsia="en-AU"/>
              </w:rPr>
              <w:t>17</w:t>
            </w:r>
          </w:p>
        </w:tc>
        <w:tc>
          <w:tcPr>
            <w:tcW w:w="702" w:type="dxa"/>
            <w:tcBorders>
              <w:top w:val="nil"/>
              <w:left w:val="nil"/>
              <w:bottom w:val="nil"/>
              <w:right w:val="nil"/>
            </w:tcBorders>
            <w:shd w:val="solid" w:color="000000" w:fill="auto"/>
          </w:tcPr>
          <w:p w:rsidR="00552DFA" w:rsidRPr="00E14B35" w:rsidRDefault="00552DFA" w:rsidP="00E14B3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E14B35">
              <w:rPr>
                <w:rFonts w:eastAsiaTheme="minorEastAsia" w:cs="Calibri"/>
                <w:iCs/>
                <w:color w:val="FFFFFF"/>
                <w:szCs w:val="19"/>
                <w:lang w:eastAsia="en-AU"/>
              </w:rPr>
              <w:t>2017</w:t>
            </w:r>
            <w:r>
              <w:rPr>
                <w:rFonts w:eastAsiaTheme="minorEastAsia" w:cs="Calibri"/>
                <w:iCs/>
                <w:color w:val="FFFFFF"/>
                <w:szCs w:val="19"/>
                <w:lang w:eastAsia="en-AU"/>
              </w:rPr>
              <w:noBreakHyphen/>
            </w:r>
            <w:r w:rsidRPr="00E14B35">
              <w:rPr>
                <w:rFonts w:eastAsiaTheme="minorEastAsia" w:cs="Calibri"/>
                <w:iCs/>
                <w:color w:val="FFFFFF"/>
                <w:szCs w:val="19"/>
                <w:lang w:eastAsia="en-AU"/>
              </w:rPr>
              <w:t>18</w:t>
            </w:r>
          </w:p>
        </w:tc>
        <w:tc>
          <w:tcPr>
            <w:tcW w:w="702" w:type="dxa"/>
            <w:gridSpan w:val="2"/>
            <w:tcBorders>
              <w:top w:val="nil"/>
              <w:left w:val="nil"/>
              <w:bottom w:val="nil"/>
              <w:right w:val="nil"/>
            </w:tcBorders>
            <w:shd w:val="solid" w:color="000000" w:fill="auto"/>
          </w:tcPr>
          <w:p w:rsidR="00552DFA" w:rsidRPr="00E14B35" w:rsidRDefault="00552DFA" w:rsidP="00E14B3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E14B35">
              <w:rPr>
                <w:rFonts w:eastAsiaTheme="minorEastAsia" w:cs="Calibri"/>
                <w:iCs/>
                <w:color w:val="FFFFFF"/>
                <w:szCs w:val="19"/>
                <w:lang w:eastAsia="en-AU"/>
              </w:rPr>
              <w:t>2018</w:t>
            </w:r>
            <w:r>
              <w:rPr>
                <w:rFonts w:eastAsiaTheme="minorEastAsia" w:cs="Calibri"/>
                <w:iCs/>
                <w:color w:val="FFFFFF"/>
                <w:szCs w:val="19"/>
                <w:lang w:eastAsia="en-AU"/>
              </w:rPr>
              <w:noBreakHyphen/>
            </w:r>
            <w:r w:rsidRPr="00E14B35">
              <w:rPr>
                <w:rFonts w:eastAsiaTheme="minorEastAsia" w:cs="Calibri"/>
                <w:iCs/>
                <w:color w:val="FFFFFF"/>
                <w:szCs w:val="19"/>
                <w:lang w:eastAsia="en-AU"/>
              </w:rPr>
              <w:t>19</w:t>
            </w:r>
          </w:p>
        </w:tc>
        <w:tc>
          <w:tcPr>
            <w:tcW w:w="702" w:type="dxa"/>
            <w:tcBorders>
              <w:top w:val="nil"/>
              <w:left w:val="nil"/>
              <w:bottom w:val="nil"/>
              <w:right w:val="nil"/>
            </w:tcBorders>
            <w:shd w:val="solid" w:color="000000" w:fill="auto"/>
          </w:tcPr>
          <w:p w:rsidR="00552DFA" w:rsidRPr="00E14B35" w:rsidRDefault="00552DFA" w:rsidP="00E14B3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E14B35">
              <w:rPr>
                <w:rFonts w:eastAsiaTheme="minorEastAsia" w:cs="Calibri"/>
                <w:iCs/>
                <w:color w:val="FFFFFF"/>
                <w:szCs w:val="19"/>
                <w:lang w:eastAsia="en-AU"/>
              </w:rPr>
              <w:t>2019</w:t>
            </w:r>
            <w:r>
              <w:rPr>
                <w:rFonts w:eastAsiaTheme="minorEastAsia" w:cs="Calibri"/>
                <w:iCs/>
                <w:color w:val="FFFFFF"/>
                <w:szCs w:val="19"/>
                <w:lang w:eastAsia="en-AU"/>
              </w:rPr>
              <w:noBreakHyphen/>
            </w:r>
            <w:r w:rsidRPr="00E14B35">
              <w:rPr>
                <w:rFonts w:eastAsiaTheme="minorEastAsia" w:cs="Calibri"/>
                <w:iCs/>
                <w:color w:val="FFFFFF"/>
                <w:szCs w:val="19"/>
                <w:lang w:eastAsia="en-AU"/>
              </w:rPr>
              <w:t>20</w:t>
            </w:r>
          </w:p>
        </w:tc>
        <w:tc>
          <w:tcPr>
            <w:tcW w:w="747" w:type="dxa"/>
            <w:tcBorders>
              <w:top w:val="nil"/>
              <w:left w:val="nil"/>
              <w:bottom w:val="nil"/>
              <w:right w:val="nil"/>
            </w:tcBorders>
            <w:shd w:val="solid" w:color="000000" w:fill="auto"/>
          </w:tcPr>
          <w:p w:rsidR="00552DFA" w:rsidRPr="00E14B35" w:rsidRDefault="00552DFA" w:rsidP="00E14B3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E14B35">
              <w:rPr>
                <w:rFonts w:eastAsiaTheme="minorEastAsia" w:cs="Calibri"/>
                <w:iCs/>
                <w:color w:val="FFFFFF"/>
                <w:szCs w:val="19"/>
                <w:lang w:eastAsia="en-AU"/>
              </w:rPr>
              <w:t>2020</w:t>
            </w:r>
            <w:r>
              <w:rPr>
                <w:rFonts w:eastAsiaTheme="minorEastAsia" w:cs="Calibri"/>
                <w:iCs/>
                <w:color w:val="FFFFFF"/>
                <w:szCs w:val="19"/>
                <w:lang w:eastAsia="en-AU"/>
              </w:rPr>
              <w:noBreakHyphen/>
            </w:r>
            <w:r w:rsidRPr="00E14B35">
              <w:rPr>
                <w:rFonts w:eastAsiaTheme="minorEastAsia" w:cs="Calibri"/>
                <w:iCs/>
                <w:color w:val="FFFFFF"/>
                <w:szCs w:val="19"/>
                <w:lang w:eastAsia="en-AU"/>
              </w:rPr>
              <w:t>21</w:t>
            </w:r>
          </w:p>
        </w:tc>
      </w:tr>
      <w:tr w:rsidR="00552DFA" w:rsidRPr="00E14B35" w:rsidTr="00E14B3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shd w:val="solid" w:color="000000" w:fill="auto"/>
          </w:tcPr>
          <w:p w:rsidR="00552DFA" w:rsidRPr="00E14B35" w:rsidRDefault="00552DFA" w:rsidP="00E14B35">
            <w:pPr>
              <w:keepLines w:val="0"/>
              <w:autoSpaceDE w:val="0"/>
              <w:autoSpaceDN w:val="0"/>
              <w:adjustRightInd w:val="0"/>
              <w:jc w:val="right"/>
              <w:rPr>
                <w:rFonts w:eastAsiaTheme="minorEastAsia" w:cs="Calibri"/>
                <w:iCs/>
                <w:color w:val="FFFFFF"/>
                <w:szCs w:val="19"/>
                <w:lang w:eastAsia="en-AU"/>
              </w:rPr>
            </w:pPr>
            <w:r w:rsidRPr="00E14B35">
              <w:rPr>
                <w:rFonts w:eastAsiaTheme="minorEastAsia" w:cs="Calibri"/>
                <w:iCs/>
                <w:color w:val="FFFFFF"/>
                <w:szCs w:val="19"/>
                <w:lang w:eastAsia="en-AU"/>
              </w:rPr>
              <w:t xml:space="preserve"> </w:t>
            </w:r>
          </w:p>
        </w:tc>
        <w:tc>
          <w:tcPr>
            <w:tcW w:w="702" w:type="dxa"/>
            <w:tcBorders>
              <w:top w:val="nil"/>
              <w:left w:val="nil"/>
              <w:bottom w:val="nil"/>
              <w:right w:val="nil"/>
            </w:tcBorders>
            <w:shd w:val="solid" w:color="000000" w:fill="auto"/>
          </w:tcPr>
          <w:p w:rsidR="00552DFA" w:rsidRPr="00E14B35" w:rsidRDefault="00552DFA" w:rsidP="00E14B3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E14B35">
              <w:rPr>
                <w:rFonts w:eastAsiaTheme="minorEastAsia" w:cs="Calibri"/>
                <w:iCs/>
                <w:color w:val="FFFFFF"/>
                <w:szCs w:val="19"/>
                <w:lang w:eastAsia="en-AU"/>
              </w:rPr>
              <w:t>actual</w:t>
            </w:r>
          </w:p>
        </w:tc>
        <w:tc>
          <w:tcPr>
            <w:tcW w:w="702" w:type="dxa"/>
            <w:tcBorders>
              <w:top w:val="nil"/>
              <w:left w:val="nil"/>
              <w:bottom w:val="nil"/>
              <w:right w:val="nil"/>
            </w:tcBorders>
            <w:shd w:val="solid" w:color="000000" w:fill="auto"/>
          </w:tcPr>
          <w:p w:rsidR="00552DFA" w:rsidRPr="00E14B35" w:rsidRDefault="00552DFA" w:rsidP="00E14B3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E14B35">
              <w:rPr>
                <w:rFonts w:eastAsiaTheme="minorEastAsia" w:cs="Calibri"/>
                <w:iCs/>
                <w:color w:val="FFFFFF"/>
                <w:szCs w:val="19"/>
                <w:lang w:eastAsia="en-AU"/>
              </w:rPr>
              <w:t>revised</w:t>
            </w:r>
          </w:p>
        </w:tc>
        <w:tc>
          <w:tcPr>
            <w:tcW w:w="702" w:type="dxa"/>
            <w:tcBorders>
              <w:top w:val="nil"/>
              <w:left w:val="nil"/>
              <w:bottom w:val="nil"/>
              <w:right w:val="nil"/>
            </w:tcBorders>
            <w:shd w:val="solid" w:color="000000" w:fill="auto"/>
          </w:tcPr>
          <w:p w:rsidR="00552DFA" w:rsidRPr="00E14B35" w:rsidRDefault="00552DFA" w:rsidP="00E14B3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E14B35">
              <w:rPr>
                <w:rFonts w:eastAsiaTheme="minorEastAsia" w:cs="Calibri"/>
                <w:iCs/>
                <w:color w:val="FFFFFF"/>
                <w:szCs w:val="19"/>
                <w:lang w:eastAsia="en-AU"/>
              </w:rPr>
              <w:t>estimate</w:t>
            </w:r>
          </w:p>
        </w:tc>
        <w:tc>
          <w:tcPr>
            <w:tcW w:w="702" w:type="dxa"/>
            <w:gridSpan w:val="2"/>
            <w:tcBorders>
              <w:top w:val="nil"/>
              <w:left w:val="nil"/>
              <w:bottom w:val="nil"/>
              <w:right w:val="nil"/>
            </w:tcBorders>
            <w:shd w:val="solid" w:color="000000" w:fill="auto"/>
          </w:tcPr>
          <w:p w:rsidR="00552DFA" w:rsidRPr="00E14B35" w:rsidRDefault="00552DFA" w:rsidP="00E14B3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E14B35">
              <w:rPr>
                <w:rFonts w:eastAsiaTheme="minorEastAsia" w:cs="Calibri"/>
                <w:iCs/>
                <w:color w:val="FFFFFF"/>
                <w:szCs w:val="19"/>
                <w:lang w:eastAsia="en-AU"/>
              </w:rPr>
              <w:t>estimate</w:t>
            </w:r>
          </w:p>
        </w:tc>
        <w:tc>
          <w:tcPr>
            <w:tcW w:w="702" w:type="dxa"/>
            <w:tcBorders>
              <w:top w:val="nil"/>
              <w:left w:val="nil"/>
              <w:bottom w:val="nil"/>
              <w:right w:val="nil"/>
            </w:tcBorders>
            <w:shd w:val="solid" w:color="000000" w:fill="auto"/>
          </w:tcPr>
          <w:p w:rsidR="00552DFA" w:rsidRPr="00E14B35" w:rsidRDefault="00552DFA" w:rsidP="00E14B3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E14B35">
              <w:rPr>
                <w:rFonts w:eastAsiaTheme="minorEastAsia" w:cs="Calibri"/>
                <w:iCs/>
                <w:color w:val="FFFFFF"/>
                <w:szCs w:val="19"/>
                <w:lang w:eastAsia="en-AU"/>
              </w:rPr>
              <w:t>estimate</w:t>
            </w:r>
          </w:p>
        </w:tc>
        <w:tc>
          <w:tcPr>
            <w:tcW w:w="747" w:type="dxa"/>
            <w:tcBorders>
              <w:top w:val="nil"/>
              <w:left w:val="nil"/>
              <w:bottom w:val="nil"/>
              <w:right w:val="nil"/>
            </w:tcBorders>
            <w:shd w:val="solid" w:color="000000" w:fill="auto"/>
          </w:tcPr>
          <w:p w:rsidR="00552DFA" w:rsidRPr="00E14B35" w:rsidRDefault="00552DFA" w:rsidP="00E14B3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E14B35">
              <w:rPr>
                <w:rFonts w:eastAsiaTheme="minorEastAsia" w:cs="Calibri"/>
                <w:iCs/>
                <w:color w:val="FFFFFF"/>
                <w:szCs w:val="19"/>
                <w:lang w:eastAsia="en-AU"/>
              </w:rPr>
              <w:t>estimate</w:t>
            </w:r>
          </w:p>
        </w:tc>
      </w:tr>
      <w:tr w:rsidR="00552DFA" w:rsidRPr="00E14B35" w:rsidTr="00E14B35">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tcPr>
          <w:p w:rsidR="00552DFA" w:rsidRPr="00E14B35" w:rsidRDefault="00552DFA" w:rsidP="00E14B35">
            <w:pPr>
              <w:keepLines w:val="0"/>
              <w:autoSpaceDE w:val="0"/>
              <w:autoSpaceDN w:val="0"/>
              <w:adjustRightInd w:val="0"/>
              <w:rPr>
                <w:rFonts w:eastAsiaTheme="minorEastAsia" w:cs="Calibri"/>
                <w:b/>
                <w:bCs/>
                <w:color w:val="000000"/>
                <w:szCs w:val="19"/>
                <w:lang w:eastAsia="en-AU"/>
              </w:rPr>
            </w:pPr>
            <w:r w:rsidRPr="00E14B35">
              <w:rPr>
                <w:rFonts w:eastAsiaTheme="minorEastAsia" w:cs="Calibri"/>
                <w:b/>
                <w:bCs/>
                <w:color w:val="000000"/>
                <w:szCs w:val="19"/>
                <w:lang w:eastAsia="en-AU"/>
              </w:rPr>
              <w:t>Assets</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 xml:space="preserve"> </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 xml:space="preserve"> </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 xml:space="preserve"> </w:t>
            </w:r>
          </w:p>
        </w:tc>
        <w:tc>
          <w:tcPr>
            <w:tcW w:w="702" w:type="dxa"/>
            <w:gridSpan w:val="2"/>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 xml:space="preserve"> </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 xml:space="preserve"> </w:t>
            </w:r>
          </w:p>
        </w:tc>
        <w:tc>
          <w:tcPr>
            <w:tcW w:w="747"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 xml:space="preserve"> </w:t>
            </w:r>
          </w:p>
        </w:tc>
      </w:tr>
      <w:tr w:rsidR="00552DFA" w:rsidRPr="00E14B35" w:rsidTr="00E14B35">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tcPr>
          <w:p w:rsidR="00552DFA" w:rsidRPr="00E14B35" w:rsidRDefault="00552DFA" w:rsidP="00E14B35">
            <w:pPr>
              <w:keepLines w:val="0"/>
              <w:autoSpaceDE w:val="0"/>
              <w:autoSpaceDN w:val="0"/>
              <w:adjustRightInd w:val="0"/>
              <w:rPr>
                <w:rFonts w:eastAsiaTheme="minorEastAsia" w:cs="Calibri"/>
                <w:color w:val="000000"/>
                <w:szCs w:val="19"/>
                <w:lang w:eastAsia="en-AU"/>
              </w:rPr>
            </w:pPr>
            <w:r w:rsidRPr="00E14B35">
              <w:rPr>
                <w:rFonts w:eastAsiaTheme="minorEastAsia" w:cs="Calibri"/>
                <w:color w:val="000000"/>
                <w:szCs w:val="19"/>
                <w:lang w:eastAsia="en-AU"/>
              </w:rPr>
              <w:t>Cash and deposits</w:t>
            </w:r>
          </w:p>
        </w:tc>
        <w:tc>
          <w:tcPr>
            <w:tcW w:w="702" w:type="dxa"/>
            <w:tcBorders>
              <w:top w:val="nil"/>
              <w:left w:val="nil"/>
              <w:bottom w:val="nil"/>
              <w:right w:val="nil"/>
            </w:tcBorders>
            <w:shd w:val="solid" w:color="FFFFFF" w:fill="auto"/>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5.6</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5.9</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6.0</w:t>
            </w:r>
          </w:p>
        </w:tc>
        <w:tc>
          <w:tcPr>
            <w:tcW w:w="702" w:type="dxa"/>
            <w:gridSpan w:val="2"/>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6.5</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7.0</w:t>
            </w:r>
          </w:p>
        </w:tc>
        <w:tc>
          <w:tcPr>
            <w:tcW w:w="747"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7.4</w:t>
            </w:r>
          </w:p>
        </w:tc>
      </w:tr>
      <w:tr w:rsidR="00552DFA" w:rsidRPr="00E14B35" w:rsidTr="00E14B35">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tcPr>
          <w:p w:rsidR="00552DFA" w:rsidRPr="00E14B35" w:rsidRDefault="00552DFA" w:rsidP="00E14B35">
            <w:pPr>
              <w:keepLines w:val="0"/>
              <w:autoSpaceDE w:val="0"/>
              <w:autoSpaceDN w:val="0"/>
              <w:adjustRightInd w:val="0"/>
              <w:rPr>
                <w:rFonts w:eastAsiaTheme="minorEastAsia" w:cs="Calibri"/>
                <w:color w:val="000000"/>
                <w:szCs w:val="19"/>
                <w:lang w:eastAsia="en-AU"/>
              </w:rPr>
            </w:pPr>
            <w:r w:rsidRPr="00E14B35">
              <w:rPr>
                <w:rFonts w:eastAsiaTheme="minorEastAsia" w:cs="Calibri"/>
                <w:color w:val="000000"/>
                <w:szCs w:val="19"/>
                <w:lang w:eastAsia="en-AU"/>
              </w:rPr>
              <w:t>Advances paid</w:t>
            </w:r>
          </w:p>
        </w:tc>
        <w:tc>
          <w:tcPr>
            <w:tcW w:w="702" w:type="dxa"/>
            <w:tcBorders>
              <w:top w:val="nil"/>
              <w:left w:val="nil"/>
              <w:bottom w:val="nil"/>
              <w:right w:val="nil"/>
            </w:tcBorders>
            <w:shd w:val="solid" w:color="FFFFFF" w:fill="auto"/>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0.2</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0.2</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0.1</w:t>
            </w:r>
          </w:p>
        </w:tc>
        <w:tc>
          <w:tcPr>
            <w:tcW w:w="702" w:type="dxa"/>
            <w:gridSpan w:val="2"/>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0.1</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0.1</w:t>
            </w:r>
          </w:p>
        </w:tc>
        <w:tc>
          <w:tcPr>
            <w:tcW w:w="747"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0.1</w:t>
            </w:r>
          </w:p>
        </w:tc>
      </w:tr>
      <w:tr w:rsidR="00552DFA" w:rsidRPr="00E14B35" w:rsidTr="00E14B35">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single" w:sz="6" w:space="0" w:color="auto"/>
              <w:right w:val="nil"/>
            </w:tcBorders>
          </w:tcPr>
          <w:p w:rsidR="00552DFA" w:rsidRPr="00E14B35" w:rsidRDefault="00552DFA" w:rsidP="00E14B35">
            <w:pPr>
              <w:keepLines w:val="0"/>
              <w:autoSpaceDE w:val="0"/>
              <w:autoSpaceDN w:val="0"/>
              <w:adjustRightInd w:val="0"/>
              <w:rPr>
                <w:rFonts w:eastAsiaTheme="minorEastAsia" w:cs="Calibri"/>
                <w:color w:val="000000"/>
                <w:szCs w:val="19"/>
                <w:lang w:eastAsia="en-AU"/>
              </w:rPr>
            </w:pPr>
            <w:r w:rsidRPr="00E14B35">
              <w:rPr>
                <w:rFonts w:eastAsiaTheme="minorEastAsia" w:cs="Calibri"/>
                <w:color w:val="000000"/>
                <w:szCs w:val="19"/>
                <w:lang w:eastAsia="en-AU"/>
              </w:rPr>
              <w:t>Investments, loans and placements</w:t>
            </w:r>
          </w:p>
        </w:tc>
        <w:tc>
          <w:tcPr>
            <w:tcW w:w="702" w:type="dxa"/>
            <w:tcBorders>
              <w:top w:val="nil"/>
              <w:left w:val="nil"/>
              <w:bottom w:val="single" w:sz="6" w:space="0" w:color="auto"/>
              <w:right w:val="nil"/>
            </w:tcBorders>
            <w:shd w:val="solid" w:color="FFFFFF" w:fill="auto"/>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3.9</w:t>
            </w:r>
          </w:p>
        </w:tc>
        <w:tc>
          <w:tcPr>
            <w:tcW w:w="702"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4.6</w:t>
            </w:r>
          </w:p>
        </w:tc>
        <w:tc>
          <w:tcPr>
            <w:tcW w:w="702"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3.6</w:t>
            </w:r>
          </w:p>
        </w:tc>
        <w:tc>
          <w:tcPr>
            <w:tcW w:w="702" w:type="dxa"/>
            <w:gridSpan w:val="2"/>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3.5</w:t>
            </w:r>
          </w:p>
        </w:tc>
        <w:tc>
          <w:tcPr>
            <w:tcW w:w="702"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3.5</w:t>
            </w:r>
          </w:p>
        </w:tc>
        <w:tc>
          <w:tcPr>
            <w:tcW w:w="747"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3.6</w:t>
            </w:r>
          </w:p>
        </w:tc>
      </w:tr>
      <w:tr w:rsidR="00552DFA" w:rsidRPr="00E14B35" w:rsidTr="00E14B35">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tcPr>
          <w:p w:rsidR="00552DFA" w:rsidRPr="00E14B35" w:rsidRDefault="00552DFA" w:rsidP="00E14B35">
            <w:pPr>
              <w:keepLines w:val="0"/>
              <w:autoSpaceDE w:val="0"/>
              <w:autoSpaceDN w:val="0"/>
              <w:adjustRightInd w:val="0"/>
              <w:rPr>
                <w:rFonts w:eastAsiaTheme="minorEastAsia" w:cs="Calibri"/>
                <w:b/>
                <w:bCs/>
                <w:color w:val="000000"/>
                <w:szCs w:val="19"/>
                <w:lang w:eastAsia="en-AU"/>
              </w:rPr>
            </w:pPr>
            <w:r w:rsidRPr="00E14B35">
              <w:rPr>
                <w:rFonts w:eastAsiaTheme="minorEastAsia" w:cs="Calibri"/>
                <w:b/>
                <w:bCs/>
                <w:color w:val="000000"/>
                <w:szCs w:val="19"/>
                <w:lang w:eastAsia="en-AU"/>
              </w:rPr>
              <w:t>Total</w:t>
            </w:r>
          </w:p>
        </w:tc>
        <w:tc>
          <w:tcPr>
            <w:tcW w:w="702" w:type="dxa"/>
            <w:tcBorders>
              <w:top w:val="nil"/>
              <w:left w:val="nil"/>
              <w:bottom w:val="nil"/>
              <w:right w:val="nil"/>
            </w:tcBorders>
            <w:shd w:val="solid" w:color="FFFFFF" w:fill="auto"/>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9.6</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10.6</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9.8</w:t>
            </w:r>
          </w:p>
        </w:tc>
        <w:tc>
          <w:tcPr>
            <w:tcW w:w="702" w:type="dxa"/>
            <w:gridSpan w:val="2"/>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10.2</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10.7</w:t>
            </w:r>
          </w:p>
        </w:tc>
        <w:tc>
          <w:tcPr>
            <w:tcW w:w="747"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11.2</w:t>
            </w:r>
          </w:p>
        </w:tc>
      </w:tr>
      <w:tr w:rsidR="00552DFA" w:rsidRPr="00E14B35" w:rsidTr="00E14B35">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tcPr>
          <w:p w:rsidR="00552DFA" w:rsidRPr="00E14B35" w:rsidRDefault="00552DFA" w:rsidP="00E14B35">
            <w:pPr>
              <w:keepLines w:val="0"/>
              <w:autoSpaceDE w:val="0"/>
              <w:autoSpaceDN w:val="0"/>
              <w:adjustRightInd w:val="0"/>
              <w:rPr>
                <w:rFonts w:eastAsiaTheme="minorEastAsia" w:cs="Calibri"/>
                <w:b/>
                <w:bCs/>
                <w:color w:val="000000"/>
                <w:szCs w:val="19"/>
                <w:lang w:eastAsia="en-AU"/>
              </w:rPr>
            </w:pPr>
            <w:r w:rsidRPr="00E14B35">
              <w:rPr>
                <w:rFonts w:eastAsiaTheme="minorEastAsia" w:cs="Calibri"/>
                <w:b/>
                <w:bCs/>
                <w:color w:val="000000"/>
                <w:szCs w:val="19"/>
                <w:lang w:eastAsia="en-AU"/>
              </w:rPr>
              <w:t>Liabilities</w:t>
            </w:r>
          </w:p>
        </w:tc>
        <w:tc>
          <w:tcPr>
            <w:tcW w:w="702" w:type="dxa"/>
            <w:tcBorders>
              <w:top w:val="nil"/>
              <w:left w:val="nil"/>
              <w:bottom w:val="nil"/>
              <w:right w:val="nil"/>
            </w:tcBorders>
            <w:shd w:val="solid" w:color="FFFFFF" w:fill="auto"/>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 xml:space="preserve"> </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 xml:space="preserve"> </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 xml:space="preserve"> </w:t>
            </w:r>
          </w:p>
        </w:tc>
        <w:tc>
          <w:tcPr>
            <w:tcW w:w="702" w:type="dxa"/>
            <w:gridSpan w:val="2"/>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 xml:space="preserve"> </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 xml:space="preserve"> </w:t>
            </w:r>
          </w:p>
        </w:tc>
        <w:tc>
          <w:tcPr>
            <w:tcW w:w="747"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 xml:space="preserve"> </w:t>
            </w:r>
          </w:p>
        </w:tc>
      </w:tr>
      <w:tr w:rsidR="00552DFA" w:rsidRPr="00E14B35" w:rsidTr="00E14B35">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tcPr>
          <w:p w:rsidR="00552DFA" w:rsidRPr="00E14B35" w:rsidRDefault="00552DFA" w:rsidP="00E14B35">
            <w:pPr>
              <w:keepLines w:val="0"/>
              <w:autoSpaceDE w:val="0"/>
              <w:autoSpaceDN w:val="0"/>
              <w:adjustRightInd w:val="0"/>
              <w:rPr>
                <w:rFonts w:eastAsiaTheme="minorEastAsia" w:cs="Calibri"/>
                <w:color w:val="000000"/>
                <w:szCs w:val="19"/>
                <w:lang w:eastAsia="en-AU"/>
              </w:rPr>
            </w:pPr>
            <w:r w:rsidRPr="00E14B35">
              <w:rPr>
                <w:rFonts w:eastAsiaTheme="minorEastAsia" w:cs="Calibri"/>
                <w:color w:val="000000"/>
                <w:szCs w:val="19"/>
                <w:lang w:eastAsia="en-AU"/>
              </w:rPr>
              <w:t>Deposits held and advances received</w:t>
            </w:r>
          </w:p>
        </w:tc>
        <w:tc>
          <w:tcPr>
            <w:tcW w:w="702" w:type="dxa"/>
            <w:tcBorders>
              <w:top w:val="nil"/>
              <w:left w:val="nil"/>
              <w:bottom w:val="nil"/>
              <w:right w:val="nil"/>
            </w:tcBorders>
            <w:shd w:val="solid" w:color="FFFFFF" w:fill="auto"/>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0.8</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0.8</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0.8</w:t>
            </w:r>
          </w:p>
        </w:tc>
        <w:tc>
          <w:tcPr>
            <w:tcW w:w="702" w:type="dxa"/>
            <w:gridSpan w:val="2"/>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0.8</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0.8</w:t>
            </w:r>
          </w:p>
        </w:tc>
        <w:tc>
          <w:tcPr>
            <w:tcW w:w="747"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0.8</w:t>
            </w:r>
          </w:p>
        </w:tc>
      </w:tr>
      <w:tr w:rsidR="00552DFA" w:rsidRPr="00E14B35" w:rsidTr="00E14B35">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single" w:sz="6" w:space="0" w:color="auto"/>
              <w:right w:val="nil"/>
            </w:tcBorders>
          </w:tcPr>
          <w:p w:rsidR="00552DFA" w:rsidRPr="00E14B35" w:rsidRDefault="00552DFA" w:rsidP="00E14B35">
            <w:pPr>
              <w:keepLines w:val="0"/>
              <w:autoSpaceDE w:val="0"/>
              <w:autoSpaceDN w:val="0"/>
              <w:adjustRightInd w:val="0"/>
              <w:rPr>
                <w:rFonts w:eastAsiaTheme="minorEastAsia" w:cs="Calibri"/>
                <w:color w:val="000000"/>
                <w:szCs w:val="19"/>
                <w:lang w:eastAsia="en-AU"/>
              </w:rPr>
            </w:pPr>
            <w:r w:rsidRPr="00E14B35">
              <w:rPr>
                <w:rFonts w:eastAsiaTheme="minorEastAsia" w:cs="Calibri"/>
                <w:color w:val="000000"/>
                <w:szCs w:val="19"/>
                <w:lang w:eastAsia="en-AU"/>
              </w:rPr>
              <w:t>Borrowings</w:t>
            </w:r>
          </w:p>
        </w:tc>
        <w:tc>
          <w:tcPr>
            <w:tcW w:w="702" w:type="dxa"/>
            <w:tcBorders>
              <w:top w:val="nil"/>
              <w:left w:val="nil"/>
              <w:bottom w:val="single" w:sz="6" w:space="0" w:color="auto"/>
              <w:right w:val="nil"/>
            </w:tcBorders>
            <w:shd w:val="solid" w:color="FFFFFF" w:fill="auto"/>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45.4</w:t>
            </w:r>
          </w:p>
        </w:tc>
        <w:tc>
          <w:tcPr>
            <w:tcW w:w="702"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42.7</w:t>
            </w:r>
          </w:p>
        </w:tc>
        <w:tc>
          <w:tcPr>
            <w:tcW w:w="702"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49.1</w:t>
            </w:r>
          </w:p>
        </w:tc>
        <w:tc>
          <w:tcPr>
            <w:tcW w:w="702" w:type="dxa"/>
            <w:gridSpan w:val="2"/>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51.3</w:t>
            </w:r>
          </w:p>
        </w:tc>
        <w:tc>
          <w:tcPr>
            <w:tcW w:w="702"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54.7</w:t>
            </w:r>
          </w:p>
        </w:tc>
        <w:tc>
          <w:tcPr>
            <w:tcW w:w="747"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57.0</w:t>
            </w:r>
          </w:p>
        </w:tc>
      </w:tr>
      <w:tr w:rsidR="00552DFA" w:rsidRPr="00E14B35" w:rsidTr="00E14B35">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tcPr>
          <w:p w:rsidR="00552DFA" w:rsidRPr="00E14B35" w:rsidRDefault="00552DFA" w:rsidP="00E14B35">
            <w:pPr>
              <w:keepLines w:val="0"/>
              <w:autoSpaceDE w:val="0"/>
              <w:autoSpaceDN w:val="0"/>
              <w:adjustRightInd w:val="0"/>
              <w:rPr>
                <w:rFonts w:eastAsiaTheme="minorEastAsia" w:cs="Calibri"/>
                <w:b/>
                <w:bCs/>
                <w:color w:val="000000"/>
                <w:szCs w:val="19"/>
                <w:lang w:eastAsia="en-AU"/>
              </w:rPr>
            </w:pPr>
            <w:r w:rsidRPr="00E14B35">
              <w:rPr>
                <w:rFonts w:eastAsiaTheme="minorEastAsia" w:cs="Calibri"/>
                <w:b/>
                <w:bCs/>
                <w:color w:val="000000"/>
                <w:szCs w:val="19"/>
                <w:lang w:eastAsia="en-AU"/>
              </w:rPr>
              <w:t>Total</w:t>
            </w:r>
          </w:p>
        </w:tc>
        <w:tc>
          <w:tcPr>
            <w:tcW w:w="702" w:type="dxa"/>
            <w:tcBorders>
              <w:top w:val="nil"/>
              <w:left w:val="nil"/>
              <w:bottom w:val="nil"/>
              <w:right w:val="nil"/>
            </w:tcBorders>
            <w:shd w:val="solid" w:color="FFFFFF" w:fill="auto"/>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46.2</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43.5</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49.9</w:t>
            </w:r>
          </w:p>
        </w:tc>
        <w:tc>
          <w:tcPr>
            <w:tcW w:w="702" w:type="dxa"/>
            <w:gridSpan w:val="2"/>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52.1</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55.5</w:t>
            </w:r>
          </w:p>
        </w:tc>
        <w:tc>
          <w:tcPr>
            <w:tcW w:w="747"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57.9</w:t>
            </w:r>
          </w:p>
        </w:tc>
      </w:tr>
      <w:tr w:rsidR="00552DFA" w:rsidRPr="00E14B35" w:rsidTr="00E14B35">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tcPr>
          <w:p w:rsidR="00552DFA" w:rsidRPr="00E14B35" w:rsidRDefault="00552DFA" w:rsidP="00E14B35">
            <w:pPr>
              <w:keepLines w:val="0"/>
              <w:autoSpaceDE w:val="0"/>
              <w:autoSpaceDN w:val="0"/>
              <w:adjustRightInd w:val="0"/>
              <w:rPr>
                <w:rFonts w:eastAsiaTheme="minorEastAsia" w:cs="Calibri"/>
                <w:b/>
                <w:bCs/>
                <w:color w:val="000000"/>
                <w:szCs w:val="19"/>
                <w:vertAlign w:val="superscript"/>
                <w:lang w:eastAsia="en-AU"/>
              </w:rPr>
            </w:pPr>
            <w:r w:rsidRPr="00E14B35">
              <w:rPr>
                <w:rFonts w:eastAsiaTheme="minorEastAsia" w:cs="Calibri"/>
                <w:b/>
                <w:bCs/>
                <w:color w:val="000000"/>
                <w:szCs w:val="19"/>
                <w:lang w:eastAsia="en-AU"/>
              </w:rPr>
              <w:t>Net debt</w:t>
            </w:r>
            <w:r w:rsidR="00356A95">
              <w:rPr>
                <w:rFonts w:eastAsiaTheme="minorEastAsia" w:cs="Calibri"/>
                <w:b/>
                <w:bCs/>
                <w:color w:val="000000"/>
                <w:szCs w:val="19"/>
                <w:lang w:eastAsia="en-AU"/>
              </w:rPr>
              <w:fldChar w:fldCharType="begin"/>
            </w:r>
            <w:r w:rsidR="00356A95">
              <w:rPr>
                <w:rFonts w:eastAsiaTheme="minorEastAsia" w:cs="Calibri"/>
                <w:b/>
                <w:bCs/>
                <w:color w:val="000000"/>
                <w:szCs w:val="19"/>
                <w:lang w:eastAsia="en-AU"/>
              </w:rPr>
              <w:instrText xml:space="preserve"> XE "</w:instrText>
            </w:r>
            <w:r w:rsidR="00356A95">
              <w:instrText>Debt:Net debt"</w:instrText>
            </w:r>
            <w:r w:rsidR="00356A95">
              <w:rPr>
                <w:rFonts w:eastAsiaTheme="minorEastAsia" w:cs="Calibri"/>
                <w:b/>
                <w:bCs/>
                <w:color w:val="000000"/>
                <w:szCs w:val="19"/>
                <w:lang w:eastAsia="en-AU"/>
              </w:rPr>
              <w:instrText xml:space="preserve"> </w:instrText>
            </w:r>
            <w:r w:rsidR="00356A95">
              <w:rPr>
                <w:rFonts w:eastAsiaTheme="minorEastAsia" w:cs="Calibri"/>
                <w:b/>
                <w:bCs/>
                <w:color w:val="000000"/>
                <w:szCs w:val="19"/>
                <w:lang w:eastAsia="en-AU"/>
              </w:rPr>
              <w:fldChar w:fldCharType="end"/>
            </w:r>
            <w:r w:rsidRPr="00E14B35">
              <w:rPr>
                <w:rFonts w:eastAsiaTheme="minorEastAsia" w:cs="Calibri"/>
                <w:b/>
                <w:bCs/>
                <w:color w:val="000000"/>
                <w:szCs w:val="19"/>
                <w:lang w:eastAsia="en-AU"/>
              </w:rPr>
              <w:t xml:space="preserve"> </w:t>
            </w:r>
            <w:r w:rsidRPr="00E14B35">
              <w:rPr>
                <w:rFonts w:eastAsiaTheme="minorEastAsia" w:cs="Calibri"/>
                <w:b/>
                <w:bCs/>
                <w:color w:val="000000"/>
                <w:szCs w:val="19"/>
                <w:vertAlign w:val="superscript"/>
                <w:lang w:eastAsia="en-AU"/>
              </w:rPr>
              <w:t>(b)</w:t>
            </w:r>
          </w:p>
        </w:tc>
        <w:tc>
          <w:tcPr>
            <w:tcW w:w="702" w:type="dxa"/>
            <w:tcBorders>
              <w:top w:val="nil"/>
              <w:left w:val="nil"/>
              <w:bottom w:val="nil"/>
              <w:right w:val="nil"/>
            </w:tcBorders>
            <w:shd w:val="solid" w:color="FFFFFF" w:fill="auto"/>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36.6</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32.9</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40.1</w:t>
            </w:r>
          </w:p>
        </w:tc>
        <w:tc>
          <w:tcPr>
            <w:tcW w:w="702" w:type="dxa"/>
            <w:gridSpan w:val="2"/>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41.9</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44.8</w:t>
            </w:r>
          </w:p>
        </w:tc>
        <w:tc>
          <w:tcPr>
            <w:tcW w:w="747"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46.7</w:t>
            </w:r>
          </w:p>
        </w:tc>
      </w:tr>
      <w:tr w:rsidR="00552DFA" w:rsidRPr="00E14B35" w:rsidTr="00E14B35">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single" w:sz="6" w:space="0" w:color="auto"/>
              <w:right w:val="nil"/>
            </w:tcBorders>
          </w:tcPr>
          <w:p w:rsidR="00552DFA" w:rsidRPr="00E14B35" w:rsidRDefault="00552DFA" w:rsidP="00E14B35">
            <w:pPr>
              <w:keepLines w:val="0"/>
              <w:autoSpaceDE w:val="0"/>
              <w:autoSpaceDN w:val="0"/>
              <w:adjustRightInd w:val="0"/>
              <w:rPr>
                <w:rFonts w:eastAsiaTheme="minorEastAsia" w:cs="Calibri"/>
                <w:color w:val="000000"/>
                <w:szCs w:val="19"/>
                <w:lang w:eastAsia="en-AU"/>
              </w:rPr>
            </w:pPr>
            <w:r w:rsidRPr="00E14B35">
              <w:rPr>
                <w:rFonts w:eastAsiaTheme="minorEastAsia" w:cs="Calibri"/>
                <w:color w:val="000000"/>
                <w:szCs w:val="19"/>
                <w:lang w:eastAsia="en-AU"/>
              </w:rPr>
              <w:t>Superannuation liability</w:t>
            </w:r>
            <w:r w:rsidR="00356A95">
              <w:rPr>
                <w:rFonts w:eastAsiaTheme="minorEastAsia" w:cs="Calibri"/>
                <w:color w:val="000000"/>
                <w:szCs w:val="19"/>
                <w:lang w:eastAsia="en-AU"/>
              </w:rPr>
              <w:fldChar w:fldCharType="begin"/>
            </w:r>
            <w:r w:rsidR="00356A95">
              <w:rPr>
                <w:rFonts w:eastAsiaTheme="minorEastAsia" w:cs="Calibri"/>
                <w:color w:val="000000"/>
                <w:szCs w:val="19"/>
                <w:lang w:eastAsia="en-AU"/>
              </w:rPr>
              <w:instrText xml:space="preserve"> XE "</w:instrText>
            </w:r>
            <w:r w:rsidR="00356A95">
              <w:instrText>Superannuation:Liability"</w:instrText>
            </w:r>
            <w:r w:rsidR="00356A95">
              <w:rPr>
                <w:rFonts w:eastAsiaTheme="minorEastAsia" w:cs="Calibri"/>
                <w:color w:val="000000"/>
                <w:szCs w:val="19"/>
                <w:lang w:eastAsia="en-AU"/>
              </w:rPr>
              <w:instrText xml:space="preserve"> </w:instrText>
            </w:r>
            <w:r w:rsidR="00356A95">
              <w:rPr>
                <w:rFonts w:eastAsiaTheme="minorEastAsia" w:cs="Calibri"/>
                <w:color w:val="000000"/>
                <w:szCs w:val="19"/>
                <w:lang w:eastAsia="en-AU"/>
              </w:rPr>
              <w:fldChar w:fldCharType="end"/>
            </w:r>
          </w:p>
        </w:tc>
        <w:tc>
          <w:tcPr>
            <w:tcW w:w="702" w:type="dxa"/>
            <w:tcBorders>
              <w:top w:val="nil"/>
              <w:left w:val="nil"/>
              <w:bottom w:val="single" w:sz="6" w:space="0" w:color="auto"/>
              <w:right w:val="nil"/>
            </w:tcBorders>
            <w:shd w:val="solid" w:color="FFFFFF" w:fill="auto"/>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29.4</w:t>
            </w:r>
          </w:p>
        </w:tc>
        <w:tc>
          <w:tcPr>
            <w:tcW w:w="702"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25.5</w:t>
            </w:r>
          </w:p>
        </w:tc>
        <w:tc>
          <w:tcPr>
            <w:tcW w:w="702"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24.6</w:t>
            </w:r>
          </w:p>
        </w:tc>
        <w:tc>
          <w:tcPr>
            <w:tcW w:w="702" w:type="dxa"/>
            <w:gridSpan w:val="2"/>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23.6</w:t>
            </w:r>
          </w:p>
        </w:tc>
        <w:tc>
          <w:tcPr>
            <w:tcW w:w="702"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22.5</w:t>
            </w:r>
          </w:p>
        </w:tc>
        <w:tc>
          <w:tcPr>
            <w:tcW w:w="747"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21.4</w:t>
            </w:r>
          </w:p>
        </w:tc>
      </w:tr>
      <w:tr w:rsidR="00552DFA" w:rsidRPr="00E14B35" w:rsidTr="00E14B35">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tcPr>
          <w:p w:rsidR="00552DFA" w:rsidRPr="00E14B35" w:rsidRDefault="00552DFA" w:rsidP="00E14B35">
            <w:pPr>
              <w:keepLines w:val="0"/>
              <w:autoSpaceDE w:val="0"/>
              <w:autoSpaceDN w:val="0"/>
              <w:adjustRightInd w:val="0"/>
              <w:rPr>
                <w:rFonts w:eastAsiaTheme="minorEastAsia" w:cs="Calibri"/>
                <w:b/>
                <w:bCs/>
                <w:color w:val="000000"/>
                <w:szCs w:val="19"/>
                <w:lang w:eastAsia="en-AU"/>
              </w:rPr>
            </w:pPr>
            <w:r w:rsidRPr="00E14B35">
              <w:rPr>
                <w:rFonts w:eastAsiaTheme="minorEastAsia" w:cs="Calibri"/>
                <w:b/>
                <w:bCs/>
                <w:color w:val="000000"/>
                <w:szCs w:val="19"/>
                <w:lang w:eastAsia="en-AU"/>
              </w:rPr>
              <w:t>Net debt</w:t>
            </w:r>
            <w:r w:rsidR="00356A95">
              <w:rPr>
                <w:rFonts w:eastAsiaTheme="minorEastAsia" w:cs="Calibri"/>
                <w:b/>
                <w:bCs/>
                <w:color w:val="000000"/>
                <w:szCs w:val="19"/>
                <w:lang w:eastAsia="en-AU"/>
              </w:rPr>
              <w:fldChar w:fldCharType="begin"/>
            </w:r>
            <w:r w:rsidR="00356A95">
              <w:rPr>
                <w:rFonts w:eastAsiaTheme="minorEastAsia" w:cs="Calibri"/>
                <w:b/>
                <w:bCs/>
                <w:color w:val="000000"/>
                <w:szCs w:val="19"/>
                <w:lang w:eastAsia="en-AU"/>
              </w:rPr>
              <w:instrText xml:space="preserve"> XE "</w:instrText>
            </w:r>
            <w:r w:rsidR="00356A95">
              <w:instrText>Debt:Net debt"</w:instrText>
            </w:r>
            <w:r w:rsidR="00356A95">
              <w:rPr>
                <w:rFonts w:eastAsiaTheme="minorEastAsia" w:cs="Calibri"/>
                <w:b/>
                <w:bCs/>
                <w:color w:val="000000"/>
                <w:szCs w:val="19"/>
                <w:lang w:eastAsia="en-AU"/>
              </w:rPr>
              <w:instrText xml:space="preserve"> </w:instrText>
            </w:r>
            <w:r w:rsidR="00356A95">
              <w:rPr>
                <w:rFonts w:eastAsiaTheme="minorEastAsia" w:cs="Calibri"/>
                <w:b/>
                <w:bCs/>
                <w:color w:val="000000"/>
                <w:szCs w:val="19"/>
                <w:lang w:eastAsia="en-AU"/>
              </w:rPr>
              <w:fldChar w:fldCharType="end"/>
            </w:r>
            <w:r w:rsidRPr="00E14B35">
              <w:rPr>
                <w:rFonts w:eastAsiaTheme="minorEastAsia" w:cs="Calibri"/>
                <w:b/>
                <w:bCs/>
                <w:color w:val="000000"/>
                <w:szCs w:val="19"/>
                <w:lang w:eastAsia="en-AU"/>
              </w:rPr>
              <w:t xml:space="preserve"> plus superannuation liabilities</w:t>
            </w:r>
          </w:p>
        </w:tc>
        <w:tc>
          <w:tcPr>
            <w:tcW w:w="702" w:type="dxa"/>
            <w:tcBorders>
              <w:top w:val="nil"/>
              <w:left w:val="nil"/>
              <w:bottom w:val="nil"/>
              <w:right w:val="nil"/>
            </w:tcBorders>
            <w:shd w:val="solid" w:color="FFFFFF" w:fill="auto"/>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65.9</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58.4</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64.7</w:t>
            </w:r>
          </w:p>
        </w:tc>
        <w:tc>
          <w:tcPr>
            <w:tcW w:w="702" w:type="dxa"/>
            <w:gridSpan w:val="2"/>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65.5</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67.3</w:t>
            </w:r>
          </w:p>
        </w:tc>
        <w:tc>
          <w:tcPr>
            <w:tcW w:w="747"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68.1</w:t>
            </w:r>
          </w:p>
        </w:tc>
      </w:tr>
      <w:tr w:rsidR="00552DFA" w:rsidRPr="00E14B35" w:rsidTr="00E14B35">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single" w:sz="6" w:space="0" w:color="auto"/>
              <w:right w:val="nil"/>
            </w:tcBorders>
          </w:tcPr>
          <w:p w:rsidR="00552DFA" w:rsidRPr="00E14B35" w:rsidRDefault="00552DFA" w:rsidP="00E14B35">
            <w:pPr>
              <w:keepLines w:val="0"/>
              <w:autoSpaceDE w:val="0"/>
              <w:autoSpaceDN w:val="0"/>
              <w:adjustRightInd w:val="0"/>
              <w:rPr>
                <w:rFonts w:eastAsiaTheme="minorEastAsia" w:cs="Calibri"/>
                <w:color w:val="000000"/>
                <w:szCs w:val="19"/>
                <w:vertAlign w:val="superscript"/>
                <w:lang w:eastAsia="en-AU"/>
              </w:rPr>
            </w:pPr>
            <w:r w:rsidRPr="00E14B35">
              <w:rPr>
                <w:rFonts w:eastAsiaTheme="minorEastAsia" w:cs="Calibri"/>
                <w:color w:val="000000"/>
                <w:szCs w:val="19"/>
                <w:lang w:eastAsia="en-AU"/>
              </w:rPr>
              <w:t xml:space="preserve">Other liabilities (net) </w:t>
            </w:r>
            <w:r w:rsidRPr="00E14B35">
              <w:rPr>
                <w:rFonts w:eastAsiaTheme="minorEastAsia" w:cs="Calibri"/>
                <w:color w:val="000000"/>
                <w:szCs w:val="19"/>
                <w:vertAlign w:val="superscript"/>
                <w:lang w:eastAsia="en-AU"/>
              </w:rPr>
              <w:t>(c)</w:t>
            </w:r>
          </w:p>
        </w:tc>
        <w:tc>
          <w:tcPr>
            <w:tcW w:w="702" w:type="dxa"/>
            <w:tcBorders>
              <w:top w:val="nil"/>
              <w:left w:val="nil"/>
              <w:bottom w:val="single" w:sz="6" w:space="0" w:color="auto"/>
              <w:right w:val="nil"/>
            </w:tcBorders>
            <w:shd w:val="solid" w:color="FFFFFF" w:fill="auto"/>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6.1</w:t>
            </w:r>
          </w:p>
        </w:tc>
        <w:tc>
          <w:tcPr>
            <w:tcW w:w="702"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14.5</w:t>
            </w:r>
          </w:p>
        </w:tc>
        <w:tc>
          <w:tcPr>
            <w:tcW w:w="702"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14.5</w:t>
            </w:r>
          </w:p>
        </w:tc>
        <w:tc>
          <w:tcPr>
            <w:tcW w:w="702" w:type="dxa"/>
            <w:gridSpan w:val="2"/>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15.9</w:t>
            </w:r>
          </w:p>
        </w:tc>
        <w:tc>
          <w:tcPr>
            <w:tcW w:w="702"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15.4</w:t>
            </w:r>
          </w:p>
        </w:tc>
        <w:tc>
          <w:tcPr>
            <w:tcW w:w="747"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14B35">
              <w:rPr>
                <w:rFonts w:eastAsiaTheme="minorEastAsia" w:cs="Calibri"/>
                <w:color w:val="000000"/>
                <w:szCs w:val="20"/>
                <w:lang w:eastAsia="en-AU"/>
              </w:rPr>
              <w:t>14.9</w:t>
            </w:r>
          </w:p>
        </w:tc>
      </w:tr>
      <w:tr w:rsidR="00552DFA" w:rsidRPr="00E14B35" w:rsidTr="00E14B35">
        <w:tc>
          <w:tcPr>
            <w:cnfStyle w:val="001000000000" w:firstRow="0" w:lastRow="0" w:firstColumn="1" w:lastColumn="0" w:oddVBand="0" w:evenVBand="0" w:oddHBand="0" w:evenHBand="0" w:firstRowFirstColumn="0" w:firstRowLastColumn="0" w:lastRowFirstColumn="0" w:lastRowLastColumn="0"/>
            <w:tcW w:w="3510" w:type="dxa"/>
            <w:tcBorders>
              <w:top w:val="single" w:sz="6" w:space="0" w:color="auto"/>
              <w:left w:val="nil"/>
              <w:bottom w:val="single" w:sz="6" w:space="0" w:color="auto"/>
              <w:right w:val="nil"/>
            </w:tcBorders>
          </w:tcPr>
          <w:p w:rsidR="00552DFA" w:rsidRPr="00E14B35" w:rsidRDefault="00552DFA" w:rsidP="00E14B35">
            <w:pPr>
              <w:keepLines w:val="0"/>
              <w:autoSpaceDE w:val="0"/>
              <w:autoSpaceDN w:val="0"/>
              <w:adjustRightInd w:val="0"/>
              <w:rPr>
                <w:rFonts w:eastAsiaTheme="minorEastAsia" w:cs="Calibri"/>
                <w:b/>
                <w:bCs/>
                <w:color w:val="000000"/>
                <w:szCs w:val="19"/>
                <w:vertAlign w:val="superscript"/>
                <w:lang w:eastAsia="en-AU"/>
              </w:rPr>
            </w:pPr>
            <w:r w:rsidRPr="00E14B35">
              <w:rPr>
                <w:rFonts w:eastAsiaTheme="minorEastAsia" w:cs="Calibri"/>
                <w:b/>
                <w:bCs/>
                <w:color w:val="000000"/>
                <w:szCs w:val="19"/>
                <w:lang w:eastAsia="en-AU"/>
              </w:rPr>
              <w:t>Net financial liabilities</w:t>
            </w:r>
            <w:r w:rsidR="00356A95">
              <w:rPr>
                <w:rFonts w:eastAsiaTheme="minorEastAsia" w:cs="Calibri"/>
                <w:b/>
                <w:bCs/>
                <w:color w:val="000000"/>
                <w:szCs w:val="19"/>
                <w:lang w:eastAsia="en-AU"/>
              </w:rPr>
              <w:fldChar w:fldCharType="begin"/>
            </w:r>
            <w:r w:rsidR="00356A95">
              <w:rPr>
                <w:rFonts w:eastAsiaTheme="minorEastAsia" w:cs="Calibri"/>
                <w:b/>
                <w:bCs/>
                <w:color w:val="000000"/>
                <w:szCs w:val="19"/>
                <w:lang w:eastAsia="en-AU"/>
              </w:rPr>
              <w:instrText xml:space="preserve"> XE "</w:instrText>
            </w:r>
            <w:r w:rsidR="00356A95">
              <w:instrText>Net financial liabilities"</w:instrText>
            </w:r>
            <w:r w:rsidR="00356A95">
              <w:rPr>
                <w:rFonts w:eastAsiaTheme="minorEastAsia" w:cs="Calibri"/>
                <w:b/>
                <w:bCs/>
                <w:color w:val="000000"/>
                <w:szCs w:val="19"/>
                <w:lang w:eastAsia="en-AU"/>
              </w:rPr>
              <w:instrText xml:space="preserve"> </w:instrText>
            </w:r>
            <w:r w:rsidR="00356A95">
              <w:rPr>
                <w:rFonts w:eastAsiaTheme="minorEastAsia" w:cs="Calibri"/>
                <w:b/>
                <w:bCs/>
                <w:color w:val="000000"/>
                <w:szCs w:val="19"/>
                <w:lang w:eastAsia="en-AU"/>
              </w:rPr>
              <w:fldChar w:fldCharType="end"/>
            </w:r>
            <w:r w:rsidRPr="00E14B35">
              <w:rPr>
                <w:rFonts w:eastAsiaTheme="minorEastAsia" w:cs="Calibri"/>
                <w:b/>
                <w:bCs/>
                <w:color w:val="000000"/>
                <w:szCs w:val="19"/>
                <w:lang w:eastAsia="en-AU"/>
              </w:rPr>
              <w:t xml:space="preserve"> </w:t>
            </w:r>
            <w:r w:rsidRPr="00E14B35">
              <w:rPr>
                <w:rFonts w:eastAsiaTheme="minorEastAsia" w:cs="Calibri"/>
                <w:b/>
                <w:bCs/>
                <w:color w:val="000000"/>
                <w:szCs w:val="19"/>
                <w:vertAlign w:val="superscript"/>
                <w:lang w:eastAsia="en-AU"/>
              </w:rPr>
              <w:t>(d)</w:t>
            </w:r>
          </w:p>
        </w:tc>
        <w:tc>
          <w:tcPr>
            <w:tcW w:w="702" w:type="dxa"/>
            <w:tcBorders>
              <w:top w:val="nil"/>
              <w:left w:val="nil"/>
              <w:bottom w:val="single" w:sz="6" w:space="0" w:color="auto"/>
              <w:right w:val="nil"/>
            </w:tcBorders>
            <w:shd w:val="solid" w:color="FFFFFF" w:fill="auto"/>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72.1</w:t>
            </w:r>
          </w:p>
        </w:tc>
        <w:tc>
          <w:tcPr>
            <w:tcW w:w="702"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72.9</w:t>
            </w:r>
          </w:p>
        </w:tc>
        <w:tc>
          <w:tcPr>
            <w:tcW w:w="702"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79.1</w:t>
            </w:r>
          </w:p>
        </w:tc>
        <w:tc>
          <w:tcPr>
            <w:tcW w:w="702" w:type="dxa"/>
            <w:gridSpan w:val="2"/>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81.4</w:t>
            </w:r>
          </w:p>
        </w:tc>
        <w:tc>
          <w:tcPr>
            <w:tcW w:w="702"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82.7</w:t>
            </w:r>
          </w:p>
        </w:tc>
        <w:tc>
          <w:tcPr>
            <w:tcW w:w="747" w:type="dxa"/>
            <w:tcBorders>
              <w:top w:val="nil"/>
              <w:left w:val="nil"/>
              <w:bottom w:val="single" w:sz="6" w:space="0" w:color="auto"/>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14B35">
              <w:rPr>
                <w:rFonts w:eastAsiaTheme="minorEastAsia" w:cs="Calibri"/>
                <w:b/>
                <w:bCs/>
                <w:color w:val="000000"/>
                <w:szCs w:val="20"/>
                <w:lang w:eastAsia="en-AU"/>
              </w:rPr>
              <w:t>83.0</w:t>
            </w:r>
          </w:p>
        </w:tc>
      </w:tr>
      <w:tr w:rsidR="00552DFA" w:rsidRPr="00E14B35" w:rsidTr="00E14B35">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tcPr>
          <w:p w:rsidR="00552DFA" w:rsidRPr="00E14B35" w:rsidRDefault="00552DFA" w:rsidP="00E14B35">
            <w:pPr>
              <w:keepLines w:val="0"/>
              <w:autoSpaceDE w:val="0"/>
              <w:autoSpaceDN w:val="0"/>
              <w:adjustRightInd w:val="0"/>
              <w:rPr>
                <w:rFonts w:eastAsiaTheme="minorEastAsia" w:cs="Calibri"/>
                <w:i/>
                <w:iCs/>
                <w:color w:val="000000"/>
                <w:szCs w:val="19"/>
                <w:lang w:eastAsia="en-AU"/>
              </w:rPr>
            </w:pPr>
            <w:r w:rsidRPr="00E14B35">
              <w:rPr>
                <w:rFonts w:eastAsiaTheme="minorEastAsia" w:cs="Calibri"/>
                <w:i/>
                <w:iCs/>
                <w:color w:val="000000"/>
                <w:szCs w:val="19"/>
                <w:lang w:eastAsia="en-AU"/>
              </w:rPr>
              <w:t xml:space="preserve"> </w:t>
            </w:r>
          </w:p>
        </w:tc>
        <w:tc>
          <w:tcPr>
            <w:tcW w:w="702" w:type="dxa"/>
            <w:tcBorders>
              <w:top w:val="nil"/>
              <w:left w:val="nil"/>
              <w:bottom w:val="nil"/>
              <w:right w:val="nil"/>
            </w:tcBorders>
            <w:shd w:val="solid" w:color="FFFFFF" w:fill="auto"/>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14B35">
              <w:rPr>
                <w:rFonts w:eastAsiaTheme="minorEastAsia" w:cs="Calibri"/>
                <w:color w:val="000000"/>
                <w:lang w:eastAsia="en-AU"/>
              </w:rPr>
              <w:t xml:space="preserve"> </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 xml:space="preserve"> </w:t>
            </w:r>
          </w:p>
        </w:tc>
        <w:tc>
          <w:tcPr>
            <w:tcW w:w="1294" w:type="dxa"/>
            <w:gridSpan w:val="2"/>
            <w:tcBorders>
              <w:top w:val="nil"/>
              <w:left w:val="nil"/>
              <w:bottom w:val="nil"/>
              <w:right w:val="nil"/>
            </w:tcBorders>
          </w:tcPr>
          <w:p w:rsidR="00552DFA" w:rsidRPr="00E14B35" w:rsidRDefault="00552DFA" w:rsidP="00E14B35">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19"/>
                <w:lang w:eastAsia="en-AU"/>
              </w:rPr>
            </w:pPr>
            <w:r w:rsidRPr="00E14B35">
              <w:rPr>
                <w:rFonts w:eastAsiaTheme="minorEastAsia" w:cs="Calibri"/>
                <w:i/>
                <w:iCs/>
                <w:color w:val="000000"/>
                <w:szCs w:val="19"/>
                <w:lang w:eastAsia="en-AU"/>
              </w:rPr>
              <w:t>(per cent)</w:t>
            </w:r>
          </w:p>
        </w:tc>
        <w:tc>
          <w:tcPr>
            <w:tcW w:w="110"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 xml:space="preserve"> </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 xml:space="preserve"> </w:t>
            </w:r>
          </w:p>
        </w:tc>
        <w:tc>
          <w:tcPr>
            <w:tcW w:w="747"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 xml:space="preserve"> </w:t>
            </w:r>
          </w:p>
        </w:tc>
      </w:tr>
      <w:tr w:rsidR="00552DFA" w:rsidRPr="00E14B35" w:rsidTr="00E14B35">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tcPr>
          <w:p w:rsidR="00552DFA" w:rsidRPr="00E14B35" w:rsidRDefault="00552DFA" w:rsidP="00E14B35">
            <w:pPr>
              <w:keepLines w:val="0"/>
              <w:autoSpaceDE w:val="0"/>
              <w:autoSpaceDN w:val="0"/>
              <w:adjustRightInd w:val="0"/>
              <w:rPr>
                <w:rFonts w:eastAsiaTheme="minorEastAsia" w:cs="Calibri"/>
                <w:b/>
                <w:bCs/>
                <w:color w:val="000000"/>
                <w:szCs w:val="19"/>
                <w:vertAlign w:val="superscript"/>
                <w:lang w:eastAsia="en-AU"/>
              </w:rPr>
            </w:pPr>
            <w:r w:rsidRPr="00E14B35">
              <w:rPr>
                <w:rFonts w:eastAsiaTheme="minorEastAsia" w:cs="Calibri"/>
                <w:b/>
                <w:bCs/>
                <w:color w:val="000000"/>
                <w:szCs w:val="19"/>
                <w:lang w:eastAsia="en-AU"/>
              </w:rPr>
              <w:t>Net debt</w:t>
            </w:r>
            <w:r w:rsidR="00356A95">
              <w:rPr>
                <w:rFonts w:eastAsiaTheme="minorEastAsia" w:cs="Calibri"/>
                <w:b/>
                <w:bCs/>
                <w:color w:val="000000"/>
                <w:szCs w:val="19"/>
                <w:lang w:eastAsia="en-AU"/>
              </w:rPr>
              <w:fldChar w:fldCharType="begin"/>
            </w:r>
            <w:r w:rsidR="00356A95">
              <w:rPr>
                <w:rFonts w:eastAsiaTheme="minorEastAsia" w:cs="Calibri"/>
                <w:b/>
                <w:bCs/>
                <w:color w:val="000000"/>
                <w:szCs w:val="19"/>
                <w:lang w:eastAsia="en-AU"/>
              </w:rPr>
              <w:instrText xml:space="preserve"> XE "</w:instrText>
            </w:r>
            <w:r w:rsidR="00356A95">
              <w:instrText>Debt:Net debt"</w:instrText>
            </w:r>
            <w:r w:rsidR="00356A95">
              <w:rPr>
                <w:rFonts w:eastAsiaTheme="minorEastAsia" w:cs="Calibri"/>
                <w:b/>
                <w:bCs/>
                <w:color w:val="000000"/>
                <w:szCs w:val="19"/>
                <w:lang w:eastAsia="en-AU"/>
              </w:rPr>
              <w:instrText xml:space="preserve"> </w:instrText>
            </w:r>
            <w:r w:rsidR="00356A95">
              <w:rPr>
                <w:rFonts w:eastAsiaTheme="minorEastAsia" w:cs="Calibri"/>
                <w:b/>
                <w:bCs/>
                <w:color w:val="000000"/>
                <w:szCs w:val="19"/>
                <w:lang w:eastAsia="en-AU"/>
              </w:rPr>
              <w:fldChar w:fldCharType="end"/>
            </w:r>
            <w:r w:rsidRPr="00E14B35">
              <w:rPr>
                <w:rFonts w:eastAsiaTheme="minorEastAsia" w:cs="Calibri"/>
                <w:b/>
                <w:bCs/>
                <w:color w:val="000000"/>
                <w:szCs w:val="19"/>
                <w:lang w:eastAsia="en-AU"/>
              </w:rPr>
              <w:t xml:space="preserve"> to GSP </w:t>
            </w:r>
            <w:r w:rsidRPr="00E14B35">
              <w:rPr>
                <w:rFonts w:eastAsiaTheme="minorEastAsia" w:cs="Calibri"/>
                <w:b/>
                <w:bCs/>
                <w:color w:val="000000"/>
                <w:szCs w:val="19"/>
                <w:vertAlign w:val="superscript"/>
                <w:lang w:eastAsia="en-AU"/>
              </w:rPr>
              <w:t>(e)</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9.8</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8.4</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9.8</w:t>
            </w:r>
          </w:p>
        </w:tc>
        <w:tc>
          <w:tcPr>
            <w:tcW w:w="702" w:type="dxa"/>
            <w:gridSpan w:val="2"/>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9.7</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9.9</w:t>
            </w:r>
          </w:p>
        </w:tc>
        <w:tc>
          <w:tcPr>
            <w:tcW w:w="747"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9.8</w:t>
            </w:r>
          </w:p>
        </w:tc>
      </w:tr>
      <w:tr w:rsidR="00552DFA" w:rsidRPr="00E14B35" w:rsidTr="00E14B35">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tcPr>
          <w:p w:rsidR="00552DFA" w:rsidRPr="00E14B35" w:rsidRDefault="00552DFA" w:rsidP="00E14B35">
            <w:pPr>
              <w:keepLines w:val="0"/>
              <w:autoSpaceDE w:val="0"/>
              <w:autoSpaceDN w:val="0"/>
              <w:adjustRightInd w:val="0"/>
              <w:rPr>
                <w:rFonts w:eastAsiaTheme="minorEastAsia" w:cs="Calibri"/>
                <w:b/>
                <w:bCs/>
                <w:color w:val="000000"/>
                <w:szCs w:val="19"/>
                <w:vertAlign w:val="superscript"/>
                <w:lang w:eastAsia="en-AU"/>
              </w:rPr>
            </w:pPr>
            <w:r w:rsidRPr="00E14B35">
              <w:rPr>
                <w:rFonts w:eastAsiaTheme="minorEastAsia" w:cs="Calibri"/>
                <w:b/>
                <w:bCs/>
                <w:color w:val="000000"/>
                <w:szCs w:val="19"/>
                <w:lang w:eastAsia="en-AU"/>
              </w:rPr>
              <w:t>Net debt</w:t>
            </w:r>
            <w:r w:rsidR="00356A95">
              <w:rPr>
                <w:rFonts w:eastAsiaTheme="minorEastAsia" w:cs="Calibri"/>
                <w:b/>
                <w:bCs/>
                <w:color w:val="000000"/>
                <w:szCs w:val="19"/>
                <w:lang w:eastAsia="en-AU"/>
              </w:rPr>
              <w:fldChar w:fldCharType="begin"/>
            </w:r>
            <w:r w:rsidR="00356A95">
              <w:rPr>
                <w:rFonts w:eastAsiaTheme="minorEastAsia" w:cs="Calibri"/>
                <w:b/>
                <w:bCs/>
                <w:color w:val="000000"/>
                <w:szCs w:val="19"/>
                <w:lang w:eastAsia="en-AU"/>
              </w:rPr>
              <w:instrText xml:space="preserve"> XE "</w:instrText>
            </w:r>
            <w:r w:rsidR="00356A95">
              <w:instrText>Debt:Net debt"</w:instrText>
            </w:r>
            <w:r w:rsidR="00356A95">
              <w:rPr>
                <w:rFonts w:eastAsiaTheme="minorEastAsia" w:cs="Calibri"/>
                <w:b/>
                <w:bCs/>
                <w:color w:val="000000"/>
                <w:szCs w:val="19"/>
                <w:lang w:eastAsia="en-AU"/>
              </w:rPr>
              <w:instrText xml:space="preserve"> </w:instrText>
            </w:r>
            <w:r w:rsidR="00356A95">
              <w:rPr>
                <w:rFonts w:eastAsiaTheme="minorEastAsia" w:cs="Calibri"/>
                <w:b/>
                <w:bCs/>
                <w:color w:val="000000"/>
                <w:szCs w:val="19"/>
                <w:lang w:eastAsia="en-AU"/>
              </w:rPr>
              <w:fldChar w:fldCharType="end"/>
            </w:r>
            <w:r w:rsidRPr="00E14B35">
              <w:rPr>
                <w:rFonts w:eastAsiaTheme="minorEastAsia" w:cs="Calibri"/>
                <w:b/>
                <w:bCs/>
                <w:color w:val="000000"/>
                <w:szCs w:val="19"/>
                <w:lang w:eastAsia="en-AU"/>
              </w:rPr>
              <w:t xml:space="preserve"> plus superannuation liability to GSP </w:t>
            </w:r>
            <w:r w:rsidRPr="00E14B35">
              <w:rPr>
                <w:rFonts w:eastAsiaTheme="minorEastAsia" w:cs="Calibri"/>
                <w:b/>
                <w:bCs/>
                <w:color w:val="000000"/>
                <w:szCs w:val="19"/>
                <w:vertAlign w:val="superscript"/>
                <w:lang w:eastAsia="en-AU"/>
              </w:rPr>
              <w:t>(e)</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17.6</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14.9</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15.8</w:t>
            </w:r>
          </w:p>
        </w:tc>
        <w:tc>
          <w:tcPr>
            <w:tcW w:w="702" w:type="dxa"/>
            <w:gridSpan w:val="2"/>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15.2</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14.8</w:t>
            </w:r>
          </w:p>
        </w:tc>
        <w:tc>
          <w:tcPr>
            <w:tcW w:w="747"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14.2</w:t>
            </w:r>
          </w:p>
        </w:tc>
      </w:tr>
      <w:tr w:rsidR="00552DFA" w:rsidRPr="00E14B35" w:rsidTr="00E14B35">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tcPr>
          <w:p w:rsidR="00552DFA" w:rsidRPr="00E14B35" w:rsidRDefault="00552DFA" w:rsidP="00E14B35">
            <w:pPr>
              <w:keepLines w:val="0"/>
              <w:autoSpaceDE w:val="0"/>
              <w:autoSpaceDN w:val="0"/>
              <w:adjustRightInd w:val="0"/>
              <w:rPr>
                <w:rFonts w:eastAsiaTheme="minorEastAsia" w:cs="Calibri"/>
                <w:b/>
                <w:bCs/>
                <w:color w:val="000000"/>
                <w:szCs w:val="19"/>
                <w:vertAlign w:val="superscript"/>
                <w:lang w:eastAsia="en-AU"/>
              </w:rPr>
            </w:pPr>
            <w:r w:rsidRPr="00E14B35">
              <w:rPr>
                <w:rFonts w:eastAsiaTheme="minorEastAsia" w:cs="Calibri"/>
                <w:b/>
                <w:bCs/>
                <w:color w:val="000000"/>
                <w:szCs w:val="19"/>
                <w:lang w:eastAsia="en-AU"/>
              </w:rPr>
              <w:t>Net financial liabilities</w:t>
            </w:r>
            <w:r w:rsidR="00356A95">
              <w:rPr>
                <w:rFonts w:eastAsiaTheme="minorEastAsia" w:cs="Calibri"/>
                <w:b/>
                <w:bCs/>
                <w:color w:val="000000"/>
                <w:szCs w:val="19"/>
                <w:lang w:eastAsia="en-AU"/>
              </w:rPr>
              <w:fldChar w:fldCharType="begin"/>
            </w:r>
            <w:r w:rsidR="00356A95">
              <w:rPr>
                <w:rFonts w:eastAsiaTheme="minorEastAsia" w:cs="Calibri"/>
                <w:b/>
                <w:bCs/>
                <w:color w:val="000000"/>
                <w:szCs w:val="19"/>
                <w:lang w:eastAsia="en-AU"/>
              </w:rPr>
              <w:instrText xml:space="preserve"> XE "</w:instrText>
            </w:r>
            <w:r w:rsidR="00356A95">
              <w:instrText>Net financial liabilities"</w:instrText>
            </w:r>
            <w:r w:rsidR="00356A95">
              <w:rPr>
                <w:rFonts w:eastAsiaTheme="minorEastAsia" w:cs="Calibri"/>
                <w:b/>
                <w:bCs/>
                <w:color w:val="000000"/>
                <w:szCs w:val="19"/>
                <w:lang w:eastAsia="en-AU"/>
              </w:rPr>
              <w:instrText xml:space="preserve"> </w:instrText>
            </w:r>
            <w:r w:rsidR="00356A95">
              <w:rPr>
                <w:rFonts w:eastAsiaTheme="minorEastAsia" w:cs="Calibri"/>
                <w:b/>
                <w:bCs/>
                <w:color w:val="000000"/>
                <w:szCs w:val="19"/>
                <w:lang w:eastAsia="en-AU"/>
              </w:rPr>
              <w:fldChar w:fldCharType="end"/>
            </w:r>
            <w:r w:rsidRPr="00E14B35">
              <w:rPr>
                <w:rFonts w:eastAsiaTheme="minorEastAsia" w:cs="Calibri"/>
                <w:b/>
                <w:bCs/>
                <w:color w:val="000000"/>
                <w:szCs w:val="19"/>
                <w:lang w:eastAsia="en-AU"/>
              </w:rPr>
              <w:t xml:space="preserve"> to GSP </w:t>
            </w:r>
            <w:r w:rsidRPr="00E14B35">
              <w:rPr>
                <w:rFonts w:eastAsiaTheme="minorEastAsia" w:cs="Calibri"/>
                <w:b/>
                <w:bCs/>
                <w:color w:val="000000"/>
                <w:szCs w:val="19"/>
                <w:vertAlign w:val="superscript"/>
                <w:lang w:eastAsia="en-AU"/>
              </w:rPr>
              <w:t>(e)</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19.2</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18.6</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19.3</w:t>
            </w:r>
          </w:p>
        </w:tc>
        <w:tc>
          <w:tcPr>
            <w:tcW w:w="702" w:type="dxa"/>
            <w:gridSpan w:val="2"/>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18.8</w:t>
            </w:r>
          </w:p>
        </w:tc>
        <w:tc>
          <w:tcPr>
            <w:tcW w:w="702"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18.2</w:t>
            </w:r>
          </w:p>
        </w:tc>
        <w:tc>
          <w:tcPr>
            <w:tcW w:w="747" w:type="dxa"/>
            <w:tcBorders>
              <w:top w:val="nil"/>
              <w:left w:val="nil"/>
              <w:bottom w:val="nil"/>
              <w:right w:val="nil"/>
            </w:tcBorders>
          </w:tcPr>
          <w:p w:rsidR="00552DFA" w:rsidRPr="00E14B35" w:rsidRDefault="00552DFA" w:rsidP="00E14B35">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17.3</w:t>
            </w:r>
          </w:p>
        </w:tc>
      </w:tr>
      <w:tr w:rsidR="00552DFA" w:rsidRPr="00E14B35" w:rsidTr="00E14B3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single" w:sz="12" w:space="0" w:color="auto"/>
            </w:tcBorders>
          </w:tcPr>
          <w:p w:rsidR="00552DFA" w:rsidRPr="00E14B35" w:rsidRDefault="00552DFA" w:rsidP="00E14B35">
            <w:pPr>
              <w:keepLines w:val="0"/>
              <w:autoSpaceDE w:val="0"/>
              <w:autoSpaceDN w:val="0"/>
              <w:adjustRightInd w:val="0"/>
              <w:rPr>
                <w:rFonts w:eastAsiaTheme="minorEastAsia" w:cs="Calibri"/>
                <w:bCs/>
                <w:color w:val="000000"/>
                <w:szCs w:val="19"/>
                <w:vertAlign w:val="superscript"/>
                <w:lang w:eastAsia="en-AU"/>
              </w:rPr>
            </w:pPr>
            <w:r w:rsidRPr="00E14B35">
              <w:rPr>
                <w:rFonts w:eastAsiaTheme="minorEastAsia" w:cs="Calibri"/>
                <w:bCs/>
                <w:color w:val="000000"/>
                <w:szCs w:val="19"/>
                <w:lang w:eastAsia="en-AU"/>
              </w:rPr>
              <w:t>Net debt</w:t>
            </w:r>
            <w:r w:rsidR="00356A95">
              <w:rPr>
                <w:rFonts w:eastAsiaTheme="minorEastAsia" w:cs="Calibri"/>
                <w:bCs/>
                <w:color w:val="000000"/>
                <w:szCs w:val="19"/>
                <w:lang w:eastAsia="en-AU"/>
              </w:rPr>
              <w:fldChar w:fldCharType="begin"/>
            </w:r>
            <w:r w:rsidR="00356A95">
              <w:rPr>
                <w:rFonts w:eastAsiaTheme="minorEastAsia" w:cs="Calibri"/>
                <w:bCs/>
                <w:color w:val="000000"/>
                <w:szCs w:val="19"/>
                <w:lang w:eastAsia="en-AU"/>
              </w:rPr>
              <w:instrText xml:space="preserve"> XE "</w:instrText>
            </w:r>
            <w:r w:rsidR="00356A95">
              <w:instrText>Debt:Net debt"</w:instrText>
            </w:r>
            <w:r w:rsidR="00356A95">
              <w:rPr>
                <w:rFonts w:eastAsiaTheme="minorEastAsia" w:cs="Calibri"/>
                <w:bCs/>
                <w:color w:val="000000"/>
                <w:szCs w:val="19"/>
                <w:lang w:eastAsia="en-AU"/>
              </w:rPr>
              <w:instrText xml:space="preserve"> </w:instrText>
            </w:r>
            <w:r w:rsidR="00356A95">
              <w:rPr>
                <w:rFonts w:eastAsiaTheme="minorEastAsia" w:cs="Calibri"/>
                <w:bCs/>
                <w:color w:val="000000"/>
                <w:szCs w:val="19"/>
                <w:lang w:eastAsia="en-AU"/>
              </w:rPr>
              <w:fldChar w:fldCharType="end"/>
            </w:r>
            <w:r w:rsidRPr="00E14B35">
              <w:rPr>
                <w:rFonts w:eastAsiaTheme="minorEastAsia" w:cs="Calibri"/>
                <w:bCs/>
                <w:color w:val="000000"/>
                <w:szCs w:val="19"/>
                <w:lang w:eastAsia="en-AU"/>
              </w:rPr>
              <w:t xml:space="preserve"> plus superannuation liability to revenue </w:t>
            </w:r>
            <w:r w:rsidRPr="00E14B35">
              <w:rPr>
                <w:rFonts w:eastAsiaTheme="minorEastAsia" w:cs="Calibri"/>
                <w:bCs/>
                <w:color w:val="000000"/>
                <w:szCs w:val="19"/>
                <w:vertAlign w:val="superscript"/>
                <w:lang w:eastAsia="en-AU"/>
              </w:rPr>
              <w:t>(f)</w:t>
            </w:r>
          </w:p>
        </w:tc>
        <w:tc>
          <w:tcPr>
            <w:tcW w:w="702" w:type="dxa"/>
            <w:tcBorders>
              <w:top w:val="nil"/>
              <w:bottom w:val="single" w:sz="12" w:space="0" w:color="auto"/>
            </w:tcBorders>
          </w:tcPr>
          <w:p w:rsidR="00552DFA" w:rsidRPr="00E14B35" w:rsidRDefault="00552DFA" w:rsidP="00E14B35">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109.5</w:t>
            </w:r>
          </w:p>
        </w:tc>
        <w:tc>
          <w:tcPr>
            <w:tcW w:w="702" w:type="dxa"/>
            <w:tcBorders>
              <w:top w:val="nil"/>
              <w:bottom w:val="single" w:sz="12" w:space="0" w:color="auto"/>
            </w:tcBorders>
          </w:tcPr>
          <w:p w:rsidR="00552DFA" w:rsidRPr="00E14B35" w:rsidRDefault="00552DFA" w:rsidP="00E14B35">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91.1</w:t>
            </w:r>
          </w:p>
        </w:tc>
        <w:tc>
          <w:tcPr>
            <w:tcW w:w="702" w:type="dxa"/>
            <w:tcBorders>
              <w:top w:val="nil"/>
              <w:bottom w:val="single" w:sz="12" w:space="0" w:color="auto"/>
            </w:tcBorders>
          </w:tcPr>
          <w:p w:rsidR="00552DFA" w:rsidRPr="00E14B35" w:rsidRDefault="00552DFA" w:rsidP="00E14B35">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97.2</w:t>
            </w:r>
          </w:p>
        </w:tc>
        <w:tc>
          <w:tcPr>
            <w:tcW w:w="702" w:type="dxa"/>
            <w:gridSpan w:val="2"/>
            <w:tcBorders>
              <w:top w:val="nil"/>
              <w:bottom w:val="single" w:sz="12" w:space="0" w:color="auto"/>
            </w:tcBorders>
          </w:tcPr>
          <w:p w:rsidR="00552DFA" w:rsidRPr="00E14B35" w:rsidRDefault="00552DFA" w:rsidP="00E14B35">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93.5</w:t>
            </w:r>
          </w:p>
        </w:tc>
        <w:tc>
          <w:tcPr>
            <w:tcW w:w="702" w:type="dxa"/>
            <w:tcBorders>
              <w:top w:val="nil"/>
              <w:bottom w:val="single" w:sz="12" w:space="0" w:color="auto"/>
            </w:tcBorders>
          </w:tcPr>
          <w:p w:rsidR="00552DFA" w:rsidRPr="00E14B35" w:rsidRDefault="00552DFA" w:rsidP="00E14B35">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94.0</w:t>
            </w:r>
          </w:p>
        </w:tc>
        <w:tc>
          <w:tcPr>
            <w:tcW w:w="747" w:type="dxa"/>
            <w:tcBorders>
              <w:top w:val="nil"/>
              <w:bottom w:val="single" w:sz="12" w:space="0" w:color="auto"/>
            </w:tcBorders>
          </w:tcPr>
          <w:p w:rsidR="00552DFA" w:rsidRPr="00E14B35" w:rsidRDefault="00552DFA" w:rsidP="00E14B35">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E14B35">
              <w:rPr>
                <w:rFonts w:eastAsiaTheme="minorEastAsia" w:cs="Calibri"/>
                <w:color w:val="000000"/>
                <w:szCs w:val="19"/>
                <w:lang w:eastAsia="en-AU"/>
              </w:rPr>
              <w:t>91.6</w:t>
            </w:r>
          </w:p>
        </w:tc>
      </w:tr>
    </w:tbl>
    <w:p w:rsidR="00552DFA" w:rsidRPr="008765D0" w:rsidRDefault="00552DFA" w:rsidP="00423C3D">
      <w:pPr>
        <w:pStyle w:val="Source"/>
      </w:pPr>
      <w:r w:rsidRPr="008765D0">
        <w:t>Source: Department of Treasury and Finance</w:t>
      </w:r>
    </w:p>
    <w:p w:rsidR="00552DFA" w:rsidRPr="008765D0" w:rsidRDefault="00552DFA" w:rsidP="00423C3D">
      <w:pPr>
        <w:pStyle w:val="Note"/>
      </w:pPr>
      <w:r>
        <w:t>Notes:</w:t>
      </w:r>
    </w:p>
    <w:p w:rsidR="00552DFA" w:rsidRDefault="00552DFA" w:rsidP="00423C3D">
      <w:pPr>
        <w:pStyle w:val="Note"/>
      </w:pPr>
      <w:r>
        <w:t>(a)</w:t>
      </w:r>
      <w:r>
        <w:tab/>
        <w:t>Figures in this table are subject to rounding and may not add up to the totals.</w:t>
      </w:r>
    </w:p>
    <w:p w:rsidR="00552DFA" w:rsidRPr="008765D0" w:rsidRDefault="00552DFA" w:rsidP="00423C3D">
      <w:pPr>
        <w:pStyle w:val="Note"/>
      </w:pPr>
      <w:r>
        <w:t>(b)</w:t>
      </w:r>
      <w:r>
        <w:tab/>
        <w:t>Net debt</w:t>
      </w:r>
      <w:r w:rsidR="00356A95">
        <w:fldChar w:fldCharType="begin"/>
      </w:r>
      <w:r w:rsidR="00356A95">
        <w:instrText xml:space="preserve"> XE "Debt:Net debt" </w:instrText>
      </w:r>
      <w:r w:rsidR="00356A95">
        <w:fldChar w:fldCharType="end"/>
      </w:r>
      <w:r>
        <w:t xml:space="preserve"> is t</w:t>
      </w:r>
      <w:r w:rsidRPr="008765D0">
        <w:t>he sum of borrowings, deposits held and advances received less the sum of cash and deposits, advances paid, and investments,</w:t>
      </w:r>
      <w:r>
        <w:t xml:space="preserve"> </w:t>
      </w:r>
      <w:r w:rsidRPr="008765D0">
        <w:t xml:space="preserve">loans and placements. </w:t>
      </w:r>
    </w:p>
    <w:p w:rsidR="00552DFA" w:rsidRDefault="00552DFA" w:rsidP="00423C3D">
      <w:pPr>
        <w:pStyle w:val="Note"/>
      </w:pPr>
      <w:r>
        <w:t>(c)</w:t>
      </w:r>
      <w:r>
        <w:tab/>
        <w:t>Other liabilities include</w:t>
      </w:r>
      <w:r w:rsidRPr="008765D0">
        <w:t xml:space="preserve"> other employee entitlements and provisions and other non</w:t>
      </w:r>
      <w:r>
        <w:noBreakHyphen/>
      </w:r>
      <w:r w:rsidRPr="008765D0">
        <w:t>equity liabilities, less other n</w:t>
      </w:r>
      <w:r>
        <w:t>on</w:t>
      </w:r>
      <w:r>
        <w:noBreakHyphen/>
        <w:t>equity financial assets.</w:t>
      </w:r>
    </w:p>
    <w:p w:rsidR="00552DFA" w:rsidRDefault="00552DFA" w:rsidP="00423C3D">
      <w:pPr>
        <w:pStyle w:val="Note"/>
      </w:pPr>
      <w:r>
        <w:t>(d)</w:t>
      </w:r>
      <w:r>
        <w:tab/>
        <w:t>Net financial liabilities</w:t>
      </w:r>
      <w:r w:rsidR="00356A95">
        <w:fldChar w:fldCharType="begin"/>
      </w:r>
      <w:r w:rsidR="00356A95">
        <w:instrText xml:space="preserve"> XE "Net financial liabilities" </w:instrText>
      </w:r>
      <w:r w:rsidR="00356A95">
        <w:fldChar w:fldCharType="end"/>
      </w:r>
      <w:r>
        <w:t xml:space="preserve"> is t</w:t>
      </w:r>
      <w:r w:rsidRPr="008765D0">
        <w:t>otal liabilities less financial assets (excluding investments in other se</w:t>
      </w:r>
      <w:r>
        <w:t>ctor entities).</w:t>
      </w:r>
    </w:p>
    <w:p w:rsidR="00552DFA" w:rsidRDefault="00552DFA" w:rsidP="00423C3D">
      <w:pPr>
        <w:pStyle w:val="Note"/>
      </w:pPr>
      <w:r>
        <w:t>(e)</w:t>
      </w:r>
      <w:r>
        <w:tab/>
      </w:r>
      <w:r w:rsidRPr="008765D0">
        <w:t xml:space="preserve">The ratios to GSP may vary from publications year to year due to revisions to the </w:t>
      </w:r>
      <w:r>
        <w:t>Australian Bureau of Statistics (</w:t>
      </w:r>
      <w:r w:rsidRPr="008765D0">
        <w:t>ABS</w:t>
      </w:r>
      <w:r>
        <w:t>)</w:t>
      </w:r>
      <w:r w:rsidRPr="008765D0">
        <w:t xml:space="preserve"> GSP data.</w:t>
      </w:r>
    </w:p>
    <w:p w:rsidR="00552DFA" w:rsidRDefault="00552DFA" w:rsidP="00423C3D">
      <w:pPr>
        <w:pStyle w:val="Note"/>
      </w:pPr>
      <w:r>
        <w:t>(f)</w:t>
      </w:r>
      <w:r>
        <w:tab/>
      </w:r>
      <w:r w:rsidRPr="008765D0">
        <w:t xml:space="preserve">The sum of </w:t>
      </w:r>
      <w:r>
        <w:t xml:space="preserve">NFPS </w:t>
      </w:r>
      <w:r w:rsidRPr="008765D0">
        <w:t xml:space="preserve">net debt (excluding advances paid) plus the superannuation liability as a proportion of </w:t>
      </w:r>
      <w:r>
        <w:t>NFPS total operating revenue.</w:t>
      </w:r>
    </w:p>
    <w:p w:rsidR="00552DFA" w:rsidRPr="008765D0" w:rsidRDefault="00552DFA" w:rsidP="00423C3D"/>
    <w:p w:rsidR="00552DFA" w:rsidRDefault="00552DFA">
      <w:pPr>
        <w:keepLines w:val="0"/>
      </w:pPr>
      <w:r>
        <w:br w:type="page"/>
      </w:r>
    </w:p>
    <w:p w:rsidR="00552DFA" w:rsidRPr="008765D0" w:rsidRDefault="00552DFA" w:rsidP="00423C3D">
      <w:r w:rsidRPr="008765D0">
        <w:lastRenderedPageBreak/>
        <w:t xml:space="preserve">Table 5.4 </w:t>
      </w:r>
      <w:r>
        <w:t xml:space="preserve">provides projections of several indicators of financial sustainability for the NFPS, which are improving over the forward estimates. </w:t>
      </w:r>
    </w:p>
    <w:p w:rsidR="00552DFA" w:rsidRDefault="00552DFA" w:rsidP="00423C3D">
      <w:r>
        <w:t xml:space="preserve">The increase in the </w:t>
      </w:r>
      <w:r w:rsidRPr="008765D0">
        <w:t>operating cash flow surplus to revenue</w:t>
      </w:r>
      <w:r>
        <w:t xml:space="preserve"> ratio indicates an increasing level of cash generated from operations, which can be used to fund infrastructure. The operating cash flow surplus to revenue ratio is high in 2016</w:t>
      </w:r>
      <w:r>
        <w:noBreakHyphen/>
        <w:t>17 due to the receipt of cash proceeds from the medium</w:t>
      </w:r>
      <w:r>
        <w:noBreakHyphen/>
        <w:t>term lease of the operations of the Port of Melbourne</w:t>
      </w:r>
      <w:r w:rsidR="00356A95">
        <w:fldChar w:fldCharType="begin"/>
      </w:r>
      <w:r w:rsidR="00356A95">
        <w:instrText xml:space="preserve"> XE "Port of Melbourne" </w:instrText>
      </w:r>
      <w:r w:rsidR="00356A95">
        <w:fldChar w:fldCharType="end"/>
      </w:r>
      <w:r>
        <w:t xml:space="preserve"> in 2016</w:t>
      </w:r>
      <w:r>
        <w:noBreakHyphen/>
        <w:t>17.</w:t>
      </w:r>
    </w:p>
    <w:p w:rsidR="00552DFA" w:rsidRDefault="00552DFA" w:rsidP="00423C3D">
      <w:pPr>
        <w:ind w:right="-170"/>
      </w:pPr>
      <w:r>
        <w:t>The overall debt burden is demonstrated by the ratio of gross debt to revenue, which is estimated to be 75 per cent in 2017</w:t>
      </w:r>
      <w:r>
        <w:noBreakHyphen/>
        <w:t>18</w:t>
      </w:r>
      <w:r w:rsidRPr="00C04919">
        <w:t>.</w:t>
      </w:r>
      <w:r>
        <w:t xml:space="preserve"> </w:t>
      </w:r>
      <w:r w:rsidRPr="00C04919">
        <w:t xml:space="preserve">The ratio of </w:t>
      </w:r>
      <w:r>
        <w:t>NFPS interest expense to revenue ratio is a measure of the State’s debt service burden. This ratio is expected to be 3.9 per cent in 2017</w:t>
      </w:r>
      <w:r>
        <w:noBreakHyphen/>
        <w:t>18 before declining to 3.8 per cent in 2018</w:t>
      </w:r>
      <w:r>
        <w:noBreakHyphen/>
        <w:t xml:space="preserve">19 and remaining stable thereafter due to lower interest rates and increased revenue. </w:t>
      </w:r>
    </w:p>
    <w:p w:rsidR="00552DFA" w:rsidRPr="00670A0C" w:rsidRDefault="00552DFA" w:rsidP="00423C3D">
      <w:pPr>
        <w:pStyle w:val="TableHeading"/>
        <w:rPr>
          <w:bCs/>
          <w:lang w:val="en-US"/>
        </w:rPr>
      </w:pPr>
      <w:r>
        <w:t xml:space="preserve">Table 5.4: </w:t>
      </w:r>
      <w:r>
        <w:tab/>
      </w:r>
      <w:r w:rsidRPr="00A42741">
        <w:t>Indicators of financial sustainability for the non</w:t>
      </w:r>
      <w:r>
        <w:noBreakHyphen/>
      </w:r>
      <w:r w:rsidRPr="00A42741">
        <w:t>financial public sector</w:t>
      </w:r>
      <w:r>
        <w:br/>
      </w:r>
      <w:r>
        <w:tab/>
        <w:t>(per cent)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850"/>
        <w:gridCol w:w="850"/>
        <w:gridCol w:w="850"/>
        <w:gridCol w:w="850"/>
        <w:gridCol w:w="850"/>
        <w:gridCol w:w="850"/>
      </w:tblGrid>
      <w:tr w:rsidR="00552DFA" w:rsidRPr="00670A0C" w:rsidTr="00423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single" w:sz="6" w:space="0" w:color="auto"/>
              <w:bottom w:val="nil"/>
              <w:right w:val="nil"/>
            </w:tcBorders>
            <w:shd w:val="solid" w:color="000000" w:fill="auto"/>
          </w:tcPr>
          <w:p w:rsidR="00552DFA" w:rsidRPr="00670A0C" w:rsidRDefault="00552DFA" w:rsidP="00423C3D">
            <w:pPr>
              <w:autoSpaceDE w:val="0"/>
              <w:autoSpaceDN w:val="0"/>
              <w:adjustRightInd w:val="0"/>
              <w:jc w:val="right"/>
              <w:rPr>
                <w:rFonts w:eastAsiaTheme="minorEastAsia" w:cs="Calibri"/>
                <w:iCs/>
                <w:color w:val="FFFFFF"/>
                <w:szCs w:val="19"/>
                <w:lang w:eastAsia="en-AU"/>
              </w:rPr>
            </w:pPr>
            <w:r w:rsidRPr="00670A0C">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2015</w:t>
            </w:r>
            <w:r>
              <w:rPr>
                <w:rFonts w:eastAsiaTheme="minorEastAsia" w:cs="Calibri"/>
                <w:iCs/>
                <w:color w:val="FFFFFF"/>
                <w:szCs w:val="19"/>
                <w:lang w:eastAsia="en-AU"/>
              </w:rPr>
              <w:noBreakHyphen/>
            </w:r>
            <w:r w:rsidRPr="00670A0C">
              <w:rPr>
                <w:rFonts w:eastAsiaTheme="minorEastAsia" w:cs="Calibri"/>
                <w:iCs/>
                <w:color w:val="FFFFFF"/>
                <w:szCs w:val="19"/>
                <w:lang w:eastAsia="en-AU"/>
              </w:rPr>
              <w:t>16</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2016</w:t>
            </w:r>
            <w:r>
              <w:rPr>
                <w:rFonts w:eastAsiaTheme="minorEastAsia" w:cs="Calibri"/>
                <w:iCs/>
                <w:color w:val="FFFFFF"/>
                <w:szCs w:val="19"/>
                <w:lang w:eastAsia="en-AU"/>
              </w:rPr>
              <w:noBreakHyphen/>
            </w:r>
            <w:r w:rsidRPr="00670A0C">
              <w:rPr>
                <w:rFonts w:eastAsiaTheme="minorEastAsia" w:cs="Calibri"/>
                <w:iCs/>
                <w:color w:val="FFFFFF"/>
                <w:szCs w:val="19"/>
                <w:lang w:eastAsia="en-AU"/>
              </w:rPr>
              <w:t>17</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2017</w:t>
            </w:r>
            <w:r>
              <w:rPr>
                <w:rFonts w:eastAsiaTheme="minorEastAsia" w:cs="Calibri"/>
                <w:iCs/>
                <w:color w:val="FFFFFF"/>
                <w:szCs w:val="19"/>
                <w:lang w:eastAsia="en-AU"/>
              </w:rPr>
              <w:noBreakHyphen/>
            </w:r>
            <w:r w:rsidRPr="00670A0C">
              <w:rPr>
                <w:rFonts w:eastAsiaTheme="minorEastAsia" w:cs="Calibri"/>
                <w:iCs/>
                <w:color w:val="FFFFFF"/>
                <w:szCs w:val="19"/>
                <w:lang w:eastAsia="en-AU"/>
              </w:rPr>
              <w:t>18</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2018</w:t>
            </w:r>
            <w:r>
              <w:rPr>
                <w:rFonts w:eastAsiaTheme="minorEastAsia" w:cs="Calibri"/>
                <w:iCs/>
                <w:color w:val="FFFFFF"/>
                <w:szCs w:val="19"/>
                <w:lang w:eastAsia="en-AU"/>
              </w:rPr>
              <w:noBreakHyphen/>
            </w:r>
            <w:r w:rsidRPr="00670A0C">
              <w:rPr>
                <w:rFonts w:eastAsiaTheme="minorEastAsia" w:cs="Calibri"/>
                <w:iCs/>
                <w:color w:val="FFFFFF"/>
                <w:szCs w:val="19"/>
                <w:lang w:eastAsia="en-AU"/>
              </w:rPr>
              <w:t>19</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2019</w:t>
            </w:r>
            <w:r>
              <w:rPr>
                <w:rFonts w:eastAsiaTheme="minorEastAsia" w:cs="Calibri"/>
                <w:iCs/>
                <w:color w:val="FFFFFF"/>
                <w:szCs w:val="19"/>
                <w:lang w:eastAsia="en-AU"/>
              </w:rPr>
              <w:noBreakHyphen/>
            </w:r>
            <w:r w:rsidRPr="00670A0C">
              <w:rPr>
                <w:rFonts w:eastAsiaTheme="minorEastAsia" w:cs="Calibri"/>
                <w:iCs/>
                <w:color w:val="FFFFFF"/>
                <w:szCs w:val="19"/>
                <w:lang w:eastAsia="en-AU"/>
              </w:rPr>
              <w:t>20</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2020</w:t>
            </w:r>
            <w:r>
              <w:rPr>
                <w:rFonts w:eastAsiaTheme="minorEastAsia" w:cs="Calibri"/>
                <w:iCs/>
                <w:color w:val="FFFFFF"/>
                <w:szCs w:val="19"/>
                <w:lang w:eastAsia="en-AU"/>
              </w:rPr>
              <w:noBreakHyphen/>
            </w:r>
            <w:r w:rsidRPr="00670A0C">
              <w:rPr>
                <w:rFonts w:eastAsiaTheme="minorEastAsia" w:cs="Calibri"/>
                <w:iCs/>
                <w:color w:val="FFFFFF"/>
                <w:szCs w:val="19"/>
                <w:lang w:eastAsia="en-AU"/>
              </w:rPr>
              <w:t>21</w:t>
            </w:r>
          </w:p>
        </w:tc>
      </w:tr>
      <w:tr w:rsidR="00552DFA" w:rsidRPr="00670A0C" w:rsidTr="00423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single" w:sz="6" w:space="0" w:color="auto"/>
              <w:bottom w:val="single" w:sz="6" w:space="0" w:color="auto"/>
              <w:right w:val="nil"/>
            </w:tcBorders>
            <w:shd w:val="solid" w:color="000000" w:fill="auto"/>
          </w:tcPr>
          <w:p w:rsidR="00552DFA" w:rsidRPr="00670A0C" w:rsidRDefault="00552DFA" w:rsidP="00423C3D">
            <w:pPr>
              <w:keepLines w:val="0"/>
              <w:autoSpaceDE w:val="0"/>
              <w:autoSpaceDN w:val="0"/>
              <w:adjustRightInd w:val="0"/>
              <w:jc w:val="right"/>
              <w:rPr>
                <w:rFonts w:eastAsiaTheme="minorEastAsia" w:cs="Calibri"/>
                <w:iCs/>
                <w:color w:val="FFFFFF"/>
                <w:szCs w:val="19"/>
                <w:lang w:eastAsia="en-AU"/>
              </w:rPr>
            </w:pPr>
            <w:r w:rsidRPr="00670A0C">
              <w:rPr>
                <w:rFonts w:eastAsiaTheme="minorEastAsia" w:cs="Calibri"/>
                <w:iCs/>
                <w:color w:val="FFFFFF"/>
                <w:szCs w:val="19"/>
                <w:lang w:eastAsia="en-AU"/>
              </w:rPr>
              <w:t xml:space="preserve"> </w:t>
            </w:r>
          </w:p>
        </w:tc>
        <w:tc>
          <w:tcPr>
            <w:tcW w:w="850" w:type="dxa"/>
            <w:tcBorders>
              <w:top w:val="nil"/>
              <w:left w:val="nil"/>
              <w:bottom w:val="single" w:sz="6" w:space="0" w:color="auto"/>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actual</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revised</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Operating cash flow surplus to revenue</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11.7</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21.0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7.1</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10.1</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7.8</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8.3</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vertAlign w:val="superscript"/>
                <w:lang w:eastAsia="en-AU"/>
              </w:rPr>
            </w:pPr>
            <w:r w:rsidRPr="00670A0C">
              <w:rPr>
                <w:rFonts w:eastAsiaTheme="minorEastAsia" w:cs="Calibri"/>
                <w:color w:val="000000"/>
                <w:szCs w:val="19"/>
                <w:lang w:eastAsia="en-AU"/>
              </w:rPr>
              <w:t xml:space="preserve">Gross debt to revenue </w:t>
            </w:r>
            <w:r w:rsidRPr="00670A0C">
              <w:rPr>
                <w:rFonts w:eastAsiaTheme="minorEastAsia" w:cs="Calibri"/>
                <w:color w:val="000000"/>
                <w:szCs w:val="19"/>
                <w:vertAlign w:val="superscript"/>
                <w:lang w:eastAsia="en-AU"/>
              </w:rPr>
              <w:t>(a)</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76.8</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67.9</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75.0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74.4</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77.5</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77.8</w:t>
            </w:r>
          </w:p>
        </w:tc>
      </w:tr>
      <w:tr w:rsidR="00552DFA" w:rsidRPr="00670A0C" w:rsidTr="00423C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nil"/>
              <w:bottom w:val="single" w:sz="12" w:space="0" w:color="auto"/>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Interest expense to revenue</w:t>
            </w:r>
          </w:p>
        </w:tc>
        <w:tc>
          <w:tcPr>
            <w:tcW w:w="850" w:type="dxa"/>
            <w:tcBorders>
              <w:top w:val="nil"/>
              <w:bottom w:val="single" w:sz="12" w:space="0" w:color="auto"/>
            </w:tcBorders>
            <w:shd w:val="solid" w:color="FFFFFF" w:fill="auto"/>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4.4</w:t>
            </w:r>
          </w:p>
        </w:tc>
        <w:tc>
          <w:tcPr>
            <w:tcW w:w="850" w:type="dxa"/>
            <w:tcBorders>
              <w:top w:val="nil"/>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3.8</w:t>
            </w:r>
          </w:p>
        </w:tc>
        <w:tc>
          <w:tcPr>
            <w:tcW w:w="850" w:type="dxa"/>
            <w:tcBorders>
              <w:top w:val="nil"/>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3.9</w:t>
            </w:r>
          </w:p>
        </w:tc>
        <w:tc>
          <w:tcPr>
            <w:tcW w:w="850" w:type="dxa"/>
            <w:tcBorders>
              <w:top w:val="nil"/>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3.8</w:t>
            </w:r>
          </w:p>
        </w:tc>
        <w:tc>
          <w:tcPr>
            <w:tcW w:w="850" w:type="dxa"/>
            <w:tcBorders>
              <w:top w:val="nil"/>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3.8</w:t>
            </w:r>
          </w:p>
        </w:tc>
        <w:tc>
          <w:tcPr>
            <w:tcW w:w="850" w:type="dxa"/>
            <w:tcBorders>
              <w:top w:val="nil"/>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3.8</w:t>
            </w:r>
          </w:p>
        </w:tc>
      </w:tr>
    </w:tbl>
    <w:p w:rsidR="00552DFA" w:rsidRPr="008765D0" w:rsidRDefault="00552DFA" w:rsidP="00423C3D">
      <w:pPr>
        <w:pStyle w:val="Source"/>
      </w:pPr>
      <w:r w:rsidRPr="008765D0">
        <w:t>Source: Departm</w:t>
      </w:r>
      <w:r>
        <w:t>ent of Treasury and Finance</w:t>
      </w:r>
    </w:p>
    <w:p w:rsidR="00552DFA" w:rsidRPr="008765D0" w:rsidRDefault="00552DFA" w:rsidP="00423C3D">
      <w:pPr>
        <w:pStyle w:val="Note"/>
      </w:pPr>
      <w:r>
        <w:t>Note:</w:t>
      </w:r>
    </w:p>
    <w:p w:rsidR="00552DFA" w:rsidRDefault="00552DFA" w:rsidP="00423C3D">
      <w:pPr>
        <w:pStyle w:val="Note"/>
      </w:pPr>
      <w:r>
        <w:t>(a)</w:t>
      </w:r>
      <w:r>
        <w:tab/>
        <w:t>Gross debt includes borrowings and deposits held and advances received.</w:t>
      </w:r>
    </w:p>
    <w:p w:rsidR="00552DFA" w:rsidRDefault="00552DFA" w:rsidP="00423C3D">
      <w:r>
        <w:br w:type="page"/>
      </w:r>
    </w:p>
    <w:p w:rsidR="00552DFA" w:rsidRPr="00316590" w:rsidRDefault="00552DFA" w:rsidP="00D46C60">
      <w:pPr>
        <w:pStyle w:val="Heading10"/>
      </w:pPr>
      <w:bookmarkStart w:id="53" w:name="_Toc481246485"/>
      <w:r w:rsidRPr="00316590">
        <w:lastRenderedPageBreak/>
        <w:t>State of Victoria</w:t>
      </w:r>
      <w:bookmarkEnd w:id="53"/>
      <w:r w:rsidR="00356A95">
        <w:fldChar w:fldCharType="begin"/>
      </w:r>
      <w:r w:rsidR="00356A95">
        <w:instrText xml:space="preserve"> XE "State of Victoria" </w:instrText>
      </w:r>
      <w:r w:rsidR="00356A95">
        <w:fldChar w:fldCharType="end"/>
      </w:r>
    </w:p>
    <w:p w:rsidR="00552DFA" w:rsidRDefault="00552DFA" w:rsidP="00423C3D">
      <w:r w:rsidRPr="008765D0">
        <w:t>Table 5.</w:t>
      </w:r>
      <w:r>
        <w:t>5</w:t>
      </w:r>
      <w:r w:rsidRPr="008765D0">
        <w:t xml:space="preserve"> </w:t>
      </w:r>
      <w:r>
        <w:t>shows the operating result for the State. The net result for the State is projected to record an average surplus of $838 million over the budget and forward estimates. The net result includes other economic flows, which are projected to contribute on average $1.7 billion a year towards the net surplus over the budget and forward estimates. The other economic flows include projected investment returns of the State’s insurance agencies that are used to service their liabilities.</w:t>
      </w:r>
    </w:p>
    <w:p w:rsidR="00552DFA" w:rsidRPr="00670A0C" w:rsidRDefault="00552DFA" w:rsidP="00423C3D">
      <w:pPr>
        <w:pStyle w:val="TableHeading"/>
        <w:rPr>
          <w:bCs/>
          <w:lang w:val="en-US"/>
        </w:rPr>
      </w:pPr>
      <w:r w:rsidRPr="00A42741">
        <w:t>Table 5.</w:t>
      </w:r>
      <w:r>
        <w:t>5:</w:t>
      </w:r>
      <w:r>
        <w:tab/>
        <w:t>Operating results – State of Victoria</w:t>
      </w:r>
      <w:r w:rsidR="00356A95">
        <w:fldChar w:fldCharType="begin"/>
      </w:r>
      <w:r w:rsidR="00356A95">
        <w:instrText xml:space="preserve"> XE "State of Victoria" </w:instrText>
      </w:r>
      <w:r w:rsidR="00356A95">
        <w:fldChar w:fldCharType="end"/>
      </w:r>
      <w:r>
        <w:t xml:space="preserve"> </w:t>
      </w:r>
      <w:r w:rsidRPr="00A42741">
        <w:rPr>
          <w:vertAlign w:val="superscript"/>
        </w:rPr>
        <w:t>(a)</w:t>
      </w:r>
      <w:r>
        <w:rPr>
          <w:vertAlign w:val="superscript"/>
        </w:rPr>
        <w:tab/>
      </w:r>
      <w:r w:rsidRPr="000F2F58">
        <w:t>($</w:t>
      </w:r>
      <w:r>
        <w:t> </w:t>
      </w:r>
      <w:r w:rsidRPr="000F2F58">
        <w:t>m</w:t>
      </w:r>
      <w:r>
        <w:t>illion</w:t>
      </w:r>
      <w:r w:rsidRPr="000F2F58">
        <w: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850"/>
        <w:gridCol w:w="850"/>
        <w:gridCol w:w="850"/>
        <w:gridCol w:w="850"/>
        <w:gridCol w:w="850"/>
        <w:gridCol w:w="850"/>
      </w:tblGrid>
      <w:tr w:rsidR="00552DFA" w:rsidRPr="00670A0C" w:rsidTr="00423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552DFA" w:rsidRPr="00670A0C" w:rsidRDefault="00552DFA" w:rsidP="00423C3D">
            <w:pPr>
              <w:autoSpaceDE w:val="0"/>
              <w:autoSpaceDN w:val="0"/>
              <w:adjustRightInd w:val="0"/>
              <w:rPr>
                <w:rFonts w:eastAsiaTheme="minorEastAsia" w:cs="Calibri"/>
                <w:iCs/>
                <w:color w:val="FFFFFF"/>
                <w:szCs w:val="19"/>
                <w:lang w:eastAsia="en-AU"/>
              </w:rPr>
            </w:pPr>
            <w:r w:rsidRPr="00670A0C">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2015</w:t>
            </w:r>
            <w:r>
              <w:rPr>
                <w:rFonts w:eastAsiaTheme="minorEastAsia" w:cs="Calibri"/>
                <w:iCs/>
                <w:color w:val="FFFFFF"/>
                <w:szCs w:val="19"/>
                <w:lang w:eastAsia="en-AU"/>
              </w:rPr>
              <w:noBreakHyphen/>
            </w:r>
            <w:r w:rsidRPr="00670A0C">
              <w:rPr>
                <w:rFonts w:eastAsiaTheme="minorEastAsia" w:cs="Calibri"/>
                <w:iCs/>
                <w:color w:val="FFFFFF"/>
                <w:szCs w:val="19"/>
                <w:lang w:eastAsia="en-AU"/>
              </w:rPr>
              <w:t>16</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2016</w:t>
            </w:r>
            <w:r>
              <w:rPr>
                <w:rFonts w:eastAsiaTheme="minorEastAsia" w:cs="Calibri"/>
                <w:iCs/>
                <w:color w:val="FFFFFF"/>
                <w:szCs w:val="19"/>
                <w:lang w:eastAsia="en-AU"/>
              </w:rPr>
              <w:noBreakHyphen/>
            </w:r>
            <w:r w:rsidRPr="00670A0C">
              <w:rPr>
                <w:rFonts w:eastAsiaTheme="minorEastAsia" w:cs="Calibri"/>
                <w:iCs/>
                <w:color w:val="FFFFFF"/>
                <w:szCs w:val="19"/>
                <w:lang w:eastAsia="en-AU"/>
              </w:rPr>
              <w:t>17</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2017</w:t>
            </w:r>
            <w:r>
              <w:rPr>
                <w:rFonts w:eastAsiaTheme="minorEastAsia" w:cs="Calibri"/>
                <w:iCs/>
                <w:color w:val="FFFFFF"/>
                <w:szCs w:val="19"/>
                <w:lang w:eastAsia="en-AU"/>
              </w:rPr>
              <w:noBreakHyphen/>
            </w:r>
            <w:r w:rsidRPr="00670A0C">
              <w:rPr>
                <w:rFonts w:eastAsiaTheme="minorEastAsia" w:cs="Calibri"/>
                <w:iCs/>
                <w:color w:val="FFFFFF"/>
                <w:szCs w:val="19"/>
                <w:lang w:eastAsia="en-AU"/>
              </w:rPr>
              <w:t>18</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2018</w:t>
            </w:r>
            <w:r>
              <w:rPr>
                <w:rFonts w:eastAsiaTheme="minorEastAsia" w:cs="Calibri"/>
                <w:iCs/>
                <w:color w:val="FFFFFF"/>
                <w:szCs w:val="19"/>
                <w:lang w:eastAsia="en-AU"/>
              </w:rPr>
              <w:noBreakHyphen/>
            </w:r>
            <w:r w:rsidRPr="00670A0C">
              <w:rPr>
                <w:rFonts w:eastAsiaTheme="minorEastAsia" w:cs="Calibri"/>
                <w:iCs/>
                <w:color w:val="FFFFFF"/>
                <w:szCs w:val="19"/>
                <w:lang w:eastAsia="en-AU"/>
              </w:rPr>
              <w:t>19</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2019</w:t>
            </w:r>
            <w:r>
              <w:rPr>
                <w:rFonts w:eastAsiaTheme="minorEastAsia" w:cs="Calibri"/>
                <w:iCs/>
                <w:color w:val="FFFFFF"/>
                <w:szCs w:val="19"/>
                <w:lang w:eastAsia="en-AU"/>
              </w:rPr>
              <w:noBreakHyphen/>
            </w:r>
            <w:r w:rsidRPr="00670A0C">
              <w:rPr>
                <w:rFonts w:eastAsiaTheme="minorEastAsia" w:cs="Calibri"/>
                <w:iCs/>
                <w:color w:val="FFFFFF"/>
                <w:szCs w:val="19"/>
                <w:lang w:eastAsia="en-AU"/>
              </w:rPr>
              <w:t>20</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2020</w:t>
            </w:r>
            <w:r>
              <w:rPr>
                <w:rFonts w:eastAsiaTheme="minorEastAsia" w:cs="Calibri"/>
                <w:iCs/>
                <w:color w:val="FFFFFF"/>
                <w:szCs w:val="19"/>
                <w:lang w:eastAsia="en-AU"/>
              </w:rPr>
              <w:noBreakHyphen/>
            </w:r>
            <w:r w:rsidRPr="00670A0C">
              <w:rPr>
                <w:rFonts w:eastAsiaTheme="minorEastAsia" w:cs="Calibri"/>
                <w:iCs/>
                <w:color w:val="FFFFFF"/>
                <w:szCs w:val="19"/>
                <w:lang w:eastAsia="en-AU"/>
              </w:rPr>
              <w:t>21</w:t>
            </w:r>
          </w:p>
        </w:tc>
      </w:tr>
      <w:tr w:rsidR="00552DFA" w:rsidRPr="00670A0C" w:rsidTr="00423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jc w:val="right"/>
              <w:rPr>
                <w:rFonts w:eastAsiaTheme="minorEastAsia" w:cs="Calibri"/>
                <w:iCs/>
                <w:color w:val="FFFFFF"/>
                <w:szCs w:val="19"/>
                <w:lang w:eastAsia="en-AU"/>
              </w:rPr>
            </w:pPr>
            <w:r w:rsidRPr="00670A0C">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actual</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revised</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b/>
                <w:bCs/>
                <w:color w:val="000000"/>
                <w:szCs w:val="19"/>
                <w:lang w:eastAsia="en-AU"/>
              </w:rPr>
            </w:pPr>
            <w:r w:rsidRPr="00670A0C">
              <w:rPr>
                <w:rFonts w:eastAsiaTheme="minorEastAsia" w:cs="Calibri"/>
                <w:b/>
                <w:bCs/>
                <w:color w:val="000000"/>
                <w:szCs w:val="19"/>
                <w:lang w:eastAsia="en-AU"/>
              </w:rPr>
              <w:t>Revenue</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Taxation revenue</w:t>
            </w:r>
            <w:r w:rsidR="00356A95">
              <w:rPr>
                <w:rFonts w:eastAsiaTheme="minorEastAsia" w:cs="Calibri"/>
                <w:color w:val="000000"/>
                <w:szCs w:val="19"/>
                <w:lang w:eastAsia="en-AU"/>
              </w:rPr>
              <w:fldChar w:fldCharType="begin"/>
            </w:r>
            <w:r w:rsidR="00356A95">
              <w:rPr>
                <w:rFonts w:eastAsiaTheme="minorEastAsia" w:cs="Calibri"/>
                <w:color w:val="000000"/>
                <w:szCs w:val="19"/>
                <w:lang w:eastAsia="en-AU"/>
              </w:rPr>
              <w:instrText xml:space="preserve"> XE "</w:instrText>
            </w:r>
            <w:r w:rsidR="00356A95">
              <w:instrText>Taxation:Revenue"</w:instrText>
            </w:r>
            <w:r w:rsidR="00356A95">
              <w:rPr>
                <w:rFonts w:eastAsiaTheme="minorEastAsia" w:cs="Calibri"/>
                <w:color w:val="000000"/>
                <w:szCs w:val="19"/>
                <w:lang w:eastAsia="en-AU"/>
              </w:rPr>
              <w:instrText xml:space="preserve"> </w:instrText>
            </w:r>
            <w:r w:rsidR="00356A95">
              <w:rPr>
                <w:rFonts w:eastAsiaTheme="minorEastAsia" w:cs="Calibri"/>
                <w:color w:val="000000"/>
                <w:szCs w:val="19"/>
                <w:lang w:eastAsia="en-AU"/>
              </w:rPr>
              <w:fldChar w:fldCharType="end"/>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19 446</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21 812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21 453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22 727</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24 022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25 318</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vertAlign w:val="superscript"/>
                <w:lang w:eastAsia="en-AU"/>
              </w:rPr>
            </w:pPr>
            <w:r w:rsidRPr="00670A0C">
              <w:rPr>
                <w:rFonts w:eastAsiaTheme="minorEastAsia" w:cs="Calibri"/>
                <w:color w:val="000000"/>
                <w:szCs w:val="19"/>
                <w:lang w:eastAsia="en-AU"/>
              </w:rPr>
              <w:t xml:space="preserve">Dividends, income tax equivalent and interest </w:t>
            </w:r>
            <w:r w:rsidRPr="00670A0C">
              <w:rPr>
                <w:rFonts w:eastAsiaTheme="minorEastAsia" w:cs="Calibri"/>
                <w:color w:val="000000"/>
                <w:szCs w:val="19"/>
                <w:vertAlign w:val="superscript"/>
                <w:lang w:eastAsia="en-AU"/>
              </w:rPr>
              <w:t>(b)</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1 810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1 885</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1 892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2 047</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2 028</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2 054</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Sales of goods and services</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14 324</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14 470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14 998</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15 587</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16 200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17 065</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Grants</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25 241</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27 259</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29 334</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31 534</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31 086</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32 001</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Other current revenue</w:t>
            </w:r>
          </w:p>
        </w:tc>
        <w:tc>
          <w:tcPr>
            <w:tcW w:w="850" w:type="dxa"/>
            <w:tcBorders>
              <w:top w:val="nil"/>
              <w:left w:val="nil"/>
              <w:bottom w:val="single" w:sz="6" w:space="0" w:color="auto"/>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3 835</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3 286</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3 116</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3 119</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3 135</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3 169</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b/>
                <w:bCs/>
                <w:color w:val="000000"/>
                <w:szCs w:val="19"/>
                <w:lang w:eastAsia="en-AU"/>
              </w:rPr>
            </w:pPr>
            <w:r w:rsidRPr="00670A0C">
              <w:rPr>
                <w:rFonts w:eastAsiaTheme="minorEastAsia" w:cs="Calibri"/>
                <w:b/>
                <w:bCs/>
                <w:color w:val="000000"/>
                <w:szCs w:val="19"/>
                <w:lang w:eastAsia="en-AU"/>
              </w:rPr>
              <w:t>Total revenue</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64 657</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68 713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70 791</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75 014</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76 471</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79 608</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i/>
                <w:iCs/>
                <w:color w:val="000000"/>
                <w:szCs w:val="19"/>
                <w:lang w:eastAsia="en-AU"/>
              </w:rPr>
            </w:pPr>
            <w:r w:rsidRPr="00670A0C">
              <w:rPr>
                <w:rFonts w:eastAsiaTheme="minorEastAsia" w:cs="Calibri"/>
                <w:i/>
                <w:iCs/>
                <w:color w:val="000000"/>
                <w:szCs w:val="19"/>
                <w:lang w:eastAsia="en-AU"/>
              </w:rPr>
              <w:t>% change</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6.1</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6.3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6.0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1.9</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4.1</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b/>
                <w:bCs/>
                <w:color w:val="000000"/>
                <w:szCs w:val="19"/>
                <w:lang w:eastAsia="en-AU"/>
              </w:rPr>
            </w:pPr>
            <w:r w:rsidRPr="00670A0C">
              <w:rPr>
                <w:rFonts w:eastAsiaTheme="minorEastAsia" w:cs="Calibri"/>
                <w:b/>
                <w:bCs/>
                <w:color w:val="000000"/>
                <w:szCs w:val="19"/>
                <w:lang w:eastAsia="en-AU"/>
              </w:rPr>
              <w:t>Expenses</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Employee expenses</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21 066</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23 154</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24 173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25 233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25 918</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26 576</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vertAlign w:val="superscript"/>
                <w:lang w:eastAsia="en-AU"/>
              </w:rPr>
            </w:pPr>
            <w:r w:rsidRPr="00670A0C">
              <w:rPr>
                <w:rFonts w:eastAsiaTheme="minorEastAsia" w:cs="Calibri"/>
                <w:color w:val="000000"/>
                <w:szCs w:val="19"/>
                <w:lang w:eastAsia="en-AU"/>
              </w:rPr>
              <w:t xml:space="preserve">Superannuation </w:t>
            </w:r>
            <w:r w:rsidRPr="00670A0C">
              <w:rPr>
                <w:rFonts w:eastAsiaTheme="minorEastAsia" w:cs="Calibri"/>
                <w:color w:val="000000"/>
                <w:szCs w:val="19"/>
                <w:vertAlign w:val="superscript"/>
                <w:lang w:eastAsia="en-AU"/>
              </w:rPr>
              <w:t>(c)</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3 134</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3 164</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3 246</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3 253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3 281</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3 287</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 xml:space="preserve">Depreciation </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4 706</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4 929</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5 247</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5 633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5 872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6 131</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Interest expense</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2 730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2 628</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2 825</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2 900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2 962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3 072</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Grant expense</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5 657</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7 516</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8 147</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9 747</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10 064</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10 017</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Other operating expenses</w:t>
            </w:r>
          </w:p>
        </w:tc>
        <w:tc>
          <w:tcPr>
            <w:tcW w:w="850" w:type="dxa"/>
            <w:tcBorders>
              <w:top w:val="nil"/>
              <w:left w:val="nil"/>
              <w:bottom w:val="single" w:sz="6" w:space="0" w:color="auto"/>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25 720</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28 005</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29 263</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29 047</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28 881</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30 388</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b/>
                <w:bCs/>
                <w:color w:val="000000"/>
                <w:szCs w:val="19"/>
                <w:lang w:eastAsia="en-AU"/>
              </w:rPr>
            </w:pPr>
            <w:r w:rsidRPr="00670A0C">
              <w:rPr>
                <w:rFonts w:eastAsiaTheme="minorEastAsia" w:cs="Calibri"/>
                <w:b/>
                <w:bCs/>
                <w:color w:val="000000"/>
                <w:szCs w:val="19"/>
                <w:lang w:eastAsia="en-AU"/>
              </w:rPr>
              <w:t>Total expenses</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63 012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69 396</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72 901</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75 811</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76 978</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79 470</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552DFA" w:rsidRPr="00670A0C" w:rsidRDefault="00552DFA" w:rsidP="00423C3D">
            <w:pPr>
              <w:keepLines w:val="0"/>
              <w:autoSpaceDE w:val="0"/>
              <w:autoSpaceDN w:val="0"/>
              <w:adjustRightInd w:val="0"/>
              <w:rPr>
                <w:rFonts w:eastAsiaTheme="minorEastAsia" w:cs="Calibri"/>
                <w:i/>
                <w:iCs/>
                <w:color w:val="000000"/>
                <w:szCs w:val="19"/>
                <w:lang w:eastAsia="en-AU"/>
              </w:rPr>
            </w:pPr>
            <w:r w:rsidRPr="00670A0C">
              <w:rPr>
                <w:rFonts w:eastAsiaTheme="minorEastAsia" w:cs="Calibri"/>
                <w:i/>
                <w:iCs/>
                <w:color w:val="000000"/>
                <w:szCs w:val="19"/>
                <w:lang w:eastAsia="en-AU"/>
              </w:rPr>
              <w:t>% change</w:t>
            </w:r>
          </w:p>
        </w:tc>
        <w:tc>
          <w:tcPr>
            <w:tcW w:w="850" w:type="dxa"/>
            <w:tcBorders>
              <w:top w:val="nil"/>
              <w:left w:val="nil"/>
              <w:bottom w:val="single" w:sz="6" w:space="0" w:color="auto"/>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2.2</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10.1</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5.1</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4.0</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1.5</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3.2</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552DFA" w:rsidRPr="00670A0C" w:rsidRDefault="00552DFA" w:rsidP="00423C3D">
            <w:pPr>
              <w:keepLines w:val="0"/>
              <w:autoSpaceDE w:val="0"/>
              <w:autoSpaceDN w:val="0"/>
              <w:adjustRightInd w:val="0"/>
              <w:rPr>
                <w:rFonts w:eastAsiaTheme="minorEastAsia" w:cs="Calibri"/>
                <w:b/>
                <w:bCs/>
                <w:color w:val="000000"/>
                <w:szCs w:val="19"/>
                <w:lang w:eastAsia="en-AU"/>
              </w:rPr>
            </w:pPr>
            <w:r w:rsidRPr="00670A0C">
              <w:rPr>
                <w:rFonts w:eastAsiaTheme="minorEastAsia" w:cs="Calibri"/>
                <w:b/>
                <w:bCs/>
                <w:color w:val="000000"/>
                <w:szCs w:val="19"/>
                <w:lang w:eastAsia="en-AU"/>
              </w:rPr>
              <w:t>Net result from transactions</w:t>
            </w:r>
          </w:p>
        </w:tc>
        <w:tc>
          <w:tcPr>
            <w:tcW w:w="850" w:type="dxa"/>
            <w:tcBorders>
              <w:top w:val="nil"/>
              <w:left w:val="nil"/>
              <w:bottom w:val="single" w:sz="6" w:space="0" w:color="auto"/>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1 645</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(682)</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(2 110)</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(798)</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(507)</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137</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rPr>
                <w:rFonts w:eastAsiaTheme="minorEastAsia" w:cs="Calibri"/>
                <w:b/>
                <w:bCs/>
                <w:color w:val="000000"/>
                <w:szCs w:val="19"/>
                <w:lang w:eastAsia="en-AU"/>
              </w:rPr>
            </w:pPr>
            <w:r w:rsidRPr="00670A0C">
              <w:rPr>
                <w:rFonts w:eastAsiaTheme="minorEastAsia" w:cs="Calibri"/>
                <w:b/>
                <w:bCs/>
                <w:color w:val="000000"/>
                <w:szCs w:val="19"/>
                <w:lang w:eastAsia="en-AU"/>
              </w:rPr>
              <w:t>Total other economic flows included in net result</w:t>
            </w:r>
          </w:p>
        </w:tc>
        <w:tc>
          <w:tcPr>
            <w:tcW w:w="850" w:type="dxa"/>
            <w:tcBorders>
              <w:top w:val="single" w:sz="6" w:space="0" w:color="auto"/>
              <w:left w:val="nil"/>
              <w:bottom w:val="single" w:sz="6" w:space="0" w:color="auto"/>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(3 284)</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5 835</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1 655</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1 447</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1 739</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670A0C">
              <w:rPr>
                <w:rFonts w:eastAsiaTheme="minorEastAsia" w:cs="Calibri"/>
                <w:b/>
                <w:bCs/>
                <w:color w:val="000000"/>
                <w:szCs w:val="19"/>
                <w:lang w:eastAsia="en-AU"/>
              </w:rPr>
              <w:t>1 790</w:t>
            </w:r>
          </w:p>
        </w:tc>
      </w:tr>
      <w:tr w:rsidR="00552DFA" w:rsidRPr="00670A0C" w:rsidTr="00423C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bottom w:val="single" w:sz="12" w:space="0" w:color="auto"/>
            </w:tcBorders>
          </w:tcPr>
          <w:p w:rsidR="00552DFA" w:rsidRPr="00670A0C" w:rsidRDefault="00552DFA" w:rsidP="00423C3D">
            <w:pPr>
              <w:keepLines w:val="0"/>
              <w:autoSpaceDE w:val="0"/>
              <w:autoSpaceDN w:val="0"/>
              <w:adjustRightInd w:val="0"/>
              <w:rPr>
                <w:rFonts w:eastAsiaTheme="minorEastAsia" w:cs="Calibri"/>
                <w:bCs/>
                <w:color w:val="000000"/>
                <w:szCs w:val="19"/>
                <w:lang w:eastAsia="en-AU"/>
              </w:rPr>
            </w:pPr>
            <w:r w:rsidRPr="00670A0C">
              <w:rPr>
                <w:rFonts w:eastAsiaTheme="minorEastAsia" w:cs="Calibri"/>
                <w:bCs/>
                <w:color w:val="000000"/>
                <w:szCs w:val="19"/>
                <w:lang w:eastAsia="en-AU"/>
              </w:rPr>
              <w:t>Net result</w:t>
            </w:r>
          </w:p>
        </w:tc>
        <w:tc>
          <w:tcPr>
            <w:tcW w:w="850" w:type="dxa"/>
            <w:tcBorders>
              <w:top w:val="single" w:sz="6" w:space="0" w:color="auto"/>
              <w:bottom w:val="single" w:sz="12" w:space="0" w:color="auto"/>
            </w:tcBorders>
            <w:shd w:val="solid" w:color="FFFFFF" w:fill="auto"/>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(1 640)</w:t>
            </w:r>
          </w:p>
        </w:tc>
        <w:tc>
          <w:tcPr>
            <w:tcW w:w="850" w:type="dxa"/>
            <w:tcBorders>
              <w:top w:val="single" w:sz="6" w:space="0" w:color="auto"/>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670A0C">
              <w:rPr>
                <w:rFonts w:eastAsiaTheme="minorEastAsia" w:cs="Calibri"/>
                <w:bCs/>
                <w:color w:val="000000"/>
                <w:szCs w:val="19"/>
                <w:lang w:eastAsia="en-AU"/>
              </w:rPr>
              <w:t>5 152</w:t>
            </w:r>
          </w:p>
        </w:tc>
        <w:tc>
          <w:tcPr>
            <w:tcW w:w="850" w:type="dxa"/>
            <w:tcBorders>
              <w:top w:val="single" w:sz="6" w:space="0" w:color="auto"/>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(455)</w:t>
            </w:r>
          </w:p>
        </w:tc>
        <w:tc>
          <w:tcPr>
            <w:tcW w:w="850" w:type="dxa"/>
            <w:tcBorders>
              <w:top w:val="single" w:sz="6" w:space="0" w:color="auto"/>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650</w:t>
            </w:r>
          </w:p>
        </w:tc>
        <w:tc>
          <w:tcPr>
            <w:tcW w:w="850" w:type="dxa"/>
            <w:tcBorders>
              <w:top w:val="single" w:sz="6" w:space="0" w:color="auto"/>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670A0C">
              <w:rPr>
                <w:rFonts w:eastAsiaTheme="minorEastAsia" w:cs="Calibri"/>
                <w:bCs/>
                <w:color w:val="000000"/>
                <w:szCs w:val="19"/>
                <w:lang w:eastAsia="en-AU"/>
              </w:rPr>
              <w:t>1 232</w:t>
            </w:r>
          </w:p>
        </w:tc>
        <w:tc>
          <w:tcPr>
            <w:tcW w:w="850" w:type="dxa"/>
            <w:tcBorders>
              <w:top w:val="single" w:sz="6" w:space="0" w:color="auto"/>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670A0C">
              <w:rPr>
                <w:rFonts w:eastAsiaTheme="minorEastAsia" w:cs="Calibri"/>
                <w:bCs/>
                <w:color w:val="000000"/>
                <w:szCs w:val="19"/>
                <w:lang w:eastAsia="en-AU"/>
              </w:rPr>
              <w:t>1 927</w:t>
            </w:r>
          </w:p>
        </w:tc>
      </w:tr>
    </w:tbl>
    <w:p w:rsidR="00552DFA" w:rsidRPr="00A42741" w:rsidRDefault="00552DFA" w:rsidP="00423C3D">
      <w:pPr>
        <w:pStyle w:val="Source"/>
      </w:pPr>
      <w:r w:rsidRPr="00A42741">
        <w:t>Source: Department of Treasury and Finance</w:t>
      </w:r>
    </w:p>
    <w:p w:rsidR="00552DFA" w:rsidRPr="00A42741" w:rsidRDefault="00552DFA" w:rsidP="00423C3D">
      <w:pPr>
        <w:pStyle w:val="Note"/>
      </w:pPr>
      <w:r w:rsidRPr="00A42741">
        <w:t>Notes:</w:t>
      </w:r>
    </w:p>
    <w:p w:rsidR="00552DFA" w:rsidRPr="0038692D" w:rsidRDefault="00552DFA" w:rsidP="00423C3D">
      <w:pPr>
        <w:pStyle w:val="Note"/>
      </w:pPr>
      <w:r>
        <w:t>(a)</w:t>
      </w:r>
      <w:r>
        <w:tab/>
      </w:r>
      <w:r w:rsidRPr="0038692D">
        <w:t xml:space="preserve">This is a summary operating statement. The comprehensive operating statement is presented in Budget Paper No. 5 </w:t>
      </w:r>
      <w:r w:rsidRPr="00CC2648">
        <w:rPr>
          <w:i w:val="0"/>
        </w:rPr>
        <w:t>Statement of Finances</w:t>
      </w:r>
      <w:r w:rsidRPr="0038692D">
        <w:t xml:space="preserve">. Figures in this table are subject to </w:t>
      </w:r>
      <w:r>
        <w:t xml:space="preserve">rounding </w:t>
      </w:r>
      <w:r w:rsidRPr="0038692D">
        <w:t>and may not add up to the totals.</w:t>
      </w:r>
    </w:p>
    <w:p w:rsidR="00552DFA" w:rsidRDefault="00552DFA" w:rsidP="00423C3D">
      <w:pPr>
        <w:pStyle w:val="Note"/>
      </w:pPr>
      <w:r>
        <w:t>(b)</w:t>
      </w:r>
      <w:r>
        <w:tab/>
      </w:r>
      <w:r w:rsidRPr="00901459">
        <w:t>Comprises dividends, income tax and rate equivalent revenue and interest.</w:t>
      </w:r>
    </w:p>
    <w:p w:rsidR="00552DFA" w:rsidRDefault="00552DFA" w:rsidP="00423C3D">
      <w:pPr>
        <w:pStyle w:val="Note"/>
      </w:pPr>
      <w:r>
        <w:t>(c)</w:t>
      </w:r>
      <w:r>
        <w:tab/>
      </w:r>
      <w:r w:rsidRPr="00901459">
        <w:t>Comprises superannuation interest expense an</w:t>
      </w:r>
      <w:r>
        <w:t>d other superannuation expenses.</w:t>
      </w:r>
    </w:p>
    <w:p w:rsidR="00552DFA" w:rsidRDefault="00552DFA" w:rsidP="00A171DC"/>
    <w:p w:rsidR="00552DFA" w:rsidRDefault="00552DFA">
      <w:pPr>
        <w:keepLines w:val="0"/>
      </w:pPr>
      <w:r>
        <w:br w:type="page"/>
      </w:r>
    </w:p>
    <w:p w:rsidR="00552DFA" w:rsidRDefault="00552DFA" w:rsidP="00423C3D">
      <w:r w:rsidRPr="0000759A">
        <w:lastRenderedPageBreak/>
        <w:t>The PFC</w:t>
      </w:r>
      <w:r w:rsidR="00356A95">
        <w:fldChar w:fldCharType="begin"/>
      </w:r>
      <w:r w:rsidR="00356A95">
        <w:instrText xml:space="preserve"> XE "Public financial corporations" </w:instrText>
      </w:r>
      <w:r w:rsidR="00356A95">
        <w:fldChar w:fldCharType="end"/>
      </w:r>
      <w:r w:rsidRPr="0000759A">
        <w:t xml:space="preserve"> sector is forecast to record an average net surplus of $</w:t>
      </w:r>
      <w:r>
        <w:t>224 million</w:t>
      </w:r>
      <w:r w:rsidRPr="0000759A">
        <w:t xml:space="preserve"> for the years 201</w:t>
      </w:r>
      <w:r>
        <w:t>7</w:t>
      </w:r>
      <w:r>
        <w:noBreakHyphen/>
        <w:t>18 to 2020</w:t>
      </w:r>
      <w:r>
        <w:noBreakHyphen/>
        <w:t>21</w:t>
      </w:r>
      <w:r w:rsidRPr="0000759A">
        <w:t>, primarily due to positive investment returns and valuation gains associated with improved financial market conditions.</w:t>
      </w:r>
    </w:p>
    <w:p w:rsidR="00552DFA" w:rsidRDefault="00552DFA" w:rsidP="00423C3D">
      <w:r>
        <w:t>The net result, rather than the net result from transactions, is considered a more meaningful measure of the expected operating position of the PFC</w:t>
      </w:r>
      <w:r w:rsidR="00356A95">
        <w:fldChar w:fldCharType="begin"/>
      </w:r>
      <w:r w:rsidR="00356A95">
        <w:instrText xml:space="preserve"> XE "Public financial corporations" </w:instrText>
      </w:r>
      <w:r w:rsidR="00356A95">
        <w:fldChar w:fldCharType="end"/>
      </w:r>
      <w:r>
        <w:t xml:space="preserve"> sector and the State because it includes realised and unrealised gains and losses from financial instruments at fair value as well as other economic flows. Other economic flows include valuation gains on the revaluation of financial liabilities, which primarily result from movements in bond rates used to value these liabilities. </w:t>
      </w:r>
    </w:p>
    <w:p w:rsidR="00552DFA" w:rsidRPr="00E124E5" w:rsidRDefault="00552DFA" w:rsidP="00423C3D">
      <w:bookmarkStart w:id="54" w:name="_Toc449123072"/>
      <w:r>
        <w:t>The whole of State result is mainly driven by the NFPS sector.</w:t>
      </w:r>
    </w:p>
    <w:bookmarkEnd w:id="54"/>
    <w:p w:rsidR="00552DFA" w:rsidRDefault="00552DFA" w:rsidP="00D46C60">
      <w:pPr>
        <w:pStyle w:val="Heading20"/>
      </w:pPr>
      <w:r>
        <w:t>State of Victoria</w:t>
      </w:r>
      <w:r w:rsidR="00356A95">
        <w:fldChar w:fldCharType="begin"/>
      </w:r>
      <w:r w:rsidR="00356A95">
        <w:instrText xml:space="preserve"> XE "State of Victoria" </w:instrText>
      </w:r>
      <w:r w:rsidR="00356A95">
        <w:fldChar w:fldCharType="end"/>
      </w:r>
      <w:r>
        <w:t xml:space="preserve"> – financial position</w:t>
      </w:r>
    </w:p>
    <w:p w:rsidR="00552DFA" w:rsidRDefault="00552DFA" w:rsidP="00423C3D">
      <w:r w:rsidRPr="008765D0">
        <w:t>Table 5.</w:t>
      </w:r>
      <w:r>
        <w:t>6</w:t>
      </w:r>
      <w:r w:rsidRPr="008765D0">
        <w:t xml:space="preserve"> </w:t>
      </w:r>
      <w:r>
        <w:t>shows that the State’s financial position is projected to improve over the budget and forward estimates. Financial assets are estimated to increase from $55 billion in 2017</w:t>
      </w:r>
      <w:r>
        <w:noBreakHyphen/>
        <w:t>18 to $59 billion by 2020</w:t>
      </w:r>
      <w:r>
        <w:noBreakHyphen/>
        <w:t>21. Borrowings are estimated to increase from $55 billion in 2017</w:t>
      </w:r>
      <w:r>
        <w:noBreakHyphen/>
        <w:t>18 to $62 billion by 2020</w:t>
      </w:r>
      <w:r>
        <w:noBreakHyphen/>
        <w:t>21. The State’s net assets are forecast to increase from $169 billion in 2017</w:t>
      </w:r>
      <w:r>
        <w:noBreakHyphen/>
        <w:t>18 to $188 billion by 2020</w:t>
      </w:r>
      <w:r>
        <w:noBreakHyphen/>
        <w:t>21.</w:t>
      </w:r>
    </w:p>
    <w:p w:rsidR="00552DFA" w:rsidRPr="00670A0C" w:rsidRDefault="00552DFA" w:rsidP="00423C3D">
      <w:pPr>
        <w:pStyle w:val="TableHeading"/>
        <w:rPr>
          <w:bCs/>
          <w:lang w:val="en-US"/>
        </w:rPr>
      </w:pPr>
      <w:r w:rsidRPr="00A42741">
        <w:t>Table 5.</w:t>
      </w:r>
      <w:r>
        <w:t>6</w:t>
      </w:r>
      <w:r w:rsidRPr="00A42741">
        <w:t xml:space="preserve">: </w:t>
      </w:r>
      <w:r>
        <w:tab/>
        <w:t>Financial position of the State of Victoria</w:t>
      </w:r>
      <w:r w:rsidR="00356A95">
        <w:fldChar w:fldCharType="begin"/>
      </w:r>
      <w:r w:rsidR="00356A95">
        <w:instrText xml:space="preserve"> XE "State of Victoria" </w:instrText>
      </w:r>
      <w:r w:rsidR="00356A95">
        <w:fldChar w:fldCharType="end"/>
      </w:r>
      <w:r>
        <w:t xml:space="preserve"> </w:t>
      </w:r>
      <w:r w:rsidRPr="00612325">
        <w:rPr>
          <w:vertAlign w:val="superscript"/>
        </w:rPr>
        <w:t>(a)</w:t>
      </w:r>
      <w:r>
        <w:rPr>
          <w:vertAlign w:val="superscript"/>
        </w:rPr>
        <w:tab/>
      </w:r>
      <w:r w:rsidRPr="000F2F58">
        <w:t>($</w:t>
      </w:r>
      <w:r>
        <w:t> </w:t>
      </w:r>
      <w:r w:rsidRPr="000F2F58">
        <w:t>b</w:t>
      </w:r>
      <w:r>
        <w:t>illion</w:t>
      </w:r>
      <w:r w:rsidRPr="000F2F58">
        <w: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850"/>
        <w:gridCol w:w="850"/>
        <w:gridCol w:w="850"/>
        <w:gridCol w:w="850"/>
        <w:gridCol w:w="850"/>
        <w:gridCol w:w="850"/>
      </w:tblGrid>
      <w:tr w:rsidR="00552DFA" w:rsidRPr="00670A0C" w:rsidTr="00423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552DFA" w:rsidRPr="00670A0C" w:rsidRDefault="00552DFA" w:rsidP="00423C3D">
            <w:pPr>
              <w:autoSpaceDE w:val="0"/>
              <w:autoSpaceDN w:val="0"/>
              <w:adjustRightInd w:val="0"/>
              <w:jc w:val="right"/>
              <w:rPr>
                <w:rFonts w:eastAsiaTheme="minorEastAsia" w:cs="Calibri"/>
                <w:iCs/>
                <w:color w:val="FFFFFF"/>
                <w:szCs w:val="19"/>
                <w:lang w:eastAsia="en-AU"/>
              </w:rPr>
            </w:pPr>
            <w:r w:rsidRPr="00670A0C">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2015</w:t>
            </w:r>
            <w:r>
              <w:rPr>
                <w:rFonts w:eastAsiaTheme="minorEastAsia" w:cs="Calibri"/>
                <w:iCs/>
                <w:color w:val="FFFFFF"/>
                <w:szCs w:val="19"/>
                <w:lang w:eastAsia="en-AU"/>
              </w:rPr>
              <w:noBreakHyphen/>
            </w:r>
            <w:r w:rsidRPr="00670A0C">
              <w:rPr>
                <w:rFonts w:eastAsiaTheme="minorEastAsia" w:cs="Calibri"/>
                <w:iCs/>
                <w:color w:val="FFFFFF"/>
                <w:szCs w:val="19"/>
                <w:lang w:eastAsia="en-AU"/>
              </w:rPr>
              <w:t>16</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2016</w:t>
            </w:r>
            <w:r>
              <w:rPr>
                <w:rFonts w:eastAsiaTheme="minorEastAsia" w:cs="Calibri"/>
                <w:iCs/>
                <w:color w:val="FFFFFF"/>
                <w:szCs w:val="19"/>
                <w:lang w:eastAsia="en-AU"/>
              </w:rPr>
              <w:noBreakHyphen/>
            </w:r>
            <w:r w:rsidRPr="00670A0C">
              <w:rPr>
                <w:rFonts w:eastAsiaTheme="minorEastAsia" w:cs="Calibri"/>
                <w:iCs/>
                <w:color w:val="FFFFFF"/>
                <w:szCs w:val="19"/>
                <w:lang w:eastAsia="en-AU"/>
              </w:rPr>
              <w:t>17</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2017</w:t>
            </w:r>
            <w:r>
              <w:rPr>
                <w:rFonts w:eastAsiaTheme="minorEastAsia" w:cs="Calibri"/>
                <w:iCs/>
                <w:color w:val="FFFFFF"/>
                <w:szCs w:val="19"/>
                <w:lang w:eastAsia="en-AU"/>
              </w:rPr>
              <w:noBreakHyphen/>
            </w:r>
            <w:r w:rsidRPr="00670A0C">
              <w:rPr>
                <w:rFonts w:eastAsiaTheme="minorEastAsia" w:cs="Calibri"/>
                <w:iCs/>
                <w:color w:val="FFFFFF"/>
                <w:szCs w:val="19"/>
                <w:lang w:eastAsia="en-AU"/>
              </w:rPr>
              <w:t>18</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2018</w:t>
            </w:r>
            <w:r>
              <w:rPr>
                <w:rFonts w:eastAsiaTheme="minorEastAsia" w:cs="Calibri"/>
                <w:iCs/>
                <w:color w:val="FFFFFF"/>
                <w:szCs w:val="19"/>
                <w:lang w:eastAsia="en-AU"/>
              </w:rPr>
              <w:noBreakHyphen/>
            </w:r>
            <w:r w:rsidRPr="00670A0C">
              <w:rPr>
                <w:rFonts w:eastAsiaTheme="minorEastAsia" w:cs="Calibri"/>
                <w:iCs/>
                <w:color w:val="FFFFFF"/>
                <w:szCs w:val="19"/>
                <w:lang w:eastAsia="en-AU"/>
              </w:rPr>
              <w:t>19</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2019</w:t>
            </w:r>
            <w:r>
              <w:rPr>
                <w:rFonts w:eastAsiaTheme="minorEastAsia" w:cs="Calibri"/>
                <w:iCs/>
                <w:color w:val="FFFFFF"/>
                <w:szCs w:val="19"/>
                <w:lang w:eastAsia="en-AU"/>
              </w:rPr>
              <w:noBreakHyphen/>
            </w:r>
            <w:r w:rsidRPr="00670A0C">
              <w:rPr>
                <w:rFonts w:eastAsiaTheme="minorEastAsia" w:cs="Calibri"/>
                <w:iCs/>
                <w:color w:val="FFFFFF"/>
                <w:szCs w:val="19"/>
                <w:lang w:eastAsia="en-AU"/>
              </w:rPr>
              <w:t>20</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2020</w:t>
            </w:r>
            <w:r>
              <w:rPr>
                <w:rFonts w:eastAsiaTheme="minorEastAsia" w:cs="Calibri"/>
                <w:iCs/>
                <w:color w:val="FFFFFF"/>
                <w:szCs w:val="19"/>
                <w:lang w:eastAsia="en-AU"/>
              </w:rPr>
              <w:noBreakHyphen/>
            </w:r>
            <w:r w:rsidRPr="00670A0C">
              <w:rPr>
                <w:rFonts w:eastAsiaTheme="minorEastAsia" w:cs="Calibri"/>
                <w:iCs/>
                <w:color w:val="FFFFFF"/>
                <w:szCs w:val="19"/>
                <w:lang w:eastAsia="en-AU"/>
              </w:rPr>
              <w:t>21</w:t>
            </w:r>
          </w:p>
        </w:tc>
      </w:tr>
      <w:tr w:rsidR="00552DFA" w:rsidRPr="00670A0C" w:rsidTr="00423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jc w:val="right"/>
              <w:rPr>
                <w:rFonts w:eastAsiaTheme="minorEastAsia" w:cs="Calibri"/>
                <w:iCs/>
                <w:color w:val="FFFFFF"/>
                <w:szCs w:val="19"/>
                <w:lang w:eastAsia="en-AU"/>
              </w:rPr>
            </w:pPr>
            <w:r w:rsidRPr="00670A0C">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actual</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revised</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552DFA" w:rsidRPr="00670A0C"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670A0C">
              <w:rPr>
                <w:rFonts w:eastAsiaTheme="minorEastAsia" w:cs="Calibri"/>
                <w:iCs/>
                <w:color w:val="FFFFFF"/>
                <w:szCs w:val="19"/>
                <w:lang w:eastAsia="en-AU"/>
              </w:rPr>
              <w:t>estimate</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b/>
                <w:bCs/>
                <w:color w:val="000000"/>
                <w:szCs w:val="19"/>
                <w:lang w:eastAsia="en-AU"/>
              </w:rPr>
            </w:pPr>
            <w:r w:rsidRPr="00670A0C">
              <w:rPr>
                <w:rFonts w:eastAsiaTheme="minorEastAsia" w:cs="Calibri"/>
                <w:b/>
                <w:bCs/>
                <w:color w:val="000000"/>
                <w:szCs w:val="19"/>
                <w:lang w:eastAsia="en-AU"/>
              </w:rPr>
              <w:t>Assets</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vertAlign w:val="superscript"/>
                <w:lang w:eastAsia="en-AU"/>
              </w:rPr>
            </w:pPr>
            <w:r w:rsidRPr="00670A0C">
              <w:rPr>
                <w:rFonts w:eastAsiaTheme="minorEastAsia" w:cs="Calibri"/>
                <w:color w:val="000000"/>
                <w:szCs w:val="19"/>
                <w:lang w:eastAsia="en-AU"/>
              </w:rPr>
              <w:t>Total financial assets</w:t>
            </w:r>
            <w:r w:rsidRPr="00670A0C">
              <w:rPr>
                <w:rFonts w:eastAsiaTheme="minorEastAsia" w:cs="Calibri"/>
                <w:color w:val="000000"/>
                <w:szCs w:val="19"/>
                <w:vertAlign w:val="superscript"/>
                <w:lang w:eastAsia="en-AU"/>
              </w:rPr>
              <w:t xml:space="preserve"> (b)</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57</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55</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56</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57</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59</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552DFA" w:rsidRPr="00670A0C" w:rsidRDefault="00552DFA" w:rsidP="00423C3D">
            <w:pPr>
              <w:keepLines w:val="0"/>
              <w:autoSpaceDE w:val="0"/>
              <w:autoSpaceDN w:val="0"/>
              <w:adjustRightInd w:val="0"/>
              <w:rPr>
                <w:rFonts w:eastAsiaTheme="minorEastAsia" w:cs="Calibri"/>
                <w:color w:val="000000"/>
                <w:szCs w:val="19"/>
                <w:vertAlign w:val="superscript"/>
                <w:lang w:eastAsia="en-AU"/>
              </w:rPr>
            </w:pPr>
            <w:r w:rsidRPr="00670A0C">
              <w:rPr>
                <w:rFonts w:eastAsiaTheme="minorEastAsia" w:cs="Calibri"/>
                <w:color w:val="000000"/>
                <w:szCs w:val="19"/>
                <w:lang w:eastAsia="en-AU"/>
              </w:rPr>
              <w:t>Total non</w:t>
            </w:r>
            <w:r>
              <w:rPr>
                <w:rFonts w:eastAsiaTheme="minorEastAsia" w:cs="Calibri"/>
                <w:color w:val="000000"/>
                <w:szCs w:val="19"/>
                <w:lang w:eastAsia="en-AU"/>
              </w:rPr>
              <w:noBreakHyphen/>
            </w:r>
            <w:r w:rsidRPr="00670A0C">
              <w:rPr>
                <w:rFonts w:eastAsiaTheme="minorEastAsia" w:cs="Calibri"/>
                <w:color w:val="000000"/>
                <w:szCs w:val="19"/>
                <w:lang w:eastAsia="en-AU"/>
              </w:rPr>
              <w:t>financial assets</w:t>
            </w:r>
            <w:r w:rsidRPr="00670A0C">
              <w:rPr>
                <w:rFonts w:eastAsiaTheme="minorEastAsia" w:cs="Calibri"/>
                <w:color w:val="000000"/>
                <w:szCs w:val="19"/>
                <w:vertAlign w:val="superscript"/>
                <w:lang w:eastAsia="en-AU"/>
              </w:rPr>
              <w:t xml:space="preserve"> (c)</w:t>
            </w:r>
          </w:p>
        </w:tc>
        <w:tc>
          <w:tcPr>
            <w:tcW w:w="850" w:type="dxa"/>
            <w:tcBorders>
              <w:top w:val="nil"/>
              <w:left w:val="nil"/>
              <w:bottom w:val="single" w:sz="6" w:space="0" w:color="auto"/>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230</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238</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249</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255</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267</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274</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b/>
                <w:bCs/>
                <w:color w:val="000000"/>
                <w:szCs w:val="19"/>
                <w:lang w:eastAsia="en-AU"/>
              </w:rPr>
            </w:pPr>
            <w:r w:rsidRPr="00670A0C">
              <w:rPr>
                <w:rFonts w:eastAsiaTheme="minorEastAsia" w:cs="Calibri"/>
                <w:b/>
                <w:bCs/>
                <w:color w:val="000000"/>
                <w:szCs w:val="19"/>
                <w:lang w:eastAsia="en-AU"/>
              </w:rPr>
              <w:t>Total assets</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282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295</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304</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311</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324</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333</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b/>
                <w:bCs/>
                <w:color w:val="000000"/>
                <w:szCs w:val="19"/>
                <w:lang w:eastAsia="en-AU"/>
              </w:rPr>
            </w:pPr>
            <w:r w:rsidRPr="00670A0C">
              <w:rPr>
                <w:rFonts w:eastAsiaTheme="minorEastAsia" w:cs="Calibri"/>
                <w:b/>
                <w:bCs/>
                <w:color w:val="000000"/>
                <w:szCs w:val="19"/>
                <w:lang w:eastAsia="en-AU"/>
              </w:rPr>
              <w:t>Liabilities</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670A0C">
              <w:rPr>
                <w:rFonts w:eastAsiaTheme="minorEastAsia" w:cs="Calibri"/>
                <w:color w:val="000000"/>
                <w:szCs w:val="19"/>
                <w:lang w:eastAsia="en-AU"/>
              </w:rPr>
              <w:t xml:space="preserve"> </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Superannuation</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29</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25</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25</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24</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21</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Borrowings</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54</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51</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55</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57</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60</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62</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552DFA" w:rsidRPr="00670A0C" w:rsidRDefault="00552DFA" w:rsidP="00423C3D">
            <w:pPr>
              <w:keepLines w:val="0"/>
              <w:autoSpaceDE w:val="0"/>
              <w:autoSpaceDN w:val="0"/>
              <w:adjustRightInd w:val="0"/>
              <w:rPr>
                <w:rFonts w:eastAsiaTheme="minorEastAsia" w:cs="Calibri"/>
                <w:color w:val="000000"/>
                <w:szCs w:val="19"/>
                <w:lang w:eastAsia="en-AU"/>
              </w:rPr>
            </w:pPr>
            <w:r w:rsidRPr="00670A0C">
              <w:rPr>
                <w:rFonts w:eastAsiaTheme="minorEastAsia" w:cs="Calibri"/>
                <w:color w:val="000000"/>
                <w:szCs w:val="19"/>
                <w:lang w:eastAsia="en-AU"/>
              </w:rPr>
              <w:t>Deposits held and advances received</w:t>
            </w:r>
          </w:p>
        </w:tc>
        <w:tc>
          <w:tcPr>
            <w:tcW w:w="850" w:type="dxa"/>
            <w:tcBorders>
              <w:top w:val="nil"/>
              <w:left w:val="nil"/>
              <w:bottom w:val="nil"/>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3</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w:t>
            </w:r>
          </w:p>
        </w:tc>
        <w:tc>
          <w:tcPr>
            <w:tcW w:w="850" w:type="dxa"/>
            <w:tcBorders>
              <w:top w:val="nil"/>
              <w:left w:val="nil"/>
              <w:bottom w:val="nil"/>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2</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552DFA" w:rsidRPr="00670A0C" w:rsidRDefault="00552DFA" w:rsidP="00423C3D">
            <w:pPr>
              <w:keepLines w:val="0"/>
              <w:autoSpaceDE w:val="0"/>
              <w:autoSpaceDN w:val="0"/>
              <w:adjustRightInd w:val="0"/>
              <w:rPr>
                <w:rFonts w:eastAsiaTheme="minorEastAsia" w:cs="Calibri"/>
                <w:color w:val="000000"/>
                <w:szCs w:val="19"/>
                <w:vertAlign w:val="superscript"/>
                <w:lang w:eastAsia="en-AU"/>
              </w:rPr>
            </w:pPr>
            <w:r w:rsidRPr="00670A0C">
              <w:rPr>
                <w:rFonts w:eastAsiaTheme="minorEastAsia" w:cs="Calibri"/>
                <w:color w:val="000000"/>
                <w:szCs w:val="19"/>
                <w:lang w:eastAsia="en-AU"/>
              </w:rPr>
              <w:t xml:space="preserve">Other liabilities </w:t>
            </w:r>
            <w:r w:rsidRPr="00670A0C">
              <w:rPr>
                <w:rFonts w:eastAsiaTheme="minorEastAsia" w:cs="Calibri"/>
                <w:color w:val="000000"/>
                <w:szCs w:val="19"/>
                <w:vertAlign w:val="superscript"/>
                <w:lang w:eastAsia="en-AU"/>
              </w:rPr>
              <w:t>(d)</w:t>
            </w:r>
          </w:p>
        </w:tc>
        <w:tc>
          <w:tcPr>
            <w:tcW w:w="850" w:type="dxa"/>
            <w:tcBorders>
              <w:top w:val="nil"/>
              <w:left w:val="nil"/>
              <w:bottom w:val="single" w:sz="6" w:space="0" w:color="auto"/>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44</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52</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53</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57</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58</w:t>
            </w:r>
          </w:p>
        </w:tc>
        <w:tc>
          <w:tcPr>
            <w:tcW w:w="850" w:type="dxa"/>
            <w:tcBorders>
              <w:top w:val="nil"/>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Pr>
                <w:rFonts w:eastAsiaTheme="minorEastAsia" w:cs="Calibri"/>
                <w:color w:val="000000"/>
                <w:szCs w:val="19"/>
                <w:lang w:eastAsia="en-AU"/>
              </w:rPr>
              <w:t>59</w:t>
            </w:r>
          </w:p>
        </w:tc>
      </w:tr>
      <w:tr w:rsidR="00552DFA" w:rsidRPr="00670A0C" w:rsidTr="00423C3D">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rPr>
                <w:rFonts w:eastAsiaTheme="minorEastAsia" w:cs="Calibri"/>
                <w:b/>
                <w:bCs/>
                <w:color w:val="000000"/>
                <w:szCs w:val="19"/>
                <w:lang w:eastAsia="en-AU"/>
              </w:rPr>
            </w:pPr>
            <w:r w:rsidRPr="00670A0C">
              <w:rPr>
                <w:rFonts w:eastAsiaTheme="minorEastAsia" w:cs="Calibri"/>
                <w:b/>
                <w:bCs/>
                <w:color w:val="000000"/>
                <w:szCs w:val="19"/>
                <w:lang w:eastAsia="en-AU"/>
              </w:rPr>
              <w:t>Total liabilities</w:t>
            </w:r>
          </w:p>
        </w:tc>
        <w:tc>
          <w:tcPr>
            <w:tcW w:w="850" w:type="dxa"/>
            <w:tcBorders>
              <w:top w:val="single" w:sz="6" w:space="0" w:color="auto"/>
              <w:left w:val="nil"/>
              <w:bottom w:val="single" w:sz="6" w:space="0" w:color="auto"/>
              <w:right w:val="nil"/>
            </w:tcBorders>
            <w:shd w:val="solid" w:color="FFFFFF" w:fill="auto"/>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130</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130</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135</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138</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142</w:t>
            </w:r>
          </w:p>
        </w:tc>
        <w:tc>
          <w:tcPr>
            <w:tcW w:w="850" w:type="dxa"/>
            <w:tcBorders>
              <w:top w:val="single" w:sz="6" w:space="0" w:color="auto"/>
              <w:left w:val="nil"/>
              <w:bottom w:val="single" w:sz="6" w:space="0" w:color="auto"/>
              <w:right w:val="nil"/>
            </w:tcBorders>
          </w:tcPr>
          <w:p w:rsidR="00552DFA" w:rsidRPr="00670A0C"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Pr>
                <w:rFonts w:eastAsiaTheme="minorEastAsia" w:cs="Calibri"/>
                <w:b/>
                <w:bCs/>
                <w:color w:val="000000"/>
                <w:szCs w:val="19"/>
                <w:lang w:eastAsia="en-AU"/>
              </w:rPr>
              <w:t>145</w:t>
            </w:r>
          </w:p>
        </w:tc>
      </w:tr>
      <w:tr w:rsidR="00552DFA" w:rsidRPr="00670A0C" w:rsidTr="00423C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nil"/>
              <w:bottom w:val="single" w:sz="12" w:space="0" w:color="auto"/>
            </w:tcBorders>
          </w:tcPr>
          <w:p w:rsidR="00552DFA" w:rsidRPr="00670A0C" w:rsidRDefault="00552DFA" w:rsidP="00423C3D">
            <w:pPr>
              <w:keepLines w:val="0"/>
              <w:autoSpaceDE w:val="0"/>
              <w:autoSpaceDN w:val="0"/>
              <w:adjustRightInd w:val="0"/>
              <w:rPr>
                <w:rFonts w:eastAsiaTheme="minorEastAsia" w:cs="Calibri"/>
                <w:bCs/>
                <w:color w:val="000000"/>
                <w:szCs w:val="19"/>
                <w:lang w:eastAsia="en-AU"/>
              </w:rPr>
            </w:pPr>
            <w:r w:rsidRPr="00670A0C">
              <w:rPr>
                <w:rFonts w:eastAsiaTheme="minorEastAsia" w:cs="Calibri"/>
                <w:bCs/>
                <w:color w:val="000000"/>
                <w:szCs w:val="19"/>
                <w:lang w:eastAsia="en-AU"/>
              </w:rPr>
              <w:t>Net assets</w:t>
            </w:r>
          </w:p>
        </w:tc>
        <w:tc>
          <w:tcPr>
            <w:tcW w:w="850" w:type="dxa"/>
            <w:tcBorders>
              <w:top w:val="nil"/>
              <w:bottom w:val="single" w:sz="12" w:space="0" w:color="auto"/>
            </w:tcBorders>
            <w:shd w:val="solid" w:color="FFFFFF" w:fill="auto"/>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152</w:t>
            </w:r>
          </w:p>
        </w:tc>
        <w:tc>
          <w:tcPr>
            <w:tcW w:w="850" w:type="dxa"/>
            <w:tcBorders>
              <w:top w:val="nil"/>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165</w:t>
            </w:r>
          </w:p>
        </w:tc>
        <w:tc>
          <w:tcPr>
            <w:tcW w:w="850" w:type="dxa"/>
            <w:tcBorders>
              <w:top w:val="nil"/>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169</w:t>
            </w:r>
          </w:p>
        </w:tc>
        <w:tc>
          <w:tcPr>
            <w:tcW w:w="850" w:type="dxa"/>
            <w:tcBorders>
              <w:top w:val="nil"/>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172</w:t>
            </w:r>
          </w:p>
        </w:tc>
        <w:tc>
          <w:tcPr>
            <w:tcW w:w="850" w:type="dxa"/>
            <w:tcBorders>
              <w:top w:val="nil"/>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182</w:t>
            </w:r>
          </w:p>
        </w:tc>
        <w:tc>
          <w:tcPr>
            <w:tcW w:w="850" w:type="dxa"/>
            <w:tcBorders>
              <w:top w:val="nil"/>
              <w:bottom w:val="single" w:sz="12" w:space="0" w:color="auto"/>
            </w:tcBorders>
          </w:tcPr>
          <w:p w:rsidR="00552DFA" w:rsidRPr="00670A0C"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Pr>
                <w:rFonts w:eastAsiaTheme="minorEastAsia" w:cs="Calibri"/>
                <w:bCs/>
                <w:color w:val="000000"/>
                <w:szCs w:val="19"/>
                <w:lang w:eastAsia="en-AU"/>
              </w:rPr>
              <w:t>188</w:t>
            </w:r>
          </w:p>
        </w:tc>
      </w:tr>
    </w:tbl>
    <w:p w:rsidR="00552DFA" w:rsidRPr="00A42741" w:rsidRDefault="00552DFA" w:rsidP="00423C3D">
      <w:pPr>
        <w:pStyle w:val="Source"/>
      </w:pPr>
      <w:r w:rsidRPr="00A42741">
        <w:t>Source: Department of Treasury and Finance</w:t>
      </w:r>
    </w:p>
    <w:p w:rsidR="00552DFA" w:rsidRPr="00E3381F" w:rsidRDefault="00552DFA" w:rsidP="00423C3D">
      <w:pPr>
        <w:pStyle w:val="Note"/>
      </w:pPr>
      <w:r w:rsidRPr="00E3381F">
        <w:t>Notes:</w:t>
      </w:r>
    </w:p>
    <w:p w:rsidR="00552DFA" w:rsidRPr="0038692D" w:rsidRDefault="00552DFA" w:rsidP="00423C3D">
      <w:pPr>
        <w:pStyle w:val="Note"/>
      </w:pPr>
      <w:r>
        <w:t>(a)</w:t>
      </w:r>
      <w:r>
        <w:tab/>
      </w:r>
      <w:r w:rsidRPr="0038692D">
        <w:t>Figures in this table are subject t</w:t>
      </w:r>
      <w:r>
        <w:t xml:space="preserve">o rounding </w:t>
      </w:r>
      <w:r w:rsidRPr="0038692D">
        <w:t>and may not add up to the totals.</w:t>
      </w:r>
    </w:p>
    <w:p w:rsidR="00552DFA" w:rsidRPr="00E3381F" w:rsidRDefault="00552DFA" w:rsidP="00423C3D">
      <w:pPr>
        <w:pStyle w:val="Note"/>
      </w:pPr>
      <w:r>
        <w:t>(b)</w:t>
      </w:r>
      <w:r>
        <w:tab/>
      </w:r>
      <w:r w:rsidRPr="00E3381F">
        <w:t>Financial assets include cash and deposits, advances paid, investments, loans and placements, receivables, and investments accounted for using the equity method.</w:t>
      </w:r>
    </w:p>
    <w:p w:rsidR="00552DFA" w:rsidRDefault="00552DFA" w:rsidP="00423C3D">
      <w:pPr>
        <w:pStyle w:val="Note"/>
      </w:pPr>
      <w:r>
        <w:t>(c)</w:t>
      </w:r>
      <w:r>
        <w:tab/>
      </w:r>
      <w:r w:rsidRPr="00E3381F">
        <w:t>Non</w:t>
      </w:r>
      <w:r>
        <w:noBreakHyphen/>
      </w:r>
      <w:r w:rsidRPr="00E3381F">
        <w:t>financial assets include inventories, non</w:t>
      </w:r>
      <w:r>
        <w:noBreakHyphen/>
      </w:r>
      <w:r w:rsidRPr="00E3381F">
        <w:t>financial assets held for sale, land, buildings, infrastructure, plant and equipment, and other non</w:t>
      </w:r>
      <w:r>
        <w:noBreakHyphen/>
        <w:t>financial assets.</w:t>
      </w:r>
    </w:p>
    <w:p w:rsidR="00552DFA" w:rsidRDefault="00552DFA" w:rsidP="00423C3D">
      <w:pPr>
        <w:pStyle w:val="Note"/>
      </w:pPr>
      <w:r>
        <w:t>(d)</w:t>
      </w:r>
      <w:r>
        <w:tab/>
        <w:t>Other liabilities consist of payables, employee benefits and other provisions.</w:t>
      </w:r>
    </w:p>
    <w:p w:rsidR="00552DFA" w:rsidRDefault="00552DFA" w:rsidP="00794963">
      <w:pPr>
        <w:pStyle w:val="Note"/>
        <w:sectPr w:rsidR="00552DFA" w:rsidSect="008E76F5">
          <w:footerReference w:type="even" r:id="rId40"/>
          <w:footerReference w:type="default" r:id="rId41"/>
          <w:type w:val="oddPage"/>
          <w:pgSz w:w="9979" w:h="14175" w:code="34"/>
          <w:pgMar w:top="1138" w:right="1138" w:bottom="1138" w:left="1138" w:header="619" w:footer="562" w:gutter="0"/>
          <w:cols w:sep="1" w:space="567"/>
          <w:docGrid w:linePitch="360"/>
        </w:sectPr>
      </w:pPr>
    </w:p>
    <w:p w:rsidR="00552DFA" w:rsidRDefault="00552DFA" w:rsidP="00423C3D">
      <w:pPr>
        <w:pStyle w:val="Chapterheading"/>
      </w:pPr>
      <w:bookmarkStart w:id="55" w:name="_Toc481160579"/>
      <w:bookmarkStart w:id="56" w:name="_Toc481246486"/>
      <w:r>
        <w:lastRenderedPageBreak/>
        <w:t>Appendix A – Sensitivity analysis</w:t>
      </w:r>
      <w:bookmarkEnd w:id="55"/>
      <w:bookmarkEnd w:id="56"/>
    </w:p>
    <w:p w:rsidR="00552DFA" w:rsidRDefault="00552DFA" w:rsidP="00423C3D">
      <w:r>
        <w:t xml:space="preserve">The </w:t>
      </w:r>
      <w:r w:rsidRPr="00507761">
        <w:rPr>
          <w:i/>
        </w:rPr>
        <w:t>2017</w:t>
      </w:r>
      <w:r>
        <w:rPr>
          <w:i/>
        </w:rPr>
        <w:noBreakHyphen/>
      </w:r>
      <w:r w:rsidRPr="00507761">
        <w:rPr>
          <w:i/>
        </w:rPr>
        <w:t>18 Budget</w:t>
      </w:r>
      <w:r>
        <w:t xml:space="preserve"> is predicated on macroeconomic forecasts and assumptions that are subject to uncertainty. This section explores the impact of variations in these parameters on key fiscal aggregates of the general government sector.</w:t>
      </w:r>
    </w:p>
    <w:p w:rsidR="00552DFA" w:rsidRDefault="00552DFA" w:rsidP="00423C3D">
      <w:r>
        <w:t>Two types of sensitivity analysis are presented. First, the fiscal impacts of independent variations in major economic parameters are considered. This type of analysis could be useful, for example, in considering the impact of a forecast error in an individual economic parameter on the fiscal aggregates. Second, the analysis quantifies the impacts from variations to the macroeconomic outlook. This analysis takes account of the intricate linkages in the Australian economy and the influence of global variables to determine their effects on state economic variables. This provides a better understanding of the aggregate fiscal impact of the general economic environment being materially different from the forecast.</w:t>
      </w:r>
    </w:p>
    <w:p w:rsidR="00552DFA" w:rsidRDefault="00552DFA" w:rsidP="00423C3D">
      <w:r>
        <w:t>Sensitivity analysis provides a useful indication of the fiscal impact of variations in forecasts or economic conditions, however care should be exercised in interpreting these results. The relationships between economic and fiscal aggregates are complex, and typically depend on the specific characteristics of each forecast error or economic scenario. The results presented here are intended to be used as a guide and are relevant only once the conditions outlined in the assumptions for each specific case are met. A </w:t>
      </w:r>
      <w:r w:rsidRPr="005A3C3B">
        <w:t>description of the methodology is outlined in Box A.1.</w:t>
      </w:r>
    </w:p>
    <w:p w:rsidR="00552DFA" w:rsidRDefault="00552DFA" w:rsidP="00423C3D">
      <w:pPr>
        <w:pStyle w:val="Heading10"/>
      </w:pPr>
      <w:bookmarkStart w:id="57" w:name="_Toc481160580"/>
      <w:bookmarkStart w:id="58" w:name="_Toc481246487"/>
      <w:r>
        <w:t>Sensitivity to independent variations in major economic parameters</w:t>
      </w:r>
      <w:bookmarkEnd w:id="57"/>
      <w:bookmarkEnd w:id="58"/>
    </w:p>
    <w:p w:rsidR="00552DFA" w:rsidRDefault="00552DFA" w:rsidP="00423C3D">
      <w:r>
        <w:t xml:space="preserve">Table A.1 presents the sensitivity of financial aggregates where the levels of key economic parameters are 1 per cent above the forecast for the four budget years, holding all else constant. The impacts shown are broadly symmetrical. That is, the estimated fiscal impact would apply equally in the opposite direction if a 1 per cent decrease in each variable was considered. </w:t>
      </w:r>
    </w:p>
    <w:p w:rsidR="00552DFA" w:rsidRDefault="00552DFA">
      <w:pPr>
        <w:keepLines w:val="0"/>
        <w:rPr>
          <w:rFonts w:asciiTheme="majorHAnsi" w:hAnsiTheme="majorHAnsi"/>
          <w:b/>
          <w:sz w:val="20"/>
          <w:szCs w:val="20"/>
        </w:rPr>
      </w:pPr>
      <w:r>
        <w:br w:type="page"/>
      </w:r>
    </w:p>
    <w:p w:rsidR="00552DFA" w:rsidRPr="00CA19CD" w:rsidRDefault="00552DFA" w:rsidP="00423C3D">
      <w:pPr>
        <w:pStyle w:val="TableHeading"/>
      </w:pPr>
      <w:r>
        <w:lastRenderedPageBreak/>
        <w:t>Table A.1:</w:t>
      </w:r>
      <w:r>
        <w:tab/>
        <w:t xml:space="preserve">Sensitivity of key fiscal aggregates to selected indicators being </w:t>
      </w:r>
      <w:r>
        <w:br/>
        <w:t>1 per cent higher than expected from 2017</w:t>
      </w:r>
      <w:r>
        <w:noBreakHyphen/>
        <w:t xml:space="preserve">18 </w:t>
      </w:r>
      <w:r w:rsidRPr="00400C04">
        <w:rPr>
          <w:vertAlign w:val="superscript"/>
        </w:rPr>
        <w:t>(</w:t>
      </w:r>
      <w:r>
        <w:rPr>
          <w:vertAlign w:val="superscript"/>
        </w:rPr>
        <w:t>a</w:t>
      </w:r>
      <w:r w:rsidRPr="00400C04">
        <w:rPr>
          <w:vertAlign w:val="superscript"/>
        </w:rPr>
        <w:t>)(</w:t>
      </w:r>
      <w:r>
        <w:rPr>
          <w:vertAlign w:val="superscript"/>
        </w:rPr>
        <w:t>b</w:t>
      </w:r>
      <w:r w:rsidRPr="00400C04">
        <w:rPr>
          <w:vertAlign w:val="superscript"/>
        </w:rPr>
        <w:t>)(</w:t>
      </w:r>
      <w:r>
        <w:rPr>
          <w:vertAlign w:val="superscript"/>
        </w:rPr>
        <w:t>c</w:t>
      </w:r>
      <w:r w:rsidRPr="00400C04">
        <w:rPr>
          <w:vertAlign w:val="superscript"/>
        </w:rPr>
        <w:t>)(</w:t>
      </w:r>
      <w:r>
        <w:rPr>
          <w:vertAlign w:val="superscript"/>
        </w:rPr>
        <w:t>d</w:t>
      </w:r>
      <w:r w:rsidRPr="00400C04">
        <w:rPr>
          <w:vertAlign w:val="superscript"/>
        </w:rPr>
        <w:t>)</w:t>
      </w:r>
      <w:r>
        <w:rPr>
          <w:vertAlign w:val="superscript"/>
        </w:rPr>
        <w:tab/>
      </w:r>
      <w:r w:rsidRPr="001578E9">
        <w:t>($</w:t>
      </w:r>
      <w:r>
        <w:t> </w:t>
      </w:r>
      <w:r w:rsidRPr="001578E9">
        <w:t>m</w:t>
      </w:r>
      <w:r>
        <w:t>illion</w:t>
      </w:r>
      <w:r w:rsidRPr="001578E9">
        <w:t>)</w:t>
      </w:r>
    </w:p>
    <w:tbl>
      <w:tblPr>
        <w:tblStyle w:val="DTFTable"/>
        <w:tblW w:w="7767" w:type="dxa"/>
        <w:tblInd w:w="45" w:type="dxa"/>
        <w:tblLayout w:type="fixed"/>
        <w:tblCellMar>
          <w:left w:w="45" w:type="dxa"/>
          <w:right w:w="45" w:type="dxa"/>
        </w:tblCellMar>
        <w:tblLook w:val="06E0" w:firstRow="1" w:lastRow="1" w:firstColumn="1" w:lastColumn="0" w:noHBand="1" w:noVBand="1"/>
      </w:tblPr>
      <w:tblGrid>
        <w:gridCol w:w="3877"/>
        <w:gridCol w:w="972"/>
        <w:gridCol w:w="973"/>
        <w:gridCol w:w="972"/>
        <w:gridCol w:w="973"/>
      </w:tblGrid>
      <w:tr w:rsidR="00552DFA" w:rsidRPr="00CA19CD" w:rsidTr="00866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6" w:space="0" w:color="auto"/>
              <w:right w:val="nil"/>
            </w:tcBorders>
            <w:shd w:val="solid" w:color="000000" w:fill="auto"/>
          </w:tcPr>
          <w:p w:rsidR="00552DFA" w:rsidRPr="00CA19CD" w:rsidRDefault="00552DFA" w:rsidP="00423C3D">
            <w:pPr>
              <w:keepLines w:val="0"/>
              <w:autoSpaceDE w:val="0"/>
              <w:autoSpaceDN w:val="0"/>
              <w:adjustRightInd w:val="0"/>
              <w:rPr>
                <w:rFonts w:eastAsiaTheme="minorEastAsia" w:cs="Calibri"/>
                <w:color w:val="FFFFFF"/>
                <w:szCs w:val="20"/>
                <w:lang w:eastAsia="en-AU"/>
              </w:rPr>
            </w:pPr>
            <w:r w:rsidRPr="00CA19CD">
              <w:rPr>
                <w:rFonts w:eastAsiaTheme="minorEastAsia" w:cs="Calibri"/>
                <w:color w:val="FFFFFF"/>
                <w:szCs w:val="20"/>
                <w:lang w:eastAsia="en-AU"/>
              </w:rPr>
              <w:t xml:space="preserve"> </w:t>
            </w:r>
          </w:p>
        </w:tc>
        <w:tc>
          <w:tcPr>
            <w:tcW w:w="972" w:type="dxa"/>
            <w:tcBorders>
              <w:top w:val="single" w:sz="6" w:space="0" w:color="auto"/>
              <w:left w:val="nil"/>
              <w:bottom w:val="single" w:sz="6" w:space="0" w:color="auto"/>
              <w:right w:val="nil"/>
            </w:tcBorders>
            <w:shd w:val="solid" w:color="000000" w:fill="auto"/>
          </w:tcPr>
          <w:p w:rsidR="00552DFA" w:rsidRPr="00CA19CD"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A19CD">
              <w:rPr>
                <w:rFonts w:eastAsiaTheme="minorEastAsia" w:cs="Calibri"/>
                <w:iCs/>
                <w:color w:val="FFFFFF"/>
                <w:szCs w:val="20"/>
                <w:lang w:eastAsia="en-AU"/>
              </w:rPr>
              <w:t>2017</w:t>
            </w:r>
            <w:r>
              <w:rPr>
                <w:rFonts w:eastAsiaTheme="minorEastAsia" w:cs="Calibri"/>
                <w:iCs/>
                <w:color w:val="FFFFFF"/>
                <w:szCs w:val="20"/>
                <w:lang w:eastAsia="en-AU"/>
              </w:rPr>
              <w:noBreakHyphen/>
            </w:r>
            <w:r w:rsidRPr="00CA19CD">
              <w:rPr>
                <w:rFonts w:eastAsiaTheme="minorEastAsia" w:cs="Calibri"/>
                <w:iCs/>
                <w:color w:val="FFFFFF"/>
                <w:szCs w:val="20"/>
                <w:lang w:eastAsia="en-AU"/>
              </w:rPr>
              <w:t>18 estimate</w:t>
            </w:r>
          </w:p>
        </w:tc>
        <w:tc>
          <w:tcPr>
            <w:tcW w:w="973" w:type="dxa"/>
            <w:tcBorders>
              <w:top w:val="single" w:sz="6" w:space="0" w:color="auto"/>
              <w:left w:val="nil"/>
              <w:bottom w:val="single" w:sz="6" w:space="0" w:color="auto"/>
              <w:right w:val="nil"/>
            </w:tcBorders>
            <w:shd w:val="solid" w:color="000000" w:fill="auto"/>
          </w:tcPr>
          <w:p w:rsidR="00552DFA" w:rsidRPr="00CA19CD"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A19CD">
              <w:rPr>
                <w:rFonts w:eastAsiaTheme="minorEastAsia" w:cs="Calibri"/>
                <w:iCs/>
                <w:color w:val="FFFFFF"/>
                <w:szCs w:val="20"/>
                <w:lang w:eastAsia="en-AU"/>
              </w:rPr>
              <w:t>2018</w:t>
            </w:r>
            <w:r>
              <w:rPr>
                <w:rFonts w:eastAsiaTheme="minorEastAsia" w:cs="Calibri"/>
                <w:iCs/>
                <w:color w:val="FFFFFF"/>
                <w:szCs w:val="20"/>
                <w:lang w:eastAsia="en-AU"/>
              </w:rPr>
              <w:noBreakHyphen/>
            </w:r>
            <w:r w:rsidRPr="00CA19CD">
              <w:rPr>
                <w:rFonts w:eastAsiaTheme="minorEastAsia" w:cs="Calibri"/>
                <w:iCs/>
                <w:color w:val="FFFFFF"/>
                <w:szCs w:val="20"/>
                <w:lang w:eastAsia="en-AU"/>
              </w:rPr>
              <w:t>19 estimate</w:t>
            </w:r>
          </w:p>
        </w:tc>
        <w:tc>
          <w:tcPr>
            <w:tcW w:w="972" w:type="dxa"/>
            <w:tcBorders>
              <w:top w:val="single" w:sz="6" w:space="0" w:color="auto"/>
              <w:left w:val="nil"/>
              <w:bottom w:val="single" w:sz="6" w:space="0" w:color="auto"/>
              <w:right w:val="nil"/>
            </w:tcBorders>
            <w:shd w:val="solid" w:color="000000" w:fill="auto"/>
          </w:tcPr>
          <w:p w:rsidR="00552DFA" w:rsidRPr="00CA19CD"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A19CD">
              <w:rPr>
                <w:rFonts w:eastAsiaTheme="minorEastAsia" w:cs="Calibri"/>
                <w:iCs/>
                <w:color w:val="FFFFFF"/>
                <w:szCs w:val="20"/>
                <w:lang w:eastAsia="en-AU"/>
              </w:rPr>
              <w:t>2019</w:t>
            </w:r>
            <w:r>
              <w:rPr>
                <w:rFonts w:eastAsiaTheme="minorEastAsia" w:cs="Calibri"/>
                <w:iCs/>
                <w:color w:val="FFFFFF"/>
                <w:szCs w:val="20"/>
                <w:lang w:eastAsia="en-AU"/>
              </w:rPr>
              <w:noBreakHyphen/>
            </w:r>
            <w:r w:rsidRPr="00CA19CD">
              <w:rPr>
                <w:rFonts w:eastAsiaTheme="minorEastAsia" w:cs="Calibri"/>
                <w:iCs/>
                <w:color w:val="FFFFFF"/>
                <w:szCs w:val="20"/>
                <w:lang w:eastAsia="en-AU"/>
              </w:rPr>
              <w:t>20 estimate</w:t>
            </w:r>
          </w:p>
        </w:tc>
        <w:tc>
          <w:tcPr>
            <w:tcW w:w="973" w:type="dxa"/>
            <w:tcBorders>
              <w:top w:val="single" w:sz="6" w:space="0" w:color="auto"/>
              <w:left w:val="nil"/>
              <w:bottom w:val="single" w:sz="6" w:space="0" w:color="auto"/>
              <w:right w:val="nil"/>
            </w:tcBorders>
            <w:shd w:val="solid" w:color="000000" w:fill="auto"/>
          </w:tcPr>
          <w:p w:rsidR="00552DFA" w:rsidRPr="00CA19CD"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A19CD">
              <w:rPr>
                <w:rFonts w:eastAsiaTheme="minorEastAsia" w:cs="Calibri"/>
                <w:iCs/>
                <w:color w:val="FFFFFF"/>
                <w:szCs w:val="20"/>
                <w:lang w:eastAsia="en-AU"/>
              </w:rPr>
              <w:t>2020</w:t>
            </w:r>
            <w:r>
              <w:rPr>
                <w:rFonts w:eastAsiaTheme="minorEastAsia" w:cs="Calibri"/>
                <w:iCs/>
                <w:color w:val="FFFFFF"/>
                <w:szCs w:val="20"/>
                <w:lang w:eastAsia="en-AU"/>
              </w:rPr>
              <w:noBreakHyphen/>
            </w:r>
            <w:r w:rsidRPr="00CA19CD">
              <w:rPr>
                <w:rFonts w:eastAsiaTheme="minorEastAsia" w:cs="Calibri"/>
                <w:iCs/>
                <w:color w:val="FFFFFF"/>
                <w:szCs w:val="20"/>
                <w:lang w:eastAsia="en-AU"/>
              </w:rPr>
              <w:t>21 estimate</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GSP</w:t>
            </w: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Income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113</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124</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131</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139</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Expenses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0</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A19CD">
              <w:rPr>
                <w:rFonts w:eastAsiaTheme="minorEastAsia" w:cs="Calibri"/>
                <w:color w:val="000000"/>
                <w:szCs w:val="20"/>
                <w:lang w:eastAsia="en-AU"/>
              </w:rPr>
              <w:t>(5</w:t>
            </w:r>
            <w:r w:rsidRPr="00CA19CD">
              <w:t>)</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(11)</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(17)</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6" w:space="0" w:color="auto"/>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Net result from transactions</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112</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129</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142</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156</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12" w:space="0" w:color="auto"/>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Net debt</w:t>
            </w:r>
            <w:r w:rsidR="00356A95">
              <w:rPr>
                <w:rFonts w:eastAsiaTheme="minorEastAsia" w:cs="Calibri"/>
                <w:b/>
                <w:bCs/>
                <w:color w:val="000000"/>
                <w:szCs w:val="20"/>
                <w:lang w:eastAsia="en-AU"/>
              </w:rPr>
              <w:fldChar w:fldCharType="begin"/>
            </w:r>
            <w:r w:rsidR="00356A95">
              <w:rPr>
                <w:rFonts w:eastAsiaTheme="minorEastAsia" w:cs="Calibri"/>
                <w:b/>
                <w:bCs/>
                <w:color w:val="000000"/>
                <w:szCs w:val="20"/>
                <w:lang w:eastAsia="en-AU"/>
              </w:rPr>
              <w:instrText xml:space="preserve"> XE "</w:instrText>
            </w:r>
            <w:r w:rsidR="00356A95">
              <w:instrText>Debt:Net debt"</w:instrText>
            </w:r>
            <w:r w:rsidR="00356A95">
              <w:rPr>
                <w:rFonts w:eastAsiaTheme="minorEastAsia" w:cs="Calibri"/>
                <w:b/>
                <w:bCs/>
                <w:color w:val="000000"/>
                <w:szCs w:val="20"/>
                <w:lang w:eastAsia="en-AU"/>
              </w:rPr>
              <w:instrText xml:space="preserve"> </w:instrText>
            </w:r>
            <w:r w:rsidR="00356A95">
              <w:rPr>
                <w:rFonts w:eastAsiaTheme="minorEastAsia" w:cs="Calibri"/>
                <w:b/>
                <w:bCs/>
                <w:color w:val="000000"/>
                <w:szCs w:val="20"/>
                <w:lang w:eastAsia="en-AU"/>
              </w:rPr>
              <w:fldChar w:fldCharType="end"/>
            </w:r>
          </w:p>
        </w:tc>
        <w:tc>
          <w:tcPr>
            <w:tcW w:w="972"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(112)</w:t>
            </w:r>
          </w:p>
        </w:tc>
        <w:tc>
          <w:tcPr>
            <w:tcW w:w="973"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(241)</w:t>
            </w:r>
          </w:p>
        </w:tc>
        <w:tc>
          <w:tcPr>
            <w:tcW w:w="972"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(383)</w:t>
            </w:r>
          </w:p>
        </w:tc>
        <w:tc>
          <w:tcPr>
            <w:tcW w:w="973"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(539)</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Employment</w:t>
            </w:r>
            <w:r>
              <w:rPr>
                <w:rFonts w:eastAsiaTheme="minorEastAsia" w:cs="Calibri"/>
                <w:b/>
                <w:bCs/>
                <w:color w:val="000000"/>
                <w:szCs w:val="20"/>
                <w:vertAlign w:val="superscript"/>
                <w:lang w:eastAsia="en-AU"/>
              </w:rPr>
              <w:t xml:space="preserve"> (e</w:t>
            </w:r>
            <w:r w:rsidRPr="00CA19CD">
              <w:rPr>
                <w:rFonts w:eastAsiaTheme="minorEastAsia" w:cs="Calibri"/>
                <w:b/>
                <w:bCs/>
                <w:color w:val="000000"/>
                <w:szCs w:val="20"/>
                <w:vertAlign w:val="superscript"/>
                <w:lang w:eastAsia="en-AU"/>
              </w:rPr>
              <w:t>)</w:t>
            </w: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Income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79</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79</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84</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88</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Expenses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233</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253</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268</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282</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6" w:space="0" w:color="auto"/>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Net result from transactions</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A19CD">
              <w:rPr>
                <w:rFonts w:eastAsiaTheme="minorEastAsia" w:cs="Calibri"/>
                <w:b/>
                <w:bCs/>
                <w:color w:val="000000"/>
                <w:szCs w:val="20"/>
                <w:lang w:eastAsia="en-AU"/>
              </w:rPr>
              <w:t>(154</w:t>
            </w:r>
            <w:r w:rsidRPr="00CA19CD">
              <w:t>)</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A19CD">
              <w:rPr>
                <w:rFonts w:eastAsiaTheme="minorEastAsia" w:cs="Calibri"/>
                <w:b/>
                <w:bCs/>
                <w:color w:val="000000"/>
                <w:szCs w:val="20"/>
                <w:lang w:eastAsia="en-AU"/>
              </w:rPr>
              <w:t>(174</w:t>
            </w:r>
            <w:r w:rsidRPr="00CA19CD">
              <w:t>)</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A19CD">
              <w:rPr>
                <w:rFonts w:eastAsiaTheme="minorEastAsia" w:cs="Calibri"/>
                <w:b/>
                <w:bCs/>
                <w:color w:val="000000"/>
                <w:szCs w:val="20"/>
                <w:lang w:eastAsia="en-AU"/>
              </w:rPr>
              <w:t>(184</w:t>
            </w:r>
            <w:r w:rsidRPr="00CA19CD">
              <w:t>)</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A19CD">
              <w:rPr>
                <w:rFonts w:eastAsiaTheme="minorEastAsia" w:cs="Calibri"/>
                <w:b/>
                <w:bCs/>
                <w:color w:val="000000"/>
                <w:szCs w:val="20"/>
                <w:lang w:eastAsia="en-AU"/>
              </w:rPr>
              <w:t>(194</w:t>
            </w:r>
            <w:r w:rsidRPr="00CA19CD">
              <w:t>)</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12" w:space="0" w:color="auto"/>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Net debt</w:t>
            </w:r>
            <w:r w:rsidR="00356A95">
              <w:rPr>
                <w:rFonts w:eastAsiaTheme="minorEastAsia" w:cs="Calibri"/>
                <w:b/>
                <w:bCs/>
                <w:color w:val="000000"/>
                <w:szCs w:val="20"/>
                <w:lang w:eastAsia="en-AU"/>
              </w:rPr>
              <w:fldChar w:fldCharType="begin"/>
            </w:r>
            <w:r w:rsidR="00356A95">
              <w:rPr>
                <w:rFonts w:eastAsiaTheme="minorEastAsia" w:cs="Calibri"/>
                <w:b/>
                <w:bCs/>
                <w:color w:val="000000"/>
                <w:szCs w:val="20"/>
                <w:lang w:eastAsia="en-AU"/>
              </w:rPr>
              <w:instrText xml:space="preserve"> XE "</w:instrText>
            </w:r>
            <w:r w:rsidR="00356A95">
              <w:instrText>Debt:Net debt"</w:instrText>
            </w:r>
            <w:r w:rsidR="00356A95">
              <w:rPr>
                <w:rFonts w:eastAsiaTheme="minorEastAsia" w:cs="Calibri"/>
                <w:b/>
                <w:bCs/>
                <w:color w:val="000000"/>
                <w:szCs w:val="20"/>
                <w:lang w:eastAsia="en-AU"/>
              </w:rPr>
              <w:instrText xml:space="preserve"> </w:instrText>
            </w:r>
            <w:r w:rsidR="00356A95">
              <w:rPr>
                <w:rFonts w:eastAsiaTheme="minorEastAsia" w:cs="Calibri"/>
                <w:b/>
                <w:bCs/>
                <w:color w:val="000000"/>
                <w:szCs w:val="20"/>
                <w:lang w:eastAsia="en-AU"/>
              </w:rPr>
              <w:fldChar w:fldCharType="end"/>
            </w:r>
          </w:p>
        </w:tc>
        <w:tc>
          <w:tcPr>
            <w:tcW w:w="972"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154</w:t>
            </w:r>
          </w:p>
        </w:tc>
        <w:tc>
          <w:tcPr>
            <w:tcW w:w="973"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328</w:t>
            </w:r>
          </w:p>
        </w:tc>
        <w:tc>
          <w:tcPr>
            <w:tcW w:w="972"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512</w:t>
            </w:r>
          </w:p>
        </w:tc>
        <w:tc>
          <w:tcPr>
            <w:tcW w:w="973"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706</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b/>
                <w:bCs/>
                <w:color w:val="000000"/>
                <w:szCs w:val="20"/>
                <w:vertAlign w:val="superscript"/>
                <w:lang w:eastAsia="en-AU"/>
              </w:rPr>
            </w:pPr>
            <w:r w:rsidRPr="00CA19CD">
              <w:rPr>
                <w:rFonts w:eastAsiaTheme="minorEastAsia" w:cs="Calibri"/>
                <w:b/>
                <w:bCs/>
                <w:color w:val="000000"/>
                <w:szCs w:val="20"/>
                <w:lang w:eastAsia="en-AU"/>
              </w:rPr>
              <w:t>Consumer prices</w:t>
            </w:r>
            <w:r>
              <w:rPr>
                <w:rFonts w:eastAsiaTheme="minorEastAsia" w:cs="Calibri"/>
                <w:b/>
                <w:bCs/>
                <w:color w:val="000000"/>
                <w:szCs w:val="20"/>
                <w:vertAlign w:val="superscript"/>
                <w:lang w:eastAsia="en-AU"/>
              </w:rPr>
              <w:t xml:space="preserve"> (f</w:t>
            </w:r>
            <w:r w:rsidRPr="00CA19CD">
              <w:rPr>
                <w:rFonts w:eastAsiaTheme="minorEastAsia" w:cs="Calibri"/>
                <w:b/>
                <w:bCs/>
                <w:color w:val="000000"/>
                <w:szCs w:val="20"/>
                <w:vertAlign w:val="superscript"/>
                <w:lang w:eastAsia="en-AU"/>
              </w:rPr>
              <w:t>)</w:t>
            </w: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Income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136</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259</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279</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293</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Expenses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204</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218</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216</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226</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6" w:space="0" w:color="auto"/>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Net result from transactions</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A19CD">
              <w:rPr>
                <w:rFonts w:eastAsiaTheme="minorEastAsia" w:cs="Calibri"/>
                <w:b/>
                <w:bCs/>
                <w:color w:val="000000"/>
                <w:szCs w:val="20"/>
                <w:lang w:eastAsia="en-AU"/>
              </w:rPr>
              <w:t>(68</w:t>
            </w:r>
            <w:r w:rsidRPr="00CA19CD">
              <w:t>)</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42</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63</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68</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12" w:space="0" w:color="auto"/>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Net debt</w:t>
            </w:r>
            <w:r w:rsidR="00356A95">
              <w:rPr>
                <w:rFonts w:eastAsiaTheme="minorEastAsia" w:cs="Calibri"/>
                <w:b/>
                <w:bCs/>
                <w:color w:val="000000"/>
                <w:szCs w:val="20"/>
                <w:lang w:eastAsia="en-AU"/>
              </w:rPr>
              <w:fldChar w:fldCharType="begin"/>
            </w:r>
            <w:r w:rsidR="00356A95">
              <w:rPr>
                <w:rFonts w:eastAsiaTheme="minorEastAsia" w:cs="Calibri"/>
                <w:b/>
                <w:bCs/>
                <w:color w:val="000000"/>
                <w:szCs w:val="20"/>
                <w:lang w:eastAsia="en-AU"/>
              </w:rPr>
              <w:instrText xml:space="preserve"> XE "</w:instrText>
            </w:r>
            <w:r w:rsidR="00356A95">
              <w:instrText>Debt:Net debt"</w:instrText>
            </w:r>
            <w:r w:rsidR="00356A95">
              <w:rPr>
                <w:rFonts w:eastAsiaTheme="minorEastAsia" w:cs="Calibri"/>
                <w:b/>
                <w:bCs/>
                <w:color w:val="000000"/>
                <w:szCs w:val="20"/>
                <w:lang w:eastAsia="en-AU"/>
              </w:rPr>
              <w:instrText xml:space="preserve"> </w:instrText>
            </w:r>
            <w:r w:rsidR="00356A95">
              <w:rPr>
                <w:rFonts w:eastAsiaTheme="minorEastAsia" w:cs="Calibri"/>
                <w:b/>
                <w:bCs/>
                <w:color w:val="000000"/>
                <w:szCs w:val="20"/>
                <w:lang w:eastAsia="en-AU"/>
              </w:rPr>
              <w:fldChar w:fldCharType="end"/>
            </w:r>
          </w:p>
        </w:tc>
        <w:tc>
          <w:tcPr>
            <w:tcW w:w="972"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65</w:t>
            </w:r>
          </w:p>
        </w:tc>
        <w:tc>
          <w:tcPr>
            <w:tcW w:w="973"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15</w:t>
            </w:r>
          </w:p>
        </w:tc>
        <w:tc>
          <w:tcPr>
            <w:tcW w:w="972"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(57)</w:t>
            </w:r>
          </w:p>
        </w:tc>
        <w:tc>
          <w:tcPr>
            <w:tcW w:w="973"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(134)</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 xml:space="preserve">Average weekly earnings </w:t>
            </w: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Income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A19CD">
              <w:rPr>
                <w:rFonts w:eastAsiaTheme="minorEastAsia" w:cs="Calibri"/>
                <w:color w:val="000000"/>
                <w:szCs w:val="20"/>
                <w:lang w:eastAsia="en-AU"/>
              </w:rPr>
              <w:t>(42</w:t>
            </w:r>
            <w:r w:rsidRPr="00CA19CD">
              <w:t>)</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1</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39</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35</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Expenses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5</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6</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6</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4</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6" w:space="0" w:color="auto"/>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Net result from transactions</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A19CD">
              <w:rPr>
                <w:rFonts w:eastAsiaTheme="minorEastAsia" w:cs="Calibri"/>
                <w:b/>
                <w:bCs/>
                <w:color w:val="000000"/>
                <w:szCs w:val="20"/>
                <w:lang w:eastAsia="en-AU"/>
              </w:rPr>
              <w:t>(47</w:t>
            </w:r>
            <w:r w:rsidRPr="00CA19CD">
              <w:t>)</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(6)</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33</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31</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12" w:space="0" w:color="auto"/>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Net debt</w:t>
            </w:r>
            <w:r w:rsidR="00356A95">
              <w:rPr>
                <w:rFonts w:eastAsiaTheme="minorEastAsia" w:cs="Calibri"/>
                <w:b/>
                <w:bCs/>
                <w:color w:val="000000"/>
                <w:szCs w:val="20"/>
                <w:lang w:eastAsia="en-AU"/>
              </w:rPr>
              <w:fldChar w:fldCharType="begin"/>
            </w:r>
            <w:r w:rsidR="00356A95">
              <w:rPr>
                <w:rFonts w:eastAsiaTheme="minorEastAsia" w:cs="Calibri"/>
                <w:b/>
                <w:bCs/>
                <w:color w:val="000000"/>
                <w:szCs w:val="20"/>
                <w:lang w:eastAsia="en-AU"/>
              </w:rPr>
              <w:instrText xml:space="preserve"> XE "</w:instrText>
            </w:r>
            <w:r w:rsidR="00356A95">
              <w:instrText>Debt:Net debt"</w:instrText>
            </w:r>
            <w:r w:rsidR="00356A95">
              <w:rPr>
                <w:rFonts w:eastAsiaTheme="minorEastAsia" w:cs="Calibri"/>
                <w:b/>
                <w:bCs/>
                <w:color w:val="000000"/>
                <w:szCs w:val="20"/>
                <w:lang w:eastAsia="en-AU"/>
              </w:rPr>
              <w:instrText xml:space="preserve"> </w:instrText>
            </w:r>
            <w:r w:rsidR="00356A95">
              <w:rPr>
                <w:rFonts w:eastAsiaTheme="minorEastAsia" w:cs="Calibri"/>
                <w:b/>
                <w:bCs/>
                <w:color w:val="000000"/>
                <w:szCs w:val="20"/>
                <w:lang w:eastAsia="en-AU"/>
              </w:rPr>
              <w:fldChar w:fldCharType="end"/>
            </w:r>
          </w:p>
        </w:tc>
        <w:tc>
          <w:tcPr>
            <w:tcW w:w="972"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47</w:t>
            </w:r>
          </w:p>
        </w:tc>
        <w:tc>
          <w:tcPr>
            <w:tcW w:w="973"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53</w:t>
            </w:r>
          </w:p>
        </w:tc>
        <w:tc>
          <w:tcPr>
            <w:tcW w:w="972"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20</w:t>
            </w:r>
          </w:p>
        </w:tc>
        <w:tc>
          <w:tcPr>
            <w:tcW w:w="973"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(12)</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b/>
                <w:bCs/>
                <w:color w:val="000000"/>
                <w:szCs w:val="20"/>
                <w:vertAlign w:val="superscript"/>
                <w:lang w:eastAsia="en-AU"/>
              </w:rPr>
            </w:pPr>
            <w:r w:rsidRPr="00CA19CD">
              <w:rPr>
                <w:rFonts w:eastAsiaTheme="minorEastAsia" w:cs="Calibri"/>
                <w:b/>
                <w:bCs/>
                <w:color w:val="000000"/>
                <w:szCs w:val="20"/>
                <w:lang w:eastAsia="en-AU"/>
              </w:rPr>
              <w:t xml:space="preserve">Total employee expenses </w:t>
            </w:r>
            <w:r w:rsidRPr="00CA19CD">
              <w:rPr>
                <w:rFonts w:eastAsiaTheme="minorEastAsia" w:cs="Calibri"/>
                <w:b/>
                <w:bCs/>
                <w:color w:val="000000"/>
                <w:szCs w:val="20"/>
                <w:vertAlign w:val="superscript"/>
                <w:lang w:eastAsia="en-AU"/>
              </w:rPr>
              <w:t>(</w:t>
            </w:r>
            <w:r>
              <w:rPr>
                <w:rFonts w:eastAsiaTheme="minorEastAsia" w:cs="Calibri"/>
                <w:b/>
                <w:bCs/>
                <w:color w:val="000000"/>
                <w:szCs w:val="20"/>
                <w:vertAlign w:val="superscript"/>
                <w:lang w:eastAsia="en-AU"/>
              </w:rPr>
              <w:t>g</w:t>
            </w:r>
            <w:r w:rsidRPr="00CA19CD">
              <w:rPr>
                <w:rFonts w:eastAsiaTheme="minorEastAsia" w:cs="Calibri"/>
                <w:b/>
                <w:bCs/>
                <w:color w:val="000000"/>
                <w:szCs w:val="20"/>
                <w:vertAlign w:val="superscript"/>
                <w:lang w:eastAsia="en-AU"/>
              </w:rPr>
              <w:t>)</w:t>
            </w: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Income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A19CD">
              <w:rPr>
                <w:rFonts w:eastAsiaTheme="minorEastAsia" w:cs="Calibri"/>
                <w:color w:val="000000"/>
                <w:szCs w:val="20"/>
                <w:lang w:eastAsia="en-AU"/>
              </w:rPr>
              <w:t>..</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23</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81</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89</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Expenses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235</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289</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308</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328</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6" w:space="0" w:color="auto"/>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Net result from transactions</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(235)</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(265)</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(227)</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(239)</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12" w:space="0" w:color="auto"/>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Net debt</w:t>
            </w:r>
            <w:r w:rsidR="00356A95">
              <w:rPr>
                <w:rFonts w:eastAsiaTheme="minorEastAsia" w:cs="Calibri"/>
                <w:b/>
                <w:bCs/>
                <w:color w:val="000000"/>
                <w:szCs w:val="20"/>
                <w:lang w:eastAsia="en-AU"/>
              </w:rPr>
              <w:fldChar w:fldCharType="begin"/>
            </w:r>
            <w:r w:rsidR="00356A95">
              <w:rPr>
                <w:rFonts w:eastAsiaTheme="minorEastAsia" w:cs="Calibri"/>
                <w:b/>
                <w:bCs/>
                <w:color w:val="000000"/>
                <w:szCs w:val="20"/>
                <w:lang w:eastAsia="en-AU"/>
              </w:rPr>
              <w:instrText xml:space="preserve"> XE "</w:instrText>
            </w:r>
            <w:r w:rsidR="00356A95">
              <w:instrText>Debt:Net debt"</w:instrText>
            </w:r>
            <w:r w:rsidR="00356A95">
              <w:rPr>
                <w:rFonts w:eastAsiaTheme="minorEastAsia" w:cs="Calibri"/>
                <w:b/>
                <w:bCs/>
                <w:color w:val="000000"/>
                <w:szCs w:val="20"/>
                <w:lang w:eastAsia="en-AU"/>
              </w:rPr>
              <w:instrText xml:space="preserve"> </w:instrText>
            </w:r>
            <w:r w:rsidR="00356A95">
              <w:rPr>
                <w:rFonts w:eastAsiaTheme="minorEastAsia" w:cs="Calibri"/>
                <w:b/>
                <w:bCs/>
                <w:color w:val="000000"/>
                <w:szCs w:val="20"/>
                <w:lang w:eastAsia="en-AU"/>
              </w:rPr>
              <w:fldChar w:fldCharType="end"/>
            </w:r>
          </w:p>
        </w:tc>
        <w:tc>
          <w:tcPr>
            <w:tcW w:w="972"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235</w:t>
            </w:r>
          </w:p>
        </w:tc>
        <w:tc>
          <w:tcPr>
            <w:tcW w:w="973"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509</w:t>
            </w:r>
          </w:p>
        </w:tc>
        <w:tc>
          <w:tcPr>
            <w:tcW w:w="972"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802</w:t>
            </w:r>
          </w:p>
        </w:tc>
        <w:tc>
          <w:tcPr>
            <w:tcW w:w="973"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1115</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 xml:space="preserve">Domestic share prices </w:t>
            </w: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Income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6</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4</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1</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Expenses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A19CD">
              <w:rPr>
                <w:rFonts w:eastAsiaTheme="minorEastAsia" w:cs="Calibri"/>
                <w:color w:val="000000"/>
                <w:szCs w:val="20"/>
                <w:lang w:eastAsia="en-AU"/>
              </w:rPr>
              <w:t>(0)</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(3)</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6" w:space="0" w:color="auto"/>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Net result from transactions</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6</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6</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4</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4</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12" w:space="0" w:color="auto"/>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Net debt</w:t>
            </w:r>
            <w:r w:rsidR="00356A95">
              <w:rPr>
                <w:rFonts w:eastAsiaTheme="minorEastAsia" w:cs="Calibri"/>
                <w:b/>
                <w:bCs/>
                <w:color w:val="000000"/>
                <w:szCs w:val="20"/>
                <w:lang w:eastAsia="en-AU"/>
              </w:rPr>
              <w:fldChar w:fldCharType="begin"/>
            </w:r>
            <w:r w:rsidR="00356A95">
              <w:rPr>
                <w:rFonts w:eastAsiaTheme="minorEastAsia" w:cs="Calibri"/>
                <w:b/>
                <w:bCs/>
                <w:color w:val="000000"/>
                <w:szCs w:val="20"/>
                <w:lang w:eastAsia="en-AU"/>
              </w:rPr>
              <w:instrText xml:space="preserve"> XE "</w:instrText>
            </w:r>
            <w:r w:rsidR="00356A95">
              <w:instrText>Debt:Net debt"</w:instrText>
            </w:r>
            <w:r w:rsidR="00356A95">
              <w:rPr>
                <w:rFonts w:eastAsiaTheme="minorEastAsia" w:cs="Calibri"/>
                <w:b/>
                <w:bCs/>
                <w:color w:val="000000"/>
                <w:szCs w:val="20"/>
                <w:lang w:eastAsia="en-AU"/>
              </w:rPr>
              <w:instrText xml:space="preserve"> </w:instrText>
            </w:r>
            <w:r w:rsidR="00356A95">
              <w:rPr>
                <w:rFonts w:eastAsiaTheme="minorEastAsia" w:cs="Calibri"/>
                <w:b/>
                <w:bCs/>
                <w:color w:val="000000"/>
                <w:szCs w:val="20"/>
                <w:lang w:eastAsia="en-AU"/>
              </w:rPr>
              <w:fldChar w:fldCharType="end"/>
            </w:r>
          </w:p>
        </w:tc>
        <w:tc>
          <w:tcPr>
            <w:tcW w:w="972"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(6)</w:t>
            </w:r>
          </w:p>
        </w:tc>
        <w:tc>
          <w:tcPr>
            <w:tcW w:w="973"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(10)</w:t>
            </w:r>
          </w:p>
        </w:tc>
        <w:tc>
          <w:tcPr>
            <w:tcW w:w="972"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(12)</w:t>
            </w:r>
          </w:p>
        </w:tc>
        <w:tc>
          <w:tcPr>
            <w:tcW w:w="973"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(14)</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 xml:space="preserve">Overseas share prices </w:t>
            </w: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Income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17</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10</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6</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4</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Expenses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A19CD">
              <w:rPr>
                <w:rFonts w:eastAsiaTheme="minorEastAsia" w:cs="Calibri"/>
                <w:color w:val="000000"/>
                <w:szCs w:val="20"/>
                <w:lang w:eastAsia="en-AU"/>
              </w:rPr>
              <w:t>(0)</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(3)</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(3)</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(4)</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6" w:space="0" w:color="auto"/>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Net result from transactions</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17</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13</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9</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8</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12" w:space="0" w:color="auto"/>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Net debt</w:t>
            </w:r>
            <w:r w:rsidR="00356A95">
              <w:rPr>
                <w:rFonts w:eastAsiaTheme="minorEastAsia" w:cs="Calibri"/>
                <w:b/>
                <w:bCs/>
                <w:color w:val="000000"/>
                <w:szCs w:val="20"/>
                <w:lang w:eastAsia="en-AU"/>
              </w:rPr>
              <w:fldChar w:fldCharType="begin"/>
            </w:r>
            <w:r w:rsidR="00356A95">
              <w:rPr>
                <w:rFonts w:eastAsiaTheme="minorEastAsia" w:cs="Calibri"/>
                <w:b/>
                <w:bCs/>
                <w:color w:val="000000"/>
                <w:szCs w:val="20"/>
                <w:lang w:eastAsia="en-AU"/>
              </w:rPr>
              <w:instrText xml:space="preserve"> XE "</w:instrText>
            </w:r>
            <w:r w:rsidR="00356A95">
              <w:instrText>Debt:Net debt"</w:instrText>
            </w:r>
            <w:r w:rsidR="00356A95">
              <w:rPr>
                <w:rFonts w:eastAsiaTheme="minorEastAsia" w:cs="Calibri"/>
                <w:b/>
                <w:bCs/>
                <w:color w:val="000000"/>
                <w:szCs w:val="20"/>
                <w:lang w:eastAsia="en-AU"/>
              </w:rPr>
              <w:instrText xml:space="preserve"> </w:instrText>
            </w:r>
            <w:r w:rsidR="00356A95">
              <w:rPr>
                <w:rFonts w:eastAsiaTheme="minorEastAsia" w:cs="Calibri"/>
                <w:b/>
                <w:bCs/>
                <w:color w:val="000000"/>
                <w:szCs w:val="20"/>
                <w:lang w:eastAsia="en-AU"/>
              </w:rPr>
              <w:fldChar w:fldCharType="end"/>
            </w:r>
          </w:p>
        </w:tc>
        <w:tc>
          <w:tcPr>
            <w:tcW w:w="972"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(17)</w:t>
            </w:r>
          </w:p>
        </w:tc>
        <w:tc>
          <w:tcPr>
            <w:tcW w:w="973"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(28)</w:t>
            </w:r>
          </w:p>
        </w:tc>
        <w:tc>
          <w:tcPr>
            <w:tcW w:w="972"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(35)</w:t>
            </w:r>
          </w:p>
        </w:tc>
        <w:tc>
          <w:tcPr>
            <w:tcW w:w="973"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(41)</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ind w:left="176" w:hanging="176"/>
            </w:pPr>
            <w:r w:rsidRPr="00CA19CD">
              <w:rPr>
                <w:rFonts w:eastAsiaTheme="minorEastAsia" w:cs="Calibri"/>
                <w:b/>
                <w:bCs/>
                <w:color w:val="000000"/>
                <w:szCs w:val="20"/>
                <w:lang w:eastAsia="en-AU"/>
              </w:rPr>
              <w:t>Property prices</w:t>
            </w: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Income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68</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86</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90</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95</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Expenses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(6)</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(10)</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(14)</w:t>
            </w:r>
          </w:p>
        </w:tc>
      </w:tr>
      <w:tr w:rsidR="00552DFA" w:rsidRPr="00CA19CD" w:rsidTr="00866ECE">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6" w:space="0" w:color="auto"/>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Net result from transactions</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70</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92</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100</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109</w:t>
            </w:r>
          </w:p>
        </w:tc>
      </w:tr>
      <w:tr w:rsidR="00552DFA" w:rsidRPr="00CA19CD" w:rsidTr="00866EC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bottom w:val="single" w:sz="12" w:space="0" w:color="auto"/>
            </w:tcBorders>
          </w:tcPr>
          <w:p w:rsidR="00552DFA" w:rsidRPr="00CA19CD" w:rsidRDefault="00552DFA" w:rsidP="00423C3D">
            <w:pPr>
              <w:keepLines w:val="0"/>
              <w:autoSpaceDE w:val="0"/>
              <w:autoSpaceDN w:val="0"/>
              <w:adjustRightInd w:val="0"/>
              <w:rPr>
                <w:rFonts w:eastAsiaTheme="minorEastAsia" w:cs="Calibri"/>
                <w:b w:val="0"/>
                <w:bCs/>
                <w:color w:val="000000"/>
                <w:szCs w:val="20"/>
                <w:lang w:eastAsia="en-AU"/>
              </w:rPr>
            </w:pPr>
            <w:r w:rsidRPr="00CA19CD">
              <w:rPr>
                <w:rFonts w:eastAsiaTheme="minorEastAsia" w:cs="Calibri"/>
                <w:b w:val="0"/>
                <w:bCs/>
                <w:color w:val="000000"/>
                <w:szCs w:val="20"/>
                <w:lang w:eastAsia="en-AU"/>
              </w:rPr>
              <w:t>Net debt</w:t>
            </w:r>
            <w:r w:rsidR="00356A95">
              <w:rPr>
                <w:rFonts w:eastAsiaTheme="minorEastAsia" w:cs="Calibri"/>
                <w:bCs/>
                <w:color w:val="000000"/>
                <w:szCs w:val="20"/>
                <w:lang w:eastAsia="en-AU"/>
              </w:rPr>
              <w:fldChar w:fldCharType="begin"/>
            </w:r>
            <w:r w:rsidR="00356A95">
              <w:rPr>
                <w:rFonts w:eastAsiaTheme="minorEastAsia" w:cs="Calibri"/>
                <w:b w:val="0"/>
                <w:bCs/>
                <w:color w:val="000000"/>
                <w:szCs w:val="20"/>
                <w:lang w:eastAsia="en-AU"/>
              </w:rPr>
              <w:instrText xml:space="preserve"> XE "</w:instrText>
            </w:r>
            <w:r w:rsidR="00356A95">
              <w:instrText>Debt:Net debt"</w:instrText>
            </w:r>
            <w:r w:rsidR="00356A95">
              <w:rPr>
                <w:rFonts w:eastAsiaTheme="minorEastAsia" w:cs="Calibri"/>
                <w:b w:val="0"/>
                <w:bCs/>
                <w:color w:val="000000"/>
                <w:szCs w:val="20"/>
                <w:lang w:eastAsia="en-AU"/>
              </w:rPr>
              <w:instrText xml:space="preserve"> </w:instrText>
            </w:r>
            <w:r w:rsidR="00356A95">
              <w:rPr>
                <w:rFonts w:eastAsiaTheme="minorEastAsia" w:cs="Calibri"/>
                <w:bCs/>
                <w:color w:val="000000"/>
                <w:szCs w:val="20"/>
                <w:lang w:eastAsia="en-AU"/>
              </w:rPr>
              <w:fldChar w:fldCharType="end"/>
            </w:r>
          </w:p>
        </w:tc>
        <w:tc>
          <w:tcPr>
            <w:tcW w:w="972" w:type="dxa"/>
            <w:tcBorders>
              <w:top w:val="single" w:sz="6" w:space="0" w:color="auto"/>
              <w:bottom w:val="single" w:sz="12" w:space="0" w:color="auto"/>
            </w:tcBorders>
            <w:shd w:val="solid" w:color="FFFFFF" w:fill="auto"/>
          </w:tcPr>
          <w:p w:rsidR="00552DFA" w:rsidRPr="00CA19CD"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bCs/>
                <w:color w:val="000000"/>
                <w:szCs w:val="20"/>
                <w:lang w:eastAsia="en-AU"/>
              </w:rPr>
            </w:pPr>
            <w:r w:rsidRPr="00CA19CD">
              <w:rPr>
                <w:rFonts w:eastAsiaTheme="minorEastAsia" w:cs="Calibri"/>
                <w:b w:val="0"/>
                <w:bCs/>
                <w:color w:val="000000"/>
                <w:szCs w:val="20"/>
                <w:lang w:eastAsia="en-AU"/>
              </w:rPr>
              <w:t>(73)</w:t>
            </w:r>
          </w:p>
        </w:tc>
        <w:tc>
          <w:tcPr>
            <w:tcW w:w="973" w:type="dxa"/>
            <w:tcBorders>
              <w:top w:val="single" w:sz="6" w:space="0" w:color="auto"/>
              <w:bottom w:val="single" w:sz="12" w:space="0" w:color="auto"/>
            </w:tcBorders>
            <w:shd w:val="solid" w:color="FFFFFF" w:fill="auto"/>
          </w:tcPr>
          <w:p w:rsidR="00552DFA" w:rsidRPr="00CA19CD"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bCs/>
                <w:color w:val="000000"/>
                <w:szCs w:val="20"/>
                <w:lang w:eastAsia="en-AU"/>
              </w:rPr>
            </w:pPr>
            <w:r w:rsidRPr="00CA19CD">
              <w:rPr>
                <w:rFonts w:eastAsiaTheme="minorEastAsia" w:cs="Calibri"/>
                <w:b w:val="0"/>
                <w:bCs/>
                <w:color w:val="000000"/>
                <w:szCs w:val="20"/>
                <w:lang w:eastAsia="en-AU"/>
              </w:rPr>
              <w:t>(170)</w:t>
            </w:r>
          </w:p>
        </w:tc>
        <w:tc>
          <w:tcPr>
            <w:tcW w:w="972" w:type="dxa"/>
            <w:tcBorders>
              <w:top w:val="single" w:sz="6" w:space="0" w:color="auto"/>
              <w:bottom w:val="single" w:sz="12" w:space="0" w:color="auto"/>
            </w:tcBorders>
            <w:shd w:val="solid" w:color="FFFFFF" w:fill="auto"/>
          </w:tcPr>
          <w:p w:rsidR="00552DFA" w:rsidRPr="00CA19CD"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bCs/>
                <w:color w:val="000000"/>
                <w:szCs w:val="20"/>
                <w:lang w:eastAsia="en-AU"/>
              </w:rPr>
            </w:pPr>
            <w:r w:rsidRPr="00CA19CD">
              <w:rPr>
                <w:rFonts w:eastAsiaTheme="minorEastAsia" w:cs="Calibri"/>
                <w:b w:val="0"/>
                <w:bCs/>
                <w:color w:val="000000"/>
                <w:szCs w:val="20"/>
                <w:lang w:eastAsia="en-AU"/>
              </w:rPr>
              <w:t>(272)</w:t>
            </w:r>
          </w:p>
        </w:tc>
        <w:tc>
          <w:tcPr>
            <w:tcW w:w="973" w:type="dxa"/>
            <w:tcBorders>
              <w:top w:val="single" w:sz="6" w:space="0" w:color="auto"/>
              <w:bottom w:val="single" w:sz="12" w:space="0" w:color="auto"/>
            </w:tcBorders>
            <w:shd w:val="solid" w:color="FFFFFF" w:fill="auto"/>
          </w:tcPr>
          <w:p w:rsidR="00552DFA" w:rsidRPr="00CA19CD"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bCs/>
                <w:color w:val="000000"/>
                <w:szCs w:val="20"/>
                <w:lang w:eastAsia="en-AU"/>
              </w:rPr>
            </w:pPr>
            <w:r w:rsidRPr="00CA19CD">
              <w:rPr>
                <w:rFonts w:eastAsiaTheme="minorEastAsia" w:cs="Calibri"/>
                <w:b w:val="0"/>
                <w:bCs/>
                <w:color w:val="000000"/>
                <w:szCs w:val="20"/>
                <w:lang w:eastAsia="en-AU"/>
              </w:rPr>
              <w:t>(384)</w:t>
            </w:r>
          </w:p>
        </w:tc>
      </w:tr>
    </w:tbl>
    <w:p w:rsidR="00866ECE" w:rsidRDefault="00866ECE"/>
    <w:p w:rsidR="00866ECE" w:rsidRPr="00CA19CD" w:rsidRDefault="00866ECE" w:rsidP="00866ECE">
      <w:pPr>
        <w:pStyle w:val="TableHeading"/>
      </w:pPr>
      <w:r>
        <w:lastRenderedPageBreak/>
        <w:t>Table A.1:</w:t>
      </w:r>
      <w:r>
        <w:tab/>
        <w:t xml:space="preserve">Sensitivity of key fiscal aggregates to selected indicators being </w:t>
      </w:r>
      <w:r>
        <w:br/>
        <w:t>1 per cent higher than expected from 2017</w:t>
      </w:r>
      <w:r>
        <w:noBreakHyphen/>
        <w:t>18</w:t>
      </w:r>
      <w:r>
        <w:rPr>
          <w:vertAlign w:val="superscript"/>
        </w:rPr>
        <w:t xml:space="preserve"> </w:t>
      </w:r>
      <w:r w:rsidRPr="00866ECE">
        <w:rPr>
          <w:i/>
        </w:rPr>
        <w:t>(continued)</w:t>
      </w:r>
      <w:r>
        <w:rPr>
          <w:vertAlign w:val="superscript"/>
        </w:rPr>
        <w:tab/>
      </w:r>
      <w:r w:rsidRPr="001578E9">
        <w:t>($</w:t>
      </w:r>
      <w:r>
        <w:t> </w:t>
      </w:r>
      <w:r w:rsidRPr="001578E9">
        <w:t>m</w:t>
      </w:r>
      <w:r>
        <w:t>illion</w:t>
      </w:r>
      <w:r w:rsidRPr="001578E9">
        <w:t>)</w:t>
      </w:r>
    </w:p>
    <w:tbl>
      <w:tblPr>
        <w:tblStyle w:val="DTFTable"/>
        <w:tblW w:w="7767" w:type="dxa"/>
        <w:tblInd w:w="45" w:type="dxa"/>
        <w:tblLayout w:type="fixed"/>
        <w:tblCellMar>
          <w:left w:w="45" w:type="dxa"/>
          <w:right w:w="45" w:type="dxa"/>
        </w:tblCellMar>
        <w:tblLook w:val="06E0" w:firstRow="1" w:lastRow="1" w:firstColumn="1" w:lastColumn="0" w:noHBand="1" w:noVBand="1"/>
      </w:tblPr>
      <w:tblGrid>
        <w:gridCol w:w="3877"/>
        <w:gridCol w:w="972"/>
        <w:gridCol w:w="973"/>
        <w:gridCol w:w="972"/>
        <w:gridCol w:w="973"/>
      </w:tblGrid>
      <w:tr w:rsidR="00866ECE" w:rsidRPr="00CA19CD" w:rsidTr="008F2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6" w:space="0" w:color="auto"/>
              <w:right w:val="nil"/>
            </w:tcBorders>
            <w:shd w:val="solid" w:color="000000" w:fill="auto"/>
          </w:tcPr>
          <w:p w:rsidR="00866ECE" w:rsidRPr="00CA19CD" w:rsidRDefault="00866ECE" w:rsidP="008F2AE0">
            <w:pPr>
              <w:keepLines w:val="0"/>
              <w:autoSpaceDE w:val="0"/>
              <w:autoSpaceDN w:val="0"/>
              <w:adjustRightInd w:val="0"/>
              <w:rPr>
                <w:rFonts w:eastAsiaTheme="minorEastAsia" w:cs="Calibri"/>
                <w:color w:val="FFFFFF"/>
                <w:szCs w:val="20"/>
                <w:lang w:eastAsia="en-AU"/>
              </w:rPr>
            </w:pPr>
            <w:r w:rsidRPr="00CA19CD">
              <w:rPr>
                <w:rFonts w:eastAsiaTheme="minorEastAsia" w:cs="Calibri"/>
                <w:color w:val="FFFFFF"/>
                <w:szCs w:val="20"/>
                <w:lang w:eastAsia="en-AU"/>
              </w:rPr>
              <w:t xml:space="preserve"> </w:t>
            </w:r>
          </w:p>
        </w:tc>
        <w:tc>
          <w:tcPr>
            <w:tcW w:w="972" w:type="dxa"/>
            <w:tcBorders>
              <w:top w:val="single" w:sz="6" w:space="0" w:color="auto"/>
              <w:left w:val="nil"/>
              <w:bottom w:val="single" w:sz="6" w:space="0" w:color="auto"/>
              <w:right w:val="nil"/>
            </w:tcBorders>
            <w:shd w:val="solid" w:color="000000" w:fill="auto"/>
          </w:tcPr>
          <w:p w:rsidR="00866ECE" w:rsidRPr="00CA19CD" w:rsidRDefault="00866ECE" w:rsidP="008F2AE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A19CD">
              <w:rPr>
                <w:rFonts w:eastAsiaTheme="minorEastAsia" w:cs="Calibri"/>
                <w:iCs/>
                <w:color w:val="FFFFFF"/>
                <w:szCs w:val="20"/>
                <w:lang w:eastAsia="en-AU"/>
              </w:rPr>
              <w:t>2017</w:t>
            </w:r>
            <w:r>
              <w:rPr>
                <w:rFonts w:eastAsiaTheme="minorEastAsia" w:cs="Calibri"/>
                <w:iCs/>
                <w:color w:val="FFFFFF"/>
                <w:szCs w:val="20"/>
                <w:lang w:eastAsia="en-AU"/>
              </w:rPr>
              <w:noBreakHyphen/>
            </w:r>
            <w:r w:rsidRPr="00CA19CD">
              <w:rPr>
                <w:rFonts w:eastAsiaTheme="minorEastAsia" w:cs="Calibri"/>
                <w:iCs/>
                <w:color w:val="FFFFFF"/>
                <w:szCs w:val="20"/>
                <w:lang w:eastAsia="en-AU"/>
              </w:rPr>
              <w:t>18 estimate</w:t>
            </w:r>
          </w:p>
        </w:tc>
        <w:tc>
          <w:tcPr>
            <w:tcW w:w="973" w:type="dxa"/>
            <w:tcBorders>
              <w:top w:val="single" w:sz="6" w:space="0" w:color="auto"/>
              <w:left w:val="nil"/>
              <w:bottom w:val="single" w:sz="6" w:space="0" w:color="auto"/>
              <w:right w:val="nil"/>
            </w:tcBorders>
            <w:shd w:val="solid" w:color="000000" w:fill="auto"/>
          </w:tcPr>
          <w:p w:rsidR="00866ECE" w:rsidRPr="00CA19CD" w:rsidRDefault="00866ECE" w:rsidP="008F2AE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A19CD">
              <w:rPr>
                <w:rFonts w:eastAsiaTheme="minorEastAsia" w:cs="Calibri"/>
                <w:iCs/>
                <w:color w:val="FFFFFF"/>
                <w:szCs w:val="20"/>
                <w:lang w:eastAsia="en-AU"/>
              </w:rPr>
              <w:t>2018</w:t>
            </w:r>
            <w:r>
              <w:rPr>
                <w:rFonts w:eastAsiaTheme="minorEastAsia" w:cs="Calibri"/>
                <w:iCs/>
                <w:color w:val="FFFFFF"/>
                <w:szCs w:val="20"/>
                <w:lang w:eastAsia="en-AU"/>
              </w:rPr>
              <w:noBreakHyphen/>
            </w:r>
            <w:r w:rsidRPr="00CA19CD">
              <w:rPr>
                <w:rFonts w:eastAsiaTheme="minorEastAsia" w:cs="Calibri"/>
                <w:iCs/>
                <w:color w:val="FFFFFF"/>
                <w:szCs w:val="20"/>
                <w:lang w:eastAsia="en-AU"/>
              </w:rPr>
              <w:t>19 estimate</w:t>
            </w:r>
          </w:p>
        </w:tc>
        <w:tc>
          <w:tcPr>
            <w:tcW w:w="972" w:type="dxa"/>
            <w:tcBorders>
              <w:top w:val="single" w:sz="6" w:space="0" w:color="auto"/>
              <w:left w:val="nil"/>
              <w:bottom w:val="single" w:sz="6" w:space="0" w:color="auto"/>
              <w:right w:val="nil"/>
            </w:tcBorders>
            <w:shd w:val="solid" w:color="000000" w:fill="auto"/>
          </w:tcPr>
          <w:p w:rsidR="00866ECE" w:rsidRPr="00CA19CD" w:rsidRDefault="00866ECE" w:rsidP="008F2AE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A19CD">
              <w:rPr>
                <w:rFonts w:eastAsiaTheme="minorEastAsia" w:cs="Calibri"/>
                <w:iCs/>
                <w:color w:val="FFFFFF"/>
                <w:szCs w:val="20"/>
                <w:lang w:eastAsia="en-AU"/>
              </w:rPr>
              <w:t>2019</w:t>
            </w:r>
            <w:r>
              <w:rPr>
                <w:rFonts w:eastAsiaTheme="minorEastAsia" w:cs="Calibri"/>
                <w:iCs/>
                <w:color w:val="FFFFFF"/>
                <w:szCs w:val="20"/>
                <w:lang w:eastAsia="en-AU"/>
              </w:rPr>
              <w:noBreakHyphen/>
            </w:r>
            <w:r w:rsidRPr="00CA19CD">
              <w:rPr>
                <w:rFonts w:eastAsiaTheme="minorEastAsia" w:cs="Calibri"/>
                <w:iCs/>
                <w:color w:val="FFFFFF"/>
                <w:szCs w:val="20"/>
                <w:lang w:eastAsia="en-AU"/>
              </w:rPr>
              <w:t>20 estimate</w:t>
            </w:r>
          </w:p>
        </w:tc>
        <w:tc>
          <w:tcPr>
            <w:tcW w:w="973" w:type="dxa"/>
            <w:tcBorders>
              <w:top w:val="single" w:sz="6" w:space="0" w:color="auto"/>
              <w:left w:val="nil"/>
              <w:bottom w:val="single" w:sz="6" w:space="0" w:color="auto"/>
              <w:right w:val="nil"/>
            </w:tcBorders>
            <w:shd w:val="solid" w:color="000000" w:fill="auto"/>
          </w:tcPr>
          <w:p w:rsidR="00866ECE" w:rsidRPr="00CA19CD" w:rsidRDefault="00866ECE" w:rsidP="008F2AE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A19CD">
              <w:rPr>
                <w:rFonts w:eastAsiaTheme="minorEastAsia" w:cs="Calibri"/>
                <w:iCs/>
                <w:color w:val="FFFFFF"/>
                <w:szCs w:val="20"/>
                <w:lang w:eastAsia="en-AU"/>
              </w:rPr>
              <w:t>2020</w:t>
            </w:r>
            <w:r>
              <w:rPr>
                <w:rFonts w:eastAsiaTheme="minorEastAsia" w:cs="Calibri"/>
                <w:iCs/>
                <w:color w:val="FFFFFF"/>
                <w:szCs w:val="20"/>
                <w:lang w:eastAsia="en-AU"/>
              </w:rPr>
              <w:noBreakHyphen/>
            </w:r>
            <w:r w:rsidRPr="00CA19CD">
              <w:rPr>
                <w:rFonts w:eastAsiaTheme="minorEastAsia" w:cs="Calibri"/>
                <w:iCs/>
                <w:color w:val="FFFFFF"/>
                <w:szCs w:val="20"/>
                <w:lang w:eastAsia="en-AU"/>
              </w:rPr>
              <w:t>21 estimate</w:t>
            </w:r>
          </w:p>
        </w:tc>
      </w:tr>
      <w:tr w:rsidR="00552DFA" w:rsidRPr="00CA19CD" w:rsidTr="00866ECE">
        <w:tblPrEx>
          <w:tblLook w:val="06C0" w:firstRow="0"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866ECE">
            <w:pPr>
              <w:keepLines w:val="0"/>
              <w:autoSpaceDE w:val="0"/>
              <w:autoSpaceDN w:val="0"/>
              <w:adjustRightInd w:val="0"/>
              <w:ind w:left="173" w:hanging="173"/>
              <w:rPr>
                <w:rFonts w:eastAsiaTheme="minorEastAsia" w:cs="Calibri"/>
                <w:b/>
                <w:bCs/>
                <w:color w:val="000000"/>
                <w:szCs w:val="20"/>
                <w:lang w:eastAsia="en-AU"/>
              </w:rPr>
            </w:pPr>
            <w:r w:rsidRPr="00CA19CD">
              <w:rPr>
                <w:rFonts w:eastAsiaTheme="minorEastAsia" w:cs="Calibri"/>
                <w:b/>
                <w:bCs/>
                <w:color w:val="000000"/>
                <w:szCs w:val="20"/>
                <w:lang w:eastAsia="en-AU"/>
              </w:rPr>
              <w:t>Property volumes</w:t>
            </w: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552DFA" w:rsidRPr="00CA19CD" w:rsidTr="00866ECE">
        <w:tblPrEx>
          <w:tblLook w:val="06C0" w:firstRow="0"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Income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64</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67</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71</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74</w:t>
            </w:r>
          </w:p>
        </w:tc>
      </w:tr>
      <w:tr w:rsidR="00552DFA" w:rsidRPr="00CA19CD" w:rsidTr="00866ECE">
        <w:tblPrEx>
          <w:tblLook w:val="06C0" w:firstRow="0"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Expenses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(5)</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(8)</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(11)</w:t>
            </w:r>
          </w:p>
        </w:tc>
      </w:tr>
      <w:tr w:rsidR="00552DFA" w:rsidRPr="00CA19CD" w:rsidTr="00866ECE">
        <w:tblPrEx>
          <w:tblLook w:val="06C0" w:firstRow="0"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6" w:space="0" w:color="auto"/>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Net result from transactions</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66</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72</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79</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86</w:t>
            </w:r>
          </w:p>
        </w:tc>
      </w:tr>
      <w:tr w:rsidR="00552DFA" w:rsidRPr="00CA19CD" w:rsidTr="00866ECE">
        <w:tblPrEx>
          <w:tblLook w:val="06C0" w:firstRow="0"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12" w:space="0" w:color="auto"/>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Net debt</w:t>
            </w:r>
            <w:r w:rsidR="00356A95">
              <w:rPr>
                <w:rFonts w:eastAsiaTheme="minorEastAsia" w:cs="Calibri"/>
                <w:b/>
                <w:bCs/>
                <w:color w:val="000000"/>
                <w:szCs w:val="20"/>
                <w:lang w:eastAsia="en-AU"/>
              </w:rPr>
              <w:fldChar w:fldCharType="begin"/>
            </w:r>
            <w:r w:rsidR="00356A95">
              <w:rPr>
                <w:rFonts w:eastAsiaTheme="minorEastAsia" w:cs="Calibri"/>
                <w:b/>
                <w:bCs/>
                <w:color w:val="000000"/>
                <w:szCs w:val="20"/>
                <w:lang w:eastAsia="en-AU"/>
              </w:rPr>
              <w:instrText xml:space="preserve"> XE "</w:instrText>
            </w:r>
            <w:r w:rsidR="00356A95">
              <w:instrText>Debt:Net debt"</w:instrText>
            </w:r>
            <w:r w:rsidR="00356A95">
              <w:rPr>
                <w:rFonts w:eastAsiaTheme="minorEastAsia" w:cs="Calibri"/>
                <w:b/>
                <w:bCs/>
                <w:color w:val="000000"/>
                <w:szCs w:val="20"/>
                <w:lang w:eastAsia="en-AU"/>
              </w:rPr>
              <w:instrText xml:space="preserve"> </w:instrText>
            </w:r>
            <w:r w:rsidR="00356A95">
              <w:rPr>
                <w:rFonts w:eastAsiaTheme="minorEastAsia" w:cs="Calibri"/>
                <w:b/>
                <w:bCs/>
                <w:color w:val="000000"/>
                <w:szCs w:val="20"/>
                <w:lang w:eastAsia="en-AU"/>
              </w:rPr>
              <w:fldChar w:fldCharType="end"/>
            </w:r>
          </w:p>
        </w:tc>
        <w:tc>
          <w:tcPr>
            <w:tcW w:w="972"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(66)</w:t>
            </w:r>
          </w:p>
        </w:tc>
        <w:tc>
          <w:tcPr>
            <w:tcW w:w="973"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(137)</w:t>
            </w:r>
          </w:p>
        </w:tc>
        <w:tc>
          <w:tcPr>
            <w:tcW w:w="972"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(216)</w:t>
            </w:r>
          </w:p>
        </w:tc>
        <w:tc>
          <w:tcPr>
            <w:tcW w:w="973" w:type="dxa"/>
            <w:tcBorders>
              <w:top w:val="single" w:sz="6" w:space="0" w:color="auto"/>
              <w:left w:val="nil"/>
              <w:bottom w:val="single" w:sz="12"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(301)</w:t>
            </w:r>
          </w:p>
        </w:tc>
      </w:tr>
      <w:tr w:rsidR="00552DFA" w:rsidRPr="00CA19CD" w:rsidTr="00866ECE">
        <w:tblPrEx>
          <w:tblLook w:val="06C0" w:firstRow="0"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b/>
                <w:bCs/>
                <w:color w:val="000000"/>
                <w:szCs w:val="20"/>
                <w:vertAlign w:val="superscript"/>
                <w:lang w:eastAsia="en-AU"/>
              </w:rPr>
            </w:pPr>
            <w:r w:rsidRPr="00CA19CD">
              <w:rPr>
                <w:rFonts w:eastAsiaTheme="minorEastAsia" w:cs="Calibri"/>
                <w:b/>
                <w:bCs/>
                <w:color w:val="000000"/>
                <w:szCs w:val="20"/>
                <w:lang w:eastAsia="en-AU"/>
              </w:rPr>
              <w:t xml:space="preserve">Interest rates </w:t>
            </w:r>
            <w:r w:rsidRPr="00CA19CD">
              <w:rPr>
                <w:rFonts w:eastAsiaTheme="minorEastAsia" w:cs="Calibri"/>
                <w:b/>
                <w:bCs/>
                <w:color w:val="000000"/>
                <w:szCs w:val="20"/>
                <w:vertAlign w:val="superscript"/>
                <w:lang w:eastAsia="en-AU"/>
              </w:rPr>
              <w:t>(</w:t>
            </w:r>
            <w:r>
              <w:rPr>
                <w:rFonts w:eastAsiaTheme="minorEastAsia" w:cs="Calibri"/>
                <w:b/>
                <w:bCs/>
                <w:color w:val="000000"/>
                <w:szCs w:val="20"/>
                <w:vertAlign w:val="superscript"/>
                <w:lang w:eastAsia="en-AU"/>
              </w:rPr>
              <w:t>h</w:t>
            </w:r>
            <w:r w:rsidRPr="00CA19CD">
              <w:rPr>
                <w:rFonts w:eastAsiaTheme="minorEastAsia" w:cs="Calibri"/>
                <w:b/>
                <w:bCs/>
                <w:color w:val="000000"/>
                <w:szCs w:val="20"/>
                <w:vertAlign w:val="superscript"/>
                <w:lang w:eastAsia="en-AU"/>
              </w:rPr>
              <w:t>)</w:t>
            </w: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2"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73" w:type="dxa"/>
            <w:tcBorders>
              <w:top w:val="nil"/>
              <w:left w:val="nil"/>
              <w:bottom w:val="nil"/>
              <w:right w:val="nil"/>
            </w:tcBorders>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552DFA" w:rsidRPr="00CA19CD" w:rsidTr="00866ECE">
        <w:tblPrEx>
          <w:tblLook w:val="06C0" w:firstRow="0"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Income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130</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87</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90</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94</w:t>
            </w:r>
          </w:p>
        </w:tc>
      </w:tr>
      <w:tr w:rsidR="00552DFA" w:rsidRPr="00CA19CD" w:rsidTr="00866ECE">
        <w:tblPrEx>
          <w:tblLook w:val="06C0" w:firstRow="0"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3877" w:type="dxa"/>
            <w:tcBorders>
              <w:top w:val="nil"/>
              <w:left w:val="nil"/>
              <w:bottom w:val="nil"/>
              <w:right w:val="nil"/>
            </w:tcBorders>
          </w:tcPr>
          <w:p w:rsidR="00552DFA" w:rsidRPr="00CA19CD" w:rsidRDefault="00552DFA" w:rsidP="00423C3D">
            <w:pPr>
              <w:keepLines w:val="0"/>
              <w:autoSpaceDE w:val="0"/>
              <w:autoSpaceDN w:val="0"/>
              <w:adjustRightInd w:val="0"/>
              <w:rPr>
                <w:rFonts w:eastAsiaTheme="minorEastAsia" w:cs="Calibri"/>
                <w:color w:val="000000"/>
                <w:szCs w:val="20"/>
                <w:lang w:eastAsia="en-AU"/>
              </w:rPr>
            </w:pPr>
            <w:r w:rsidRPr="00CA19CD">
              <w:rPr>
                <w:rFonts w:eastAsiaTheme="minorEastAsia" w:cs="Calibri"/>
                <w:color w:val="000000"/>
                <w:szCs w:val="20"/>
                <w:lang w:eastAsia="en-AU"/>
              </w:rPr>
              <w:t>Expenses from transactions</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7</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248</w:t>
            </w:r>
          </w:p>
        </w:tc>
        <w:tc>
          <w:tcPr>
            <w:tcW w:w="972"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245</w:t>
            </w:r>
          </w:p>
        </w:tc>
        <w:tc>
          <w:tcPr>
            <w:tcW w:w="973" w:type="dxa"/>
            <w:tcBorders>
              <w:top w:val="nil"/>
              <w:left w:val="nil"/>
              <w:bottom w:val="nil"/>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A19CD">
              <w:rPr>
                <w:rFonts w:eastAsiaTheme="minorEastAsia" w:cs="Calibri"/>
                <w:color w:val="000000"/>
                <w:szCs w:val="20"/>
                <w:lang w:eastAsia="en-AU"/>
              </w:rPr>
              <w:t>229</w:t>
            </w:r>
          </w:p>
        </w:tc>
      </w:tr>
      <w:tr w:rsidR="00552DFA" w:rsidRPr="00CA19CD" w:rsidTr="00866ECE">
        <w:tblPrEx>
          <w:tblLook w:val="06C0" w:firstRow="0"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left w:val="nil"/>
              <w:bottom w:val="single" w:sz="6" w:space="0" w:color="auto"/>
              <w:right w:val="nil"/>
            </w:tcBorders>
          </w:tcPr>
          <w:p w:rsidR="00552DFA" w:rsidRPr="00CA19CD" w:rsidRDefault="00552DFA" w:rsidP="00423C3D">
            <w:pPr>
              <w:keepLines w:val="0"/>
              <w:autoSpaceDE w:val="0"/>
              <w:autoSpaceDN w:val="0"/>
              <w:adjustRightInd w:val="0"/>
              <w:rPr>
                <w:rFonts w:eastAsiaTheme="minorEastAsia" w:cs="Calibri"/>
                <w:b/>
                <w:bCs/>
                <w:color w:val="000000"/>
                <w:szCs w:val="20"/>
                <w:lang w:eastAsia="en-AU"/>
              </w:rPr>
            </w:pPr>
            <w:r w:rsidRPr="00CA19CD">
              <w:rPr>
                <w:rFonts w:eastAsiaTheme="minorEastAsia" w:cs="Calibri"/>
                <w:b/>
                <w:bCs/>
                <w:color w:val="000000"/>
                <w:szCs w:val="20"/>
                <w:lang w:eastAsia="en-AU"/>
              </w:rPr>
              <w:t>Net result from transactions</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122</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A19CD">
              <w:rPr>
                <w:rFonts w:eastAsiaTheme="minorEastAsia" w:cs="Calibri"/>
                <w:b/>
                <w:bCs/>
                <w:color w:val="000000"/>
                <w:szCs w:val="20"/>
                <w:lang w:eastAsia="en-AU"/>
              </w:rPr>
              <w:t>(161)</w:t>
            </w:r>
          </w:p>
        </w:tc>
        <w:tc>
          <w:tcPr>
            <w:tcW w:w="972"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A19CD">
              <w:rPr>
                <w:rFonts w:eastAsiaTheme="minorEastAsia" w:cs="Calibri"/>
                <w:b/>
                <w:bCs/>
                <w:color w:val="000000"/>
                <w:szCs w:val="20"/>
                <w:lang w:eastAsia="en-AU"/>
              </w:rPr>
              <w:t>(155</w:t>
            </w:r>
            <w:r w:rsidRPr="00CA19CD">
              <w:t>)</w:t>
            </w:r>
          </w:p>
        </w:tc>
        <w:tc>
          <w:tcPr>
            <w:tcW w:w="973" w:type="dxa"/>
            <w:tcBorders>
              <w:top w:val="single" w:sz="6" w:space="0" w:color="auto"/>
              <w:left w:val="nil"/>
              <w:bottom w:val="single" w:sz="6" w:space="0" w:color="auto"/>
              <w:right w:val="nil"/>
            </w:tcBorders>
            <w:shd w:val="solid" w:color="FFFFFF" w:fill="auto"/>
          </w:tcPr>
          <w:p w:rsidR="00552DFA" w:rsidRPr="00CA19CD"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A19CD">
              <w:rPr>
                <w:rFonts w:eastAsiaTheme="minorEastAsia" w:cs="Calibri"/>
                <w:b/>
                <w:bCs/>
                <w:color w:val="000000"/>
                <w:szCs w:val="20"/>
                <w:lang w:eastAsia="en-AU"/>
              </w:rPr>
              <w:t>(135</w:t>
            </w:r>
            <w:r w:rsidRPr="00CA19CD">
              <w:t>)</w:t>
            </w:r>
          </w:p>
        </w:tc>
      </w:tr>
      <w:tr w:rsidR="00552DFA" w:rsidRPr="00CA19CD" w:rsidTr="00866ECE">
        <w:tblPrEx>
          <w:tblLook w:val="06C0" w:firstRow="0" w:lastRow="1" w:firstColumn="1" w:lastColumn="0" w:noHBand="1" w:noVBand="1"/>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7" w:type="dxa"/>
            <w:tcBorders>
              <w:top w:val="single" w:sz="6" w:space="0" w:color="auto"/>
              <w:bottom w:val="single" w:sz="12" w:space="0" w:color="auto"/>
            </w:tcBorders>
          </w:tcPr>
          <w:p w:rsidR="00552DFA" w:rsidRPr="00CA19CD" w:rsidRDefault="00552DFA" w:rsidP="00423C3D">
            <w:pPr>
              <w:keepLines w:val="0"/>
              <w:autoSpaceDE w:val="0"/>
              <w:autoSpaceDN w:val="0"/>
              <w:adjustRightInd w:val="0"/>
              <w:rPr>
                <w:rFonts w:eastAsiaTheme="minorEastAsia" w:cs="Calibri"/>
                <w:bCs/>
                <w:color w:val="000000"/>
                <w:szCs w:val="20"/>
                <w:lang w:eastAsia="en-AU"/>
              </w:rPr>
            </w:pPr>
            <w:r w:rsidRPr="00CA19CD">
              <w:rPr>
                <w:rFonts w:eastAsiaTheme="minorEastAsia" w:cs="Calibri"/>
                <w:bCs/>
                <w:color w:val="000000"/>
                <w:szCs w:val="20"/>
                <w:lang w:eastAsia="en-AU"/>
              </w:rPr>
              <w:t>Net debt</w:t>
            </w:r>
            <w:r w:rsidR="00356A95">
              <w:rPr>
                <w:rFonts w:eastAsiaTheme="minorEastAsia" w:cs="Calibri"/>
                <w:bCs/>
                <w:color w:val="000000"/>
                <w:szCs w:val="20"/>
                <w:lang w:eastAsia="en-AU"/>
              </w:rPr>
              <w:fldChar w:fldCharType="begin"/>
            </w:r>
            <w:r w:rsidR="00356A95">
              <w:rPr>
                <w:rFonts w:eastAsiaTheme="minorEastAsia" w:cs="Calibri"/>
                <w:bCs/>
                <w:color w:val="000000"/>
                <w:szCs w:val="20"/>
                <w:lang w:eastAsia="en-AU"/>
              </w:rPr>
              <w:instrText xml:space="preserve"> XE "</w:instrText>
            </w:r>
            <w:r w:rsidR="00356A95">
              <w:instrText>Debt:Net debt"</w:instrText>
            </w:r>
            <w:r w:rsidR="00356A95">
              <w:rPr>
                <w:rFonts w:eastAsiaTheme="minorEastAsia" w:cs="Calibri"/>
                <w:bCs/>
                <w:color w:val="000000"/>
                <w:szCs w:val="20"/>
                <w:lang w:eastAsia="en-AU"/>
              </w:rPr>
              <w:instrText xml:space="preserve"> </w:instrText>
            </w:r>
            <w:r w:rsidR="00356A95">
              <w:rPr>
                <w:rFonts w:eastAsiaTheme="minorEastAsia" w:cs="Calibri"/>
                <w:bCs/>
                <w:color w:val="000000"/>
                <w:szCs w:val="20"/>
                <w:lang w:eastAsia="en-AU"/>
              </w:rPr>
              <w:fldChar w:fldCharType="end"/>
            </w:r>
          </w:p>
        </w:tc>
        <w:tc>
          <w:tcPr>
            <w:tcW w:w="972" w:type="dxa"/>
            <w:tcBorders>
              <w:top w:val="single" w:sz="6" w:space="0" w:color="auto"/>
              <w:bottom w:val="single" w:sz="12" w:space="0" w:color="auto"/>
            </w:tcBorders>
            <w:shd w:val="solid" w:color="FFFFFF" w:fill="auto"/>
          </w:tcPr>
          <w:p w:rsidR="00552DFA" w:rsidRPr="00CA19CD"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A19CD">
              <w:rPr>
                <w:rFonts w:eastAsiaTheme="minorEastAsia" w:cs="Calibri"/>
                <w:bCs/>
                <w:color w:val="000000"/>
                <w:szCs w:val="20"/>
                <w:lang w:eastAsia="en-AU"/>
              </w:rPr>
              <w:t>(122)</w:t>
            </w:r>
          </w:p>
        </w:tc>
        <w:tc>
          <w:tcPr>
            <w:tcW w:w="973" w:type="dxa"/>
            <w:tcBorders>
              <w:top w:val="single" w:sz="6" w:space="0" w:color="auto"/>
              <w:bottom w:val="single" w:sz="12" w:space="0" w:color="auto"/>
            </w:tcBorders>
            <w:shd w:val="solid" w:color="FFFFFF" w:fill="auto"/>
          </w:tcPr>
          <w:p w:rsidR="00552DFA" w:rsidRPr="00CA19CD"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A19CD">
              <w:rPr>
                <w:rFonts w:eastAsiaTheme="minorEastAsia" w:cs="Calibri"/>
                <w:bCs/>
                <w:color w:val="000000"/>
                <w:szCs w:val="20"/>
                <w:lang w:eastAsia="en-AU"/>
              </w:rPr>
              <w:t>(206)</w:t>
            </w:r>
          </w:p>
        </w:tc>
        <w:tc>
          <w:tcPr>
            <w:tcW w:w="972" w:type="dxa"/>
            <w:tcBorders>
              <w:top w:val="single" w:sz="6" w:space="0" w:color="auto"/>
              <w:bottom w:val="single" w:sz="12" w:space="0" w:color="auto"/>
            </w:tcBorders>
            <w:shd w:val="solid" w:color="FFFFFF" w:fill="auto"/>
          </w:tcPr>
          <w:p w:rsidR="00552DFA" w:rsidRPr="00CA19CD"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A19CD">
              <w:rPr>
                <w:rFonts w:eastAsiaTheme="minorEastAsia" w:cs="Calibri"/>
                <w:bCs/>
                <w:color w:val="000000"/>
                <w:szCs w:val="20"/>
                <w:lang w:eastAsia="en-AU"/>
              </w:rPr>
              <w:t>(297)</w:t>
            </w:r>
          </w:p>
        </w:tc>
        <w:tc>
          <w:tcPr>
            <w:tcW w:w="973" w:type="dxa"/>
            <w:tcBorders>
              <w:top w:val="single" w:sz="6" w:space="0" w:color="auto"/>
              <w:bottom w:val="single" w:sz="12" w:space="0" w:color="auto"/>
            </w:tcBorders>
            <w:shd w:val="solid" w:color="FFFFFF" w:fill="auto"/>
          </w:tcPr>
          <w:p w:rsidR="00552DFA" w:rsidRPr="00CA19CD"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A19CD">
              <w:rPr>
                <w:rFonts w:eastAsiaTheme="minorEastAsia" w:cs="Calibri"/>
                <w:bCs/>
                <w:color w:val="000000"/>
                <w:szCs w:val="20"/>
                <w:lang w:eastAsia="en-AU"/>
              </w:rPr>
              <w:t>(395)</w:t>
            </w:r>
          </w:p>
        </w:tc>
      </w:tr>
    </w:tbl>
    <w:p w:rsidR="00552DFA" w:rsidRDefault="00552DFA" w:rsidP="00423C3D">
      <w:pPr>
        <w:pStyle w:val="Source"/>
      </w:pPr>
      <w:r>
        <w:rPr>
          <w:lang w:eastAsia="en-AU"/>
        </w:rPr>
        <w:t xml:space="preserve">Source: Department of Treasury and </w:t>
      </w:r>
      <w:r w:rsidRPr="00A27A3E">
        <w:t>Finance</w:t>
      </w:r>
    </w:p>
    <w:p w:rsidR="00552DFA" w:rsidRPr="0061021C" w:rsidRDefault="00552DFA" w:rsidP="00423C3D">
      <w:pPr>
        <w:pStyle w:val="Note"/>
        <w:rPr>
          <w:lang w:eastAsia="en-AU"/>
        </w:rPr>
      </w:pPr>
      <w:r>
        <w:rPr>
          <w:lang w:eastAsia="en-AU"/>
        </w:rPr>
        <w:t>Notes:</w:t>
      </w:r>
    </w:p>
    <w:p w:rsidR="00552DFA" w:rsidRPr="00D2756D" w:rsidRDefault="00552DFA" w:rsidP="00423C3D">
      <w:pPr>
        <w:pStyle w:val="Note"/>
        <w:rPr>
          <w:lang w:eastAsia="en-AU"/>
        </w:rPr>
      </w:pPr>
      <w:r>
        <w:rPr>
          <w:lang w:eastAsia="en-AU"/>
        </w:rPr>
        <w:t>(a)</w:t>
      </w:r>
      <w:r>
        <w:rPr>
          <w:lang w:eastAsia="en-AU"/>
        </w:rPr>
        <w:tab/>
      </w:r>
      <w:r w:rsidRPr="00D2756D">
        <w:rPr>
          <w:lang w:eastAsia="en-AU"/>
        </w:rPr>
        <w:t>Variations are applied to the economic variabl</w:t>
      </w:r>
      <w:r>
        <w:rPr>
          <w:lang w:eastAsia="en-AU"/>
        </w:rPr>
        <w:t>es in the budget year. For the four budget years,</w:t>
      </w:r>
      <w:r w:rsidRPr="00D2756D">
        <w:rPr>
          <w:lang w:eastAsia="en-AU"/>
        </w:rPr>
        <w:t xml:space="preserve"> it is assumed that variables</w:t>
      </w:r>
      <w:r>
        <w:rPr>
          <w:lang w:eastAsia="en-AU"/>
        </w:rPr>
        <w:t>’</w:t>
      </w:r>
      <w:r w:rsidRPr="00D2756D">
        <w:rPr>
          <w:lang w:eastAsia="en-AU"/>
        </w:rPr>
        <w:t xml:space="preserve"> growth rates match those under a no</w:t>
      </w:r>
      <w:r>
        <w:rPr>
          <w:lang w:eastAsia="en-AU"/>
        </w:rPr>
        <w:noBreakHyphen/>
      </w:r>
      <w:r w:rsidRPr="00D2756D">
        <w:rPr>
          <w:lang w:eastAsia="en-AU"/>
        </w:rPr>
        <w:t>variation scenario. This implies that economic variables are 1</w:t>
      </w:r>
      <w:r>
        <w:rPr>
          <w:lang w:eastAsia="en-AU"/>
        </w:rPr>
        <w:t> per cent</w:t>
      </w:r>
      <w:r w:rsidRPr="00D2756D">
        <w:rPr>
          <w:lang w:eastAsia="en-AU"/>
        </w:rPr>
        <w:t xml:space="preserve"> higher</w:t>
      </w:r>
      <w:r>
        <w:rPr>
          <w:lang w:eastAsia="en-AU"/>
        </w:rPr>
        <w:t xml:space="preserve"> </w:t>
      </w:r>
      <w:r w:rsidRPr="00D2756D">
        <w:rPr>
          <w:lang w:eastAsia="en-AU"/>
        </w:rPr>
        <w:t xml:space="preserve">across the </w:t>
      </w:r>
      <w:r>
        <w:rPr>
          <w:lang w:eastAsia="en-AU"/>
        </w:rPr>
        <w:t>four budget years,</w:t>
      </w:r>
      <w:r w:rsidRPr="00D2756D">
        <w:rPr>
          <w:lang w:eastAsia="en-AU"/>
        </w:rPr>
        <w:t xml:space="preserve"> compared with a no</w:t>
      </w:r>
      <w:r>
        <w:rPr>
          <w:lang w:eastAsia="en-AU"/>
        </w:rPr>
        <w:noBreakHyphen/>
      </w:r>
      <w:r w:rsidRPr="00D2756D">
        <w:rPr>
          <w:lang w:eastAsia="en-AU"/>
        </w:rPr>
        <w:t>variation scenario.</w:t>
      </w:r>
    </w:p>
    <w:p w:rsidR="00552DFA" w:rsidRPr="00F062A9" w:rsidRDefault="00552DFA" w:rsidP="00423C3D">
      <w:pPr>
        <w:pStyle w:val="Note"/>
      </w:pPr>
      <w:r>
        <w:rPr>
          <w:lang w:eastAsia="en-AU"/>
        </w:rPr>
        <w:t>(b)</w:t>
      </w:r>
      <w:r>
        <w:rPr>
          <w:lang w:eastAsia="en-AU"/>
        </w:rPr>
        <w:tab/>
      </w:r>
      <w:r w:rsidRPr="00D2756D">
        <w:rPr>
          <w:lang w:eastAsia="en-AU"/>
        </w:rPr>
        <w:t xml:space="preserve">A positive number for income from transactions denotes an increase in revenue. A positive number for expenses from transactions denotes an increase in expenses (and hence a reduction in the net result from </w:t>
      </w:r>
      <w:r>
        <w:rPr>
          <w:lang w:eastAsia="en-AU"/>
        </w:rPr>
        <w:t xml:space="preserve">transactions). </w:t>
      </w:r>
      <w:r w:rsidRPr="00D2756D">
        <w:rPr>
          <w:lang w:eastAsia="en-AU"/>
        </w:rPr>
        <w:t xml:space="preserve">A positive number for the net result from transactions </w:t>
      </w:r>
      <w:r>
        <w:rPr>
          <w:lang w:eastAsia="en-AU"/>
        </w:rPr>
        <w:t>denotes a higher surplus or small</w:t>
      </w:r>
      <w:r w:rsidRPr="00D2756D">
        <w:rPr>
          <w:lang w:eastAsia="en-AU"/>
        </w:rPr>
        <w:t>er deficit. A positive number for net debt denotes a higher level of net</w:t>
      </w:r>
      <w:r>
        <w:rPr>
          <w:lang w:eastAsia="en-AU"/>
        </w:rPr>
        <w:t xml:space="preserve"> </w:t>
      </w:r>
      <w:r w:rsidRPr="00D2756D">
        <w:rPr>
          <w:lang w:eastAsia="en-AU"/>
        </w:rPr>
        <w:t xml:space="preserve">debt in the </w:t>
      </w:r>
      <w:r w:rsidRPr="00F062A9">
        <w:t>relevant year compared with a no</w:t>
      </w:r>
      <w:r>
        <w:noBreakHyphen/>
      </w:r>
      <w:r w:rsidRPr="00F062A9">
        <w:t>variation scenario. Numbers may not balance due to rounding.</w:t>
      </w:r>
    </w:p>
    <w:p w:rsidR="00552DFA" w:rsidRPr="00F062A9" w:rsidRDefault="00552DFA" w:rsidP="00423C3D">
      <w:pPr>
        <w:pStyle w:val="Note"/>
      </w:pPr>
      <w:r>
        <w:t>(c</w:t>
      </w:r>
      <w:r w:rsidRPr="00F062A9">
        <w:t>)</w:t>
      </w:r>
      <w:r w:rsidRPr="00F062A9">
        <w:tab/>
        <w:t>Only reasonably quantifiable impacts have been included in the analysis.</w:t>
      </w:r>
    </w:p>
    <w:p w:rsidR="00552DFA" w:rsidRDefault="00552DFA" w:rsidP="00423C3D">
      <w:pPr>
        <w:pStyle w:val="Note"/>
      </w:pPr>
      <w:r w:rsidRPr="00F062A9">
        <w:t>(</w:t>
      </w:r>
      <w:r>
        <w:t>d</w:t>
      </w:r>
      <w:r w:rsidRPr="00F062A9">
        <w:t>)</w:t>
      </w:r>
      <w:r w:rsidRPr="00F062A9">
        <w:tab/>
      </w:r>
      <w:r>
        <w:t>Estimates of net debt are approximately equal to the cumulative impact of the net result from transactions. The difference between the cumulative net result from transactions and net debt is due to non</w:t>
      </w:r>
      <w:r>
        <w:noBreakHyphen/>
        <w:t>cash expenses and gross sale proceeds (where applicable).</w:t>
      </w:r>
    </w:p>
    <w:p w:rsidR="00552DFA" w:rsidRPr="00F062A9" w:rsidRDefault="00552DFA" w:rsidP="00423C3D">
      <w:pPr>
        <w:pStyle w:val="Note"/>
      </w:pPr>
      <w:r>
        <w:t>(e)</w:t>
      </w:r>
      <w:r>
        <w:tab/>
      </w:r>
      <w:r w:rsidRPr="00854F24">
        <w:t>A shock to employment is assumed to impact payroll tax revenue to an extent consistent with</w:t>
      </w:r>
      <w:r>
        <w:t xml:space="preserve"> no change to</w:t>
      </w:r>
      <w:r w:rsidRPr="00854F24">
        <w:t xml:space="preserve"> historical relationships between total employment, part</w:t>
      </w:r>
      <w:r>
        <w:noBreakHyphen/>
      </w:r>
      <w:r w:rsidRPr="00854F24">
        <w:t>time/full</w:t>
      </w:r>
      <w:r>
        <w:noBreakHyphen/>
      </w:r>
      <w:r w:rsidRPr="00854F24">
        <w:t>time employment shares, and payroll tax revenue.</w:t>
      </w:r>
    </w:p>
    <w:p w:rsidR="00552DFA" w:rsidRDefault="00552DFA" w:rsidP="00423C3D">
      <w:pPr>
        <w:pStyle w:val="Note"/>
        <w:rPr>
          <w:lang w:eastAsia="en-AU"/>
        </w:rPr>
      </w:pPr>
      <w:r w:rsidRPr="00F062A9">
        <w:t>(</w:t>
      </w:r>
      <w:r>
        <w:t>f</w:t>
      </w:r>
      <w:r w:rsidRPr="00F062A9">
        <w:t>)</w:t>
      </w:r>
      <w:r w:rsidRPr="00F062A9">
        <w:tab/>
        <w:t xml:space="preserve">Incorporates the impact of departmental funding model arrangements. It is assumed that an increase in consumer prices within the budget year does not affect employee entitlements. </w:t>
      </w:r>
    </w:p>
    <w:p w:rsidR="00552DFA" w:rsidRDefault="00552DFA" w:rsidP="00423C3D">
      <w:pPr>
        <w:pStyle w:val="Note"/>
        <w:rPr>
          <w:lang w:eastAsia="en-AU"/>
        </w:rPr>
      </w:pPr>
      <w:r>
        <w:t xml:space="preserve">(g) </w:t>
      </w:r>
      <w:r>
        <w:tab/>
        <w:t>Represents a one</w:t>
      </w:r>
      <w:r>
        <w:noBreakHyphen/>
        <w:t>off 1 per cent</w:t>
      </w:r>
      <w:r w:rsidRPr="00D2756D">
        <w:rPr>
          <w:lang w:eastAsia="en-AU"/>
        </w:rPr>
        <w:t xml:space="preserve"> increase in </w:t>
      </w:r>
      <w:r>
        <w:rPr>
          <w:lang w:eastAsia="en-AU"/>
        </w:rPr>
        <w:t>total employee expenses relative to a no</w:t>
      </w:r>
      <w:r>
        <w:rPr>
          <w:lang w:eastAsia="en-AU"/>
        </w:rPr>
        <w:noBreakHyphen/>
        <w:t>variation scenario. This could be generated through a change in the size of the workforce, the price of the workforce (salaries, overtime, allowances and bonuses, long service leave expenses, fringe benefits tax and WorkCover premiums), through other management decisions regarding the composition and profile of the workforce or any combination of these.</w:t>
      </w:r>
    </w:p>
    <w:p w:rsidR="00552DFA" w:rsidRDefault="00552DFA" w:rsidP="00423C3D">
      <w:pPr>
        <w:pStyle w:val="Note"/>
        <w:rPr>
          <w:lang w:eastAsia="en-AU"/>
        </w:rPr>
      </w:pPr>
      <w:r>
        <w:rPr>
          <w:lang w:eastAsia="en-AU"/>
        </w:rPr>
        <w:t>(h)</w:t>
      </w:r>
      <w:r>
        <w:rPr>
          <w:lang w:eastAsia="en-AU"/>
        </w:rPr>
        <w:tab/>
      </w:r>
      <w:r w:rsidRPr="00F062A9">
        <w:t xml:space="preserve">Assumes interest rates are 1 percentage point higher </w:t>
      </w:r>
      <w:r>
        <w:t>in each year of the forward estimates</w:t>
      </w:r>
      <w:r w:rsidRPr="00F062A9">
        <w:t>.</w:t>
      </w:r>
    </w:p>
    <w:p w:rsidR="00552DFA" w:rsidRDefault="00552DFA">
      <w:pPr>
        <w:keepLines w:val="0"/>
        <w:rPr>
          <w:rFonts w:asciiTheme="majorHAnsi" w:eastAsiaTheme="majorEastAsia" w:hAnsiTheme="majorHAnsi" w:cstheme="majorBidi"/>
          <w:b/>
          <w:bCs/>
          <w:caps/>
          <w:spacing w:val="-2"/>
          <w:sz w:val="26"/>
          <w:szCs w:val="28"/>
        </w:rPr>
      </w:pPr>
      <w:r>
        <w:br w:type="page"/>
      </w:r>
    </w:p>
    <w:p w:rsidR="00552DFA" w:rsidRDefault="00552DFA" w:rsidP="00423C3D">
      <w:pPr>
        <w:pStyle w:val="Heading10"/>
      </w:pPr>
      <w:bookmarkStart w:id="59" w:name="_Toc481160581"/>
      <w:bookmarkStart w:id="60" w:name="_Toc481246488"/>
      <w:r>
        <w:lastRenderedPageBreak/>
        <w:t>Economic impacts of variations to the economic outlook</w:t>
      </w:r>
      <w:r>
        <w:rPr>
          <w:rStyle w:val="FootnoteReference"/>
        </w:rPr>
        <w:footnoteReference w:id="1"/>
      </w:r>
      <w:bookmarkEnd w:id="59"/>
      <w:bookmarkEnd w:id="60"/>
    </w:p>
    <w:p w:rsidR="00552DFA" w:rsidRDefault="00552DFA" w:rsidP="00423C3D">
      <w:r>
        <w:t xml:space="preserve">This section of the sensitivity analysis quantifies some of the key risks described in Chapter 2 </w:t>
      </w:r>
      <w:r w:rsidRPr="0000685B">
        <w:rPr>
          <w:i/>
        </w:rPr>
        <w:t>Economic context</w:t>
      </w:r>
      <w:r>
        <w:t xml:space="preserve"> and presents analysis describing how these risks might affect state economic parameters. Three scenarios are considered: a negative trade shock to the world’s major trading economies – the United States (US), China and the European Union (EU); a positive shock to population growth in Victoria; and a positive shock, where both population growth and Victoria’s labour force participation rate remain around recent high levels. The results generated in each scenario are mutually exclusive and non</w:t>
      </w:r>
      <w:r>
        <w:noBreakHyphen/>
        <w:t xml:space="preserve">additive. </w:t>
      </w:r>
    </w:p>
    <w:p w:rsidR="00552DFA" w:rsidRDefault="00552DFA" w:rsidP="00D46C60">
      <w:pPr>
        <w:pStyle w:val="Heading20"/>
      </w:pPr>
      <w:bookmarkStart w:id="61" w:name="_Toc481160582"/>
      <w:r>
        <w:t>A global trade shock</w:t>
      </w:r>
      <w:bookmarkEnd w:id="61"/>
    </w:p>
    <w:p w:rsidR="00552DFA" w:rsidRDefault="00552DFA" w:rsidP="00423C3D">
      <w:r>
        <w:t>As a medium</w:t>
      </w:r>
      <w:r>
        <w:noBreakHyphen/>
        <w:t>sized open economy, Australia’s economic performance is influenced by economic conditions abroad. An important risk to the outlook identified in Chapter 2 reflects the recent rise in sentiment towards trade protectionism and inward</w:t>
      </w:r>
      <w:r>
        <w:noBreakHyphen/>
        <w:t>looking domestic policies in major economies. Since the global financial crisis, growth in global trade intensity (world exports plus world imports as a share of world output) has slowed, averaging about 1 per cent per annum over the past six years. This weakness has reflected cyclical factors including weak global demand, and structural factors including a small but persistent unwinding of trade liberalisation in many countries. By way of comparison, in the 20 years preceding the global financial crisis, global trade intensity grew at 3.7 per cent per annum on average supported by a strong commitment by the major trading economies to a rules</w:t>
      </w:r>
      <w:r>
        <w:noBreakHyphen/>
        <w:t xml:space="preserve">based multilateral trading system and China’s accession to the World Trade Organization. </w:t>
      </w:r>
    </w:p>
    <w:p w:rsidR="00552DFA" w:rsidRDefault="00552DFA" w:rsidP="00423C3D">
      <w:r>
        <w:t>T</w:t>
      </w:r>
      <w:r w:rsidRPr="00600AE3">
        <w:t>his scenario is based on recent analysis by the</w:t>
      </w:r>
      <w:r>
        <w:t xml:space="preserve"> Organization for Economic Co</w:t>
      </w:r>
      <w:r>
        <w:noBreakHyphen/>
        <w:t>operation and Development</w:t>
      </w:r>
      <w:r w:rsidRPr="00600AE3">
        <w:t xml:space="preserve"> </w:t>
      </w:r>
      <w:r>
        <w:t>(</w:t>
      </w:r>
      <w:r w:rsidRPr="00600AE3">
        <w:t>OECD</w:t>
      </w:r>
      <w:r>
        <w:t>),</w:t>
      </w:r>
      <w:r w:rsidRPr="00600AE3">
        <w:t xml:space="preserve"> which model</w:t>
      </w:r>
      <w:r>
        <w:t>s</w:t>
      </w:r>
      <w:r w:rsidRPr="00600AE3">
        <w:t xml:space="preserve"> a 10 percentage point</w:t>
      </w:r>
      <w:r>
        <w:t xml:space="preserve"> rise in the trade costs of goods in the US, China and the EU.</w:t>
      </w:r>
      <w:r>
        <w:rPr>
          <w:rStyle w:val="FootnoteReference"/>
        </w:rPr>
        <w:footnoteReference w:id="2"/>
      </w:r>
      <w:r>
        <w:t xml:space="preserve"> </w:t>
      </w:r>
      <w:r w:rsidRPr="003D7BEB">
        <w:t>Th</w:t>
      </w:r>
      <w:r>
        <w:t>e effects on growth and trade in these economies, and for the rest of the world,</w:t>
      </w:r>
      <w:r w:rsidRPr="003D7BEB">
        <w:t xml:space="preserve"> is </w:t>
      </w:r>
      <w:r>
        <w:t xml:space="preserve">quantified. </w:t>
      </w:r>
      <w:r w:rsidRPr="003D7BEB">
        <w:t xml:space="preserve">According to the OECD, this increase </w:t>
      </w:r>
      <w:r>
        <w:t xml:space="preserve">in trade costs </w:t>
      </w:r>
      <w:r w:rsidRPr="003D7BEB">
        <w:t>is similar to an average increase in tariffs to rates last observed in 2001, when trade negotiations under the Doha Development Round started.</w:t>
      </w:r>
      <w:r>
        <w:rPr>
          <w:rStyle w:val="FootnoteReference"/>
        </w:rPr>
        <w:footnoteReference w:id="3"/>
      </w:r>
      <w:r>
        <w:t xml:space="preserve"> Based on the OECD’s METRO (</w:t>
      </w:r>
      <w:proofErr w:type="spellStart"/>
      <w:r>
        <w:t>ModElling</w:t>
      </w:r>
      <w:proofErr w:type="spellEnd"/>
      <w:r>
        <w:t xml:space="preserve"> </w:t>
      </w:r>
      <w:proofErr w:type="spellStart"/>
      <w:r>
        <w:t>TRade</w:t>
      </w:r>
      <w:proofErr w:type="spellEnd"/>
      <w:r>
        <w:t xml:space="preserve"> at the OECD) Model, a 10 percentage point rise in the trade costs of goods reduces global trade by 6 per cent and world output by 1.4 per cent.</w:t>
      </w:r>
    </w:p>
    <w:p w:rsidR="00552DFA" w:rsidRDefault="00552DFA" w:rsidP="00423C3D">
      <w:r>
        <w:lastRenderedPageBreak/>
        <w:t>To examine the effects on Victoria’s economy, gross domestic product (GDP) in the US, China and the EU declines by 1.8 per cent on a trade weighted basis.</w:t>
      </w:r>
      <w:r>
        <w:rPr>
          <w:rStyle w:val="FootnoteReference"/>
        </w:rPr>
        <w:footnoteReference w:id="4"/>
      </w:r>
      <w:r>
        <w:t xml:space="preserve"> This is then translated as a shock to Australia’s terms of trade, based on the average historical relationship with growth in these economies. The changes in the terms of trade are then applied in VURM – a computable general equilibrium model of the Australian states and territories – and corresponds to a 13 per cent decline in demand, on average, for Victorian exports.</w:t>
      </w:r>
      <w:r>
        <w:rPr>
          <w:rStyle w:val="FootnoteReference"/>
        </w:rPr>
        <w:footnoteReference w:id="5"/>
      </w:r>
    </w:p>
    <w:p w:rsidR="00552DFA" w:rsidRDefault="00552DFA" w:rsidP="00423C3D">
      <w:pPr>
        <w:ind w:right="-113"/>
      </w:pPr>
      <w:r>
        <w:t>Table A.2 reports the effects on major economic parameters of the above scenario. Export growth for Victoria falls in line with weaker global demand, and growth in real gross state product (GSP) and trade (exports plus imports) is lower with a fall in the terms of trade (Chart A.1). The real exchange rate depreciates and domestic demand moves away from imported goods and services, towards domestic goods and services, although this does not fully offset the decline in demand.</w:t>
      </w:r>
      <w:r>
        <w:rPr>
          <w:rStyle w:val="FootnoteReference"/>
        </w:rPr>
        <w:footnoteReference w:id="6"/>
      </w:r>
      <w:r>
        <w:t xml:space="preserve"> </w:t>
      </w:r>
    </w:p>
    <w:p w:rsidR="00552DFA" w:rsidRPr="00686D6A" w:rsidRDefault="00552DFA" w:rsidP="00423C3D">
      <w:pPr>
        <w:pStyle w:val="TableHeading"/>
        <w:spacing w:before="120"/>
      </w:pPr>
      <w:r>
        <w:t>Table A.2:</w:t>
      </w:r>
      <w:r>
        <w:tab/>
      </w:r>
      <w:r w:rsidRPr="00FC212B">
        <w:t>Th</w:t>
      </w:r>
      <w:r>
        <w:t>e effect of slower global trade on major economic parameters</w:t>
      </w:r>
      <w:r>
        <w:tab/>
      </w:r>
      <w:r w:rsidRPr="0048759D">
        <w:t>(</w:t>
      </w:r>
      <w:r w:rsidRPr="001578E9">
        <w:t>per</w:t>
      </w:r>
      <w:r w:rsidRPr="0048759D">
        <w:t xml:space="preserve"> cent)</w:t>
      </w:r>
    </w:p>
    <w:tbl>
      <w:tblPr>
        <w:tblStyle w:val="DTFTable"/>
        <w:tblW w:w="7767" w:type="dxa"/>
        <w:tblInd w:w="45" w:type="dxa"/>
        <w:tblLayout w:type="fixed"/>
        <w:tblCellMar>
          <w:left w:w="45" w:type="dxa"/>
          <w:right w:w="45" w:type="dxa"/>
        </w:tblCellMar>
        <w:tblLook w:val="06E0" w:firstRow="1" w:lastRow="1" w:firstColumn="1" w:lastColumn="0" w:noHBand="1" w:noVBand="1"/>
      </w:tblPr>
      <w:tblGrid>
        <w:gridCol w:w="4367"/>
        <w:gridCol w:w="850"/>
        <w:gridCol w:w="850"/>
        <w:gridCol w:w="850"/>
        <w:gridCol w:w="850"/>
      </w:tblGrid>
      <w:tr w:rsidR="00552DFA" w:rsidRPr="00522472" w:rsidTr="00423C3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000000" w:fill="auto"/>
          </w:tcPr>
          <w:p w:rsidR="00552DFA" w:rsidRPr="00522472" w:rsidRDefault="00552DFA" w:rsidP="00423C3D">
            <w:pPr>
              <w:pStyle w:val="TableUnits"/>
              <w:spacing w:before="20" w:after="20"/>
              <w:rPr>
                <w:rFonts w:eastAsiaTheme="minorEastAsia" w:cs="Calibri"/>
                <w:iCs/>
                <w:color w:val="000000"/>
                <w:sz w:val="17"/>
                <w:lang w:eastAsia="en-AU"/>
              </w:rPr>
            </w:pPr>
            <w:r w:rsidRPr="00522472">
              <w:rPr>
                <w:rFonts w:eastAsiaTheme="minorEastAsia" w:cs="Calibri"/>
                <w:iCs/>
                <w:color w:val="000000"/>
                <w:sz w:val="17"/>
                <w:lang w:eastAsia="en-AU"/>
              </w:rPr>
              <w:t xml:space="preserve"> </w:t>
            </w:r>
          </w:p>
        </w:tc>
        <w:tc>
          <w:tcPr>
            <w:tcW w:w="850" w:type="dxa"/>
            <w:tcBorders>
              <w:top w:val="nil"/>
              <w:left w:val="nil"/>
              <w:bottom w:val="nil"/>
              <w:right w:val="nil"/>
            </w:tcBorders>
            <w:shd w:val="solid" w:color="000000" w:fill="auto"/>
          </w:tcPr>
          <w:p w:rsidR="00552DFA" w:rsidRPr="0052247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22472">
              <w:rPr>
                <w:rFonts w:eastAsiaTheme="minorEastAsia" w:cs="Calibri"/>
                <w:iCs/>
                <w:color w:val="FFFFFF"/>
                <w:szCs w:val="20"/>
                <w:lang w:eastAsia="en-AU"/>
              </w:rPr>
              <w:t>2017</w:t>
            </w:r>
            <w:r>
              <w:rPr>
                <w:rFonts w:eastAsiaTheme="minorEastAsia" w:cs="Calibri"/>
                <w:iCs/>
                <w:color w:val="FFFFFF"/>
                <w:szCs w:val="20"/>
                <w:lang w:eastAsia="en-AU"/>
              </w:rPr>
              <w:noBreakHyphen/>
            </w:r>
            <w:r w:rsidRPr="00522472">
              <w:rPr>
                <w:rFonts w:eastAsiaTheme="minorEastAsia" w:cs="Calibri"/>
                <w:iCs/>
                <w:color w:val="FFFFFF"/>
                <w:szCs w:val="20"/>
                <w:lang w:eastAsia="en-AU"/>
              </w:rPr>
              <w:t xml:space="preserve">18 </w:t>
            </w:r>
          </w:p>
        </w:tc>
        <w:tc>
          <w:tcPr>
            <w:tcW w:w="850" w:type="dxa"/>
            <w:tcBorders>
              <w:top w:val="nil"/>
              <w:left w:val="nil"/>
              <w:bottom w:val="nil"/>
              <w:right w:val="nil"/>
            </w:tcBorders>
            <w:shd w:val="solid" w:color="000000" w:fill="auto"/>
          </w:tcPr>
          <w:p w:rsidR="00552DFA" w:rsidRPr="0052247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22472">
              <w:rPr>
                <w:rFonts w:eastAsiaTheme="minorEastAsia" w:cs="Calibri"/>
                <w:iCs/>
                <w:color w:val="FFFFFF"/>
                <w:szCs w:val="20"/>
                <w:lang w:eastAsia="en-AU"/>
              </w:rPr>
              <w:t>2018</w:t>
            </w:r>
            <w:r>
              <w:rPr>
                <w:rFonts w:eastAsiaTheme="minorEastAsia" w:cs="Calibri"/>
                <w:iCs/>
                <w:color w:val="FFFFFF"/>
                <w:szCs w:val="20"/>
                <w:lang w:eastAsia="en-AU"/>
              </w:rPr>
              <w:noBreakHyphen/>
            </w:r>
            <w:r w:rsidRPr="00522472">
              <w:rPr>
                <w:rFonts w:eastAsiaTheme="minorEastAsia" w:cs="Calibri"/>
                <w:iCs/>
                <w:color w:val="FFFFFF"/>
                <w:szCs w:val="20"/>
                <w:lang w:eastAsia="en-AU"/>
              </w:rPr>
              <w:t xml:space="preserve">19 </w:t>
            </w:r>
          </w:p>
        </w:tc>
        <w:tc>
          <w:tcPr>
            <w:tcW w:w="850" w:type="dxa"/>
            <w:tcBorders>
              <w:top w:val="nil"/>
              <w:left w:val="nil"/>
              <w:bottom w:val="nil"/>
              <w:right w:val="nil"/>
            </w:tcBorders>
            <w:shd w:val="solid" w:color="000000" w:fill="auto"/>
          </w:tcPr>
          <w:p w:rsidR="00552DFA" w:rsidRPr="0052247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22472">
              <w:rPr>
                <w:rFonts w:eastAsiaTheme="minorEastAsia" w:cs="Calibri"/>
                <w:iCs/>
                <w:color w:val="FFFFFF"/>
                <w:szCs w:val="20"/>
                <w:lang w:eastAsia="en-AU"/>
              </w:rPr>
              <w:t>2019</w:t>
            </w:r>
            <w:r>
              <w:rPr>
                <w:rFonts w:eastAsiaTheme="minorEastAsia" w:cs="Calibri"/>
                <w:iCs/>
                <w:color w:val="FFFFFF"/>
                <w:szCs w:val="20"/>
                <w:lang w:eastAsia="en-AU"/>
              </w:rPr>
              <w:noBreakHyphen/>
            </w:r>
            <w:r w:rsidRPr="00522472">
              <w:rPr>
                <w:rFonts w:eastAsiaTheme="minorEastAsia" w:cs="Calibri"/>
                <w:iCs/>
                <w:color w:val="FFFFFF"/>
                <w:szCs w:val="20"/>
                <w:lang w:eastAsia="en-AU"/>
              </w:rPr>
              <w:t>20</w:t>
            </w:r>
          </w:p>
        </w:tc>
        <w:tc>
          <w:tcPr>
            <w:tcW w:w="850" w:type="dxa"/>
            <w:tcBorders>
              <w:top w:val="nil"/>
              <w:left w:val="nil"/>
              <w:bottom w:val="nil"/>
              <w:right w:val="nil"/>
            </w:tcBorders>
            <w:shd w:val="solid" w:color="000000" w:fill="auto"/>
          </w:tcPr>
          <w:p w:rsidR="00552DFA" w:rsidRPr="0052247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22472">
              <w:rPr>
                <w:rFonts w:eastAsiaTheme="minorEastAsia" w:cs="Calibri"/>
                <w:iCs/>
                <w:color w:val="FFFFFF"/>
                <w:szCs w:val="20"/>
                <w:lang w:eastAsia="en-AU"/>
              </w:rPr>
              <w:t>2020</w:t>
            </w:r>
            <w:r>
              <w:rPr>
                <w:rFonts w:eastAsiaTheme="minorEastAsia" w:cs="Calibri"/>
                <w:iCs/>
                <w:color w:val="FFFFFF"/>
                <w:szCs w:val="20"/>
                <w:lang w:eastAsia="en-AU"/>
              </w:rPr>
              <w:noBreakHyphen/>
            </w:r>
            <w:r w:rsidRPr="00522472">
              <w:rPr>
                <w:rFonts w:eastAsiaTheme="minorEastAsia" w:cs="Calibri"/>
                <w:iCs/>
                <w:color w:val="FFFFFF"/>
                <w:szCs w:val="20"/>
                <w:lang w:eastAsia="en-AU"/>
              </w:rPr>
              <w:t xml:space="preserve">21 </w:t>
            </w:r>
          </w:p>
        </w:tc>
      </w:tr>
      <w:tr w:rsidR="00552DFA" w:rsidRPr="00522472" w:rsidTr="00423C3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000000" w:fill="auto"/>
          </w:tcPr>
          <w:p w:rsidR="00552DFA" w:rsidRPr="00522472" w:rsidRDefault="00552DFA" w:rsidP="00423C3D">
            <w:pPr>
              <w:keepLines w:val="0"/>
              <w:autoSpaceDE w:val="0"/>
              <w:autoSpaceDN w:val="0"/>
              <w:adjustRightInd w:val="0"/>
              <w:jc w:val="right"/>
              <w:rPr>
                <w:rFonts w:eastAsiaTheme="minorEastAsia" w:cs="Calibri"/>
                <w:i w:val="0"/>
                <w:iCs/>
                <w:color w:val="000000"/>
                <w:szCs w:val="20"/>
                <w:lang w:eastAsia="en-AU"/>
              </w:rPr>
            </w:pPr>
            <w:r w:rsidRPr="00522472">
              <w:rPr>
                <w:rFonts w:eastAsiaTheme="minorEastAsia" w:cs="Calibri"/>
                <w:iCs/>
                <w:color w:val="000000"/>
                <w:szCs w:val="20"/>
                <w:lang w:eastAsia="en-AU"/>
              </w:rPr>
              <w:t xml:space="preserve"> </w:t>
            </w:r>
          </w:p>
        </w:tc>
        <w:tc>
          <w:tcPr>
            <w:tcW w:w="850" w:type="dxa"/>
            <w:tcBorders>
              <w:top w:val="nil"/>
              <w:left w:val="nil"/>
              <w:bottom w:val="nil"/>
              <w:right w:val="nil"/>
            </w:tcBorders>
            <w:shd w:val="solid" w:color="000000" w:fill="auto"/>
          </w:tcPr>
          <w:p w:rsidR="00552DFA" w:rsidRPr="0052247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20"/>
                <w:lang w:eastAsia="en-AU"/>
              </w:rPr>
            </w:pPr>
            <w:r w:rsidRPr="00522472">
              <w:rPr>
                <w:rFonts w:eastAsiaTheme="minorEastAsia" w:cs="Calibri"/>
                <w:iCs/>
                <w:color w:val="FFFFFF"/>
                <w:szCs w:val="20"/>
                <w:lang w:eastAsia="en-AU"/>
              </w:rPr>
              <w:t>estimate</w:t>
            </w:r>
          </w:p>
        </w:tc>
        <w:tc>
          <w:tcPr>
            <w:tcW w:w="850" w:type="dxa"/>
            <w:tcBorders>
              <w:top w:val="nil"/>
              <w:left w:val="nil"/>
              <w:bottom w:val="nil"/>
              <w:right w:val="nil"/>
            </w:tcBorders>
            <w:shd w:val="solid" w:color="000000" w:fill="auto"/>
          </w:tcPr>
          <w:p w:rsidR="00552DFA" w:rsidRPr="0052247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20"/>
                <w:lang w:eastAsia="en-AU"/>
              </w:rPr>
            </w:pPr>
            <w:r w:rsidRPr="00522472">
              <w:rPr>
                <w:rFonts w:eastAsiaTheme="minorEastAsia" w:cs="Calibri"/>
                <w:iCs/>
                <w:color w:val="FFFFFF"/>
                <w:szCs w:val="20"/>
                <w:lang w:eastAsia="en-AU"/>
              </w:rPr>
              <w:t>estimate</w:t>
            </w:r>
          </w:p>
        </w:tc>
        <w:tc>
          <w:tcPr>
            <w:tcW w:w="850" w:type="dxa"/>
            <w:tcBorders>
              <w:top w:val="nil"/>
              <w:left w:val="nil"/>
              <w:bottom w:val="nil"/>
              <w:right w:val="nil"/>
            </w:tcBorders>
            <w:shd w:val="solid" w:color="000000" w:fill="auto"/>
          </w:tcPr>
          <w:p w:rsidR="00552DFA" w:rsidRPr="0052247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20"/>
                <w:lang w:eastAsia="en-AU"/>
              </w:rPr>
            </w:pPr>
            <w:r w:rsidRPr="00522472">
              <w:rPr>
                <w:rFonts w:eastAsiaTheme="minorEastAsia" w:cs="Calibri"/>
                <w:iCs/>
                <w:color w:val="FFFFFF"/>
                <w:szCs w:val="20"/>
                <w:lang w:eastAsia="en-AU"/>
              </w:rPr>
              <w:t xml:space="preserve"> estimate</w:t>
            </w:r>
          </w:p>
        </w:tc>
        <w:tc>
          <w:tcPr>
            <w:tcW w:w="850" w:type="dxa"/>
            <w:tcBorders>
              <w:top w:val="nil"/>
              <w:left w:val="nil"/>
              <w:bottom w:val="nil"/>
              <w:right w:val="nil"/>
            </w:tcBorders>
            <w:shd w:val="solid" w:color="000000" w:fill="auto"/>
          </w:tcPr>
          <w:p w:rsidR="00552DFA" w:rsidRPr="0052247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20"/>
                <w:lang w:eastAsia="en-AU"/>
              </w:rPr>
            </w:pPr>
            <w:r w:rsidRPr="00522472">
              <w:rPr>
                <w:rFonts w:eastAsiaTheme="minorEastAsia" w:cs="Calibri"/>
                <w:iCs/>
                <w:color w:val="FFFFFF"/>
                <w:szCs w:val="20"/>
                <w:lang w:eastAsia="en-AU"/>
              </w:rPr>
              <w:t>estimate</w:t>
            </w:r>
          </w:p>
        </w:tc>
      </w:tr>
      <w:tr w:rsidR="00552DFA" w:rsidRPr="00522472" w:rsidTr="00423C3D">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552DFA" w:rsidRPr="00522472" w:rsidRDefault="00552DFA" w:rsidP="00423C3D">
            <w:pPr>
              <w:keepLines w:val="0"/>
              <w:autoSpaceDE w:val="0"/>
              <w:autoSpaceDN w:val="0"/>
              <w:adjustRightInd w:val="0"/>
              <w:rPr>
                <w:rFonts w:eastAsiaTheme="minorEastAsia" w:cs="Calibri"/>
                <w:color w:val="000000"/>
                <w:szCs w:val="20"/>
                <w:lang w:eastAsia="en-AU"/>
              </w:rPr>
            </w:pPr>
            <w:r w:rsidRPr="00522472">
              <w:rPr>
                <w:rFonts w:eastAsiaTheme="minorEastAsia" w:cs="Calibri"/>
                <w:color w:val="000000"/>
                <w:szCs w:val="20"/>
                <w:lang w:eastAsia="en-AU"/>
              </w:rPr>
              <w:t>Real GSP</w:t>
            </w:r>
          </w:p>
        </w:tc>
        <w:tc>
          <w:tcPr>
            <w:tcW w:w="850" w:type="dxa"/>
            <w:tcBorders>
              <w:top w:val="nil"/>
              <w:left w:val="nil"/>
              <w:bottom w:val="nil"/>
              <w:right w:val="nil"/>
            </w:tcBorders>
          </w:tcPr>
          <w:p w:rsidR="00552DFA" w:rsidRPr="0052247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22472">
              <w:rPr>
                <w:rFonts w:eastAsiaTheme="minorEastAsia" w:cs="Calibri"/>
                <w:color w:val="000000"/>
                <w:szCs w:val="20"/>
                <w:lang w:eastAsia="en-AU"/>
              </w:rPr>
              <w:t>(0.17)</w:t>
            </w:r>
          </w:p>
        </w:tc>
        <w:tc>
          <w:tcPr>
            <w:tcW w:w="850" w:type="dxa"/>
            <w:tcBorders>
              <w:top w:val="nil"/>
              <w:left w:val="nil"/>
              <w:bottom w:val="nil"/>
              <w:right w:val="nil"/>
            </w:tcBorders>
          </w:tcPr>
          <w:p w:rsidR="00552DFA" w:rsidRPr="0052247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22472">
              <w:rPr>
                <w:rFonts w:eastAsiaTheme="minorEastAsia" w:cs="Calibri"/>
                <w:color w:val="000000"/>
                <w:szCs w:val="20"/>
                <w:lang w:eastAsia="en-AU"/>
              </w:rPr>
              <w:t>(0.32)</w:t>
            </w:r>
          </w:p>
        </w:tc>
        <w:tc>
          <w:tcPr>
            <w:tcW w:w="850" w:type="dxa"/>
            <w:tcBorders>
              <w:top w:val="nil"/>
              <w:left w:val="nil"/>
              <w:bottom w:val="nil"/>
              <w:right w:val="nil"/>
            </w:tcBorders>
          </w:tcPr>
          <w:p w:rsidR="00552DFA" w:rsidRPr="0052247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22472">
              <w:rPr>
                <w:rFonts w:eastAsiaTheme="minorEastAsia" w:cs="Calibri"/>
                <w:color w:val="000000"/>
                <w:szCs w:val="20"/>
                <w:lang w:eastAsia="en-AU"/>
              </w:rPr>
              <w:t>(0.46)</w:t>
            </w:r>
          </w:p>
        </w:tc>
        <w:tc>
          <w:tcPr>
            <w:tcW w:w="850" w:type="dxa"/>
            <w:tcBorders>
              <w:top w:val="nil"/>
              <w:left w:val="nil"/>
              <w:bottom w:val="nil"/>
              <w:right w:val="nil"/>
            </w:tcBorders>
          </w:tcPr>
          <w:p w:rsidR="00552DFA" w:rsidRPr="0052247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22472">
              <w:rPr>
                <w:rFonts w:eastAsiaTheme="minorEastAsia" w:cs="Calibri"/>
                <w:color w:val="000000"/>
                <w:szCs w:val="20"/>
                <w:lang w:eastAsia="en-AU"/>
              </w:rPr>
              <w:t>(0.59)</w:t>
            </w:r>
          </w:p>
        </w:tc>
      </w:tr>
      <w:tr w:rsidR="00552DFA" w:rsidRPr="00522472" w:rsidTr="00423C3D">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552DFA" w:rsidRPr="00522472" w:rsidRDefault="00552DFA" w:rsidP="00423C3D">
            <w:pPr>
              <w:keepLines w:val="0"/>
              <w:autoSpaceDE w:val="0"/>
              <w:autoSpaceDN w:val="0"/>
              <w:adjustRightInd w:val="0"/>
              <w:rPr>
                <w:rFonts w:eastAsiaTheme="minorEastAsia" w:cs="Calibri"/>
                <w:color w:val="000000"/>
                <w:szCs w:val="20"/>
                <w:lang w:eastAsia="en-AU"/>
              </w:rPr>
            </w:pPr>
            <w:r w:rsidRPr="00522472">
              <w:rPr>
                <w:rFonts w:eastAsiaTheme="minorEastAsia" w:cs="Calibri"/>
                <w:color w:val="000000"/>
                <w:szCs w:val="20"/>
                <w:lang w:eastAsia="en-AU"/>
              </w:rPr>
              <w:t>Employment</w:t>
            </w:r>
          </w:p>
        </w:tc>
        <w:tc>
          <w:tcPr>
            <w:tcW w:w="850" w:type="dxa"/>
            <w:tcBorders>
              <w:top w:val="nil"/>
              <w:left w:val="nil"/>
              <w:bottom w:val="nil"/>
              <w:right w:val="nil"/>
            </w:tcBorders>
          </w:tcPr>
          <w:p w:rsidR="00552DFA" w:rsidRPr="0052247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22472">
              <w:rPr>
                <w:rFonts w:eastAsiaTheme="minorEastAsia" w:cs="Calibri"/>
                <w:color w:val="000000"/>
                <w:szCs w:val="20"/>
                <w:lang w:eastAsia="en-AU"/>
              </w:rPr>
              <w:t>(0.12)</w:t>
            </w:r>
          </w:p>
        </w:tc>
        <w:tc>
          <w:tcPr>
            <w:tcW w:w="850" w:type="dxa"/>
            <w:tcBorders>
              <w:top w:val="nil"/>
              <w:left w:val="nil"/>
              <w:bottom w:val="nil"/>
              <w:right w:val="nil"/>
            </w:tcBorders>
          </w:tcPr>
          <w:p w:rsidR="00552DFA" w:rsidRPr="0052247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22472">
              <w:rPr>
                <w:rFonts w:eastAsiaTheme="minorEastAsia" w:cs="Calibri"/>
                <w:color w:val="000000"/>
                <w:szCs w:val="20"/>
                <w:lang w:eastAsia="en-AU"/>
              </w:rPr>
              <w:t>(0.20)</w:t>
            </w:r>
          </w:p>
        </w:tc>
        <w:tc>
          <w:tcPr>
            <w:tcW w:w="850" w:type="dxa"/>
            <w:tcBorders>
              <w:top w:val="nil"/>
              <w:left w:val="nil"/>
              <w:bottom w:val="nil"/>
              <w:right w:val="nil"/>
            </w:tcBorders>
          </w:tcPr>
          <w:p w:rsidR="00552DFA" w:rsidRPr="0052247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22472">
              <w:rPr>
                <w:rFonts w:eastAsiaTheme="minorEastAsia" w:cs="Calibri"/>
                <w:color w:val="000000"/>
                <w:szCs w:val="20"/>
                <w:lang w:eastAsia="en-AU"/>
              </w:rPr>
              <w:t>(0.24)</w:t>
            </w:r>
          </w:p>
        </w:tc>
        <w:tc>
          <w:tcPr>
            <w:tcW w:w="850" w:type="dxa"/>
            <w:tcBorders>
              <w:top w:val="nil"/>
              <w:left w:val="nil"/>
              <w:bottom w:val="nil"/>
              <w:right w:val="nil"/>
            </w:tcBorders>
          </w:tcPr>
          <w:p w:rsidR="00552DFA" w:rsidRPr="0052247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22472">
              <w:rPr>
                <w:rFonts w:eastAsiaTheme="minorEastAsia" w:cs="Calibri"/>
                <w:color w:val="000000"/>
                <w:szCs w:val="20"/>
                <w:lang w:eastAsia="en-AU"/>
              </w:rPr>
              <w:t>(0.27)</w:t>
            </w:r>
          </w:p>
        </w:tc>
      </w:tr>
      <w:tr w:rsidR="00552DFA" w:rsidRPr="00522472" w:rsidTr="00423C3D">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552DFA" w:rsidRPr="00522472" w:rsidRDefault="00552DFA" w:rsidP="00423C3D">
            <w:pPr>
              <w:keepLines w:val="0"/>
              <w:autoSpaceDE w:val="0"/>
              <w:autoSpaceDN w:val="0"/>
              <w:adjustRightInd w:val="0"/>
              <w:rPr>
                <w:rFonts w:eastAsiaTheme="minorEastAsia" w:cs="Calibri"/>
                <w:color w:val="000000"/>
                <w:szCs w:val="20"/>
                <w:lang w:eastAsia="en-AU"/>
              </w:rPr>
            </w:pPr>
            <w:r w:rsidRPr="00522472">
              <w:rPr>
                <w:rFonts w:eastAsiaTheme="minorEastAsia" w:cs="Calibri"/>
                <w:color w:val="000000"/>
                <w:szCs w:val="20"/>
                <w:lang w:eastAsia="en-AU"/>
              </w:rPr>
              <w:t>Consumer Price Index</w:t>
            </w:r>
          </w:p>
        </w:tc>
        <w:tc>
          <w:tcPr>
            <w:tcW w:w="850" w:type="dxa"/>
            <w:tcBorders>
              <w:top w:val="nil"/>
              <w:left w:val="nil"/>
              <w:bottom w:val="nil"/>
              <w:right w:val="nil"/>
            </w:tcBorders>
          </w:tcPr>
          <w:p w:rsidR="00552DFA" w:rsidRPr="0052247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22472">
              <w:rPr>
                <w:rFonts w:eastAsiaTheme="minorEastAsia" w:cs="Calibri"/>
                <w:color w:val="000000"/>
                <w:szCs w:val="20"/>
                <w:lang w:eastAsia="en-AU"/>
              </w:rPr>
              <w:t>0.01</w:t>
            </w:r>
          </w:p>
        </w:tc>
        <w:tc>
          <w:tcPr>
            <w:tcW w:w="850" w:type="dxa"/>
            <w:tcBorders>
              <w:top w:val="nil"/>
              <w:left w:val="nil"/>
              <w:bottom w:val="nil"/>
              <w:right w:val="nil"/>
            </w:tcBorders>
          </w:tcPr>
          <w:p w:rsidR="00552DFA" w:rsidRPr="0052247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22472">
              <w:rPr>
                <w:rFonts w:eastAsiaTheme="minorEastAsia" w:cs="Calibri"/>
                <w:color w:val="000000"/>
                <w:szCs w:val="20"/>
                <w:lang w:eastAsia="en-AU"/>
              </w:rPr>
              <w:t>0.02</w:t>
            </w:r>
          </w:p>
        </w:tc>
        <w:tc>
          <w:tcPr>
            <w:tcW w:w="850" w:type="dxa"/>
            <w:tcBorders>
              <w:top w:val="nil"/>
              <w:left w:val="nil"/>
              <w:bottom w:val="nil"/>
              <w:right w:val="nil"/>
            </w:tcBorders>
          </w:tcPr>
          <w:p w:rsidR="00552DFA" w:rsidRPr="0052247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22472">
              <w:rPr>
                <w:rFonts w:eastAsiaTheme="minorEastAsia" w:cs="Calibri"/>
                <w:color w:val="000000"/>
                <w:szCs w:val="20"/>
                <w:lang w:eastAsia="en-AU"/>
              </w:rPr>
              <w:t>0.03</w:t>
            </w:r>
          </w:p>
        </w:tc>
        <w:tc>
          <w:tcPr>
            <w:tcW w:w="850" w:type="dxa"/>
            <w:tcBorders>
              <w:top w:val="nil"/>
              <w:left w:val="nil"/>
              <w:bottom w:val="nil"/>
              <w:right w:val="nil"/>
            </w:tcBorders>
          </w:tcPr>
          <w:p w:rsidR="00552DFA" w:rsidRPr="0052247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22472">
              <w:rPr>
                <w:rFonts w:eastAsiaTheme="minorEastAsia" w:cs="Calibri"/>
                <w:color w:val="000000"/>
                <w:szCs w:val="20"/>
                <w:lang w:eastAsia="en-AU"/>
              </w:rPr>
              <w:t>0.04</w:t>
            </w:r>
          </w:p>
        </w:tc>
      </w:tr>
      <w:tr w:rsidR="00552DFA" w:rsidRPr="00522472" w:rsidTr="00423C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nil"/>
              <w:bottom w:val="single" w:sz="4" w:space="0" w:color="auto"/>
            </w:tcBorders>
          </w:tcPr>
          <w:p w:rsidR="00552DFA" w:rsidRPr="00522472" w:rsidRDefault="00552DFA" w:rsidP="00423C3D">
            <w:pPr>
              <w:keepLines w:val="0"/>
              <w:autoSpaceDE w:val="0"/>
              <w:autoSpaceDN w:val="0"/>
              <w:adjustRightInd w:val="0"/>
              <w:rPr>
                <w:rFonts w:eastAsiaTheme="minorEastAsia" w:cs="Calibri"/>
                <w:b w:val="0"/>
                <w:color w:val="000000"/>
                <w:szCs w:val="20"/>
                <w:lang w:eastAsia="en-AU"/>
              </w:rPr>
            </w:pPr>
            <w:r w:rsidRPr="00522472">
              <w:rPr>
                <w:rFonts w:eastAsiaTheme="minorEastAsia" w:cs="Calibri"/>
                <w:b w:val="0"/>
                <w:color w:val="000000"/>
                <w:szCs w:val="20"/>
                <w:lang w:eastAsia="en-AU"/>
              </w:rPr>
              <w:t xml:space="preserve">Wage Price Index </w:t>
            </w:r>
          </w:p>
        </w:tc>
        <w:tc>
          <w:tcPr>
            <w:tcW w:w="850" w:type="dxa"/>
            <w:tcBorders>
              <w:top w:val="nil"/>
              <w:bottom w:val="single" w:sz="4" w:space="0" w:color="auto"/>
            </w:tcBorders>
          </w:tcPr>
          <w:p w:rsidR="00552DFA" w:rsidRPr="0052247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20"/>
                <w:lang w:eastAsia="en-AU"/>
              </w:rPr>
            </w:pPr>
            <w:r w:rsidRPr="00522472">
              <w:rPr>
                <w:rFonts w:eastAsiaTheme="minorEastAsia" w:cs="Calibri"/>
                <w:b w:val="0"/>
                <w:color w:val="000000"/>
                <w:szCs w:val="20"/>
                <w:lang w:eastAsia="en-AU"/>
              </w:rPr>
              <w:t>(0.11)</w:t>
            </w:r>
          </w:p>
        </w:tc>
        <w:tc>
          <w:tcPr>
            <w:tcW w:w="850" w:type="dxa"/>
            <w:tcBorders>
              <w:top w:val="nil"/>
              <w:bottom w:val="single" w:sz="4" w:space="0" w:color="auto"/>
            </w:tcBorders>
          </w:tcPr>
          <w:p w:rsidR="00552DFA" w:rsidRPr="0052247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20"/>
                <w:lang w:eastAsia="en-AU"/>
              </w:rPr>
            </w:pPr>
            <w:r w:rsidRPr="00522472">
              <w:rPr>
                <w:rFonts w:eastAsiaTheme="minorEastAsia" w:cs="Calibri"/>
                <w:b w:val="0"/>
                <w:color w:val="000000"/>
                <w:szCs w:val="20"/>
                <w:lang w:eastAsia="en-AU"/>
              </w:rPr>
              <w:t>(0.28)</w:t>
            </w:r>
          </w:p>
        </w:tc>
        <w:tc>
          <w:tcPr>
            <w:tcW w:w="850" w:type="dxa"/>
            <w:tcBorders>
              <w:top w:val="nil"/>
              <w:bottom w:val="single" w:sz="4" w:space="0" w:color="auto"/>
            </w:tcBorders>
          </w:tcPr>
          <w:p w:rsidR="00552DFA" w:rsidRPr="0052247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20"/>
                <w:lang w:eastAsia="en-AU"/>
              </w:rPr>
            </w:pPr>
            <w:r w:rsidRPr="00522472">
              <w:rPr>
                <w:rFonts w:eastAsiaTheme="minorEastAsia" w:cs="Calibri"/>
                <w:b w:val="0"/>
                <w:color w:val="000000"/>
                <w:szCs w:val="20"/>
                <w:lang w:eastAsia="en-AU"/>
              </w:rPr>
              <w:t>(0.50)</w:t>
            </w:r>
          </w:p>
        </w:tc>
        <w:tc>
          <w:tcPr>
            <w:tcW w:w="850" w:type="dxa"/>
            <w:tcBorders>
              <w:top w:val="nil"/>
              <w:bottom w:val="single" w:sz="4" w:space="0" w:color="auto"/>
            </w:tcBorders>
          </w:tcPr>
          <w:p w:rsidR="00552DFA" w:rsidRPr="0052247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20"/>
                <w:lang w:eastAsia="en-AU"/>
              </w:rPr>
            </w:pPr>
            <w:r w:rsidRPr="00522472">
              <w:rPr>
                <w:rFonts w:eastAsiaTheme="minorEastAsia" w:cs="Calibri"/>
                <w:b w:val="0"/>
                <w:color w:val="000000"/>
                <w:szCs w:val="20"/>
                <w:lang w:eastAsia="en-AU"/>
              </w:rPr>
              <w:t>(0.75)</w:t>
            </w:r>
          </w:p>
        </w:tc>
      </w:tr>
    </w:tbl>
    <w:p w:rsidR="00552DFA" w:rsidRPr="00CD5952" w:rsidRDefault="00552DFA" w:rsidP="00423C3D">
      <w:pPr>
        <w:pStyle w:val="Source"/>
        <w:spacing w:after="0"/>
        <w:ind w:left="340" w:hanging="340"/>
      </w:pPr>
      <w:r>
        <w:t>Note: Figures reported are the change in the level of each parameter relative to the baseline of no change in the economic outlook, for each year of the budget. Source: Centre of Policy Studies, Victoria University.</w:t>
      </w:r>
    </w:p>
    <w:p w:rsidR="00552DFA" w:rsidRDefault="00552DFA" w:rsidP="00423C3D">
      <w:pPr>
        <w:pStyle w:val="TableHeading"/>
      </w:pPr>
      <w:r>
        <w:t>Chart A.1:</w:t>
      </w:r>
      <w:r w:rsidR="00D52A5D">
        <w:tab/>
      </w:r>
      <w:r>
        <w:t>Lower growth in real gross state product and trade</w:t>
      </w:r>
    </w:p>
    <w:tbl>
      <w:tblPr>
        <w:tblStyle w:val="DTFTextTable"/>
        <w:tblW w:w="5074" w:type="pct"/>
        <w:tblBorders>
          <w:bottom w:val="none" w:sz="0" w:space="0" w:color="auto"/>
        </w:tblBorders>
        <w:tblLook w:val="0600" w:firstRow="0" w:lastRow="0" w:firstColumn="0" w:lastColumn="0" w:noHBand="1" w:noVBand="1"/>
      </w:tblPr>
      <w:tblGrid>
        <w:gridCol w:w="4037"/>
        <w:gridCol w:w="4085"/>
      </w:tblGrid>
      <w:tr w:rsidR="00552DFA" w:rsidTr="00423C3D">
        <w:tc>
          <w:tcPr>
            <w:tcW w:w="2500" w:type="pct"/>
          </w:tcPr>
          <w:p w:rsidR="00552DFA" w:rsidRDefault="00552DFA" w:rsidP="00423C3D">
            <w:pPr>
              <w:pStyle w:val="TableHeading"/>
              <w:spacing w:before="0" w:after="0"/>
              <w:jc w:val="center"/>
              <w:rPr>
                <w:sz w:val="18"/>
              </w:rPr>
            </w:pPr>
            <w:r>
              <w:rPr>
                <w:sz w:val="18"/>
              </w:rPr>
              <w:t>Real gross state product</w:t>
            </w:r>
          </w:p>
          <w:p w:rsidR="00552DFA" w:rsidRDefault="0049535D" w:rsidP="00423C3D">
            <w:r>
              <w:rPr>
                <w:rFonts w:asciiTheme="minorHAnsi" w:hAnsiTheme="minorHAnsi"/>
                <w:sz w:val="22"/>
              </w:rPr>
              <w:pict>
                <v:shape id="_x0000_i1039" type="#_x0000_t75" style="width:195.9pt;height:173.3pt">
                  <v:imagedata r:id="rId42" o:title="" cropleft="723f" cropright="1928f"/>
                </v:shape>
              </w:pict>
            </w:r>
          </w:p>
        </w:tc>
        <w:tc>
          <w:tcPr>
            <w:tcW w:w="2500" w:type="pct"/>
          </w:tcPr>
          <w:p w:rsidR="00552DFA" w:rsidRDefault="00552DFA" w:rsidP="00423C3D">
            <w:pPr>
              <w:pStyle w:val="TableHeading"/>
              <w:spacing w:before="0" w:after="0"/>
              <w:jc w:val="center"/>
              <w:rPr>
                <w:sz w:val="18"/>
              </w:rPr>
            </w:pPr>
            <w:r>
              <w:rPr>
                <w:sz w:val="18"/>
              </w:rPr>
              <w:t>Trade</w:t>
            </w:r>
          </w:p>
          <w:p w:rsidR="00552DFA" w:rsidRDefault="0049535D" w:rsidP="00423C3D">
            <w:r>
              <w:rPr>
                <w:rFonts w:asciiTheme="minorHAnsi" w:hAnsiTheme="minorHAnsi"/>
                <w:sz w:val="22"/>
              </w:rPr>
              <w:pict>
                <v:shape id="_x0000_i1040" type="#_x0000_t75" style="width:198.4pt;height:172.45pt">
                  <v:imagedata r:id="rId43" o:title="" cropright="1462f"/>
                </v:shape>
              </w:pict>
            </w:r>
          </w:p>
        </w:tc>
      </w:tr>
    </w:tbl>
    <w:p w:rsidR="00552DFA" w:rsidRDefault="00552DFA" w:rsidP="00423C3D">
      <w:pPr>
        <w:pStyle w:val="Source"/>
      </w:pPr>
      <w:r>
        <w:t>Sources: Australian Bureau of Statistics; Centre of Policy Studies; Department of Treasury and Finance</w:t>
      </w:r>
    </w:p>
    <w:p w:rsidR="00552DFA" w:rsidRDefault="00552DFA" w:rsidP="00423C3D">
      <w:r>
        <w:lastRenderedPageBreak/>
        <w:t xml:space="preserve">Other important channels through which the shock is transmitted are household consumption and the labour market. Growth in household consumption is projected to slow (Chart A.2), reflecting lower growth in household disposable income including lower wage growth and lower asset returns. Slower wage growth is in line with softer labour market conditions as the demand for labour grows by less with an adverse shock to global trade. </w:t>
      </w:r>
    </w:p>
    <w:p w:rsidR="00552DFA" w:rsidRDefault="00552DFA" w:rsidP="00D52A5D">
      <w:pPr>
        <w:pStyle w:val="TableHeading"/>
        <w:spacing w:after="120"/>
      </w:pPr>
      <w:r>
        <w:t>Chart A.2:</w:t>
      </w:r>
      <w:r>
        <w:tab/>
        <w:t>Slower global trade reduces consumption and wages growth</w:t>
      </w:r>
    </w:p>
    <w:tbl>
      <w:tblPr>
        <w:tblStyle w:val="DTFTextTable"/>
        <w:tblW w:w="5167" w:type="pct"/>
        <w:tblBorders>
          <w:bottom w:val="none" w:sz="0" w:space="0" w:color="auto"/>
        </w:tblBorders>
        <w:tblLook w:val="0600" w:firstRow="0" w:lastRow="0" w:firstColumn="0" w:lastColumn="0" w:noHBand="1" w:noVBand="1"/>
      </w:tblPr>
      <w:tblGrid>
        <w:gridCol w:w="4037"/>
        <w:gridCol w:w="4051"/>
      </w:tblGrid>
      <w:tr w:rsidR="00552DFA" w:rsidTr="00423C3D">
        <w:tc>
          <w:tcPr>
            <w:tcW w:w="2511" w:type="pct"/>
          </w:tcPr>
          <w:p w:rsidR="00552DFA" w:rsidRDefault="00552DFA" w:rsidP="00423C3D">
            <w:pPr>
              <w:pStyle w:val="TableHeading"/>
              <w:spacing w:before="0" w:after="0"/>
              <w:jc w:val="center"/>
              <w:rPr>
                <w:sz w:val="18"/>
              </w:rPr>
            </w:pPr>
            <w:r w:rsidRPr="00101922">
              <w:rPr>
                <w:sz w:val="18"/>
              </w:rPr>
              <w:t>Consumption</w:t>
            </w:r>
          </w:p>
          <w:p w:rsidR="00552DFA" w:rsidRDefault="0049535D" w:rsidP="00423C3D">
            <w:r>
              <w:rPr>
                <w:rFonts w:asciiTheme="minorHAnsi" w:hAnsiTheme="minorHAnsi"/>
                <w:sz w:val="22"/>
              </w:rPr>
              <w:pict>
                <v:shape id="_x0000_i1041" type="#_x0000_t75" style="width:195.9pt;height:168.3pt">
                  <v:imagedata r:id="rId44" o:title="" cropleft="613f"/>
                </v:shape>
              </w:pict>
            </w:r>
          </w:p>
        </w:tc>
        <w:tc>
          <w:tcPr>
            <w:tcW w:w="2489" w:type="pct"/>
          </w:tcPr>
          <w:p w:rsidR="00552DFA" w:rsidRDefault="00552DFA" w:rsidP="00423C3D">
            <w:pPr>
              <w:pStyle w:val="TableHeading"/>
              <w:spacing w:before="0" w:after="0"/>
              <w:jc w:val="center"/>
              <w:rPr>
                <w:sz w:val="18"/>
              </w:rPr>
            </w:pPr>
            <w:r w:rsidRPr="00101922">
              <w:rPr>
                <w:sz w:val="18"/>
              </w:rPr>
              <w:t>Wage price index</w:t>
            </w:r>
          </w:p>
          <w:p w:rsidR="00552DFA" w:rsidRDefault="0049535D" w:rsidP="00423C3D">
            <w:r>
              <w:rPr>
                <w:rFonts w:asciiTheme="minorHAnsi" w:hAnsiTheme="minorHAnsi"/>
                <w:sz w:val="22"/>
              </w:rPr>
              <w:pict>
                <v:shape id="_x0000_i1042" type="#_x0000_t75" style="width:196.75pt;height:168.3pt">
                  <v:imagedata r:id="rId45" o:title="" cropleft="742f"/>
                </v:shape>
              </w:pict>
            </w:r>
          </w:p>
        </w:tc>
      </w:tr>
    </w:tbl>
    <w:p w:rsidR="00552DFA" w:rsidRDefault="00552DFA" w:rsidP="00423C3D">
      <w:pPr>
        <w:pStyle w:val="Source"/>
      </w:pPr>
      <w:r>
        <w:t>Sources: Australian Bureau of Statistics; Centre of Policy Studies; Department of Treasury and Finance</w:t>
      </w:r>
    </w:p>
    <w:p w:rsidR="00552DFA" w:rsidRDefault="00552DFA" w:rsidP="00423C3D">
      <w:pPr>
        <w:pStyle w:val="Source"/>
      </w:pPr>
    </w:p>
    <w:p w:rsidR="00552DFA" w:rsidRDefault="00552DFA" w:rsidP="00423C3D">
      <w:r>
        <w:t>Table A.3 highlights the fiscal impact of the changes in economic parameters. With slower growth in real GSP, consumption, property prices and wages, income from transactions is lower over the next four years consistent with lower growth in revenue from land transfer duty, payroll tax and lower GST</w:t>
      </w:r>
      <w:r w:rsidR="00356A95">
        <w:fldChar w:fldCharType="begin"/>
      </w:r>
      <w:r w:rsidR="00356A95">
        <w:instrText xml:space="preserve"> XE "Taxation:Goods and services tax" </w:instrText>
      </w:r>
      <w:r w:rsidR="00356A95">
        <w:fldChar w:fldCharType="end"/>
      </w:r>
      <w:r>
        <w:t xml:space="preserve"> revenue. </w:t>
      </w:r>
    </w:p>
    <w:p w:rsidR="00552DFA" w:rsidRDefault="00552DFA" w:rsidP="00423C3D">
      <w:r>
        <w:t xml:space="preserve">Expenses from transactions are also lower as lower wage growth reduces employee expenses and in some cases outlays on grants and transfers. However, offsetting this to some extent is a rise in borrowing costs as income falls by more than expenses. Overall, there is a decline in the net result and an increase in net debt. </w:t>
      </w:r>
    </w:p>
    <w:p w:rsidR="00552DFA" w:rsidRPr="00842B22" w:rsidRDefault="00552DFA" w:rsidP="00423C3D">
      <w:pPr>
        <w:pStyle w:val="TableHeading"/>
      </w:pPr>
      <w:r>
        <w:t>Table A.3:</w:t>
      </w:r>
      <w:r>
        <w:tab/>
        <w:t>Projected fiscal impact of a global trade shock</w:t>
      </w:r>
      <w:r>
        <w:tab/>
      </w:r>
      <w:r w:rsidRPr="001578E9">
        <w:t>($</w:t>
      </w:r>
      <w:r>
        <w:t> </w:t>
      </w:r>
      <w:r w:rsidRPr="001578E9">
        <w:t>m</w:t>
      </w:r>
      <w:r>
        <w:t>illion</w:t>
      </w:r>
      <w:r w:rsidRPr="001578E9">
        <w:t>)</w:t>
      </w:r>
    </w:p>
    <w:tbl>
      <w:tblPr>
        <w:tblStyle w:val="DTFTable"/>
        <w:tblW w:w="7767" w:type="dxa"/>
        <w:tblInd w:w="45" w:type="dxa"/>
        <w:tblLayout w:type="fixed"/>
        <w:tblCellMar>
          <w:left w:w="45" w:type="dxa"/>
          <w:right w:w="45" w:type="dxa"/>
        </w:tblCellMar>
        <w:tblLook w:val="06E0" w:firstRow="1" w:lastRow="1" w:firstColumn="1" w:lastColumn="0" w:noHBand="1" w:noVBand="1"/>
      </w:tblPr>
      <w:tblGrid>
        <w:gridCol w:w="3215"/>
        <w:gridCol w:w="1138"/>
        <w:gridCol w:w="1138"/>
        <w:gridCol w:w="1138"/>
        <w:gridCol w:w="1138"/>
      </w:tblGrid>
      <w:tr w:rsidR="00552DFA" w:rsidRPr="00842B22" w:rsidTr="00423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jc w:val="right"/>
              <w:rPr>
                <w:rFonts w:eastAsiaTheme="minorEastAsia" w:cs="Calibri"/>
                <w:iCs/>
                <w:color w:val="000000"/>
                <w:szCs w:val="20"/>
                <w:lang w:eastAsia="en-AU"/>
              </w:rPr>
            </w:pPr>
            <w:r w:rsidRPr="00842B22">
              <w:rPr>
                <w:rFonts w:eastAsiaTheme="minorEastAsia" w:cs="Calibri"/>
                <w:iCs/>
                <w:color w:val="000000"/>
                <w:szCs w:val="20"/>
                <w:lang w:eastAsia="en-AU"/>
              </w:rPr>
              <w:t xml:space="preserve"> </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42B22">
              <w:rPr>
                <w:rFonts w:eastAsiaTheme="minorEastAsia" w:cs="Calibri"/>
                <w:iCs/>
                <w:color w:val="FFFFFF"/>
                <w:szCs w:val="20"/>
                <w:lang w:eastAsia="en-AU"/>
              </w:rPr>
              <w:t>2017</w:t>
            </w:r>
            <w:r>
              <w:rPr>
                <w:rFonts w:eastAsiaTheme="minorEastAsia" w:cs="Calibri"/>
                <w:iCs/>
                <w:color w:val="FFFFFF"/>
                <w:szCs w:val="20"/>
                <w:lang w:eastAsia="en-AU"/>
              </w:rPr>
              <w:noBreakHyphen/>
            </w:r>
            <w:r w:rsidRPr="00842B22">
              <w:rPr>
                <w:rFonts w:eastAsiaTheme="minorEastAsia" w:cs="Calibri"/>
                <w:iCs/>
                <w:color w:val="FFFFFF"/>
                <w:szCs w:val="20"/>
                <w:lang w:eastAsia="en-AU"/>
              </w:rPr>
              <w:t xml:space="preserve">18 </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42B22">
              <w:rPr>
                <w:rFonts w:eastAsiaTheme="minorEastAsia" w:cs="Calibri"/>
                <w:iCs/>
                <w:color w:val="FFFFFF"/>
                <w:szCs w:val="20"/>
                <w:lang w:eastAsia="en-AU"/>
              </w:rPr>
              <w:t>2018</w:t>
            </w:r>
            <w:r>
              <w:rPr>
                <w:rFonts w:eastAsiaTheme="minorEastAsia" w:cs="Calibri"/>
                <w:iCs/>
                <w:color w:val="FFFFFF"/>
                <w:szCs w:val="20"/>
                <w:lang w:eastAsia="en-AU"/>
              </w:rPr>
              <w:noBreakHyphen/>
            </w:r>
            <w:r w:rsidRPr="00842B22">
              <w:rPr>
                <w:rFonts w:eastAsiaTheme="minorEastAsia" w:cs="Calibri"/>
                <w:iCs/>
                <w:color w:val="FFFFFF"/>
                <w:szCs w:val="20"/>
                <w:lang w:eastAsia="en-AU"/>
              </w:rPr>
              <w:t xml:space="preserve">19 </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42B22">
              <w:rPr>
                <w:rFonts w:eastAsiaTheme="minorEastAsia" w:cs="Calibri"/>
                <w:iCs/>
                <w:color w:val="FFFFFF"/>
                <w:szCs w:val="20"/>
                <w:lang w:eastAsia="en-AU"/>
              </w:rPr>
              <w:t>2019</w:t>
            </w:r>
            <w:r>
              <w:rPr>
                <w:rFonts w:eastAsiaTheme="minorEastAsia" w:cs="Calibri"/>
                <w:iCs/>
                <w:color w:val="FFFFFF"/>
                <w:szCs w:val="20"/>
                <w:lang w:eastAsia="en-AU"/>
              </w:rPr>
              <w:noBreakHyphen/>
            </w:r>
            <w:r w:rsidRPr="00842B22">
              <w:rPr>
                <w:rFonts w:eastAsiaTheme="minorEastAsia" w:cs="Calibri"/>
                <w:iCs/>
                <w:color w:val="FFFFFF"/>
                <w:szCs w:val="20"/>
                <w:lang w:eastAsia="en-AU"/>
              </w:rPr>
              <w:t>20</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42B22">
              <w:rPr>
                <w:rFonts w:eastAsiaTheme="minorEastAsia" w:cs="Calibri"/>
                <w:iCs/>
                <w:color w:val="FFFFFF"/>
                <w:szCs w:val="20"/>
                <w:lang w:eastAsia="en-AU"/>
              </w:rPr>
              <w:t>2020</w:t>
            </w:r>
            <w:r>
              <w:rPr>
                <w:rFonts w:eastAsiaTheme="minorEastAsia" w:cs="Calibri"/>
                <w:iCs/>
                <w:color w:val="FFFFFF"/>
                <w:szCs w:val="20"/>
                <w:lang w:eastAsia="en-AU"/>
              </w:rPr>
              <w:noBreakHyphen/>
            </w:r>
            <w:r w:rsidRPr="00842B22">
              <w:rPr>
                <w:rFonts w:eastAsiaTheme="minorEastAsia" w:cs="Calibri"/>
                <w:iCs/>
                <w:color w:val="FFFFFF"/>
                <w:szCs w:val="20"/>
                <w:lang w:eastAsia="en-AU"/>
              </w:rPr>
              <w:t xml:space="preserve">21 </w:t>
            </w:r>
          </w:p>
        </w:tc>
      </w:tr>
      <w:tr w:rsidR="00552DFA" w:rsidRPr="00842B22" w:rsidTr="00423C3D">
        <w:tc>
          <w:tcPr>
            <w:cnfStyle w:val="001000000000" w:firstRow="0" w:lastRow="0" w:firstColumn="1" w:lastColumn="0" w:oddVBand="0" w:evenVBand="0" w:oddHBand="0" w:evenHBand="0" w:firstRowFirstColumn="0" w:firstRowLastColumn="0" w:lastRowFirstColumn="0" w:lastRowLastColumn="0"/>
            <w:tcW w:w="2916"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jc w:val="right"/>
              <w:rPr>
                <w:rFonts w:eastAsiaTheme="minorEastAsia" w:cs="Calibri"/>
                <w:iCs/>
                <w:color w:val="000000"/>
                <w:szCs w:val="20"/>
                <w:lang w:eastAsia="en-AU"/>
              </w:rPr>
            </w:pPr>
            <w:r w:rsidRPr="00842B22">
              <w:rPr>
                <w:rFonts w:eastAsiaTheme="minorEastAsia" w:cs="Calibri"/>
                <w:i/>
                <w:iCs/>
                <w:color w:val="000000"/>
                <w:szCs w:val="20"/>
                <w:lang w:eastAsia="en-AU"/>
              </w:rPr>
              <w:t xml:space="preserve"> </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42B22">
              <w:rPr>
                <w:rFonts w:eastAsiaTheme="minorEastAsia" w:cs="Calibri"/>
                <w:i/>
                <w:iCs/>
                <w:color w:val="FFFFFF"/>
                <w:szCs w:val="20"/>
                <w:lang w:eastAsia="en-AU"/>
              </w:rPr>
              <w:t>estimate</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42B22">
              <w:rPr>
                <w:rFonts w:eastAsiaTheme="minorEastAsia" w:cs="Calibri"/>
                <w:i/>
                <w:iCs/>
                <w:color w:val="FFFFFF"/>
                <w:szCs w:val="20"/>
                <w:lang w:eastAsia="en-AU"/>
              </w:rPr>
              <w:t>estimate</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42B22">
              <w:rPr>
                <w:rFonts w:eastAsiaTheme="minorEastAsia" w:cs="Calibri"/>
                <w:i/>
                <w:iCs/>
                <w:color w:val="FFFFFF"/>
                <w:szCs w:val="20"/>
                <w:lang w:eastAsia="en-AU"/>
              </w:rPr>
              <w:t xml:space="preserve"> estimate</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42B22">
              <w:rPr>
                <w:rFonts w:eastAsiaTheme="minorEastAsia" w:cs="Calibri"/>
                <w:i/>
                <w:iCs/>
                <w:color w:val="FFFFFF"/>
                <w:szCs w:val="20"/>
                <w:lang w:eastAsia="en-AU"/>
              </w:rPr>
              <w:t>estimate</w:t>
            </w:r>
          </w:p>
        </w:tc>
      </w:tr>
      <w:tr w:rsidR="00552DFA" w:rsidRPr="00842B22" w:rsidTr="00423C3D">
        <w:tc>
          <w:tcPr>
            <w:cnfStyle w:val="001000000000" w:firstRow="0" w:lastRow="0" w:firstColumn="1" w:lastColumn="0" w:oddVBand="0" w:evenVBand="0" w:oddHBand="0" w:evenHBand="0" w:firstRowFirstColumn="0" w:firstRowLastColumn="0" w:lastRowFirstColumn="0" w:lastRowLastColumn="0"/>
            <w:tcW w:w="2916" w:type="dxa"/>
            <w:tcBorders>
              <w:top w:val="single" w:sz="6" w:space="0" w:color="auto"/>
              <w:left w:val="nil"/>
              <w:bottom w:val="nil"/>
              <w:right w:val="nil"/>
            </w:tcBorders>
          </w:tcPr>
          <w:p w:rsidR="00552DFA" w:rsidRPr="00842B22" w:rsidRDefault="00552DFA" w:rsidP="00423C3D">
            <w:pPr>
              <w:keepLines w:val="0"/>
              <w:autoSpaceDE w:val="0"/>
              <w:autoSpaceDN w:val="0"/>
              <w:adjustRightInd w:val="0"/>
              <w:rPr>
                <w:rFonts w:eastAsiaTheme="minorEastAsia" w:cs="Calibri"/>
                <w:color w:val="000000"/>
                <w:szCs w:val="20"/>
                <w:lang w:eastAsia="en-AU"/>
              </w:rPr>
            </w:pPr>
            <w:r w:rsidRPr="00842B22">
              <w:rPr>
                <w:rFonts w:eastAsiaTheme="minorEastAsia" w:cs="Calibri"/>
                <w:color w:val="000000"/>
                <w:szCs w:val="20"/>
                <w:lang w:eastAsia="en-AU"/>
              </w:rPr>
              <w:t>Income from transactions</w:t>
            </w:r>
          </w:p>
        </w:tc>
        <w:tc>
          <w:tcPr>
            <w:tcW w:w="1032" w:type="dxa"/>
            <w:tcBorders>
              <w:top w:val="single" w:sz="6" w:space="0" w:color="auto"/>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(73.7)</w:t>
            </w:r>
          </w:p>
        </w:tc>
        <w:tc>
          <w:tcPr>
            <w:tcW w:w="1032" w:type="dxa"/>
            <w:tcBorders>
              <w:top w:val="single" w:sz="6" w:space="0" w:color="auto"/>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(206.8)</w:t>
            </w:r>
          </w:p>
        </w:tc>
        <w:tc>
          <w:tcPr>
            <w:tcW w:w="1032" w:type="dxa"/>
            <w:tcBorders>
              <w:top w:val="single" w:sz="6" w:space="0" w:color="auto"/>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(309.9)</w:t>
            </w:r>
          </w:p>
        </w:tc>
        <w:tc>
          <w:tcPr>
            <w:tcW w:w="1032" w:type="dxa"/>
            <w:tcBorders>
              <w:top w:val="single" w:sz="6" w:space="0" w:color="auto"/>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(432.3)</w:t>
            </w:r>
          </w:p>
        </w:tc>
      </w:tr>
      <w:tr w:rsidR="00552DFA" w:rsidRPr="00842B22" w:rsidTr="00423C3D">
        <w:tc>
          <w:tcPr>
            <w:cnfStyle w:val="001000000000" w:firstRow="0" w:lastRow="0" w:firstColumn="1" w:lastColumn="0" w:oddVBand="0" w:evenVBand="0" w:oddHBand="0" w:evenHBand="0" w:firstRowFirstColumn="0" w:firstRowLastColumn="0" w:lastRowFirstColumn="0" w:lastRowLastColumn="0"/>
            <w:tcW w:w="2916" w:type="dxa"/>
            <w:tcBorders>
              <w:top w:val="nil"/>
              <w:left w:val="nil"/>
              <w:bottom w:val="nil"/>
              <w:right w:val="nil"/>
            </w:tcBorders>
          </w:tcPr>
          <w:p w:rsidR="00552DFA" w:rsidRPr="00842B22" w:rsidRDefault="00552DFA" w:rsidP="00423C3D">
            <w:pPr>
              <w:keepLines w:val="0"/>
              <w:autoSpaceDE w:val="0"/>
              <w:autoSpaceDN w:val="0"/>
              <w:adjustRightInd w:val="0"/>
              <w:rPr>
                <w:rFonts w:eastAsiaTheme="minorEastAsia" w:cs="Calibri"/>
                <w:color w:val="000000"/>
                <w:szCs w:val="20"/>
                <w:lang w:eastAsia="en-AU"/>
              </w:rPr>
            </w:pPr>
            <w:r w:rsidRPr="00842B22">
              <w:rPr>
                <w:rFonts w:eastAsiaTheme="minorEastAsia" w:cs="Calibri"/>
                <w:color w:val="000000"/>
                <w:szCs w:val="20"/>
                <w:lang w:eastAsia="en-AU"/>
              </w:rPr>
              <w:t>Expenses from transactions</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2.0</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(18.8)</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(81.3)</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(143.0)</w:t>
            </w:r>
          </w:p>
        </w:tc>
      </w:tr>
      <w:tr w:rsidR="00552DFA" w:rsidRPr="00842B22" w:rsidTr="00423C3D">
        <w:tc>
          <w:tcPr>
            <w:cnfStyle w:val="001000000000" w:firstRow="0" w:lastRow="0" w:firstColumn="1" w:lastColumn="0" w:oddVBand="0" w:evenVBand="0" w:oddHBand="0" w:evenHBand="0" w:firstRowFirstColumn="0" w:firstRowLastColumn="0" w:lastRowFirstColumn="0" w:lastRowLastColumn="0"/>
            <w:tcW w:w="2916"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rPr>
                <w:rFonts w:eastAsiaTheme="minorEastAsia" w:cs="Calibri"/>
                <w:b/>
                <w:bCs/>
                <w:color w:val="000000"/>
                <w:szCs w:val="20"/>
                <w:lang w:eastAsia="en-AU"/>
              </w:rPr>
            </w:pPr>
            <w:r w:rsidRPr="00842B22">
              <w:rPr>
                <w:rFonts w:eastAsiaTheme="minorEastAsia" w:cs="Calibri"/>
                <w:b/>
                <w:bCs/>
                <w:color w:val="000000"/>
                <w:szCs w:val="20"/>
                <w:lang w:eastAsia="en-AU"/>
              </w:rPr>
              <w:t>Net result from transactions</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(75.8)</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(188.0)</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(228.5)</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(289.4)</w:t>
            </w:r>
          </w:p>
        </w:tc>
      </w:tr>
      <w:tr w:rsidR="00552DFA" w:rsidRPr="00842B22" w:rsidTr="00423C3D">
        <w:tc>
          <w:tcPr>
            <w:cnfStyle w:val="001000000000" w:firstRow="0" w:lastRow="0" w:firstColumn="1" w:lastColumn="0" w:oddVBand="0" w:evenVBand="0" w:oddHBand="0" w:evenHBand="0" w:firstRowFirstColumn="0" w:firstRowLastColumn="0" w:lastRowFirstColumn="0" w:lastRowLastColumn="0"/>
            <w:tcW w:w="2916" w:type="dxa"/>
            <w:tcBorders>
              <w:top w:val="nil"/>
              <w:left w:val="nil"/>
              <w:bottom w:val="nil"/>
              <w:right w:val="nil"/>
            </w:tcBorders>
          </w:tcPr>
          <w:p w:rsidR="00552DFA" w:rsidRPr="00842B22" w:rsidRDefault="00552DFA" w:rsidP="00423C3D">
            <w:pPr>
              <w:keepLines w:val="0"/>
              <w:autoSpaceDE w:val="0"/>
              <w:autoSpaceDN w:val="0"/>
              <w:adjustRightInd w:val="0"/>
              <w:rPr>
                <w:rFonts w:eastAsiaTheme="minorEastAsia" w:cs="Calibri"/>
                <w:color w:val="000000"/>
                <w:szCs w:val="20"/>
                <w:lang w:eastAsia="en-AU"/>
              </w:rPr>
            </w:pPr>
            <w:r w:rsidRPr="00842B22">
              <w:rPr>
                <w:rFonts w:eastAsiaTheme="minorEastAsia" w:cs="Calibri"/>
                <w:color w:val="000000"/>
                <w:szCs w:val="20"/>
                <w:lang w:eastAsia="en-AU"/>
              </w:rPr>
              <w:t>Other economic flows</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(1.0)</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(2.4)</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(2.1)</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(2.2)</w:t>
            </w:r>
          </w:p>
        </w:tc>
      </w:tr>
      <w:tr w:rsidR="00552DFA" w:rsidRPr="00842B22" w:rsidTr="00423C3D">
        <w:tc>
          <w:tcPr>
            <w:cnfStyle w:val="001000000000" w:firstRow="0" w:lastRow="0" w:firstColumn="1" w:lastColumn="0" w:oddVBand="0" w:evenVBand="0" w:oddHBand="0" w:evenHBand="0" w:firstRowFirstColumn="0" w:firstRowLastColumn="0" w:lastRowFirstColumn="0" w:lastRowLastColumn="0"/>
            <w:tcW w:w="2916"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rPr>
                <w:rFonts w:eastAsiaTheme="minorEastAsia" w:cs="Calibri"/>
                <w:b/>
                <w:bCs/>
                <w:color w:val="000000"/>
                <w:szCs w:val="20"/>
                <w:lang w:eastAsia="en-AU"/>
              </w:rPr>
            </w:pPr>
            <w:r w:rsidRPr="00842B22">
              <w:rPr>
                <w:rFonts w:eastAsiaTheme="minorEastAsia" w:cs="Calibri"/>
                <w:b/>
                <w:bCs/>
                <w:color w:val="000000"/>
                <w:szCs w:val="20"/>
                <w:lang w:eastAsia="en-AU"/>
              </w:rPr>
              <w:t>Net result</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(76.8)</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(190.4)</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(230.6)</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(291.5)</w:t>
            </w:r>
          </w:p>
        </w:tc>
      </w:tr>
      <w:tr w:rsidR="00552DFA" w:rsidRPr="00842B22" w:rsidTr="00423C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dxa"/>
            <w:tcBorders>
              <w:top w:val="nil"/>
              <w:bottom w:val="single" w:sz="12" w:space="0" w:color="auto"/>
            </w:tcBorders>
          </w:tcPr>
          <w:p w:rsidR="00552DFA" w:rsidRPr="00842B22" w:rsidRDefault="00552DFA" w:rsidP="00423C3D">
            <w:pPr>
              <w:keepLines w:val="0"/>
              <w:autoSpaceDE w:val="0"/>
              <w:autoSpaceDN w:val="0"/>
              <w:adjustRightInd w:val="0"/>
              <w:rPr>
                <w:rFonts w:eastAsiaTheme="minorEastAsia" w:cs="Calibri"/>
                <w:bCs/>
                <w:color w:val="000000"/>
                <w:szCs w:val="20"/>
                <w:lang w:eastAsia="en-AU"/>
              </w:rPr>
            </w:pPr>
            <w:r w:rsidRPr="00842B22">
              <w:rPr>
                <w:rFonts w:eastAsiaTheme="minorEastAsia" w:cs="Calibri"/>
                <w:bCs/>
                <w:color w:val="000000"/>
                <w:szCs w:val="20"/>
                <w:lang w:eastAsia="en-AU"/>
              </w:rPr>
              <w:t>Net debt</w:t>
            </w:r>
            <w:r w:rsidR="00356A95">
              <w:rPr>
                <w:rFonts w:eastAsiaTheme="minorEastAsia" w:cs="Calibri"/>
                <w:bCs/>
                <w:color w:val="000000"/>
                <w:szCs w:val="20"/>
                <w:lang w:eastAsia="en-AU"/>
              </w:rPr>
              <w:fldChar w:fldCharType="begin"/>
            </w:r>
            <w:r w:rsidR="00356A95">
              <w:rPr>
                <w:rFonts w:eastAsiaTheme="minorEastAsia" w:cs="Calibri"/>
                <w:bCs/>
                <w:color w:val="000000"/>
                <w:szCs w:val="20"/>
                <w:lang w:eastAsia="en-AU"/>
              </w:rPr>
              <w:instrText xml:space="preserve"> XE "</w:instrText>
            </w:r>
            <w:r w:rsidR="00356A95">
              <w:instrText>Debt:Net debt"</w:instrText>
            </w:r>
            <w:r w:rsidR="00356A95">
              <w:rPr>
                <w:rFonts w:eastAsiaTheme="minorEastAsia" w:cs="Calibri"/>
                <w:bCs/>
                <w:color w:val="000000"/>
                <w:szCs w:val="20"/>
                <w:lang w:eastAsia="en-AU"/>
              </w:rPr>
              <w:instrText xml:space="preserve"> </w:instrText>
            </w:r>
            <w:r w:rsidR="00356A95">
              <w:rPr>
                <w:rFonts w:eastAsiaTheme="minorEastAsia" w:cs="Calibri"/>
                <w:bCs/>
                <w:color w:val="000000"/>
                <w:szCs w:val="20"/>
                <w:lang w:eastAsia="en-AU"/>
              </w:rPr>
              <w:fldChar w:fldCharType="end"/>
            </w:r>
            <w:r w:rsidRPr="00842B22">
              <w:rPr>
                <w:rFonts w:eastAsiaTheme="minorEastAsia" w:cs="Calibri"/>
                <w:bCs/>
                <w:color w:val="000000"/>
                <w:szCs w:val="20"/>
                <w:lang w:eastAsia="en-AU"/>
              </w:rPr>
              <w:t xml:space="preserve"> (cumulative)</w:t>
            </w:r>
          </w:p>
        </w:tc>
        <w:tc>
          <w:tcPr>
            <w:tcW w:w="1032" w:type="dxa"/>
            <w:tcBorders>
              <w:top w:val="nil"/>
              <w:bottom w:val="single" w:sz="12" w:space="0" w:color="auto"/>
            </w:tcBorders>
          </w:tcPr>
          <w:p w:rsidR="00552DFA" w:rsidRPr="00842B2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42B22">
              <w:rPr>
                <w:rFonts w:eastAsiaTheme="minorEastAsia" w:cs="Calibri"/>
                <w:bCs/>
                <w:color w:val="000000"/>
                <w:szCs w:val="20"/>
                <w:lang w:eastAsia="en-AU"/>
              </w:rPr>
              <w:t>76.8</w:t>
            </w:r>
          </w:p>
        </w:tc>
        <w:tc>
          <w:tcPr>
            <w:tcW w:w="1032" w:type="dxa"/>
            <w:tcBorders>
              <w:top w:val="nil"/>
              <w:bottom w:val="single" w:sz="12" w:space="0" w:color="auto"/>
            </w:tcBorders>
          </w:tcPr>
          <w:p w:rsidR="00552DFA" w:rsidRPr="00842B2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42B22">
              <w:rPr>
                <w:rFonts w:eastAsiaTheme="minorEastAsia" w:cs="Calibri"/>
                <w:bCs/>
                <w:color w:val="000000"/>
                <w:szCs w:val="20"/>
                <w:lang w:eastAsia="en-AU"/>
              </w:rPr>
              <w:t>262.0</w:t>
            </w:r>
          </w:p>
        </w:tc>
        <w:tc>
          <w:tcPr>
            <w:tcW w:w="1032" w:type="dxa"/>
            <w:tcBorders>
              <w:top w:val="nil"/>
              <w:bottom w:val="single" w:sz="12" w:space="0" w:color="auto"/>
            </w:tcBorders>
          </w:tcPr>
          <w:p w:rsidR="00552DFA" w:rsidRPr="00842B2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42B22">
              <w:rPr>
                <w:rFonts w:eastAsiaTheme="minorEastAsia" w:cs="Calibri"/>
                <w:bCs/>
                <w:color w:val="000000"/>
                <w:szCs w:val="20"/>
                <w:lang w:eastAsia="en-AU"/>
              </w:rPr>
              <w:t>487.0</w:t>
            </w:r>
          </w:p>
        </w:tc>
        <w:tc>
          <w:tcPr>
            <w:tcW w:w="1032" w:type="dxa"/>
            <w:tcBorders>
              <w:top w:val="nil"/>
              <w:bottom w:val="single" w:sz="12" w:space="0" w:color="auto"/>
            </w:tcBorders>
          </w:tcPr>
          <w:p w:rsidR="00552DFA" w:rsidRPr="00842B2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42B22">
              <w:rPr>
                <w:rFonts w:eastAsiaTheme="minorEastAsia" w:cs="Calibri"/>
                <w:bCs/>
                <w:color w:val="000000"/>
                <w:szCs w:val="20"/>
                <w:lang w:eastAsia="en-AU"/>
              </w:rPr>
              <w:t>772.6</w:t>
            </w:r>
          </w:p>
        </w:tc>
      </w:tr>
    </w:tbl>
    <w:p w:rsidR="00552DFA" w:rsidRDefault="00552DFA" w:rsidP="00423C3D">
      <w:pPr>
        <w:pStyle w:val="Source"/>
      </w:pPr>
      <w:r>
        <w:t>Source: Department of Treasury and Finance</w:t>
      </w:r>
    </w:p>
    <w:p w:rsidR="00552DFA" w:rsidRPr="00B10DC2" w:rsidRDefault="00552DFA" w:rsidP="00423C3D">
      <w:pPr>
        <w:pStyle w:val="Note"/>
      </w:pPr>
    </w:p>
    <w:p w:rsidR="00552DFA" w:rsidRDefault="00552DFA" w:rsidP="00D46C60">
      <w:pPr>
        <w:pStyle w:val="Heading20"/>
      </w:pPr>
      <w:bookmarkStart w:id="62" w:name="_Toc481160583"/>
      <w:r>
        <w:lastRenderedPageBreak/>
        <w:t>Labour supply scenarios</w:t>
      </w:r>
      <w:bookmarkEnd w:id="62"/>
    </w:p>
    <w:p w:rsidR="00552DFA" w:rsidRDefault="00552DFA" w:rsidP="00D46C60">
      <w:pPr>
        <w:pStyle w:val="Heading30"/>
      </w:pPr>
      <w:r>
        <w:t>In this scenario population is stronger than expected</w:t>
      </w:r>
    </w:p>
    <w:p w:rsidR="00552DFA" w:rsidRDefault="00552DFA" w:rsidP="00423C3D">
      <w:r>
        <w:t xml:space="preserve">Victoria’s population growth has outperformed expectations in recent years (Chart A.3). Net overseas migration is the largest contributor. Along with strong employment prospects, Melbourne has consistently ranked among the world’s most liveable cities. As migrants move to Victoria, they bring skills, knowledge and diversity, and support growth of Victorian industries. </w:t>
      </w:r>
    </w:p>
    <w:p w:rsidR="00552DFA" w:rsidRDefault="00552DFA" w:rsidP="00423C3D">
      <w:pPr>
        <w:pStyle w:val="TableHeading"/>
        <w:spacing w:after="120"/>
      </w:pPr>
      <w:r>
        <w:t>Chart A.3:</w:t>
      </w:r>
      <w:r>
        <w:tab/>
        <w:t>Population growth</w:t>
      </w:r>
      <w:r w:rsidR="00356A95">
        <w:fldChar w:fldCharType="begin"/>
      </w:r>
      <w:r w:rsidR="00356A95">
        <w:instrText xml:space="preserve"> XE "Population:Growth" </w:instrText>
      </w:r>
      <w:r w:rsidR="00356A95">
        <w:fldChar w:fldCharType="end"/>
      </w:r>
      <w:r>
        <w:t xml:space="preserve"> in Victoria</w:t>
      </w:r>
    </w:p>
    <w:tbl>
      <w:tblPr>
        <w:tblStyle w:val="DTFTextTable"/>
        <w:tblW w:w="5022" w:type="pct"/>
        <w:tblBorders>
          <w:bottom w:val="none" w:sz="0" w:space="0" w:color="auto"/>
        </w:tblBorders>
        <w:tblLayout w:type="fixed"/>
        <w:tblLook w:val="0600" w:firstRow="0" w:lastRow="0" w:firstColumn="0" w:lastColumn="0" w:noHBand="1" w:noVBand="1"/>
      </w:tblPr>
      <w:tblGrid>
        <w:gridCol w:w="3925"/>
        <w:gridCol w:w="3926"/>
      </w:tblGrid>
      <w:tr w:rsidR="00552DFA" w:rsidTr="00423C3D">
        <w:trPr>
          <w:trHeight w:val="3467"/>
        </w:trPr>
        <w:tc>
          <w:tcPr>
            <w:tcW w:w="2500" w:type="pct"/>
          </w:tcPr>
          <w:p w:rsidR="00552DFA" w:rsidRPr="00CE1D95" w:rsidRDefault="00552DFA" w:rsidP="00423C3D">
            <w:pPr>
              <w:pStyle w:val="TableHeading"/>
              <w:spacing w:before="0" w:after="0"/>
              <w:jc w:val="center"/>
              <w:rPr>
                <w:sz w:val="16"/>
              </w:rPr>
            </w:pPr>
            <w:r w:rsidRPr="00CE1D95">
              <w:rPr>
                <w:sz w:val="16"/>
              </w:rPr>
              <w:t>Change in population</w:t>
            </w:r>
          </w:p>
          <w:p w:rsidR="00552DFA" w:rsidRDefault="0049535D" w:rsidP="00423C3D">
            <w:pPr>
              <w:spacing w:before="0" w:after="0"/>
            </w:pPr>
            <w:r>
              <w:rPr>
                <w:rFonts w:asciiTheme="minorHAnsi" w:hAnsiTheme="minorHAnsi"/>
                <w:sz w:val="22"/>
              </w:rPr>
              <w:pict>
                <v:shape id="_x0000_i1043" type="#_x0000_t75" style="width:196.75pt;height:169.95pt">
                  <v:imagedata r:id="rId46" o:title=""/>
                </v:shape>
              </w:pict>
            </w:r>
          </w:p>
        </w:tc>
        <w:tc>
          <w:tcPr>
            <w:tcW w:w="2500" w:type="pct"/>
          </w:tcPr>
          <w:p w:rsidR="00552DFA" w:rsidRPr="00CE1D95" w:rsidRDefault="00552DFA" w:rsidP="00423C3D">
            <w:pPr>
              <w:pStyle w:val="TableHeading"/>
              <w:spacing w:before="0" w:after="0"/>
              <w:jc w:val="center"/>
              <w:rPr>
                <w:sz w:val="16"/>
              </w:rPr>
            </w:pPr>
            <w:r w:rsidRPr="00CE1D95">
              <w:rPr>
                <w:sz w:val="16"/>
              </w:rPr>
              <w:t>Population growth</w:t>
            </w:r>
            <w:r w:rsidR="00356A95">
              <w:rPr>
                <w:sz w:val="16"/>
              </w:rPr>
              <w:fldChar w:fldCharType="begin"/>
            </w:r>
            <w:r w:rsidR="00356A95">
              <w:rPr>
                <w:sz w:val="16"/>
              </w:rPr>
              <w:instrText xml:space="preserve"> XE "</w:instrText>
            </w:r>
            <w:r w:rsidR="00356A95">
              <w:instrText>Population:Growth"</w:instrText>
            </w:r>
            <w:r w:rsidR="00356A95">
              <w:rPr>
                <w:sz w:val="16"/>
              </w:rPr>
              <w:instrText xml:space="preserve"> </w:instrText>
            </w:r>
            <w:r w:rsidR="00356A95">
              <w:rPr>
                <w:sz w:val="16"/>
              </w:rPr>
              <w:fldChar w:fldCharType="end"/>
            </w:r>
          </w:p>
          <w:p w:rsidR="00552DFA" w:rsidRDefault="0049535D" w:rsidP="00423C3D">
            <w:pPr>
              <w:pStyle w:val="Source"/>
              <w:spacing w:after="0"/>
            </w:pPr>
            <w:r>
              <w:pict>
                <v:shape id="_x0000_i1044" type="#_x0000_t75" style="width:203.45pt;height:171.65pt">
                  <v:imagedata r:id="rId47" o:title=""/>
                </v:shape>
              </w:pict>
            </w:r>
          </w:p>
        </w:tc>
      </w:tr>
    </w:tbl>
    <w:p w:rsidR="00552DFA" w:rsidRDefault="00552DFA" w:rsidP="00423C3D">
      <w:pPr>
        <w:pStyle w:val="Source"/>
      </w:pPr>
      <w:r>
        <w:t>Sources: Australian Bureau of Statistics; Department of Treasury and Finance</w:t>
      </w:r>
    </w:p>
    <w:p w:rsidR="00552DFA" w:rsidRPr="004B19F5" w:rsidRDefault="00552DFA" w:rsidP="00423C3D">
      <w:pPr>
        <w:pStyle w:val="Note"/>
      </w:pPr>
    </w:p>
    <w:p w:rsidR="00552DFA" w:rsidRDefault="00552DFA" w:rsidP="00423C3D">
      <w:r>
        <w:t>The forecast in Chapter 2 is for population growth to peak at 2 per cent in 2016</w:t>
      </w:r>
      <w:r>
        <w:noBreakHyphen/>
        <w:t>17 before moderating over the next four years. An important upside risk is that population growth may be stronger than forecast. To quantify this risk, a continued shock of higher population growth is applied to the model. The shock assumes that population growth remains at 2 per cent per annum over the next four years and that new arrivals bring additional demand for goods and services.</w:t>
      </w:r>
      <w:r>
        <w:rPr>
          <w:rStyle w:val="FootnoteReference"/>
        </w:rPr>
        <w:footnoteReference w:id="7"/>
      </w:r>
      <w:r>
        <w:t xml:space="preserve"> </w:t>
      </w:r>
    </w:p>
    <w:p w:rsidR="00552DFA" w:rsidRDefault="00552DFA">
      <w:pPr>
        <w:keepLines w:val="0"/>
      </w:pPr>
      <w:r>
        <w:br w:type="page"/>
      </w:r>
    </w:p>
    <w:p w:rsidR="00552DFA" w:rsidRDefault="00552DFA" w:rsidP="00423C3D">
      <w:r>
        <w:lastRenderedPageBreak/>
        <w:t xml:space="preserve">The effects on major economic parameters are reported in Table A.4. Stronger population growth increases demand and results in an increase in the size of the employed workforce that also stimulates growth in real consumption, investment and GSP. With greater supply of labour, pressures on wages and the cost of production are contained so that inflation is lower as well. </w:t>
      </w:r>
    </w:p>
    <w:p w:rsidR="00552DFA" w:rsidRPr="00B0752A" w:rsidRDefault="00552DFA" w:rsidP="00423C3D">
      <w:pPr>
        <w:pStyle w:val="TableHeading"/>
      </w:pPr>
      <w:r>
        <w:t>Table A.4:</w:t>
      </w:r>
      <w:r>
        <w:tab/>
        <w:t>The effect of high population growth on major economic parameters</w:t>
      </w:r>
      <w:r>
        <w:tab/>
      </w:r>
      <w:r w:rsidRPr="00E81F45">
        <w:t xml:space="preserve">(per </w:t>
      </w:r>
      <w:r w:rsidRPr="001578E9">
        <w:t>cent</w:t>
      </w:r>
      <w:r w:rsidRPr="00E81F45">
        <w: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4365"/>
        <w:gridCol w:w="850"/>
        <w:gridCol w:w="850"/>
        <w:gridCol w:w="850"/>
        <w:gridCol w:w="850"/>
      </w:tblGrid>
      <w:tr w:rsidR="00552DFA" w:rsidRPr="00B0752A" w:rsidTr="00423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000000" w:fill="auto"/>
          </w:tcPr>
          <w:p w:rsidR="00552DFA" w:rsidRPr="00B0752A" w:rsidRDefault="00552DFA" w:rsidP="00423C3D">
            <w:pPr>
              <w:keepLines w:val="0"/>
              <w:autoSpaceDE w:val="0"/>
              <w:autoSpaceDN w:val="0"/>
              <w:adjustRightInd w:val="0"/>
              <w:jc w:val="right"/>
              <w:rPr>
                <w:rFonts w:eastAsiaTheme="minorEastAsia" w:cs="Calibri"/>
                <w:iCs/>
                <w:color w:val="000000"/>
                <w:szCs w:val="20"/>
                <w:lang w:eastAsia="en-AU"/>
              </w:rPr>
            </w:pPr>
          </w:p>
        </w:tc>
        <w:tc>
          <w:tcPr>
            <w:tcW w:w="850" w:type="dxa"/>
            <w:tcBorders>
              <w:top w:val="nil"/>
              <w:left w:val="nil"/>
              <w:bottom w:val="nil"/>
              <w:right w:val="nil"/>
            </w:tcBorders>
            <w:shd w:val="solid" w:color="000000" w:fill="auto"/>
          </w:tcPr>
          <w:p w:rsidR="00552DFA" w:rsidRPr="00B0752A"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B0752A">
              <w:rPr>
                <w:rFonts w:eastAsiaTheme="minorEastAsia" w:cs="Calibri"/>
                <w:iCs/>
                <w:color w:val="FFFFFF"/>
                <w:szCs w:val="20"/>
                <w:lang w:eastAsia="en-AU"/>
              </w:rPr>
              <w:t>2017</w:t>
            </w:r>
            <w:r>
              <w:rPr>
                <w:rFonts w:eastAsiaTheme="minorEastAsia" w:cs="Calibri"/>
                <w:iCs/>
                <w:color w:val="FFFFFF"/>
                <w:szCs w:val="20"/>
                <w:lang w:eastAsia="en-AU"/>
              </w:rPr>
              <w:noBreakHyphen/>
            </w:r>
            <w:r w:rsidRPr="00B0752A">
              <w:rPr>
                <w:rFonts w:eastAsiaTheme="minorEastAsia" w:cs="Calibri"/>
                <w:iCs/>
                <w:color w:val="FFFFFF"/>
                <w:szCs w:val="20"/>
                <w:lang w:eastAsia="en-AU"/>
              </w:rPr>
              <w:t xml:space="preserve">18 </w:t>
            </w:r>
          </w:p>
        </w:tc>
        <w:tc>
          <w:tcPr>
            <w:tcW w:w="850" w:type="dxa"/>
            <w:tcBorders>
              <w:top w:val="nil"/>
              <w:left w:val="nil"/>
              <w:bottom w:val="nil"/>
              <w:right w:val="nil"/>
            </w:tcBorders>
            <w:shd w:val="solid" w:color="000000" w:fill="auto"/>
          </w:tcPr>
          <w:p w:rsidR="00552DFA" w:rsidRPr="00B0752A"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B0752A">
              <w:rPr>
                <w:rFonts w:eastAsiaTheme="minorEastAsia" w:cs="Calibri"/>
                <w:iCs/>
                <w:color w:val="FFFFFF"/>
                <w:szCs w:val="20"/>
                <w:lang w:eastAsia="en-AU"/>
              </w:rPr>
              <w:t>2018</w:t>
            </w:r>
            <w:r>
              <w:rPr>
                <w:rFonts w:eastAsiaTheme="minorEastAsia" w:cs="Calibri"/>
                <w:iCs/>
                <w:color w:val="FFFFFF"/>
                <w:szCs w:val="20"/>
                <w:lang w:eastAsia="en-AU"/>
              </w:rPr>
              <w:noBreakHyphen/>
            </w:r>
            <w:r w:rsidRPr="00B0752A">
              <w:rPr>
                <w:rFonts w:eastAsiaTheme="minorEastAsia" w:cs="Calibri"/>
                <w:iCs/>
                <w:color w:val="FFFFFF"/>
                <w:szCs w:val="20"/>
                <w:lang w:eastAsia="en-AU"/>
              </w:rPr>
              <w:t xml:space="preserve">19 </w:t>
            </w:r>
          </w:p>
        </w:tc>
        <w:tc>
          <w:tcPr>
            <w:tcW w:w="850" w:type="dxa"/>
            <w:tcBorders>
              <w:top w:val="nil"/>
              <w:left w:val="nil"/>
              <w:bottom w:val="nil"/>
              <w:right w:val="nil"/>
            </w:tcBorders>
            <w:shd w:val="solid" w:color="000000" w:fill="auto"/>
          </w:tcPr>
          <w:p w:rsidR="00552DFA" w:rsidRPr="00B0752A"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B0752A">
              <w:rPr>
                <w:rFonts w:eastAsiaTheme="minorEastAsia" w:cs="Calibri"/>
                <w:iCs/>
                <w:color w:val="FFFFFF"/>
                <w:szCs w:val="20"/>
                <w:lang w:eastAsia="en-AU"/>
              </w:rPr>
              <w:t>2019</w:t>
            </w:r>
            <w:r>
              <w:rPr>
                <w:rFonts w:eastAsiaTheme="minorEastAsia" w:cs="Calibri"/>
                <w:iCs/>
                <w:color w:val="FFFFFF"/>
                <w:szCs w:val="20"/>
                <w:lang w:eastAsia="en-AU"/>
              </w:rPr>
              <w:noBreakHyphen/>
            </w:r>
            <w:r w:rsidRPr="00B0752A">
              <w:rPr>
                <w:rFonts w:eastAsiaTheme="minorEastAsia" w:cs="Calibri"/>
                <w:iCs/>
                <w:color w:val="FFFFFF"/>
                <w:szCs w:val="20"/>
                <w:lang w:eastAsia="en-AU"/>
              </w:rPr>
              <w:t xml:space="preserve">20 </w:t>
            </w:r>
          </w:p>
        </w:tc>
        <w:tc>
          <w:tcPr>
            <w:tcW w:w="850" w:type="dxa"/>
            <w:tcBorders>
              <w:top w:val="nil"/>
              <w:left w:val="nil"/>
              <w:bottom w:val="nil"/>
              <w:right w:val="nil"/>
            </w:tcBorders>
            <w:shd w:val="solid" w:color="000000" w:fill="auto"/>
          </w:tcPr>
          <w:p w:rsidR="00552DFA" w:rsidRPr="00B0752A"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B0752A">
              <w:rPr>
                <w:rFonts w:eastAsiaTheme="minorEastAsia" w:cs="Calibri"/>
                <w:iCs/>
                <w:color w:val="FFFFFF"/>
                <w:szCs w:val="20"/>
                <w:lang w:eastAsia="en-AU"/>
              </w:rPr>
              <w:t>2020</w:t>
            </w:r>
            <w:r>
              <w:rPr>
                <w:rFonts w:eastAsiaTheme="minorEastAsia" w:cs="Calibri"/>
                <w:iCs/>
                <w:color w:val="FFFFFF"/>
                <w:szCs w:val="20"/>
                <w:lang w:eastAsia="en-AU"/>
              </w:rPr>
              <w:noBreakHyphen/>
            </w:r>
            <w:r w:rsidRPr="00B0752A">
              <w:rPr>
                <w:rFonts w:eastAsiaTheme="minorEastAsia" w:cs="Calibri"/>
                <w:iCs/>
                <w:color w:val="FFFFFF"/>
                <w:szCs w:val="20"/>
                <w:lang w:eastAsia="en-AU"/>
              </w:rPr>
              <w:t xml:space="preserve">21 </w:t>
            </w:r>
          </w:p>
        </w:tc>
      </w:tr>
      <w:tr w:rsidR="00552DFA" w:rsidRPr="00B0752A" w:rsidTr="00423C3D">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000000" w:fill="auto"/>
          </w:tcPr>
          <w:p w:rsidR="00552DFA" w:rsidRPr="00B0752A" w:rsidRDefault="00552DFA" w:rsidP="00423C3D">
            <w:pPr>
              <w:keepLines w:val="0"/>
              <w:autoSpaceDE w:val="0"/>
              <w:autoSpaceDN w:val="0"/>
              <w:adjustRightInd w:val="0"/>
              <w:jc w:val="right"/>
              <w:rPr>
                <w:rFonts w:eastAsiaTheme="minorEastAsia" w:cs="Calibri"/>
                <w:i/>
                <w:iCs/>
                <w:color w:val="000000"/>
                <w:szCs w:val="20"/>
                <w:lang w:eastAsia="en-AU"/>
              </w:rPr>
            </w:pPr>
          </w:p>
        </w:tc>
        <w:tc>
          <w:tcPr>
            <w:tcW w:w="850" w:type="dxa"/>
            <w:tcBorders>
              <w:top w:val="nil"/>
              <w:left w:val="nil"/>
              <w:bottom w:val="nil"/>
              <w:right w:val="nil"/>
            </w:tcBorders>
            <w:shd w:val="solid" w:color="000000" w:fill="auto"/>
          </w:tcPr>
          <w:p w:rsidR="00552DFA" w:rsidRPr="00B0752A"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B0752A">
              <w:rPr>
                <w:rFonts w:eastAsiaTheme="minorEastAsia" w:cs="Calibri"/>
                <w:i/>
                <w:iCs/>
                <w:color w:val="FFFFFF"/>
                <w:szCs w:val="20"/>
                <w:lang w:eastAsia="en-AU"/>
              </w:rPr>
              <w:t>estimate</w:t>
            </w:r>
          </w:p>
        </w:tc>
        <w:tc>
          <w:tcPr>
            <w:tcW w:w="850" w:type="dxa"/>
            <w:tcBorders>
              <w:top w:val="nil"/>
              <w:left w:val="nil"/>
              <w:bottom w:val="nil"/>
              <w:right w:val="nil"/>
            </w:tcBorders>
            <w:shd w:val="solid" w:color="000000" w:fill="auto"/>
          </w:tcPr>
          <w:p w:rsidR="00552DFA" w:rsidRPr="00B0752A"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B0752A">
              <w:rPr>
                <w:rFonts w:eastAsiaTheme="minorEastAsia" w:cs="Calibri"/>
                <w:i/>
                <w:iCs/>
                <w:color w:val="FFFFFF"/>
                <w:szCs w:val="20"/>
                <w:lang w:eastAsia="en-AU"/>
              </w:rPr>
              <w:t>estimate</w:t>
            </w:r>
          </w:p>
        </w:tc>
        <w:tc>
          <w:tcPr>
            <w:tcW w:w="850" w:type="dxa"/>
            <w:tcBorders>
              <w:top w:val="nil"/>
              <w:left w:val="nil"/>
              <w:bottom w:val="nil"/>
              <w:right w:val="nil"/>
            </w:tcBorders>
            <w:shd w:val="solid" w:color="000000" w:fill="auto"/>
          </w:tcPr>
          <w:p w:rsidR="00552DFA" w:rsidRPr="00B0752A"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B0752A">
              <w:rPr>
                <w:rFonts w:eastAsiaTheme="minorEastAsia" w:cs="Calibri"/>
                <w:i/>
                <w:iCs/>
                <w:color w:val="FFFFFF"/>
                <w:szCs w:val="20"/>
                <w:lang w:eastAsia="en-AU"/>
              </w:rPr>
              <w:t>estimate</w:t>
            </w:r>
          </w:p>
        </w:tc>
        <w:tc>
          <w:tcPr>
            <w:tcW w:w="850" w:type="dxa"/>
            <w:tcBorders>
              <w:top w:val="nil"/>
              <w:left w:val="nil"/>
              <w:bottom w:val="nil"/>
              <w:right w:val="nil"/>
            </w:tcBorders>
            <w:shd w:val="solid" w:color="000000" w:fill="auto"/>
          </w:tcPr>
          <w:p w:rsidR="00552DFA" w:rsidRPr="00B0752A"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B0752A">
              <w:rPr>
                <w:rFonts w:eastAsiaTheme="minorEastAsia" w:cs="Calibri"/>
                <w:i/>
                <w:iCs/>
                <w:color w:val="FFFFFF"/>
                <w:szCs w:val="20"/>
                <w:lang w:eastAsia="en-AU"/>
              </w:rPr>
              <w:t>estimate</w:t>
            </w:r>
          </w:p>
        </w:tc>
      </w:tr>
      <w:tr w:rsidR="00552DFA" w:rsidRPr="00B0752A" w:rsidTr="00423C3D">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552DFA" w:rsidRPr="00B0752A" w:rsidRDefault="00552DFA" w:rsidP="00423C3D">
            <w:pPr>
              <w:keepLines w:val="0"/>
              <w:autoSpaceDE w:val="0"/>
              <w:autoSpaceDN w:val="0"/>
              <w:adjustRightInd w:val="0"/>
              <w:rPr>
                <w:rFonts w:eastAsiaTheme="minorEastAsia" w:cs="Calibri"/>
                <w:color w:val="000000"/>
                <w:szCs w:val="20"/>
                <w:lang w:eastAsia="en-AU"/>
              </w:rPr>
            </w:pPr>
            <w:r w:rsidRPr="00B0752A">
              <w:rPr>
                <w:rFonts w:eastAsiaTheme="minorEastAsia" w:cs="Calibri"/>
                <w:color w:val="000000"/>
                <w:szCs w:val="20"/>
                <w:lang w:eastAsia="en-AU"/>
              </w:rPr>
              <w:t>Real GSP</w:t>
            </w:r>
          </w:p>
        </w:tc>
        <w:tc>
          <w:tcPr>
            <w:tcW w:w="850" w:type="dxa"/>
            <w:tcBorders>
              <w:top w:val="nil"/>
              <w:left w:val="nil"/>
              <w:bottom w:val="nil"/>
              <w:right w:val="nil"/>
            </w:tcBorders>
          </w:tcPr>
          <w:p w:rsidR="00552DFA" w:rsidRPr="00B0752A"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0752A">
              <w:rPr>
                <w:rFonts w:eastAsiaTheme="minorEastAsia" w:cs="Calibri"/>
                <w:color w:val="000000"/>
                <w:szCs w:val="20"/>
                <w:lang w:eastAsia="en-AU"/>
              </w:rPr>
              <w:t>0.05</w:t>
            </w:r>
          </w:p>
        </w:tc>
        <w:tc>
          <w:tcPr>
            <w:tcW w:w="850" w:type="dxa"/>
            <w:tcBorders>
              <w:top w:val="nil"/>
              <w:left w:val="nil"/>
              <w:bottom w:val="nil"/>
              <w:right w:val="nil"/>
            </w:tcBorders>
          </w:tcPr>
          <w:p w:rsidR="00552DFA" w:rsidRPr="00B0752A"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0752A">
              <w:rPr>
                <w:rFonts w:eastAsiaTheme="minorEastAsia" w:cs="Calibri"/>
                <w:color w:val="000000"/>
                <w:szCs w:val="20"/>
                <w:lang w:eastAsia="en-AU"/>
              </w:rPr>
              <w:t>0.15</w:t>
            </w:r>
          </w:p>
        </w:tc>
        <w:tc>
          <w:tcPr>
            <w:tcW w:w="850" w:type="dxa"/>
            <w:tcBorders>
              <w:top w:val="nil"/>
              <w:left w:val="nil"/>
              <w:bottom w:val="nil"/>
              <w:right w:val="nil"/>
            </w:tcBorders>
          </w:tcPr>
          <w:p w:rsidR="00552DFA" w:rsidRPr="00B0752A"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0752A">
              <w:rPr>
                <w:rFonts w:eastAsiaTheme="minorEastAsia" w:cs="Calibri"/>
                <w:color w:val="000000"/>
                <w:szCs w:val="20"/>
                <w:lang w:eastAsia="en-AU"/>
              </w:rPr>
              <w:t>0.28</w:t>
            </w:r>
          </w:p>
        </w:tc>
        <w:tc>
          <w:tcPr>
            <w:tcW w:w="850" w:type="dxa"/>
            <w:tcBorders>
              <w:top w:val="nil"/>
              <w:left w:val="nil"/>
              <w:bottom w:val="nil"/>
              <w:right w:val="nil"/>
            </w:tcBorders>
          </w:tcPr>
          <w:p w:rsidR="00552DFA" w:rsidRPr="00B0752A"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0752A">
              <w:rPr>
                <w:rFonts w:eastAsiaTheme="minorEastAsia" w:cs="Calibri"/>
                <w:color w:val="000000"/>
                <w:szCs w:val="20"/>
                <w:lang w:eastAsia="en-AU"/>
              </w:rPr>
              <w:t>0.42</w:t>
            </w:r>
          </w:p>
        </w:tc>
      </w:tr>
      <w:tr w:rsidR="00552DFA" w:rsidRPr="00B0752A" w:rsidTr="00423C3D">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552DFA" w:rsidRPr="00B0752A" w:rsidRDefault="00552DFA" w:rsidP="00423C3D">
            <w:pPr>
              <w:keepLines w:val="0"/>
              <w:autoSpaceDE w:val="0"/>
              <w:autoSpaceDN w:val="0"/>
              <w:adjustRightInd w:val="0"/>
              <w:rPr>
                <w:rFonts w:eastAsiaTheme="minorEastAsia" w:cs="Calibri"/>
                <w:color w:val="000000"/>
                <w:szCs w:val="20"/>
                <w:lang w:eastAsia="en-AU"/>
              </w:rPr>
            </w:pPr>
            <w:r w:rsidRPr="00B0752A">
              <w:rPr>
                <w:rFonts w:eastAsiaTheme="minorEastAsia" w:cs="Calibri"/>
                <w:color w:val="000000"/>
                <w:szCs w:val="20"/>
                <w:lang w:eastAsia="en-AU"/>
              </w:rPr>
              <w:t>Employment</w:t>
            </w:r>
          </w:p>
        </w:tc>
        <w:tc>
          <w:tcPr>
            <w:tcW w:w="850" w:type="dxa"/>
            <w:tcBorders>
              <w:top w:val="nil"/>
              <w:left w:val="nil"/>
              <w:bottom w:val="nil"/>
              <w:right w:val="nil"/>
            </w:tcBorders>
          </w:tcPr>
          <w:p w:rsidR="00552DFA" w:rsidRPr="00B0752A"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0752A">
              <w:rPr>
                <w:rFonts w:eastAsiaTheme="minorEastAsia" w:cs="Calibri"/>
                <w:color w:val="000000"/>
                <w:szCs w:val="20"/>
                <w:lang w:eastAsia="en-AU"/>
              </w:rPr>
              <w:t>0.08</w:t>
            </w:r>
          </w:p>
        </w:tc>
        <w:tc>
          <w:tcPr>
            <w:tcW w:w="850" w:type="dxa"/>
            <w:tcBorders>
              <w:top w:val="nil"/>
              <w:left w:val="nil"/>
              <w:bottom w:val="nil"/>
              <w:right w:val="nil"/>
            </w:tcBorders>
          </w:tcPr>
          <w:p w:rsidR="00552DFA" w:rsidRPr="00B0752A"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0752A">
              <w:rPr>
                <w:rFonts w:eastAsiaTheme="minorEastAsia" w:cs="Calibri"/>
                <w:color w:val="000000"/>
                <w:szCs w:val="20"/>
                <w:lang w:eastAsia="en-AU"/>
              </w:rPr>
              <w:t>0.23</w:t>
            </w:r>
          </w:p>
        </w:tc>
        <w:tc>
          <w:tcPr>
            <w:tcW w:w="850" w:type="dxa"/>
            <w:tcBorders>
              <w:top w:val="nil"/>
              <w:left w:val="nil"/>
              <w:bottom w:val="nil"/>
              <w:right w:val="nil"/>
            </w:tcBorders>
          </w:tcPr>
          <w:p w:rsidR="00552DFA" w:rsidRPr="00B0752A"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0752A">
              <w:rPr>
                <w:rFonts w:eastAsiaTheme="minorEastAsia" w:cs="Calibri"/>
                <w:color w:val="000000"/>
                <w:szCs w:val="20"/>
                <w:lang w:eastAsia="en-AU"/>
              </w:rPr>
              <w:t>0.41</w:t>
            </w:r>
          </w:p>
        </w:tc>
        <w:tc>
          <w:tcPr>
            <w:tcW w:w="850" w:type="dxa"/>
            <w:tcBorders>
              <w:top w:val="nil"/>
              <w:left w:val="nil"/>
              <w:bottom w:val="nil"/>
              <w:right w:val="nil"/>
            </w:tcBorders>
          </w:tcPr>
          <w:p w:rsidR="00552DFA" w:rsidRPr="00B0752A"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0752A">
              <w:rPr>
                <w:rFonts w:eastAsiaTheme="minorEastAsia" w:cs="Calibri"/>
                <w:color w:val="000000"/>
                <w:szCs w:val="20"/>
                <w:lang w:eastAsia="en-AU"/>
              </w:rPr>
              <w:t>0.60</w:t>
            </w:r>
          </w:p>
        </w:tc>
      </w:tr>
      <w:tr w:rsidR="00552DFA" w:rsidRPr="00B0752A" w:rsidTr="00423C3D">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552DFA" w:rsidRPr="00B0752A" w:rsidRDefault="00552DFA" w:rsidP="00423C3D">
            <w:pPr>
              <w:keepLines w:val="0"/>
              <w:autoSpaceDE w:val="0"/>
              <w:autoSpaceDN w:val="0"/>
              <w:adjustRightInd w:val="0"/>
              <w:rPr>
                <w:rFonts w:eastAsiaTheme="minorEastAsia" w:cs="Calibri"/>
                <w:color w:val="000000"/>
                <w:szCs w:val="20"/>
                <w:lang w:eastAsia="en-AU"/>
              </w:rPr>
            </w:pPr>
            <w:r w:rsidRPr="00B0752A">
              <w:rPr>
                <w:rFonts w:eastAsiaTheme="minorEastAsia" w:cs="Calibri"/>
                <w:color w:val="000000"/>
                <w:szCs w:val="20"/>
                <w:lang w:eastAsia="en-AU"/>
              </w:rPr>
              <w:t>Consumer Price Index</w:t>
            </w:r>
          </w:p>
        </w:tc>
        <w:tc>
          <w:tcPr>
            <w:tcW w:w="850" w:type="dxa"/>
            <w:tcBorders>
              <w:top w:val="nil"/>
              <w:left w:val="nil"/>
              <w:bottom w:val="nil"/>
              <w:right w:val="nil"/>
            </w:tcBorders>
          </w:tcPr>
          <w:p w:rsidR="00552DFA" w:rsidRPr="00B0752A"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0752A">
              <w:rPr>
                <w:rFonts w:eastAsiaTheme="minorEastAsia" w:cs="Calibri"/>
                <w:color w:val="000000"/>
                <w:szCs w:val="20"/>
                <w:lang w:eastAsia="en-AU"/>
              </w:rPr>
              <w:t>(0.02)</w:t>
            </w:r>
          </w:p>
        </w:tc>
        <w:tc>
          <w:tcPr>
            <w:tcW w:w="850" w:type="dxa"/>
            <w:tcBorders>
              <w:top w:val="nil"/>
              <w:left w:val="nil"/>
              <w:bottom w:val="nil"/>
              <w:right w:val="nil"/>
            </w:tcBorders>
          </w:tcPr>
          <w:p w:rsidR="00552DFA" w:rsidRPr="00B0752A"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0752A">
              <w:rPr>
                <w:rFonts w:eastAsiaTheme="minorEastAsia" w:cs="Calibri"/>
                <w:color w:val="000000"/>
                <w:szCs w:val="20"/>
                <w:lang w:eastAsia="en-AU"/>
              </w:rPr>
              <w:t>(0.06)</w:t>
            </w:r>
          </w:p>
        </w:tc>
        <w:tc>
          <w:tcPr>
            <w:tcW w:w="850" w:type="dxa"/>
            <w:tcBorders>
              <w:top w:val="nil"/>
              <w:left w:val="nil"/>
              <w:bottom w:val="nil"/>
              <w:right w:val="nil"/>
            </w:tcBorders>
          </w:tcPr>
          <w:p w:rsidR="00552DFA" w:rsidRPr="00B0752A"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0752A">
              <w:rPr>
                <w:rFonts w:eastAsiaTheme="minorEastAsia" w:cs="Calibri"/>
                <w:color w:val="000000"/>
                <w:szCs w:val="20"/>
                <w:lang w:eastAsia="en-AU"/>
              </w:rPr>
              <w:t>(0.10)</w:t>
            </w:r>
          </w:p>
        </w:tc>
        <w:tc>
          <w:tcPr>
            <w:tcW w:w="850" w:type="dxa"/>
            <w:tcBorders>
              <w:top w:val="nil"/>
              <w:left w:val="nil"/>
              <w:bottom w:val="nil"/>
              <w:right w:val="nil"/>
            </w:tcBorders>
          </w:tcPr>
          <w:p w:rsidR="00552DFA" w:rsidRPr="00B0752A"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0752A">
              <w:rPr>
                <w:rFonts w:eastAsiaTheme="minorEastAsia" w:cs="Calibri"/>
                <w:color w:val="000000"/>
                <w:szCs w:val="20"/>
                <w:lang w:eastAsia="en-AU"/>
              </w:rPr>
              <w:t>(0.14)</w:t>
            </w:r>
          </w:p>
        </w:tc>
      </w:tr>
      <w:tr w:rsidR="00552DFA" w:rsidRPr="00B0752A" w:rsidTr="00423C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nil"/>
              <w:bottom w:val="single" w:sz="12" w:space="0" w:color="auto"/>
            </w:tcBorders>
          </w:tcPr>
          <w:p w:rsidR="00552DFA" w:rsidRPr="00B0752A" w:rsidRDefault="00552DFA" w:rsidP="00423C3D">
            <w:pPr>
              <w:keepLines w:val="0"/>
              <w:autoSpaceDE w:val="0"/>
              <w:autoSpaceDN w:val="0"/>
              <w:adjustRightInd w:val="0"/>
              <w:rPr>
                <w:rFonts w:eastAsiaTheme="minorEastAsia" w:cs="Calibri"/>
                <w:b w:val="0"/>
                <w:color w:val="000000"/>
                <w:szCs w:val="20"/>
                <w:lang w:eastAsia="en-AU"/>
              </w:rPr>
            </w:pPr>
            <w:r w:rsidRPr="00B0752A">
              <w:rPr>
                <w:rFonts w:eastAsiaTheme="minorEastAsia" w:cs="Calibri"/>
                <w:b w:val="0"/>
                <w:color w:val="000000"/>
                <w:szCs w:val="20"/>
                <w:lang w:eastAsia="en-AU"/>
              </w:rPr>
              <w:t>Wage Price Index</w:t>
            </w:r>
          </w:p>
        </w:tc>
        <w:tc>
          <w:tcPr>
            <w:tcW w:w="850" w:type="dxa"/>
            <w:tcBorders>
              <w:top w:val="nil"/>
              <w:bottom w:val="single" w:sz="12" w:space="0" w:color="auto"/>
            </w:tcBorders>
          </w:tcPr>
          <w:p w:rsidR="00552DFA" w:rsidRPr="00B0752A"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20"/>
                <w:lang w:eastAsia="en-AU"/>
              </w:rPr>
            </w:pPr>
            <w:r w:rsidRPr="00B0752A">
              <w:rPr>
                <w:rFonts w:eastAsiaTheme="minorEastAsia" w:cs="Calibri"/>
                <w:b w:val="0"/>
                <w:color w:val="000000"/>
                <w:szCs w:val="20"/>
                <w:lang w:eastAsia="en-AU"/>
              </w:rPr>
              <w:t>(0.09)</w:t>
            </w:r>
          </w:p>
        </w:tc>
        <w:tc>
          <w:tcPr>
            <w:tcW w:w="850" w:type="dxa"/>
            <w:tcBorders>
              <w:top w:val="nil"/>
              <w:bottom w:val="single" w:sz="12" w:space="0" w:color="auto"/>
            </w:tcBorders>
          </w:tcPr>
          <w:p w:rsidR="00552DFA" w:rsidRPr="00B0752A"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20"/>
                <w:lang w:eastAsia="en-AU"/>
              </w:rPr>
            </w:pPr>
            <w:r w:rsidRPr="00B0752A">
              <w:rPr>
                <w:rFonts w:eastAsiaTheme="minorEastAsia" w:cs="Calibri"/>
                <w:b w:val="0"/>
                <w:color w:val="000000"/>
                <w:szCs w:val="20"/>
                <w:lang w:eastAsia="en-AU"/>
              </w:rPr>
              <w:t>(0.26)</w:t>
            </w:r>
          </w:p>
        </w:tc>
        <w:tc>
          <w:tcPr>
            <w:tcW w:w="850" w:type="dxa"/>
            <w:tcBorders>
              <w:top w:val="nil"/>
              <w:bottom w:val="single" w:sz="12" w:space="0" w:color="auto"/>
            </w:tcBorders>
          </w:tcPr>
          <w:p w:rsidR="00552DFA" w:rsidRPr="00B0752A"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20"/>
                <w:lang w:eastAsia="en-AU"/>
              </w:rPr>
            </w:pPr>
            <w:r w:rsidRPr="00B0752A">
              <w:rPr>
                <w:rFonts w:eastAsiaTheme="minorEastAsia" w:cs="Calibri"/>
                <w:b w:val="0"/>
                <w:color w:val="000000"/>
                <w:szCs w:val="20"/>
                <w:lang w:eastAsia="en-AU"/>
              </w:rPr>
              <w:t>(0.45)</w:t>
            </w:r>
          </w:p>
        </w:tc>
        <w:tc>
          <w:tcPr>
            <w:tcW w:w="850" w:type="dxa"/>
            <w:tcBorders>
              <w:top w:val="nil"/>
              <w:bottom w:val="single" w:sz="12" w:space="0" w:color="auto"/>
            </w:tcBorders>
          </w:tcPr>
          <w:p w:rsidR="00552DFA" w:rsidRPr="00B0752A"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20"/>
                <w:lang w:eastAsia="en-AU"/>
              </w:rPr>
            </w:pPr>
            <w:r w:rsidRPr="00B0752A">
              <w:rPr>
                <w:rFonts w:eastAsiaTheme="minorEastAsia" w:cs="Calibri"/>
                <w:b w:val="0"/>
                <w:color w:val="000000"/>
                <w:szCs w:val="20"/>
                <w:lang w:eastAsia="en-AU"/>
              </w:rPr>
              <w:t>(0.64)</w:t>
            </w:r>
          </w:p>
        </w:tc>
      </w:tr>
    </w:tbl>
    <w:p w:rsidR="00552DFA" w:rsidRDefault="00552DFA" w:rsidP="00423C3D">
      <w:pPr>
        <w:pStyle w:val="Note"/>
        <w:ind w:left="340" w:hanging="340"/>
      </w:pPr>
      <w:r>
        <w:t xml:space="preserve">Note: </w:t>
      </w:r>
      <w:r>
        <w:tab/>
        <w:t>Figures reported are the change in the level of each parameter relative to the baseline of no change in the economic outlook, for each year of the budget. Source: Centre of Policy Studies, Victoria University.</w:t>
      </w:r>
    </w:p>
    <w:p w:rsidR="00552DFA" w:rsidRDefault="00552DFA" w:rsidP="00423C3D">
      <w:r>
        <w:t>Table A.5 summarises the projected fiscal impact. With higher growth in real GSP, consumption, employment and property prices, income from transactions is higher over the next four years. This reflects higher growth in revenue from land transfer duty, payroll tax and higher GST</w:t>
      </w:r>
      <w:r w:rsidR="00356A95">
        <w:fldChar w:fldCharType="begin"/>
      </w:r>
      <w:r w:rsidR="00356A95">
        <w:instrText xml:space="preserve"> XE "Taxation:Goods and services tax" </w:instrText>
      </w:r>
      <w:r w:rsidR="00356A95">
        <w:fldChar w:fldCharType="end"/>
      </w:r>
      <w:r>
        <w:t xml:space="preserve"> revenue. </w:t>
      </w:r>
    </w:p>
    <w:p w:rsidR="00552DFA" w:rsidRDefault="00552DFA" w:rsidP="00423C3D">
      <w:r>
        <w:t xml:space="preserve">The increase in population calls for greater expenditure on public services to meet additional demand. However, lower wage growth and inflation – reflecting stronger growth in labour supply relative to demand – translate into reduced expenses from employee entitlements and superannuation expenses. Overall, expenses rise, though by less than the projected increase in income, resulting in an improvement in the net result and a decline in net debt. </w:t>
      </w:r>
    </w:p>
    <w:p w:rsidR="00552DFA" w:rsidRPr="00842B22" w:rsidRDefault="00552DFA" w:rsidP="00423C3D">
      <w:pPr>
        <w:pStyle w:val="TableHeading"/>
        <w:spacing w:before="120"/>
      </w:pPr>
      <w:r w:rsidRPr="00F333F0">
        <w:t>Table A.5:</w:t>
      </w:r>
      <w:r w:rsidRPr="00F333F0">
        <w:tab/>
      </w:r>
      <w:r w:rsidRPr="00E14B35">
        <w:t>Projected fiscal impact of higher population growth</w:t>
      </w:r>
      <w:r>
        <w:rPr>
          <w:rStyle w:val="TableheadingChar0"/>
          <w:rFonts w:eastAsiaTheme="minorHAnsi"/>
        </w:rPr>
        <w:tab/>
      </w:r>
      <w:r w:rsidRPr="001578E9">
        <w:t>($</w:t>
      </w:r>
      <w:r>
        <w:t> </w:t>
      </w:r>
      <w:r w:rsidRPr="001578E9">
        <w:t>m</w:t>
      </w:r>
      <w:r>
        <w:t>illion</w:t>
      </w:r>
      <w:r w:rsidRPr="001578E9">
        <w:t>)</w:t>
      </w:r>
    </w:p>
    <w:tbl>
      <w:tblPr>
        <w:tblStyle w:val="DTFTable"/>
        <w:tblW w:w="7767" w:type="dxa"/>
        <w:tblInd w:w="45" w:type="dxa"/>
        <w:tblLayout w:type="fixed"/>
        <w:tblCellMar>
          <w:left w:w="45" w:type="dxa"/>
          <w:right w:w="45" w:type="dxa"/>
        </w:tblCellMar>
        <w:tblLook w:val="06E0" w:firstRow="1" w:lastRow="1" w:firstColumn="1" w:lastColumn="0" w:noHBand="1" w:noVBand="1"/>
      </w:tblPr>
      <w:tblGrid>
        <w:gridCol w:w="3215"/>
        <w:gridCol w:w="1138"/>
        <w:gridCol w:w="1138"/>
        <w:gridCol w:w="1138"/>
        <w:gridCol w:w="1138"/>
      </w:tblGrid>
      <w:tr w:rsidR="00552DFA" w:rsidRPr="00842B22" w:rsidTr="00423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jc w:val="right"/>
              <w:rPr>
                <w:rFonts w:eastAsiaTheme="minorEastAsia" w:cs="Calibri"/>
                <w:iCs/>
                <w:color w:val="000000"/>
                <w:szCs w:val="20"/>
                <w:lang w:eastAsia="en-AU"/>
              </w:rPr>
            </w:pP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42B22">
              <w:rPr>
                <w:rFonts w:eastAsiaTheme="minorEastAsia" w:cs="Calibri"/>
                <w:iCs/>
                <w:color w:val="FFFFFF"/>
                <w:szCs w:val="20"/>
                <w:lang w:eastAsia="en-AU"/>
              </w:rPr>
              <w:t>2017</w:t>
            </w:r>
            <w:r>
              <w:rPr>
                <w:rFonts w:eastAsiaTheme="minorEastAsia" w:cs="Calibri"/>
                <w:iCs/>
                <w:color w:val="FFFFFF"/>
                <w:szCs w:val="20"/>
                <w:lang w:eastAsia="en-AU"/>
              </w:rPr>
              <w:noBreakHyphen/>
            </w:r>
            <w:r w:rsidRPr="00842B22">
              <w:rPr>
                <w:rFonts w:eastAsiaTheme="minorEastAsia" w:cs="Calibri"/>
                <w:iCs/>
                <w:color w:val="FFFFFF"/>
                <w:szCs w:val="20"/>
                <w:lang w:eastAsia="en-AU"/>
              </w:rPr>
              <w:t xml:space="preserve">18 </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42B22">
              <w:rPr>
                <w:rFonts w:eastAsiaTheme="minorEastAsia" w:cs="Calibri"/>
                <w:iCs/>
                <w:color w:val="FFFFFF"/>
                <w:szCs w:val="20"/>
                <w:lang w:eastAsia="en-AU"/>
              </w:rPr>
              <w:t>2018</w:t>
            </w:r>
            <w:r>
              <w:rPr>
                <w:rFonts w:eastAsiaTheme="minorEastAsia" w:cs="Calibri"/>
                <w:iCs/>
                <w:color w:val="FFFFFF"/>
                <w:szCs w:val="20"/>
                <w:lang w:eastAsia="en-AU"/>
              </w:rPr>
              <w:noBreakHyphen/>
            </w:r>
            <w:r w:rsidRPr="00842B22">
              <w:rPr>
                <w:rFonts w:eastAsiaTheme="minorEastAsia" w:cs="Calibri"/>
                <w:iCs/>
                <w:color w:val="FFFFFF"/>
                <w:szCs w:val="20"/>
                <w:lang w:eastAsia="en-AU"/>
              </w:rPr>
              <w:t xml:space="preserve">19 </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42B22">
              <w:rPr>
                <w:rFonts w:eastAsiaTheme="minorEastAsia" w:cs="Calibri"/>
                <w:iCs/>
                <w:color w:val="FFFFFF"/>
                <w:szCs w:val="20"/>
                <w:lang w:eastAsia="en-AU"/>
              </w:rPr>
              <w:t>2019</w:t>
            </w:r>
            <w:r>
              <w:rPr>
                <w:rFonts w:eastAsiaTheme="minorEastAsia" w:cs="Calibri"/>
                <w:iCs/>
                <w:color w:val="FFFFFF"/>
                <w:szCs w:val="20"/>
                <w:lang w:eastAsia="en-AU"/>
              </w:rPr>
              <w:noBreakHyphen/>
            </w:r>
            <w:r w:rsidRPr="00842B22">
              <w:rPr>
                <w:rFonts w:eastAsiaTheme="minorEastAsia" w:cs="Calibri"/>
                <w:iCs/>
                <w:color w:val="FFFFFF"/>
                <w:szCs w:val="20"/>
                <w:lang w:eastAsia="en-AU"/>
              </w:rPr>
              <w:t>20</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42B22">
              <w:rPr>
                <w:rFonts w:eastAsiaTheme="minorEastAsia" w:cs="Calibri"/>
                <w:iCs/>
                <w:color w:val="FFFFFF"/>
                <w:szCs w:val="20"/>
                <w:lang w:eastAsia="en-AU"/>
              </w:rPr>
              <w:t>2020</w:t>
            </w:r>
            <w:r>
              <w:rPr>
                <w:rFonts w:eastAsiaTheme="minorEastAsia" w:cs="Calibri"/>
                <w:iCs/>
                <w:color w:val="FFFFFF"/>
                <w:szCs w:val="20"/>
                <w:lang w:eastAsia="en-AU"/>
              </w:rPr>
              <w:noBreakHyphen/>
            </w:r>
            <w:r w:rsidRPr="00842B22">
              <w:rPr>
                <w:rFonts w:eastAsiaTheme="minorEastAsia" w:cs="Calibri"/>
                <w:iCs/>
                <w:color w:val="FFFFFF"/>
                <w:szCs w:val="20"/>
                <w:lang w:eastAsia="en-AU"/>
              </w:rPr>
              <w:t xml:space="preserve">21 </w:t>
            </w:r>
          </w:p>
        </w:tc>
      </w:tr>
      <w:tr w:rsidR="00552DFA" w:rsidRPr="00842B22" w:rsidTr="00423C3D">
        <w:tc>
          <w:tcPr>
            <w:cnfStyle w:val="001000000000" w:firstRow="0" w:lastRow="0" w:firstColumn="1" w:lastColumn="0" w:oddVBand="0" w:evenVBand="0" w:oddHBand="0" w:evenHBand="0" w:firstRowFirstColumn="0" w:firstRowLastColumn="0" w:lastRowFirstColumn="0" w:lastRowLastColumn="0"/>
            <w:tcW w:w="2916"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jc w:val="right"/>
              <w:rPr>
                <w:rFonts w:eastAsiaTheme="minorEastAsia" w:cs="Calibri"/>
                <w:i/>
                <w:iCs/>
                <w:color w:val="000000"/>
                <w:szCs w:val="20"/>
                <w:lang w:eastAsia="en-AU"/>
              </w:rPr>
            </w:pP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842B22">
              <w:rPr>
                <w:rFonts w:eastAsiaTheme="minorEastAsia" w:cs="Calibri"/>
                <w:i/>
                <w:iCs/>
                <w:color w:val="FFFFFF"/>
                <w:szCs w:val="20"/>
                <w:lang w:eastAsia="en-AU"/>
              </w:rPr>
              <w:t>estimate</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842B22">
              <w:rPr>
                <w:rFonts w:eastAsiaTheme="minorEastAsia" w:cs="Calibri"/>
                <w:i/>
                <w:iCs/>
                <w:color w:val="FFFFFF"/>
                <w:szCs w:val="20"/>
                <w:lang w:eastAsia="en-AU"/>
              </w:rPr>
              <w:t>estimate</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842B22">
              <w:rPr>
                <w:rFonts w:eastAsiaTheme="minorEastAsia" w:cs="Calibri"/>
                <w:i/>
                <w:iCs/>
                <w:color w:val="FFFFFF"/>
                <w:szCs w:val="20"/>
                <w:lang w:eastAsia="en-AU"/>
              </w:rPr>
              <w:t xml:space="preserve"> estimate</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842B22">
              <w:rPr>
                <w:rFonts w:eastAsiaTheme="minorEastAsia" w:cs="Calibri"/>
                <w:i/>
                <w:iCs/>
                <w:color w:val="FFFFFF"/>
                <w:szCs w:val="20"/>
                <w:lang w:eastAsia="en-AU"/>
              </w:rPr>
              <w:t>estimate</w:t>
            </w:r>
          </w:p>
        </w:tc>
      </w:tr>
      <w:tr w:rsidR="00552DFA" w:rsidRPr="00842B22" w:rsidTr="00423C3D">
        <w:tc>
          <w:tcPr>
            <w:cnfStyle w:val="001000000000" w:firstRow="0" w:lastRow="0" w:firstColumn="1" w:lastColumn="0" w:oddVBand="0" w:evenVBand="0" w:oddHBand="0" w:evenHBand="0" w:firstRowFirstColumn="0" w:firstRowLastColumn="0" w:lastRowFirstColumn="0" w:lastRowLastColumn="0"/>
            <w:tcW w:w="2916" w:type="dxa"/>
            <w:tcBorders>
              <w:top w:val="single" w:sz="6" w:space="0" w:color="auto"/>
              <w:left w:val="nil"/>
              <w:bottom w:val="nil"/>
              <w:right w:val="nil"/>
            </w:tcBorders>
          </w:tcPr>
          <w:p w:rsidR="00552DFA" w:rsidRPr="00842B22" w:rsidRDefault="00552DFA" w:rsidP="00423C3D">
            <w:pPr>
              <w:keepLines w:val="0"/>
              <w:autoSpaceDE w:val="0"/>
              <w:autoSpaceDN w:val="0"/>
              <w:adjustRightInd w:val="0"/>
              <w:rPr>
                <w:rFonts w:eastAsiaTheme="minorEastAsia" w:cs="Calibri"/>
                <w:color w:val="000000"/>
                <w:szCs w:val="20"/>
                <w:lang w:eastAsia="en-AU"/>
              </w:rPr>
            </w:pPr>
            <w:r w:rsidRPr="00842B22">
              <w:rPr>
                <w:rFonts w:eastAsiaTheme="minorEastAsia" w:cs="Calibri"/>
                <w:color w:val="000000"/>
                <w:szCs w:val="20"/>
                <w:lang w:eastAsia="en-AU"/>
              </w:rPr>
              <w:t>Income from transactions</w:t>
            </w:r>
          </w:p>
        </w:tc>
        <w:tc>
          <w:tcPr>
            <w:tcW w:w="1032" w:type="dxa"/>
            <w:tcBorders>
              <w:top w:val="single" w:sz="6" w:space="0" w:color="auto"/>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35.9</w:t>
            </w:r>
          </w:p>
        </w:tc>
        <w:tc>
          <w:tcPr>
            <w:tcW w:w="1032" w:type="dxa"/>
            <w:tcBorders>
              <w:top w:val="single" w:sz="6" w:space="0" w:color="auto"/>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90.8</w:t>
            </w:r>
          </w:p>
        </w:tc>
        <w:tc>
          <w:tcPr>
            <w:tcW w:w="1032" w:type="dxa"/>
            <w:tcBorders>
              <w:top w:val="single" w:sz="6" w:space="0" w:color="auto"/>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217.9</w:t>
            </w:r>
          </w:p>
        </w:tc>
        <w:tc>
          <w:tcPr>
            <w:tcW w:w="1032" w:type="dxa"/>
            <w:tcBorders>
              <w:top w:val="single" w:sz="6" w:space="0" w:color="auto"/>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425.3</w:t>
            </w:r>
          </w:p>
        </w:tc>
      </w:tr>
      <w:tr w:rsidR="00552DFA" w:rsidRPr="00842B22" w:rsidTr="00423C3D">
        <w:tc>
          <w:tcPr>
            <w:cnfStyle w:val="001000000000" w:firstRow="0" w:lastRow="0" w:firstColumn="1" w:lastColumn="0" w:oddVBand="0" w:evenVBand="0" w:oddHBand="0" w:evenHBand="0" w:firstRowFirstColumn="0" w:firstRowLastColumn="0" w:lastRowFirstColumn="0" w:lastRowLastColumn="0"/>
            <w:tcW w:w="2916" w:type="dxa"/>
            <w:tcBorders>
              <w:top w:val="nil"/>
              <w:left w:val="nil"/>
              <w:bottom w:val="nil"/>
              <w:right w:val="nil"/>
            </w:tcBorders>
          </w:tcPr>
          <w:p w:rsidR="00552DFA" w:rsidRPr="00842B22" w:rsidRDefault="00552DFA" w:rsidP="00423C3D">
            <w:pPr>
              <w:keepLines w:val="0"/>
              <w:autoSpaceDE w:val="0"/>
              <w:autoSpaceDN w:val="0"/>
              <w:adjustRightInd w:val="0"/>
              <w:rPr>
                <w:rFonts w:eastAsiaTheme="minorEastAsia" w:cs="Calibri"/>
                <w:color w:val="000000"/>
                <w:szCs w:val="20"/>
                <w:lang w:eastAsia="en-AU"/>
              </w:rPr>
            </w:pPr>
            <w:r w:rsidRPr="00842B22">
              <w:rPr>
                <w:rFonts w:eastAsiaTheme="minorEastAsia" w:cs="Calibri"/>
                <w:color w:val="000000"/>
                <w:szCs w:val="20"/>
                <w:lang w:eastAsia="en-AU"/>
              </w:rPr>
              <w:t>Expenses from transactions</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25.6</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52.3</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69.0</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106.5</w:t>
            </w:r>
          </w:p>
        </w:tc>
      </w:tr>
      <w:tr w:rsidR="00552DFA" w:rsidRPr="00842B22" w:rsidTr="00423C3D">
        <w:tc>
          <w:tcPr>
            <w:cnfStyle w:val="001000000000" w:firstRow="0" w:lastRow="0" w:firstColumn="1" w:lastColumn="0" w:oddVBand="0" w:evenVBand="0" w:oddHBand="0" w:evenHBand="0" w:firstRowFirstColumn="0" w:firstRowLastColumn="0" w:lastRowFirstColumn="0" w:lastRowLastColumn="0"/>
            <w:tcW w:w="2916"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rPr>
                <w:rFonts w:eastAsiaTheme="minorEastAsia" w:cs="Calibri"/>
                <w:b/>
                <w:bCs/>
                <w:color w:val="000000"/>
                <w:szCs w:val="20"/>
                <w:lang w:eastAsia="en-AU"/>
              </w:rPr>
            </w:pPr>
            <w:r w:rsidRPr="00842B22">
              <w:rPr>
                <w:rFonts w:eastAsiaTheme="minorEastAsia" w:cs="Calibri"/>
                <w:b/>
                <w:bCs/>
                <w:color w:val="000000"/>
                <w:szCs w:val="20"/>
                <w:lang w:eastAsia="en-AU"/>
              </w:rPr>
              <w:t>Net result from transactions</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10.3</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38.5</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148.9</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318.8</w:t>
            </w:r>
          </w:p>
        </w:tc>
      </w:tr>
      <w:tr w:rsidR="00552DFA" w:rsidRPr="00842B22" w:rsidTr="00423C3D">
        <w:tc>
          <w:tcPr>
            <w:cnfStyle w:val="001000000000" w:firstRow="0" w:lastRow="0" w:firstColumn="1" w:lastColumn="0" w:oddVBand="0" w:evenVBand="0" w:oddHBand="0" w:evenHBand="0" w:firstRowFirstColumn="0" w:firstRowLastColumn="0" w:lastRowFirstColumn="0" w:lastRowLastColumn="0"/>
            <w:tcW w:w="2916" w:type="dxa"/>
            <w:tcBorders>
              <w:top w:val="nil"/>
              <w:left w:val="nil"/>
              <w:bottom w:val="nil"/>
              <w:right w:val="nil"/>
            </w:tcBorders>
          </w:tcPr>
          <w:p w:rsidR="00552DFA" w:rsidRPr="00842B22" w:rsidRDefault="00552DFA" w:rsidP="00423C3D">
            <w:pPr>
              <w:keepLines w:val="0"/>
              <w:autoSpaceDE w:val="0"/>
              <w:autoSpaceDN w:val="0"/>
              <w:adjustRightInd w:val="0"/>
              <w:rPr>
                <w:rFonts w:eastAsiaTheme="minorEastAsia" w:cs="Calibri"/>
                <w:color w:val="000000"/>
                <w:szCs w:val="20"/>
                <w:lang w:eastAsia="en-AU"/>
              </w:rPr>
            </w:pPr>
            <w:r w:rsidRPr="00842B22">
              <w:rPr>
                <w:rFonts w:eastAsiaTheme="minorEastAsia" w:cs="Calibri"/>
                <w:color w:val="000000"/>
                <w:szCs w:val="20"/>
                <w:lang w:eastAsia="en-AU"/>
              </w:rPr>
              <w:t>Other economic flows</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0.0</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0.0</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0.1</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0.2</w:t>
            </w:r>
          </w:p>
        </w:tc>
      </w:tr>
      <w:tr w:rsidR="00552DFA" w:rsidRPr="00842B22" w:rsidTr="00423C3D">
        <w:tc>
          <w:tcPr>
            <w:cnfStyle w:val="001000000000" w:firstRow="0" w:lastRow="0" w:firstColumn="1" w:lastColumn="0" w:oddVBand="0" w:evenVBand="0" w:oddHBand="0" w:evenHBand="0" w:firstRowFirstColumn="0" w:firstRowLastColumn="0" w:lastRowFirstColumn="0" w:lastRowLastColumn="0"/>
            <w:tcW w:w="2916"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rPr>
                <w:rFonts w:eastAsiaTheme="minorEastAsia" w:cs="Calibri"/>
                <w:b/>
                <w:bCs/>
                <w:color w:val="000000"/>
                <w:szCs w:val="20"/>
                <w:lang w:eastAsia="en-AU"/>
              </w:rPr>
            </w:pPr>
            <w:r w:rsidRPr="00842B22">
              <w:rPr>
                <w:rFonts w:eastAsiaTheme="minorEastAsia" w:cs="Calibri"/>
                <w:b/>
                <w:bCs/>
                <w:color w:val="000000"/>
                <w:szCs w:val="20"/>
                <w:lang w:eastAsia="en-AU"/>
              </w:rPr>
              <w:t>Net result</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10.3</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38.5</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149.0</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319.0</w:t>
            </w:r>
          </w:p>
        </w:tc>
      </w:tr>
      <w:tr w:rsidR="00552DFA" w:rsidRPr="00842B22" w:rsidTr="00423C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dxa"/>
            <w:tcBorders>
              <w:top w:val="nil"/>
              <w:bottom w:val="single" w:sz="12" w:space="0" w:color="auto"/>
            </w:tcBorders>
          </w:tcPr>
          <w:p w:rsidR="00552DFA" w:rsidRPr="00842B22" w:rsidRDefault="00552DFA" w:rsidP="00423C3D">
            <w:pPr>
              <w:keepLines w:val="0"/>
              <w:autoSpaceDE w:val="0"/>
              <w:autoSpaceDN w:val="0"/>
              <w:adjustRightInd w:val="0"/>
              <w:rPr>
                <w:rFonts w:eastAsiaTheme="minorEastAsia" w:cs="Calibri"/>
                <w:bCs/>
                <w:color w:val="000000"/>
                <w:szCs w:val="20"/>
                <w:lang w:eastAsia="en-AU"/>
              </w:rPr>
            </w:pPr>
            <w:r w:rsidRPr="00842B22">
              <w:rPr>
                <w:rFonts w:eastAsiaTheme="minorEastAsia" w:cs="Calibri"/>
                <w:bCs/>
                <w:color w:val="000000"/>
                <w:szCs w:val="20"/>
                <w:lang w:eastAsia="en-AU"/>
              </w:rPr>
              <w:t>Net debt</w:t>
            </w:r>
            <w:r w:rsidR="00356A95">
              <w:rPr>
                <w:rFonts w:eastAsiaTheme="minorEastAsia" w:cs="Calibri"/>
                <w:bCs/>
                <w:color w:val="000000"/>
                <w:szCs w:val="20"/>
                <w:lang w:eastAsia="en-AU"/>
              </w:rPr>
              <w:fldChar w:fldCharType="begin"/>
            </w:r>
            <w:r w:rsidR="00356A95">
              <w:rPr>
                <w:rFonts w:eastAsiaTheme="minorEastAsia" w:cs="Calibri"/>
                <w:bCs/>
                <w:color w:val="000000"/>
                <w:szCs w:val="20"/>
                <w:lang w:eastAsia="en-AU"/>
              </w:rPr>
              <w:instrText xml:space="preserve"> XE "</w:instrText>
            </w:r>
            <w:r w:rsidR="00356A95">
              <w:instrText>Debt:Net debt"</w:instrText>
            </w:r>
            <w:r w:rsidR="00356A95">
              <w:rPr>
                <w:rFonts w:eastAsiaTheme="minorEastAsia" w:cs="Calibri"/>
                <w:bCs/>
                <w:color w:val="000000"/>
                <w:szCs w:val="20"/>
                <w:lang w:eastAsia="en-AU"/>
              </w:rPr>
              <w:instrText xml:space="preserve"> </w:instrText>
            </w:r>
            <w:r w:rsidR="00356A95">
              <w:rPr>
                <w:rFonts w:eastAsiaTheme="minorEastAsia" w:cs="Calibri"/>
                <w:bCs/>
                <w:color w:val="000000"/>
                <w:szCs w:val="20"/>
                <w:lang w:eastAsia="en-AU"/>
              </w:rPr>
              <w:fldChar w:fldCharType="end"/>
            </w:r>
            <w:r w:rsidRPr="00842B22">
              <w:rPr>
                <w:rFonts w:eastAsiaTheme="minorEastAsia" w:cs="Calibri"/>
                <w:bCs/>
                <w:color w:val="000000"/>
                <w:szCs w:val="20"/>
                <w:lang w:eastAsia="en-AU"/>
              </w:rPr>
              <w:t xml:space="preserve"> (cumulative)</w:t>
            </w:r>
          </w:p>
        </w:tc>
        <w:tc>
          <w:tcPr>
            <w:tcW w:w="1032" w:type="dxa"/>
            <w:tcBorders>
              <w:top w:val="nil"/>
              <w:bottom w:val="single" w:sz="12" w:space="0" w:color="auto"/>
            </w:tcBorders>
          </w:tcPr>
          <w:p w:rsidR="00552DFA" w:rsidRPr="00842B2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sidRPr="00842B22">
              <w:rPr>
                <w:rFonts w:eastAsiaTheme="minorEastAsia" w:cs="Calibri"/>
                <w:bCs/>
                <w:color w:val="000000"/>
                <w:szCs w:val="20"/>
                <w:lang w:eastAsia="en-AU"/>
              </w:rPr>
              <w:t>(10.9</w:t>
            </w:r>
            <w:r w:rsidRPr="00842B22">
              <w:t>)</w:t>
            </w:r>
          </w:p>
        </w:tc>
        <w:tc>
          <w:tcPr>
            <w:tcW w:w="1032" w:type="dxa"/>
            <w:tcBorders>
              <w:top w:val="nil"/>
              <w:bottom w:val="single" w:sz="12" w:space="0" w:color="auto"/>
            </w:tcBorders>
          </w:tcPr>
          <w:p w:rsidR="00552DFA" w:rsidRPr="00842B2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sidRPr="00842B22">
              <w:rPr>
                <w:rFonts w:eastAsiaTheme="minorEastAsia" w:cs="Calibri"/>
                <w:bCs/>
                <w:color w:val="000000"/>
                <w:szCs w:val="20"/>
                <w:lang w:eastAsia="en-AU"/>
              </w:rPr>
              <w:t>(51.2</w:t>
            </w:r>
            <w:r w:rsidRPr="00842B22">
              <w:t>)</w:t>
            </w:r>
          </w:p>
        </w:tc>
        <w:tc>
          <w:tcPr>
            <w:tcW w:w="1032" w:type="dxa"/>
            <w:tcBorders>
              <w:top w:val="nil"/>
              <w:bottom w:val="single" w:sz="12" w:space="0" w:color="auto"/>
            </w:tcBorders>
          </w:tcPr>
          <w:p w:rsidR="00552DFA" w:rsidRPr="00842B2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42B22">
              <w:rPr>
                <w:rFonts w:eastAsiaTheme="minorEastAsia" w:cs="Calibri"/>
                <w:bCs/>
                <w:color w:val="000000"/>
                <w:szCs w:val="20"/>
                <w:lang w:eastAsia="en-AU"/>
              </w:rPr>
              <w:t>(204.9)</w:t>
            </w:r>
          </w:p>
        </w:tc>
        <w:tc>
          <w:tcPr>
            <w:tcW w:w="1032" w:type="dxa"/>
            <w:tcBorders>
              <w:top w:val="nil"/>
              <w:bottom w:val="single" w:sz="12" w:space="0" w:color="auto"/>
            </w:tcBorders>
          </w:tcPr>
          <w:p w:rsidR="00552DFA" w:rsidRPr="00842B2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42B22">
              <w:rPr>
                <w:rFonts w:eastAsiaTheme="minorEastAsia" w:cs="Calibri"/>
                <w:bCs/>
                <w:color w:val="000000"/>
                <w:szCs w:val="20"/>
                <w:lang w:eastAsia="en-AU"/>
              </w:rPr>
              <w:t>(533.0)</w:t>
            </w:r>
          </w:p>
        </w:tc>
      </w:tr>
    </w:tbl>
    <w:p w:rsidR="00552DFA" w:rsidRPr="009508AC" w:rsidRDefault="00552DFA" w:rsidP="00423C3D">
      <w:pPr>
        <w:pStyle w:val="Source"/>
      </w:pPr>
      <w:r>
        <w:t xml:space="preserve">Source: Department of Treasury and Finance </w:t>
      </w:r>
    </w:p>
    <w:p w:rsidR="00552DFA" w:rsidRDefault="00552DFA" w:rsidP="00423C3D"/>
    <w:p w:rsidR="00552DFA" w:rsidRDefault="00552DFA">
      <w:pPr>
        <w:keepLines w:val="0"/>
        <w:rPr>
          <w:rFonts w:asciiTheme="majorHAnsi" w:eastAsiaTheme="majorEastAsia" w:hAnsiTheme="majorHAnsi" w:cstheme="majorBidi"/>
          <w:b/>
          <w:spacing w:val="-2"/>
          <w:sz w:val="26"/>
          <w:szCs w:val="26"/>
        </w:rPr>
      </w:pPr>
      <w:r>
        <w:br w:type="page"/>
      </w:r>
    </w:p>
    <w:p w:rsidR="00552DFA" w:rsidRDefault="00552DFA" w:rsidP="00D46C60">
      <w:pPr>
        <w:pStyle w:val="Heading30"/>
      </w:pPr>
      <w:r>
        <w:lastRenderedPageBreak/>
        <w:t>In this scenario population and participation are stronger than expected</w:t>
      </w:r>
    </w:p>
    <w:p w:rsidR="00552DFA" w:rsidRDefault="00552DFA" w:rsidP="00423C3D">
      <w:r>
        <w:t>As well as a strong rate of population growth, Victoria has also experienced high rates of labour force participation. This has been underpinned by cyclical factors, including strong job creation, and structural factors such as rising female participation and participation in the 55</w:t>
      </w:r>
      <w:r>
        <w:noBreakHyphen/>
        <w:t>64 age cohort (Chart A.4). An upside risk to the budget is that labour force participation also remains stronger over the forecast horizon. For this scenario, both high population growth (2 per cent per annum) and a high labour force participation rate (65.3 per cent) are assumed.</w:t>
      </w:r>
      <w:r>
        <w:rPr>
          <w:rStyle w:val="FootnoteReference"/>
        </w:rPr>
        <w:footnoteReference w:id="8"/>
      </w:r>
    </w:p>
    <w:p w:rsidR="00552DFA" w:rsidRDefault="00552DFA" w:rsidP="00D52A5D">
      <w:pPr>
        <w:pStyle w:val="TableHeading"/>
        <w:spacing w:after="120"/>
      </w:pPr>
      <w:r>
        <w:t>Chart A.4:</w:t>
      </w:r>
      <w:r>
        <w:tab/>
        <w:t>Labour force participation</w:t>
      </w:r>
      <w:r w:rsidR="00356A95">
        <w:fldChar w:fldCharType="begin"/>
      </w:r>
      <w:r w:rsidR="00356A95">
        <w:instrText xml:space="preserve"> XE "Labour force participation" </w:instrText>
      </w:r>
      <w:r w:rsidR="00356A95">
        <w:fldChar w:fldCharType="end"/>
      </w:r>
    </w:p>
    <w:tbl>
      <w:tblPr>
        <w:tblStyle w:val="DTFTextTable"/>
        <w:tblW w:w="5074" w:type="pct"/>
        <w:tblBorders>
          <w:bottom w:val="none" w:sz="0" w:space="0" w:color="auto"/>
        </w:tblBorders>
        <w:tblLook w:val="0600" w:firstRow="0" w:lastRow="0" w:firstColumn="0" w:lastColumn="0" w:noHBand="1" w:noVBand="1"/>
      </w:tblPr>
      <w:tblGrid>
        <w:gridCol w:w="4050"/>
        <w:gridCol w:w="4186"/>
      </w:tblGrid>
      <w:tr w:rsidR="00552DFA" w:rsidTr="00423C3D">
        <w:tc>
          <w:tcPr>
            <w:tcW w:w="2488" w:type="pct"/>
          </w:tcPr>
          <w:p w:rsidR="00552DFA" w:rsidRPr="00101922" w:rsidRDefault="00552DFA" w:rsidP="00423C3D">
            <w:pPr>
              <w:pStyle w:val="TableHeading"/>
              <w:spacing w:before="0" w:after="0"/>
              <w:jc w:val="center"/>
              <w:rPr>
                <w:sz w:val="18"/>
              </w:rPr>
            </w:pPr>
            <w:r w:rsidRPr="00101922">
              <w:rPr>
                <w:sz w:val="18"/>
              </w:rPr>
              <w:t>Labour force participation</w:t>
            </w:r>
            <w:r w:rsidR="00356A95">
              <w:rPr>
                <w:sz w:val="18"/>
              </w:rPr>
              <w:fldChar w:fldCharType="begin"/>
            </w:r>
            <w:r w:rsidR="00356A95">
              <w:rPr>
                <w:sz w:val="18"/>
              </w:rPr>
              <w:instrText xml:space="preserve"> XE "</w:instrText>
            </w:r>
            <w:r w:rsidR="00356A95">
              <w:instrText>Labour force participation"</w:instrText>
            </w:r>
            <w:r w:rsidR="00356A95">
              <w:rPr>
                <w:sz w:val="18"/>
              </w:rPr>
              <w:instrText xml:space="preserve"> </w:instrText>
            </w:r>
            <w:r w:rsidR="00356A95">
              <w:rPr>
                <w:sz w:val="18"/>
              </w:rPr>
              <w:fldChar w:fldCharType="end"/>
            </w:r>
            <w:r w:rsidRPr="00101922">
              <w:rPr>
                <w:sz w:val="18"/>
              </w:rPr>
              <w:t xml:space="preserve"> by age</w:t>
            </w:r>
          </w:p>
          <w:p w:rsidR="00552DFA" w:rsidRDefault="0049535D" w:rsidP="00423C3D">
            <w:pPr>
              <w:spacing w:before="0"/>
            </w:pPr>
            <w:r>
              <w:rPr>
                <w:rFonts w:asciiTheme="minorHAnsi" w:hAnsiTheme="minorHAnsi"/>
                <w:sz w:val="22"/>
              </w:rPr>
              <w:pict>
                <v:shape id="_x0000_i1045" type="#_x0000_t75" style="width:196.75pt;height:175pt">
                  <v:imagedata r:id="rId48" o:title=""/>
                </v:shape>
              </w:pict>
            </w:r>
          </w:p>
        </w:tc>
        <w:tc>
          <w:tcPr>
            <w:tcW w:w="2512" w:type="pct"/>
          </w:tcPr>
          <w:p w:rsidR="00552DFA" w:rsidRPr="00101922" w:rsidRDefault="00552DFA" w:rsidP="00423C3D">
            <w:pPr>
              <w:pStyle w:val="TableHeading"/>
              <w:spacing w:before="0" w:after="0"/>
              <w:jc w:val="center"/>
              <w:rPr>
                <w:sz w:val="18"/>
              </w:rPr>
            </w:pPr>
            <w:r w:rsidRPr="00101922">
              <w:rPr>
                <w:sz w:val="18"/>
              </w:rPr>
              <w:t>Aggregate participation rate</w:t>
            </w:r>
          </w:p>
          <w:p w:rsidR="00552DFA" w:rsidRDefault="0049535D" w:rsidP="00423C3D">
            <w:r>
              <w:rPr>
                <w:rFonts w:asciiTheme="minorHAnsi" w:hAnsiTheme="minorHAnsi"/>
                <w:sz w:val="22"/>
              </w:rPr>
              <w:pict>
                <v:shape id="_x0000_i1046" type="#_x0000_t75" style="width:203.45pt;height:174.15pt">
                  <v:imagedata r:id="rId49" o:title=""/>
                </v:shape>
              </w:pict>
            </w:r>
          </w:p>
        </w:tc>
      </w:tr>
    </w:tbl>
    <w:p w:rsidR="00552DFA" w:rsidRDefault="00552DFA" w:rsidP="00423C3D">
      <w:pPr>
        <w:pStyle w:val="Source"/>
      </w:pPr>
      <w:r>
        <w:t>Sources: Australian Bureau of Statistics; Department of Treasury and Finance</w:t>
      </w:r>
    </w:p>
    <w:p w:rsidR="00D52A5D" w:rsidRPr="00D52A5D" w:rsidRDefault="00D52A5D" w:rsidP="00D52A5D">
      <w:pPr>
        <w:pStyle w:val="Note"/>
      </w:pPr>
    </w:p>
    <w:p w:rsidR="00552DFA" w:rsidRDefault="00552DFA" w:rsidP="00423C3D">
      <w:r>
        <w:t xml:space="preserve">Chart A.5 illustrates the impacts on real GSP growth and employment. With strong growth in population and higher workforce participation, the impacts on growth and employment are predictably larger than in the high population growth only scenario. This reflects a greater increase in the size of the workforce, made up of an increase in the number of people in Victoria and an increase in the likelihood that they are employed. </w:t>
      </w:r>
    </w:p>
    <w:p w:rsidR="00552DFA" w:rsidRDefault="00552DFA" w:rsidP="00423C3D">
      <w:r>
        <w:t>Stronger employment growth stems from both greater demand associated with the increase in population, and also from higher labour force participation. Higher labour force participation lowers wage pressures and labour becomes relatively cheaper when compared with capital. This stimulates firms’ demand for labour on average, and capital also becomes more productive. Overall, firms are able to produce more, households consume more and average output per person rises.</w:t>
      </w:r>
    </w:p>
    <w:p w:rsidR="00552DFA" w:rsidRDefault="00552DFA" w:rsidP="00423C3D">
      <w:pPr>
        <w:pStyle w:val="TableHeading"/>
        <w:spacing w:before="180"/>
      </w:pPr>
      <w:r>
        <w:lastRenderedPageBreak/>
        <w:t>Chart A.5:</w:t>
      </w:r>
      <w:r>
        <w:tab/>
        <w:t>The effects on growth and employment of stronger population and participation</w:t>
      </w:r>
    </w:p>
    <w:tbl>
      <w:tblPr>
        <w:tblStyle w:val="DTFTextTable"/>
        <w:tblW w:w="5137" w:type="pct"/>
        <w:tblBorders>
          <w:bottom w:val="none" w:sz="0" w:space="0" w:color="auto"/>
        </w:tblBorders>
        <w:tblLayout w:type="fixed"/>
        <w:tblLook w:val="0600" w:firstRow="0" w:lastRow="0" w:firstColumn="0" w:lastColumn="0" w:noHBand="1" w:noVBand="1"/>
      </w:tblPr>
      <w:tblGrid>
        <w:gridCol w:w="4015"/>
        <w:gridCol w:w="4016"/>
      </w:tblGrid>
      <w:tr w:rsidR="00552DFA" w:rsidTr="00423C3D">
        <w:tc>
          <w:tcPr>
            <w:tcW w:w="2500" w:type="pct"/>
          </w:tcPr>
          <w:p w:rsidR="00552DFA" w:rsidRPr="00101922" w:rsidRDefault="00552DFA" w:rsidP="00423C3D">
            <w:pPr>
              <w:pStyle w:val="TableHeading"/>
              <w:spacing w:before="0" w:after="0"/>
              <w:jc w:val="center"/>
              <w:rPr>
                <w:sz w:val="18"/>
              </w:rPr>
            </w:pPr>
            <w:r>
              <w:rPr>
                <w:sz w:val="18"/>
              </w:rPr>
              <w:t>Gross state product</w:t>
            </w:r>
            <w:r w:rsidR="00356A95">
              <w:rPr>
                <w:sz w:val="18"/>
              </w:rPr>
              <w:fldChar w:fldCharType="begin"/>
            </w:r>
            <w:r w:rsidR="00356A95">
              <w:rPr>
                <w:sz w:val="18"/>
              </w:rPr>
              <w:instrText xml:space="preserve"> XE "</w:instrText>
            </w:r>
            <w:r w:rsidR="00356A95">
              <w:instrText>Gross domestic product"</w:instrText>
            </w:r>
            <w:r w:rsidR="00356A95">
              <w:rPr>
                <w:sz w:val="18"/>
              </w:rPr>
              <w:instrText xml:space="preserve"> </w:instrText>
            </w:r>
            <w:r w:rsidR="00356A95">
              <w:rPr>
                <w:sz w:val="18"/>
              </w:rPr>
              <w:fldChar w:fldCharType="end"/>
            </w:r>
          </w:p>
          <w:p w:rsidR="00552DFA" w:rsidRDefault="0049535D" w:rsidP="00423C3D">
            <w:pPr>
              <w:spacing w:before="0"/>
            </w:pPr>
            <w:r>
              <w:rPr>
                <w:rFonts w:asciiTheme="minorHAnsi" w:hAnsiTheme="minorHAnsi"/>
                <w:sz w:val="22"/>
              </w:rPr>
              <w:pict>
                <v:shape id="_x0000_i1047" type="#_x0000_t75" style="width:195.9pt;height:166.6pt">
                  <v:imagedata r:id="rId50" o:title=""/>
                </v:shape>
              </w:pict>
            </w:r>
          </w:p>
        </w:tc>
        <w:tc>
          <w:tcPr>
            <w:tcW w:w="2500" w:type="pct"/>
          </w:tcPr>
          <w:p w:rsidR="00552DFA" w:rsidRPr="00101922" w:rsidRDefault="00552DFA" w:rsidP="00423C3D">
            <w:pPr>
              <w:pStyle w:val="TableHeading"/>
              <w:spacing w:before="0" w:after="0"/>
              <w:jc w:val="center"/>
              <w:rPr>
                <w:sz w:val="18"/>
              </w:rPr>
            </w:pPr>
            <w:r>
              <w:rPr>
                <w:sz w:val="18"/>
              </w:rPr>
              <w:t>Employment</w:t>
            </w:r>
          </w:p>
          <w:p w:rsidR="00552DFA" w:rsidRDefault="0049535D" w:rsidP="00423C3D">
            <w:r>
              <w:rPr>
                <w:rFonts w:asciiTheme="minorHAnsi" w:hAnsiTheme="minorHAnsi"/>
                <w:sz w:val="22"/>
              </w:rPr>
              <w:pict>
                <v:shape id="_x0000_i1048" type="#_x0000_t75" style="width:190.05pt;height:165.75pt">
                  <v:imagedata r:id="rId51" o:title=""/>
                </v:shape>
              </w:pict>
            </w:r>
          </w:p>
        </w:tc>
      </w:tr>
    </w:tbl>
    <w:p w:rsidR="00552DFA" w:rsidRDefault="00552DFA" w:rsidP="00D52A5D">
      <w:pPr>
        <w:pStyle w:val="Source"/>
        <w:spacing w:after="0"/>
      </w:pPr>
      <w:r>
        <w:t>Sources: Australian Bureau of Statistics; Centre of Policy Studies; Department of Treasury and Finance</w:t>
      </w:r>
    </w:p>
    <w:p w:rsidR="00552DFA" w:rsidRDefault="00552DFA" w:rsidP="00D52A5D">
      <w:pPr>
        <w:spacing w:before="180"/>
      </w:pPr>
      <w:r>
        <w:t>The overall economic effects are presented in Table A.6. The direction of the results are similar to those in the high population growth only scenario. However, the magnitudes of the effects are more pronounced. There is a larger pick up in private investment, as capital becomes more productive, and a larger increase in consumption growth. Together these underpin stronger growth in real GSP.</w:t>
      </w:r>
    </w:p>
    <w:p w:rsidR="00552DFA" w:rsidRPr="00B0752A" w:rsidRDefault="00552DFA" w:rsidP="00423C3D">
      <w:pPr>
        <w:pStyle w:val="TableHeading"/>
      </w:pPr>
      <w:r>
        <w:t>Table A.6:</w:t>
      </w:r>
      <w:r>
        <w:tab/>
        <w:t>The effect of higher population and labour force participation</w:t>
      </w:r>
      <w:r>
        <w:tab/>
      </w:r>
      <w:r w:rsidRPr="001578E9">
        <w:t>(per cent)</w:t>
      </w:r>
    </w:p>
    <w:tbl>
      <w:tblPr>
        <w:tblStyle w:val="DTFTable"/>
        <w:tblW w:w="7767" w:type="dxa"/>
        <w:tblInd w:w="45" w:type="dxa"/>
        <w:tblLayout w:type="fixed"/>
        <w:tblCellMar>
          <w:left w:w="45" w:type="dxa"/>
          <w:right w:w="45" w:type="dxa"/>
        </w:tblCellMar>
        <w:tblLook w:val="06E0" w:firstRow="1" w:lastRow="1" w:firstColumn="1" w:lastColumn="0" w:noHBand="1" w:noVBand="1"/>
      </w:tblPr>
      <w:tblGrid>
        <w:gridCol w:w="3119"/>
        <w:gridCol w:w="1162"/>
        <w:gridCol w:w="1162"/>
        <w:gridCol w:w="1162"/>
        <w:gridCol w:w="1162"/>
      </w:tblGrid>
      <w:tr w:rsidR="00552DFA" w:rsidRPr="00B0752A" w:rsidTr="00423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shd w:val="solid" w:color="000000" w:fill="auto"/>
          </w:tcPr>
          <w:p w:rsidR="00552DFA" w:rsidRPr="00111018" w:rsidRDefault="00552DFA" w:rsidP="00423C3D"/>
        </w:tc>
        <w:tc>
          <w:tcPr>
            <w:tcW w:w="1162" w:type="dxa"/>
            <w:tcBorders>
              <w:top w:val="nil"/>
              <w:left w:val="nil"/>
              <w:bottom w:val="nil"/>
              <w:right w:val="nil"/>
            </w:tcBorders>
            <w:shd w:val="solid" w:color="000000" w:fill="auto"/>
          </w:tcPr>
          <w:p w:rsidR="00552DFA" w:rsidRPr="00111018" w:rsidRDefault="00552DFA" w:rsidP="00423C3D">
            <w:pPr>
              <w:cnfStyle w:val="100000000000" w:firstRow="1" w:lastRow="0" w:firstColumn="0" w:lastColumn="0" w:oddVBand="0" w:evenVBand="0" w:oddHBand="0" w:evenHBand="0" w:firstRowFirstColumn="0" w:firstRowLastColumn="0" w:lastRowFirstColumn="0" w:lastRowLastColumn="0"/>
            </w:pPr>
            <w:r w:rsidRPr="00111018">
              <w:t>2017</w:t>
            </w:r>
            <w:r>
              <w:noBreakHyphen/>
            </w:r>
            <w:r w:rsidRPr="00111018">
              <w:t xml:space="preserve">18 </w:t>
            </w:r>
          </w:p>
        </w:tc>
        <w:tc>
          <w:tcPr>
            <w:tcW w:w="1162" w:type="dxa"/>
            <w:tcBorders>
              <w:top w:val="nil"/>
              <w:left w:val="nil"/>
              <w:bottom w:val="nil"/>
              <w:right w:val="nil"/>
            </w:tcBorders>
            <w:shd w:val="solid" w:color="000000" w:fill="auto"/>
          </w:tcPr>
          <w:p w:rsidR="00552DFA" w:rsidRPr="00111018" w:rsidRDefault="00552DFA" w:rsidP="00423C3D">
            <w:pPr>
              <w:cnfStyle w:val="100000000000" w:firstRow="1" w:lastRow="0" w:firstColumn="0" w:lastColumn="0" w:oddVBand="0" w:evenVBand="0" w:oddHBand="0" w:evenHBand="0" w:firstRowFirstColumn="0" w:firstRowLastColumn="0" w:lastRowFirstColumn="0" w:lastRowLastColumn="0"/>
            </w:pPr>
            <w:r w:rsidRPr="00111018">
              <w:t>2018</w:t>
            </w:r>
            <w:r>
              <w:noBreakHyphen/>
            </w:r>
            <w:r w:rsidRPr="00111018">
              <w:t xml:space="preserve">19 </w:t>
            </w:r>
          </w:p>
        </w:tc>
        <w:tc>
          <w:tcPr>
            <w:tcW w:w="1162" w:type="dxa"/>
            <w:tcBorders>
              <w:top w:val="nil"/>
              <w:left w:val="nil"/>
              <w:bottom w:val="nil"/>
              <w:right w:val="nil"/>
            </w:tcBorders>
            <w:shd w:val="solid" w:color="000000" w:fill="auto"/>
          </w:tcPr>
          <w:p w:rsidR="00552DFA" w:rsidRPr="00111018" w:rsidRDefault="00552DFA" w:rsidP="00423C3D">
            <w:pPr>
              <w:cnfStyle w:val="100000000000" w:firstRow="1" w:lastRow="0" w:firstColumn="0" w:lastColumn="0" w:oddVBand="0" w:evenVBand="0" w:oddHBand="0" w:evenHBand="0" w:firstRowFirstColumn="0" w:firstRowLastColumn="0" w:lastRowFirstColumn="0" w:lastRowLastColumn="0"/>
            </w:pPr>
            <w:r w:rsidRPr="00111018">
              <w:t>2019</w:t>
            </w:r>
            <w:r>
              <w:noBreakHyphen/>
            </w:r>
            <w:r w:rsidRPr="00111018">
              <w:t xml:space="preserve">20 </w:t>
            </w:r>
          </w:p>
        </w:tc>
        <w:tc>
          <w:tcPr>
            <w:tcW w:w="1162" w:type="dxa"/>
            <w:tcBorders>
              <w:top w:val="nil"/>
              <w:left w:val="nil"/>
              <w:bottom w:val="nil"/>
              <w:right w:val="nil"/>
            </w:tcBorders>
            <w:shd w:val="solid" w:color="000000" w:fill="auto"/>
          </w:tcPr>
          <w:p w:rsidR="00552DFA" w:rsidRPr="00111018" w:rsidRDefault="00552DFA" w:rsidP="00423C3D">
            <w:pPr>
              <w:cnfStyle w:val="100000000000" w:firstRow="1" w:lastRow="0" w:firstColumn="0" w:lastColumn="0" w:oddVBand="0" w:evenVBand="0" w:oddHBand="0" w:evenHBand="0" w:firstRowFirstColumn="0" w:firstRowLastColumn="0" w:lastRowFirstColumn="0" w:lastRowLastColumn="0"/>
            </w:pPr>
            <w:r w:rsidRPr="00111018">
              <w:t>2020</w:t>
            </w:r>
            <w:r>
              <w:noBreakHyphen/>
            </w:r>
            <w:r w:rsidRPr="00111018">
              <w:t xml:space="preserve">21 </w:t>
            </w:r>
          </w:p>
        </w:tc>
      </w:tr>
      <w:tr w:rsidR="00552DFA" w:rsidRPr="00062696" w:rsidTr="00423C3D">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shd w:val="solid" w:color="000000" w:fill="auto"/>
          </w:tcPr>
          <w:p w:rsidR="00552DFA" w:rsidRPr="00111018" w:rsidRDefault="00552DFA" w:rsidP="00423C3D"/>
        </w:tc>
        <w:tc>
          <w:tcPr>
            <w:tcW w:w="1162" w:type="dxa"/>
            <w:tcBorders>
              <w:top w:val="nil"/>
              <w:left w:val="nil"/>
              <w:bottom w:val="nil"/>
              <w:right w:val="nil"/>
            </w:tcBorders>
            <w:shd w:val="solid" w:color="000000" w:fill="auto"/>
          </w:tcPr>
          <w:p w:rsidR="00552DFA" w:rsidRPr="00062696" w:rsidRDefault="00552DFA" w:rsidP="00423C3D">
            <w:pPr>
              <w:cnfStyle w:val="000000000000" w:firstRow="0" w:lastRow="0" w:firstColumn="0" w:lastColumn="0" w:oddVBand="0" w:evenVBand="0" w:oddHBand="0" w:evenHBand="0" w:firstRowFirstColumn="0" w:firstRowLastColumn="0" w:lastRowFirstColumn="0" w:lastRowLastColumn="0"/>
              <w:rPr>
                <w:i/>
              </w:rPr>
            </w:pPr>
            <w:r w:rsidRPr="00062696">
              <w:rPr>
                <w:i/>
              </w:rPr>
              <w:t>estimate</w:t>
            </w:r>
          </w:p>
        </w:tc>
        <w:tc>
          <w:tcPr>
            <w:tcW w:w="1162" w:type="dxa"/>
            <w:tcBorders>
              <w:top w:val="nil"/>
              <w:left w:val="nil"/>
              <w:bottom w:val="nil"/>
              <w:right w:val="nil"/>
            </w:tcBorders>
            <w:shd w:val="solid" w:color="000000" w:fill="auto"/>
          </w:tcPr>
          <w:p w:rsidR="00552DFA" w:rsidRPr="00062696" w:rsidRDefault="00552DFA" w:rsidP="00423C3D">
            <w:pPr>
              <w:cnfStyle w:val="000000000000" w:firstRow="0" w:lastRow="0" w:firstColumn="0" w:lastColumn="0" w:oddVBand="0" w:evenVBand="0" w:oddHBand="0" w:evenHBand="0" w:firstRowFirstColumn="0" w:firstRowLastColumn="0" w:lastRowFirstColumn="0" w:lastRowLastColumn="0"/>
              <w:rPr>
                <w:i/>
              </w:rPr>
            </w:pPr>
            <w:r w:rsidRPr="00062696">
              <w:rPr>
                <w:i/>
              </w:rPr>
              <w:t>estimate</w:t>
            </w:r>
          </w:p>
        </w:tc>
        <w:tc>
          <w:tcPr>
            <w:tcW w:w="1162" w:type="dxa"/>
            <w:tcBorders>
              <w:top w:val="nil"/>
              <w:left w:val="nil"/>
              <w:bottom w:val="nil"/>
              <w:right w:val="nil"/>
            </w:tcBorders>
            <w:shd w:val="solid" w:color="000000" w:fill="auto"/>
          </w:tcPr>
          <w:p w:rsidR="00552DFA" w:rsidRPr="00062696" w:rsidRDefault="00552DFA" w:rsidP="00423C3D">
            <w:pPr>
              <w:cnfStyle w:val="000000000000" w:firstRow="0" w:lastRow="0" w:firstColumn="0" w:lastColumn="0" w:oddVBand="0" w:evenVBand="0" w:oddHBand="0" w:evenHBand="0" w:firstRowFirstColumn="0" w:firstRowLastColumn="0" w:lastRowFirstColumn="0" w:lastRowLastColumn="0"/>
              <w:rPr>
                <w:i/>
              </w:rPr>
            </w:pPr>
            <w:r w:rsidRPr="00062696">
              <w:rPr>
                <w:i/>
              </w:rPr>
              <w:t>estimate</w:t>
            </w:r>
          </w:p>
        </w:tc>
        <w:tc>
          <w:tcPr>
            <w:tcW w:w="1162" w:type="dxa"/>
            <w:tcBorders>
              <w:top w:val="nil"/>
              <w:left w:val="nil"/>
              <w:bottom w:val="nil"/>
              <w:right w:val="nil"/>
            </w:tcBorders>
            <w:shd w:val="solid" w:color="000000" w:fill="auto"/>
          </w:tcPr>
          <w:p w:rsidR="00552DFA" w:rsidRPr="00062696" w:rsidRDefault="00552DFA" w:rsidP="00423C3D">
            <w:pPr>
              <w:cnfStyle w:val="000000000000" w:firstRow="0" w:lastRow="0" w:firstColumn="0" w:lastColumn="0" w:oddVBand="0" w:evenVBand="0" w:oddHBand="0" w:evenHBand="0" w:firstRowFirstColumn="0" w:firstRowLastColumn="0" w:lastRowFirstColumn="0" w:lastRowLastColumn="0"/>
              <w:rPr>
                <w:i/>
              </w:rPr>
            </w:pPr>
            <w:r w:rsidRPr="00062696">
              <w:rPr>
                <w:i/>
              </w:rPr>
              <w:t>estimate</w:t>
            </w:r>
          </w:p>
        </w:tc>
      </w:tr>
      <w:tr w:rsidR="00552DFA" w:rsidRPr="00B0752A" w:rsidTr="00423C3D">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tcPr>
          <w:p w:rsidR="00552DFA" w:rsidRPr="00111018" w:rsidRDefault="00552DFA" w:rsidP="00423C3D">
            <w:r w:rsidRPr="00111018">
              <w:t>Real GSP</w:t>
            </w:r>
          </w:p>
        </w:tc>
        <w:tc>
          <w:tcPr>
            <w:tcW w:w="1162" w:type="dxa"/>
            <w:tcBorders>
              <w:top w:val="nil"/>
              <w:left w:val="nil"/>
              <w:bottom w:val="nil"/>
              <w:right w:val="nil"/>
            </w:tcBorders>
          </w:tcPr>
          <w:p w:rsidR="00552DFA" w:rsidRPr="00111018" w:rsidRDefault="00552DFA" w:rsidP="00423C3D">
            <w:pPr>
              <w:cnfStyle w:val="000000000000" w:firstRow="0" w:lastRow="0" w:firstColumn="0" w:lastColumn="0" w:oddVBand="0" w:evenVBand="0" w:oddHBand="0" w:evenHBand="0" w:firstRowFirstColumn="0" w:firstRowLastColumn="0" w:lastRowFirstColumn="0" w:lastRowLastColumn="0"/>
            </w:pPr>
            <w:r w:rsidRPr="00111018">
              <w:t>0.13</w:t>
            </w:r>
          </w:p>
        </w:tc>
        <w:tc>
          <w:tcPr>
            <w:tcW w:w="1162" w:type="dxa"/>
            <w:tcBorders>
              <w:top w:val="nil"/>
              <w:left w:val="nil"/>
              <w:bottom w:val="nil"/>
              <w:right w:val="nil"/>
            </w:tcBorders>
          </w:tcPr>
          <w:p w:rsidR="00552DFA" w:rsidRPr="00111018" w:rsidRDefault="00552DFA" w:rsidP="00423C3D">
            <w:pPr>
              <w:cnfStyle w:val="000000000000" w:firstRow="0" w:lastRow="0" w:firstColumn="0" w:lastColumn="0" w:oddVBand="0" w:evenVBand="0" w:oddHBand="0" w:evenHBand="0" w:firstRowFirstColumn="0" w:firstRowLastColumn="0" w:lastRowFirstColumn="0" w:lastRowLastColumn="0"/>
            </w:pPr>
            <w:r w:rsidRPr="00111018">
              <w:t>0.43</w:t>
            </w:r>
          </w:p>
        </w:tc>
        <w:tc>
          <w:tcPr>
            <w:tcW w:w="1162" w:type="dxa"/>
            <w:tcBorders>
              <w:top w:val="nil"/>
              <w:left w:val="nil"/>
              <w:bottom w:val="nil"/>
              <w:right w:val="nil"/>
            </w:tcBorders>
          </w:tcPr>
          <w:p w:rsidR="00552DFA" w:rsidRPr="00111018" w:rsidRDefault="00552DFA" w:rsidP="00423C3D">
            <w:pPr>
              <w:cnfStyle w:val="000000000000" w:firstRow="0" w:lastRow="0" w:firstColumn="0" w:lastColumn="0" w:oddVBand="0" w:evenVBand="0" w:oddHBand="0" w:evenHBand="0" w:firstRowFirstColumn="0" w:firstRowLastColumn="0" w:lastRowFirstColumn="0" w:lastRowLastColumn="0"/>
            </w:pPr>
            <w:r w:rsidRPr="00111018">
              <w:t>0.87</w:t>
            </w:r>
          </w:p>
        </w:tc>
        <w:tc>
          <w:tcPr>
            <w:tcW w:w="1162" w:type="dxa"/>
            <w:tcBorders>
              <w:top w:val="nil"/>
              <w:left w:val="nil"/>
              <w:bottom w:val="nil"/>
              <w:right w:val="nil"/>
            </w:tcBorders>
          </w:tcPr>
          <w:p w:rsidR="00552DFA" w:rsidRPr="00111018" w:rsidRDefault="00552DFA" w:rsidP="00423C3D">
            <w:pPr>
              <w:cnfStyle w:val="000000000000" w:firstRow="0" w:lastRow="0" w:firstColumn="0" w:lastColumn="0" w:oddVBand="0" w:evenVBand="0" w:oddHBand="0" w:evenHBand="0" w:firstRowFirstColumn="0" w:firstRowLastColumn="0" w:lastRowFirstColumn="0" w:lastRowLastColumn="0"/>
            </w:pPr>
            <w:r w:rsidRPr="00111018">
              <w:t>1.39</w:t>
            </w:r>
          </w:p>
        </w:tc>
      </w:tr>
      <w:tr w:rsidR="00552DFA" w:rsidRPr="00B0752A" w:rsidTr="00423C3D">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tcPr>
          <w:p w:rsidR="00552DFA" w:rsidRPr="00111018" w:rsidRDefault="00552DFA" w:rsidP="00423C3D">
            <w:r w:rsidRPr="00111018">
              <w:t>Employment</w:t>
            </w:r>
          </w:p>
        </w:tc>
        <w:tc>
          <w:tcPr>
            <w:tcW w:w="1162" w:type="dxa"/>
            <w:tcBorders>
              <w:top w:val="nil"/>
              <w:left w:val="nil"/>
              <w:bottom w:val="nil"/>
              <w:right w:val="nil"/>
            </w:tcBorders>
          </w:tcPr>
          <w:p w:rsidR="00552DFA" w:rsidRPr="00111018" w:rsidRDefault="00552DFA" w:rsidP="00423C3D">
            <w:pPr>
              <w:cnfStyle w:val="000000000000" w:firstRow="0" w:lastRow="0" w:firstColumn="0" w:lastColumn="0" w:oddVBand="0" w:evenVBand="0" w:oddHBand="0" w:evenHBand="0" w:firstRowFirstColumn="0" w:firstRowLastColumn="0" w:lastRowFirstColumn="0" w:lastRowLastColumn="0"/>
            </w:pPr>
            <w:r w:rsidRPr="00111018">
              <w:t>0.20</w:t>
            </w:r>
          </w:p>
        </w:tc>
        <w:tc>
          <w:tcPr>
            <w:tcW w:w="1162" w:type="dxa"/>
            <w:tcBorders>
              <w:top w:val="nil"/>
              <w:left w:val="nil"/>
              <w:bottom w:val="nil"/>
              <w:right w:val="nil"/>
            </w:tcBorders>
          </w:tcPr>
          <w:p w:rsidR="00552DFA" w:rsidRPr="00111018" w:rsidRDefault="00552DFA" w:rsidP="00423C3D">
            <w:pPr>
              <w:cnfStyle w:val="000000000000" w:firstRow="0" w:lastRow="0" w:firstColumn="0" w:lastColumn="0" w:oddVBand="0" w:evenVBand="0" w:oddHBand="0" w:evenHBand="0" w:firstRowFirstColumn="0" w:firstRowLastColumn="0" w:lastRowFirstColumn="0" w:lastRowLastColumn="0"/>
            </w:pPr>
            <w:r w:rsidRPr="00111018">
              <w:t>0.65</w:t>
            </w:r>
          </w:p>
        </w:tc>
        <w:tc>
          <w:tcPr>
            <w:tcW w:w="1162" w:type="dxa"/>
            <w:tcBorders>
              <w:top w:val="nil"/>
              <w:left w:val="nil"/>
              <w:bottom w:val="nil"/>
              <w:right w:val="nil"/>
            </w:tcBorders>
          </w:tcPr>
          <w:p w:rsidR="00552DFA" w:rsidRPr="00111018" w:rsidRDefault="00552DFA" w:rsidP="00423C3D">
            <w:pPr>
              <w:cnfStyle w:val="000000000000" w:firstRow="0" w:lastRow="0" w:firstColumn="0" w:lastColumn="0" w:oddVBand="0" w:evenVBand="0" w:oddHBand="0" w:evenHBand="0" w:firstRowFirstColumn="0" w:firstRowLastColumn="0" w:lastRowFirstColumn="0" w:lastRowLastColumn="0"/>
            </w:pPr>
            <w:r w:rsidRPr="00111018">
              <w:t>1.30</w:t>
            </w:r>
          </w:p>
        </w:tc>
        <w:tc>
          <w:tcPr>
            <w:tcW w:w="1162" w:type="dxa"/>
            <w:tcBorders>
              <w:top w:val="nil"/>
              <w:left w:val="nil"/>
              <w:bottom w:val="nil"/>
              <w:right w:val="nil"/>
            </w:tcBorders>
          </w:tcPr>
          <w:p w:rsidR="00552DFA" w:rsidRPr="00111018" w:rsidRDefault="00552DFA" w:rsidP="00423C3D">
            <w:pPr>
              <w:cnfStyle w:val="000000000000" w:firstRow="0" w:lastRow="0" w:firstColumn="0" w:lastColumn="0" w:oddVBand="0" w:evenVBand="0" w:oddHBand="0" w:evenHBand="0" w:firstRowFirstColumn="0" w:firstRowLastColumn="0" w:lastRowFirstColumn="0" w:lastRowLastColumn="0"/>
            </w:pPr>
            <w:r w:rsidRPr="00111018">
              <w:t>2.02</w:t>
            </w:r>
          </w:p>
        </w:tc>
      </w:tr>
      <w:tr w:rsidR="00552DFA" w:rsidRPr="00B0752A" w:rsidTr="00423C3D">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tcPr>
          <w:p w:rsidR="00552DFA" w:rsidRPr="00111018" w:rsidRDefault="00552DFA" w:rsidP="00423C3D">
            <w:r w:rsidRPr="00111018">
              <w:t>Consumer Price Index</w:t>
            </w:r>
          </w:p>
        </w:tc>
        <w:tc>
          <w:tcPr>
            <w:tcW w:w="1162" w:type="dxa"/>
            <w:tcBorders>
              <w:top w:val="nil"/>
              <w:left w:val="nil"/>
              <w:bottom w:val="nil"/>
              <w:right w:val="nil"/>
            </w:tcBorders>
          </w:tcPr>
          <w:p w:rsidR="00552DFA" w:rsidRPr="00111018" w:rsidRDefault="00552DFA" w:rsidP="00423C3D">
            <w:pPr>
              <w:cnfStyle w:val="000000000000" w:firstRow="0" w:lastRow="0" w:firstColumn="0" w:lastColumn="0" w:oddVBand="0" w:evenVBand="0" w:oddHBand="0" w:evenHBand="0" w:firstRowFirstColumn="0" w:firstRowLastColumn="0" w:lastRowFirstColumn="0" w:lastRowLastColumn="0"/>
            </w:pPr>
            <w:r w:rsidRPr="00111018">
              <w:t>(0.05)</w:t>
            </w:r>
          </w:p>
        </w:tc>
        <w:tc>
          <w:tcPr>
            <w:tcW w:w="1162" w:type="dxa"/>
            <w:tcBorders>
              <w:top w:val="nil"/>
              <w:left w:val="nil"/>
              <w:bottom w:val="nil"/>
              <w:right w:val="nil"/>
            </w:tcBorders>
          </w:tcPr>
          <w:p w:rsidR="00552DFA" w:rsidRPr="00111018" w:rsidRDefault="00552DFA" w:rsidP="00423C3D">
            <w:pPr>
              <w:cnfStyle w:val="000000000000" w:firstRow="0" w:lastRow="0" w:firstColumn="0" w:lastColumn="0" w:oddVBand="0" w:evenVBand="0" w:oddHBand="0" w:evenHBand="0" w:firstRowFirstColumn="0" w:firstRowLastColumn="0" w:lastRowFirstColumn="0" w:lastRowLastColumn="0"/>
            </w:pPr>
            <w:r w:rsidRPr="00111018">
              <w:t>(0.16)</w:t>
            </w:r>
          </w:p>
        </w:tc>
        <w:tc>
          <w:tcPr>
            <w:tcW w:w="1162" w:type="dxa"/>
            <w:tcBorders>
              <w:top w:val="nil"/>
              <w:left w:val="nil"/>
              <w:bottom w:val="nil"/>
              <w:right w:val="nil"/>
            </w:tcBorders>
          </w:tcPr>
          <w:p w:rsidR="00552DFA" w:rsidRPr="00111018" w:rsidRDefault="00552DFA" w:rsidP="00423C3D">
            <w:pPr>
              <w:cnfStyle w:val="000000000000" w:firstRow="0" w:lastRow="0" w:firstColumn="0" w:lastColumn="0" w:oddVBand="0" w:evenVBand="0" w:oddHBand="0" w:evenHBand="0" w:firstRowFirstColumn="0" w:firstRowLastColumn="0" w:lastRowFirstColumn="0" w:lastRowLastColumn="0"/>
            </w:pPr>
            <w:r w:rsidRPr="00111018">
              <w:t>(0.31)</w:t>
            </w:r>
          </w:p>
        </w:tc>
        <w:tc>
          <w:tcPr>
            <w:tcW w:w="1162" w:type="dxa"/>
            <w:tcBorders>
              <w:top w:val="nil"/>
              <w:left w:val="nil"/>
              <w:bottom w:val="nil"/>
              <w:right w:val="nil"/>
            </w:tcBorders>
          </w:tcPr>
          <w:p w:rsidR="00552DFA" w:rsidRPr="00111018" w:rsidRDefault="00552DFA" w:rsidP="00423C3D">
            <w:pPr>
              <w:cnfStyle w:val="000000000000" w:firstRow="0" w:lastRow="0" w:firstColumn="0" w:lastColumn="0" w:oddVBand="0" w:evenVBand="0" w:oddHBand="0" w:evenHBand="0" w:firstRowFirstColumn="0" w:firstRowLastColumn="0" w:lastRowFirstColumn="0" w:lastRowLastColumn="0"/>
            </w:pPr>
            <w:r w:rsidRPr="00111018">
              <w:t>(0.48)</w:t>
            </w:r>
          </w:p>
        </w:tc>
      </w:tr>
      <w:tr w:rsidR="00552DFA" w:rsidRPr="00062696" w:rsidTr="00423C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12" w:space="0" w:color="auto"/>
            </w:tcBorders>
          </w:tcPr>
          <w:p w:rsidR="00552DFA" w:rsidRPr="00062696" w:rsidRDefault="00552DFA" w:rsidP="00423C3D">
            <w:pPr>
              <w:rPr>
                <w:b w:val="0"/>
              </w:rPr>
            </w:pPr>
            <w:r w:rsidRPr="00062696">
              <w:rPr>
                <w:b w:val="0"/>
              </w:rPr>
              <w:t>Wage Price Index</w:t>
            </w:r>
          </w:p>
        </w:tc>
        <w:tc>
          <w:tcPr>
            <w:tcW w:w="1162" w:type="dxa"/>
            <w:tcBorders>
              <w:top w:val="nil"/>
              <w:bottom w:val="single" w:sz="12" w:space="0" w:color="auto"/>
            </w:tcBorders>
          </w:tcPr>
          <w:p w:rsidR="00552DFA" w:rsidRPr="00062696" w:rsidRDefault="00552DFA" w:rsidP="00423C3D">
            <w:pPr>
              <w:cnfStyle w:val="010000000000" w:firstRow="0" w:lastRow="1" w:firstColumn="0" w:lastColumn="0" w:oddVBand="0" w:evenVBand="0" w:oddHBand="0" w:evenHBand="0" w:firstRowFirstColumn="0" w:firstRowLastColumn="0" w:lastRowFirstColumn="0" w:lastRowLastColumn="0"/>
              <w:rPr>
                <w:b w:val="0"/>
              </w:rPr>
            </w:pPr>
            <w:r w:rsidRPr="00062696">
              <w:rPr>
                <w:b w:val="0"/>
              </w:rPr>
              <w:t>(0.24)</w:t>
            </w:r>
          </w:p>
        </w:tc>
        <w:tc>
          <w:tcPr>
            <w:tcW w:w="1162" w:type="dxa"/>
            <w:tcBorders>
              <w:top w:val="nil"/>
              <w:bottom w:val="single" w:sz="12" w:space="0" w:color="auto"/>
            </w:tcBorders>
          </w:tcPr>
          <w:p w:rsidR="00552DFA" w:rsidRPr="00062696" w:rsidRDefault="00552DFA" w:rsidP="00423C3D">
            <w:pPr>
              <w:cnfStyle w:val="010000000000" w:firstRow="0" w:lastRow="1" w:firstColumn="0" w:lastColumn="0" w:oddVBand="0" w:evenVBand="0" w:oddHBand="0" w:evenHBand="0" w:firstRowFirstColumn="0" w:firstRowLastColumn="0" w:lastRowFirstColumn="0" w:lastRowLastColumn="0"/>
              <w:rPr>
                <w:b w:val="0"/>
              </w:rPr>
            </w:pPr>
            <w:r w:rsidRPr="00062696">
              <w:rPr>
                <w:b w:val="0"/>
              </w:rPr>
              <w:t>(0.75)</w:t>
            </w:r>
          </w:p>
        </w:tc>
        <w:tc>
          <w:tcPr>
            <w:tcW w:w="1162" w:type="dxa"/>
            <w:tcBorders>
              <w:top w:val="nil"/>
              <w:bottom w:val="single" w:sz="12" w:space="0" w:color="auto"/>
            </w:tcBorders>
          </w:tcPr>
          <w:p w:rsidR="00552DFA" w:rsidRPr="00062696" w:rsidRDefault="00552DFA" w:rsidP="00423C3D">
            <w:pPr>
              <w:cnfStyle w:val="010000000000" w:firstRow="0" w:lastRow="1" w:firstColumn="0" w:lastColumn="0" w:oddVBand="0" w:evenVBand="0" w:oddHBand="0" w:evenHBand="0" w:firstRowFirstColumn="0" w:firstRowLastColumn="0" w:lastRowFirstColumn="0" w:lastRowLastColumn="0"/>
              <w:rPr>
                <w:b w:val="0"/>
              </w:rPr>
            </w:pPr>
            <w:r w:rsidRPr="00062696">
              <w:rPr>
                <w:b w:val="0"/>
              </w:rPr>
              <w:t>(1.43)</w:t>
            </w:r>
          </w:p>
        </w:tc>
        <w:tc>
          <w:tcPr>
            <w:tcW w:w="1162" w:type="dxa"/>
            <w:tcBorders>
              <w:top w:val="nil"/>
              <w:bottom w:val="single" w:sz="12" w:space="0" w:color="auto"/>
            </w:tcBorders>
          </w:tcPr>
          <w:p w:rsidR="00552DFA" w:rsidRPr="00062696" w:rsidRDefault="00552DFA" w:rsidP="00423C3D">
            <w:pPr>
              <w:cnfStyle w:val="010000000000" w:firstRow="0" w:lastRow="1" w:firstColumn="0" w:lastColumn="0" w:oddVBand="0" w:evenVBand="0" w:oddHBand="0" w:evenHBand="0" w:firstRowFirstColumn="0" w:firstRowLastColumn="0" w:lastRowFirstColumn="0" w:lastRowLastColumn="0"/>
              <w:rPr>
                <w:b w:val="0"/>
              </w:rPr>
            </w:pPr>
            <w:r w:rsidRPr="00062696">
              <w:rPr>
                <w:b w:val="0"/>
              </w:rPr>
              <w:t>(2.16)</w:t>
            </w:r>
          </w:p>
        </w:tc>
      </w:tr>
    </w:tbl>
    <w:p w:rsidR="00552DFA" w:rsidRDefault="00552DFA" w:rsidP="00423C3D">
      <w:pPr>
        <w:pStyle w:val="Source"/>
        <w:ind w:left="340" w:hanging="340"/>
      </w:pPr>
      <w:r>
        <w:t xml:space="preserve">Note: </w:t>
      </w:r>
      <w:r>
        <w:tab/>
        <w:t>Figures reported are the change in the level of each parameter relative to the baseline of no change in the economic outlook, for each year of the budget. Source: Centre of Policy Studies, Victoria University.</w:t>
      </w:r>
    </w:p>
    <w:p w:rsidR="00D46C60" w:rsidRPr="00D46C60" w:rsidRDefault="00D46C60" w:rsidP="00D46C60">
      <w:pPr>
        <w:pStyle w:val="Note"/>
      </w:pPr>
    </w:p>
    <w:p w:rsidR="00552DFA" w:rsidRDefault="00552DFA" w:rsidP="00D52A5D">
      <w:pPr>
        <w:spacing w:before="140"/>
      </w:pPr>
      <w:r>
        <w:t>Table A.7 summarises the projected fiscal impact of higher population and labour force participation. Similar to the population increase only scenario, land transfer duty and GST</w:t>
      </w:r>
      <w:r w:rsidR="00356A95">
        <w:fldChar w:fldCharType="begin"/>
      </w:r>
      <w:r w:rsidR="00356A95">
        <w:instrText xml:space="preserve"> XE "Taxation:Goods and services tax" </w:instrText>
      </w:r>
      <w:r w:rsidR="00356A95">
        <w:fldChar w:fldCharType="end"/>
      </w:r>
      <w:r>
        <w:t xml:space="preserve"> revenue increase. The increase in land transfer duty reflects higher housing demand. The effect on employment is even more pronounced as a result of more people entering the labour force than in the population only scenario, and revenue from payroll tax increases by more. Income tax equivalents (ITEs) for the State also rise, reflecting additional revenue from </w:t>
      </w:r>
      <w:proofErr w:type="spellStart"/>
      <w:r>
        <w:t>WorkSafe</w:t>
      </w:r>
      <w:proofErr w:type="spellEnd"/>
      <w:r>
        <w:t xml:space="preserve"> Victoria in line with stronger employment growth.</w:t>
      </w:r>
    </w:p>
    <w:p w:rsidR="00552DFA" w:rsidRDefault="00552DFA" w:rsidP="00423C3D">
      <w:r>
        <w:lastRenderedPageBreak/>
        <w:t>Lower growth in wages and lower inflation help to mitigate rising expenses associated with additional demand for public services. They also lower superannuation expenses, other operating expenses, and borrowing costs over the next four years. Higher population generates more revenue from grants (excluding GST</w:t>
      </w:r>
      <w:r w:rsidR="00356A95">
        <w:fldChar w:fldCharType="begin"/>
      </w:r>
      <w:r w:rsidR="00356A95">
        <w:instrText xml:space="preserve"> XE "Taxation:Goods and services tax" </w:instrText>
      </w:r>
      <w:r w:rsidR="00356A95">
        <w:fldChar w:fldCharType="end"/>
      </w:r>
      <w:r>
        <w:t xml:space="preserve"> revenue), although this is partly offset by the effects of lower inflation. Overall, the larger increase in income relative to expenses from transactions supports the net result and leads to a fall in net debt. </w:t>
      </w:r>
    </w:p>
    <w:p w:rsidR="00552DFA" w:rsidRPr="00842B22" w:rsidRDefault="00552DFA" w:rsidP="00423C3D">
      <w:pPr>
        <w:pStyle w:val="TableHeading"/>
      </w:pPr>
      <w:r>
        <w:t>Table A.7:</w:t>
      </w:r>
      <w:r>
        <w:tab/>
        <w:t xml:space="preserve">Projected fiscal impact of higher population and </w:t>
      </w:r>
      <w:r>
        <w:br/>
        <w:t>labour force participation</w:t>
      </w:r>
      <w:r>
        <w:tab/>
      </w:r>
      <w:r w:rsidRPr="000742BB">
        <w:t>($</w:t>
      </w:r>
      <w:r>
        <w:t> </w:t>
      </w:r>
      <w:r w:rsidRPr="001578E9">
        <w:t>m</w:t>
      </w:r>
      <w:r>
        <w:t>illion</w:t>
      </w:r>
      <w:r w:rsidRPr="000742BB">
        <w:t>)</w:t>
      </w:r>
    </w:p>
    <w:tbl>
      <w:tblPr>
        <w:tblStyle w:val="DTFTable"/>
        <w:tblW w:w="7767" w:type="dxa"/>
        <w:tblInd w:w="45" w:type="dxa"/>
        <w:tblLayout w:type="fixed"/>
        <w:tblCellMar>
          <w:left w:w="45" w:type="dxa"/>
          <w:right w:w="45" w:type="dxa"/>
        </w:tblCellMar>
        <w:tblLook w:val="06E0" w:firstRow="1" w:lastRow="1" w:firstColumn="1" w:lastColumn="0" w:noHBand="1" w:noVBand="1"/>
      </w:tblPr>
      <w:tblGrid>
        <w:gridCol w:w="3215"/>
        <w:gridCol w:w="1138"/>
        <w:gridCol w:w="1138"/>
        <w:gridCol w:w="1138"/>
        <w:gridCol w:w="1138"/>
      </w:tblGrid>
      <w:tr w:rsidR="00552DFA" w:rsidRPr="00842B22" w:rsidTr="00423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jc w:val="right"/>
              <w:rPr>
                <w:rFonts w:eastAsiaTheme="minorEastAsia" w:cs="Calibri"/>
                <w:iCs/>
                <w:color w:val="000000"/>
                <w:szCs w:val="20"/>
                <w:lang w:eastAsia="en-AU"/>
              </w:rPr>
            </w:pPr>
            <w:r w:rsidRPr="00842B22">
              <w:rPr>
                <w:rFonts w:eastAsiaTheme="minorEastAsia" w:cs="Calibri"/>
                <w:iCs/>
                <w:color w:val="000000"/>
                <w:szCs w:val="20"/>
                <w:lang w:eastAsia="en-AU"/>
              </w:rPr>
              <w:t xml:space="preserve"> </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42B22">
              <w:rPr>
                <w:rFonts w:eastAsiaTheme="minorEastAsia" w:cs="Calibri"/>
                <w:iCs/>
                <w:color w:val="FFFFFF"/>
                <w:szCs w:val="20"/>
                <w:lang w:eastAsia="en-AU"/>
              </w:rPr>
              <w:t>2017</w:t>
            </w:r>
            <w:r>
              <w:rPr>
                <w:rFonts w:eastAsiaTheme="minorEastAsia" w:cs="Calibri"/>
                <w:iCs/>
                <w:color w:val="FFFFFF"/>
                <w:szCs w:val="20"/>
                <w:lang w:eastAsia="en-AU"/>
              </w:rPr>
              <w:noBreakHyphen/>
            </w:r>
            <w:r w:rsidRPr="00842B22">
              <w:rPr>
                <w:rFonts w:eastAsiaTheme="minorEastAsia" w:cs="Calibri"/>
                <w:iCs/>
                <w:color w:val="FFFFFF"/>
                <w:szCs w:val="20"/>
                <w:lang w:eastAsia="en-AU"/>
              </w:rPr>
              <w:t xml:space="preserve">18 </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42B22">
              <w:rPr>
                <w:rFonts w:eastAsiaTheme="minorEastAsia" w:cs="Calibri"/>
                <w:iCs/>
                <w:color w:val="FFFFFF"/>
                <w:szCs w:val="20"/>
                <w:lang w:eastAsia="en-AU"/>
              </w:rPr>
              <w:t>2018</w:t>
            </w:r>
            <w:r>
              <w:rPr>
                <w:rFonts w:eastAsiaTheme="minorEastAsia" w:cs="Calibri"/>
                <w:iCs/>
                <w:color w:val="FFFFFF"/>
                <w:szCs w:val="20"/>
                <w:lang w:eastAsia="en-AU"/>
              </w:rPr>
              <w:noBreakHyphen/>
            </w:r>
            <w:r w:rsidRPr="00842B22">
              <w:rPr>
                <w:rFonts w:eastAsiaTheme="minorEastAsia" w:cs="Calibri"/>
                <w:iCs/>
                <w:color w:val="FFFFFF"/>
                <w:szCs w:val="20"/>
                <w:lang w:eastAsia="en-AU"/>
              </w:rPr>
              <w:t xml:space="preserve">19 </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42B22">
              <w:rPr>
                <w:rFonts w:eastAsiaTheme="minorEastAsia" w:cs="Calibri"/>
                <w:iCs/>
                <w:color w:val="FFFFFF"/>
                <w:szCs w:val="20"/>
                <w:lang w:eastAsia="en-AU"/>
              </w:rPr>
              <w:t>2019</w:t>
            </w:r>
            <w:r>
              <w:rPr>
                <w:rFonts w:eastAsiaTheme="minorEastAsia" w:cs="Calibri"/>
                <w:iCs/>
                <w:color w:val="FFFFFF"/>
                <w:szCs w:val="20"/>
                <w:lang w:eastAsia="en-AU"/>
              </w:rPr>
              <w:noBreakHyphen/>
            </w:r>
            <w:r w:rsidRPr="00842B22">
              <w:rPr>
                <w:rFonts w:eastAsiaTheme="minorEastAsia" w:cs="Calibri"/>
                <w:iCs/>
                <w:color w:val="FFFFFF"/>
                <w:szCs w:val="20"/>
                <w:lang w:eastAsia="en-AU"/>
              </w:rPr>
              <w:t>20</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42B22">
              <w:rPr>
                <w:rFonts w:eastAsiaTheme="minorEastAsia" w:cs="Calibri"/>
                <w:iCs/>
                <w:color w:val="FFFFFF"/>
                <w:szCs w:val="20"/>
                <w:lang w:eastAsia="en-AU"/>
              </w:rPr>
              <w:t>2020</w:t>
            </w:r>
            <w:r>
              <w:rPr>
                <w:rFonts w:eastAsiaTheme="minorEastAsia" w:cs="Calibri"/>
                <w:iCs/>
                <w:color w:val="FFFFFF"/>
                <w:szCs w:val="20"/>
                <w:lang w:eastAsia="en-AU"/>
              </w:rPr>
              <w:noBreakHyphen/>
            </w:r>
            <w:r w:rsidRPr="00842B22">
              <w:rPr>
                <w:rFonts w:eastAsiaTheme="minorEastAsia" w:cs="Calibri"/>
                <w:iCs/>
                <w:color w:val="FFFFFF"/>
                <w:szCs w:val="20"/>
                <w:lang w:eastAsia="en-AU"/>
              </w:rPr>
              <w:t xml:space="preserve">21 </w:t>
            </w:r>
          </w:p>
        </w:tc>
      </w:tr>
      <w:tr w:rsidR="00552DFA" w:rsidRPr="00842B22" w:rsidTr="00423C3D">
        <w:tc>
          <w:tcPr>
            <w:cnfStyle w:val="001000000000" w:firstRow="0" w:lastRow="0" w:firstColumn="1" w:lastColumn="0" w:oddVBand="0" w:evenVBand="0" w:oddHBand="0" w:evenHBand="0" w:firstRowFirstColumn="0" w:firstRowLastColumn="0" w:lastRowFirstColumn="0" w:lastRowLastColumn="0"/>
            <w:tcW w:w="2916"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jc w:val="right"/>
              <w:rPr>
                <w:rFonts w:eastAsiaTheme="minorEastAsia" w:cs="Calibri"/>
                <w:i/>
                <w:iCs/>
                <w:color w:val="000000"/>
                <w:szCs w:val="20"/>
                <w:lang w:eastAsia="en-AU"/>
              </w:rPr>
            </w:pPr>
            <w:r w:rsidRPr="00842B22">
              <w:rPr>
                <w:rFonts w:eastAsiaTheme="minorEastAsia" w:cs="Calibri"/>
                <w:i/>
                <w:iCs/>
                <w:color w:val="000000"/>
                <w:szCs w:val="20"/>
                <w:lang w:eastAsia="en-AU"/>
              </w:rPr>
              <w:t xml:space="preserve"> </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842B22">
              <w:rPr>
                <w:rFonts w:eastAsiaTheme="minorEastAsia" w:cs="Calibri"/>
                <w:i/>
                <w:iCs/>
                <w:color w:val="FFFFFF"/>
                <w:szCs w:val="20"/>
                <w:lang w:eastAsia="en-AU"/>
              </w:rPr>
              <w:t>estimate</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842B22">
              <w:rPr>
                <w:rFonts w:eastAsiaTheme="minorEastAsia" w:cs="Calibri"/>
                <w:i/>
                <w:iCs/>
                <w:color w:val="FFFFFF"/>
                <w:szCs w:val="20"/>
                <w:lang w:eastAsia="en-AU"/>
              </w:rPr>
              <w:t>estimate</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842B22">
              <w:rPr>
                <w:rFonts w:eastAsiaTheme="minorEastAsia" w:cs="Calibri"/>
                <w:i/>
                <w:iCs/>
                <w:color w:val="FFFFFF"/>
                <w:szCs w:val="20"/>
                <w:lang w:eastAsia="en-AU"/>
              </w:rPr>
              <w:t xml:space="preserve"> estimate</w:t>
            </w:r>
          </w:p>
        </w:tc>
        <w:tc>
          <w:tcPr>
            <w:tcW w:w="1032" w:type="dxa"/>
            <w:tcBorders>
              <w:top w:val="nil"/>
              <w:left w:val="nil"/>
              <w:bottom w:val="nil"/>
              <w:right w:val="nil"/>
            </w:tcBorders>
            <w:shd w:val="solid" w:color="000000" w:fill="auto"/>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842B22">
              <w:rPr>
                <w:rFonts w:eastAsiaTheme="minorEastAsia" w:cs="Calibri"/>
                <w:i/>
                <w:iCs/>
                <w:color w:val="FFFFFF"/>
                <w:szCs w:val="20"/>
                <w:lang w:eastAsia="en-AU"/>
              </w:rPr>
              <w:t>estimate</w:t>
            </w:r>
          </w:p>
        </w:tc>
      </w:tr>
      <w:tr w:rsidR="00552DFA" w:rsidRPr="00842B22" w:rsidTr="00423C3D">
        <w:tc>
          <w:tcPr>
            <w:cnfStyle w:val="001000000000" w:firstRow="0" w:lastRow="0" w:firstColumn="1" w:lastColumn="0" w:oddVBand="0" w:evenVBand="0" w:oddHBand="0" w:evenHBand="0" w:firstRowFirstColumn="0" w:firstRowLastColumn="0" w:lastRowFirstColumn="0" w:lastRowLastColumn="0"/>
            <w:tcW w:w="2916" w:type="dxa"/>
            <w:tcBorders>
              <w:top w:val="single" w:sz="6" w:space="0" w:color="auto"/>
              <w:left w:val="nil"/>
              <w:bottom w:val="nil"/>
              <w:right w:val="nil"/>
            </w:tcBorders>
          </w:tcPr>
          <w:p w:rsidR="00552DFA" w:rsidRPr="00842B22" w:rsidRDefault="00552DFA" w:rsidP="00423C3D">
            <w:pPr>
              <w:keepLines w:val="0"/>
              <w:autoSpaceDE w:val="0"/>
              <w:autoSpaceDN w:val="0"/>
              <w:adjustRightInd w:val="0"/>
              <w:rPr>
                <w:rFonts w:eastAsiaTheme="minorEastAsia" w:cs="Calibri"/>
                <w:color w:val="000000"/>
                <w:szCs w:val="20"/>
                <w:lang w:eastAsia="en-AU"/>
              </w:rPr>
            </w:pPr>
            <w:r w:rsidRPr="00842B22">
              <w:rPr>
                <w:rFonts w:eastAsiaTheme="minorEastAsia" w:cs="Calibri"/>
                <w:color w:val="000000"/>
                <w:szCs w:val="20"/>
                <w:lang w:eastAsia="en-AU"/>
              </w:rPr>
              <w:t>Income from transactions</w:t>
            </w:r>
          </w:p>
        </w:tc>
        <w:tc>
          <w:tcPr>
            <w:tcW w:w="1032" w:type="dxa"/>
            <w:tcBorders>
              <w:top w:val="single" w:sz="6" w:space="0" w:color="auto"/>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41.5</w:t>
            </w:r>
          </w:p>
        </w:tc>
        <w:tc>
          <w:tcPr>
            <w:tcW w:w="1032" w:type="dxa"/>
            <w:tcBorders>
              <w:top w:val="single" w:sz="6" w:space="0" w:color="auto"/>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93.2</w:t>
            </w:r>
          </w:p>
        </w:tc>
        <w:tc>
          <w:tcPr>
            <w:tcW w:w="1032" w:type="dxa"/>
            <w:tcBorders>
              <w:top w:val="single" w:sz="6" w:space="0" w:color="auto"/>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216.4</w:t>
            </w:r>
          </w:p>
        </w:tc>
        <w:tc>
          <w:tcPr>
            <w:tcW w:w="1032" w:type="dxa"/>
            <w:tcBorders>
              <w:top w:val="single" w:sz="6" w:space="0" w:color="auto"/>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427.2</w:t>
            </w:r>
          </w:p>
        </w:tc>
      </w:tr>
      <w:tr w:rsidR="00552DFA" w:rsidRPr="00842B22" w:rsidTr="00423C3D">
        <w:tc>
          <w:tcPr>
            <w:cnfStyle w:val="001000000000" w:firstRow="0" w:lastRow="0" w:firstColumn="1" w:lastColumn="0" w:oddVBand="0" w:evenVBand="0" w:oddHBand="0" w:evenHBand="0" w:firstRowFirstColumn="0" w:firstRowLastColumn="0" w:lastRowFirstColumn="0" w:lastRowLastColumn="0"/>
            <w:tcW w:w="2916" w:type="dxa"/>
            <w:tcBorders>
              <w:top w:val="nil"/>
              <w:left w:val="nil"/>
              <w:bottom w:val="nil"/>
              <w:right w:val="nil"/>
            </w:tcBorders>
          </w:tcPr>
          <w:p w:rsidR="00552DFA" w:rsidRPr="00842B22" w:rsidRDefault="00552DFA" w:rsidP="00423C3D">
            <w:pPr>
              <w:keepLines w:val="0"/>
              <w:autoSpaceDE w:val="0"/>
              <w:autoSpaceDN w:val="0"/>
              <w:adjustRightInd w:val="0"/>
              <w:rPr>
                <w:rFonts w:eastAsiaTheme="minorEastAsia" w:cs="Calibri"/>
                <w:color w:val="000000"/>
                <w:szCs w:val="20"/>
                <w:lang w:eastAsia="en-AU"/>
              </w:rPr>
            </w:pPr>
            <w:r w:rsidRPr="00842B22">
              <w:rPr>
                <w:rFonts w:eastAsiaTheme="minorEastAsia" w:cs="Calibri"/>
                <w:color w:val="000000"/>
                <w:szCs w:val="20"/>
                <w:lang w:eastAsia="en-AU"/>
              </w:rPr>
              <w:t>Expenses from transactions</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44.4</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64.8</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10.7</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(22.4)</w:t>
            </w:r>
          </w:p>
        </w:tc>
      </w:tr>
      <w:tr w:rsidR="00552DFA" w:rsidRPr="00842B22" w:rsidTr="00423C3D">
        <w:tc>
          <w:tcPr>
            <w:cnfStyle w:val="001000000000" w:firstRow="0" w:lastRow="0" w:firstColumn="1" w:lastColumn="0" w:oddVBand="0" w:evenVBand="0" w:oddHBand="0" w:evenHBand="0" w:firstRowFirstColumn="0" w:firstRowLastColumn="0" w:lastRowFirstColumn="0" w:lastRowLastColumn="0"/>
            <w:tcW w:w="2916"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rPr>
                <w:rFonts w:eastAsiaTheme="minorEastAsia" w:cs="Calibri"/>
                <w:b/>
                <w:bCs/>
                <w:color w:val="000000"/>
                <w:szCs w:val="20"/>
                <w:lang w:eastAsia="en-AU"/>
              </w:rPr>
            </w:pPr>
            <w:r w:rsidRPr="00842B22">
              <w:rPr>
                <w:rFonts w:eastAsiaTheme="minorEastAsia" w:cs="Calibri"/>
                <w:b/>
                <w:bCs/>
                <w:color w:val="000000"/>
                <w:szCs w:val="20"/>
                <w:lang w:eastAsia="en-AU"/>
              </w:rPr>
              <w:t>Net result from transactions</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842B22">
              <w:rPr>
                <w:rFonts w:eastAsiaTheme="minorEastAsia" w:cs="Calibri"/>
                <w:b/>
                <w:bCs/>
                <w:color w:val="000000"/>
                <w:szCs w:val="20"/>
                <w:lang w:eastAsia="en-AU"/>
              </w:rPr>
              <w:t>(3.0</w:t>
            </w:r>
            <w:r w:rsidRPr="00842B22">
              <w:t>)</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28.4</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205.7</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449.6</w:t>
            </w:r>
          </w:p>
        </w:tc>
      </w:tr>
      <w:tr w:rsidR="00552DFA" w:rsidRPr="00842B22" w:rsidTr="00423C3D">
        <w:tc>
          <w:tcPr>
            <w:cnfStyle w:val="001000000000" w:firstRow="0" w:lastRow="0" w:firstColumn="1" w:lastColumn="0" w:oddVBand="0" w:evenVBand="0" w:oddHBand="0" w:evenHBand="0" w:firstRowFirstColumn="0" w:firstRowLastColumn="0" w:lastRowFirstColumn="0" w:lastRowLastColumn="0"/>
            <w:tcW w:w="2916" w:type="dxa"/>
            <w:tcBorders>
              <w:top w:val="nil"/>
              <w:left w:val="nil"/>
              <w:bottom w:val="nil"/>
              <w:right w:val="nil"/>
            </w:tcBorders>
          </w:tcPr>
          <w:p w:rsidR="00552DFA" w:rsidRPr="00842B22" w:rsidRDefault="00552DFA" w:rsidP="00423C3D">
            <w:pPr>
              <w:keepLines w:val="0"/>
              <w:autoSpaceDE w:val="0"/>
              <w:autoSpaceDN w:val="0"/>
              <w:adjustRightInd w:val="0"/>
              <w:rPr>
                <w:rFonts w:eastAsiaTheme="minorEastAsia" w:cs="Calibri"/>
                <w:color w:val="000000"/>
                <w:szCs w:val="20"/>
                <w:lang w:eastAsia="en-AU"/>
              </w:rPr>
            </w:pPr>
            <w:r w:rsidRPr="00842B22">
              <w:rPr>
                <w:rFonts w:eastAsiaTheme="minorEastAsia" w:cs="Calibri"/>
                <w:color w:val="000000"/>
                <w:szCs w:val="20"/>
                <w:lang w:eastAsia="en-AU"/>
              </w:rPr>
              <w:t>Other economic flows</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0.1</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0.1</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0.4</w:t>
            </w:r>
          </w:p>
        </w:tc>
        <w:tc>
          <w:tcPr>
            <w:tcW w:w="1032" w:type="dxa"/>
            <w:tcBorders>
              <w:top w:val="nil"/>
              <w:left w:val="nil"/>
              <w:bottom w:val="nil"/>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42B22">
              <w:rPr>
                <w:rFonts w:eastAsiaTheme="minorEastAsia" w:cs="Calibri"/>
                <w:color w:val="000000"/>
                <w:szCs w:val="20"/>
                <w:lang w:eastAsia="en-AU"/>
              </w:rPr>
              <w:t>0.6</w:t>
            </w:r>
          </w:p>
        </w:tc>
      </w:tr>
      <w:tr w:rsidR="00552DFA" w:rsidRPr="00842B22" w:rsidTr="00423C3D">
        <w:tc>
          <w:tcPr>
            <w:cnfStyle w:val="001000000000" w:firstRow="0" w:lastRow="0" w:firstColumn="1" w:lastColumn="0" w:oddVBand="0" w:evenVBand="0" w:oddHBand="0" w:evenHBand="0" w:firstRowFirstColumn="0" w:firstRowLastColumn="0" w:lastRowFirstColumn="0" w:lastRowLastColumn="0"/>
            <w:tcW w:w="2916"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rPr>
                <w:rFonts w:eastAsiaTheme="minorEastAsia" w:cs="Calibri"/>
                <w:b/>
                <w:bCs/>
                <w:color w:val="000000"/>
                <w:szCs w:val="20"/>
                <w:lang w:eastAsia="en-AU"/>
              </w:rPr>
            </w:pPr>
            <w:r w:rsidRPr="00842B22">
              <w:rPr>
                <w:rFonts w:eastAsiaTheme="minorEastAsia" w:cs="Calibri"/>
                <w:b/>
                <w:bCs/>
                <w:color w:val="000000"/>
                <w:szCs w:val="20"/>
                <w:lang w:eastAsia="en-AU"/>
              </w:rPr>
              <w:t>Net result</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842B22">
              <w:rPr>
                <w:rFonts w:eastAsiaTheme="minorEastAsia" w:cs="Calibri"/>
                <w:b/>
                <w:bCs/>
                <w:color w:val="000000"/>
                <w:szCs w:val="20"/>
                <w:lang w:eastAsia="en-AU"/>
              </w:rPr>
              <w:t>(2.9</w:t>
            </w:r>
            <w:r w:rsidRPr="00842B22">
              <w:t>)</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28.5</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206.1</w:t>
            </w:r>
          </w:p>
        </w:tc>
        <w:tc>
          <w:tcPr>
            <w:tcW w:w="1032" w:type="dxa"/>
            <w:tcBorders>
              <w:top w:val="single" w:sz="6" w:space="0" w:color="auto"/>
              <w:left w:val="nil"/>
              <w:bottom w:val="single" w:sz="6" w:space="0" w:color="auto"/>
              <w:right w:val="nil"/>
            </w:tcBorders>
          </w:tcPr>
          <w:p w:rsidR="00552DFA" w:rsidRPr="00842B22" w:rsidRDefault="00552DFA" w:rsidP="00423C3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42B22">
              <w:rPr>
                <w:rFonts w:eastAsiaTheme="minorEastAsia" w:cs="Calibri"/>
                <w:b/>
                <w:bCs/>
                <w:color w:val="000000"/>
                <w:szCs w:val="20"/>
                <w:lang w:eastAsia="en-AU"/>
              </w:rPr>
              <w:t>450.2</w:t>
            </w:r>
          </w:p>
        </w:tc>
      </w:tr>
      <w:tr w:rsidR="00552DFA" w:rsidRPr="00842B22" w:rsidTr="00423C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dxa"/>
            <w:tcBorders>
              <w:top w:val="nil"/>
              <w:bottom w:val="single" w:sz="12" w:space="0" w:color="auto"/>
            </w:tcBorders>
          </w:tcPr>
          <w:p w:rsidR="00552DFA" w:rsidRPr="00842B22" w:rsidRDefault="00552DFA" w:rsidP="00423C3D">
            <w:pPr>
              <w:keepLines w:val="0"/>
              <w:autoSpaceDE w:val="0"/>
              <w:autoSpaceDN w:val="0"/>
              <w:adjustRightInd w:val="0"/>
              <w:rPr>
                <w:rFonts w:eastAsiaTheme="minorEastAsia" w:cs="Calibri"/>
                <w:bCs/>
                <w:color w:val="000000"/>
                <w:szCs w:val="20"/>
                <w:lang w:eastAsia="en-AU"/>
              </w:rPr>
            </w:pPr>
            <w:r w:rsidRPr="00842B22">
              <w:rPr>
                <w:rFonts w:eastAsiaTheme="minorEastAsia" w:cs="Calibri"/>
                <w:bCs/>
                <w:color w:val="000000"/>
                <w:szCs w:val="20"/>
                <w:lang w:eastAsia="en-AU"/>
              </w:rPr>
              <w:t>Net debt</w:t>
            </w:r>
            <w:r w:rsidR="00356A95">
              <w:rPr>
                <w:rFonts w:eastAsiaTheme="minorEastAsia" w:cs="Calibri"/>
                <w:bCs/>
                <w:color w:val="000000"/>
                <w:szCs w:val="20"/>
                <w:lang w:eastAsia="en-AU"/>
              </w:rPr>
              <w:fldChar w:fldCharType="begin"/>
            </w:r>
            <w:r w:rsidR="00356A95">
              <w:rPr>
                <w:rFonts w:eastAsiaTheme="minorEastAsia" w:cs="Calibri"/>
                <w:bCs/>
                <w:color w:val="000000"/>
                <w:szCs w:val="20"/>
                <w:lang w:eastAsia="en-AU"/>
              </w:rPr>
              <w:instrText xml:space="preserve"> XE "</w:instrText>
            </w:r>
            <w:r w:rsidR="00356A95">
              <w:instrText>Debt:Net debt"</w:instrText>
            </w:r>
            <w:r w:rsidR="00356A95">
              <w:rPr>
                <w:rFonts w:eastAsiaTheme="minorEastAsia" w:cs="Calibri"/>
                <w:bCs/>
                <w:color w:val="000000"/>
                <w:szCs w:val="20"/>
                <w:lang w:eastAsia="en-AU"/>
              </w:rPr>
              <w:instrText xml:space="preserve"> </w:instrText>
            </w:r>
            <w:r w:rsidR="00356A95">
              <w:rPr>
                <w:rFonts w:eastAsiaTheme="minorEastAsia" w:cs="Calibri"/>
                <w:bCs/>
                <w:color w:val="000000"/>
                <w:szCs w:val="20"/>
                <w:lang w:eastAsia="en-AU"/>
              </w:rPr>
              <w:fldChar w:fldCharType="end"/>
            </w:r>
            <w:r w:rsidRPr="00842B22">
              <w:rPr>
                <w:rFonts w:eastAsiaTheme="minorEastAsia" w:cs="Calibri"/>
                <w:bCs/>
                <w:color w:val="000000"/>
                <w:szCs w:val="20"/>
                <w:lang w:eastAsia="en-AU"/>
              </w:rPr>
              <w:t xml:space="preserve"> (cumulative)</w:t>
            </w:r>
          </w:p>
        </w:tc>
        <w:tc>
          <w:tcPr>
            <w:tcW w:w="1032" w:type="dxa"/>
            <w:tcBorders>
              <w:top w:val="nil"/>
              <w:bottom w:val="single" w:sz="12" w:space="0" w:color="auto"/>
            </w:tcBorders>
          </w:tcPr>
          <w:p w:rsidR="00552DFA" w:rsidRPr="00842B2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42B22">
              <w:rPr>
                <w:rFonts w:eastAsiaTheme="minorEastAsia" w:cs="Calibri"/>
                <w:bCs/>
                <w:color w:val="000000"/>
                <w:szCs w:val="20"/>
                <w:lang w:eastAsia="en-AU"/>
              </w:rPr>
              <w:t>2.3</w:t>
            </w:r>
          </w:p>
        </w:tc>
        <w:tc>
          <w:tcPr>
            <w:tcW w:w="1032" w:type="dxa"/>
            <w:tcBorders>
              <w:top w:val="nil"/>
              <w:bottom w:val="single" w:sz="12" w:space="0" w:color="auto"/>
            </w:tcBorders>
          </w:tcPr>
          <w:p w:rsidR="00552DFA" w:rsidRPr="00842B2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42B22">
              <w:rPr>
                <w:rFonts w:eastAsiaTheme="minorEastAsia" w:cs="Calibri"/>
                <w:bCs/>
                <w:color w:val="000000"/>
                <w:szCs w:val="20"/>
                <w:lang w:eastAsia="en-AU"/>
              </w:rPr>
              <w:t>(27.3)</w:t>
            </w:r>
          </w:p>
        </w:tc>
        <w:tc>
          <w:tcPr>
            <w:tcW w:w="1032" w:type="dxa"/>
            <w:tcBorders>
              <w:top w:val="nil"/>
              <w:bottom w:val="single" w:sz="12" w:space="0" w:color="auto"/>
            </w:tcBorders>
          </w:tcPr>
          <w:p w:rsidR="00552DFA" w:rsidRPr="00842B2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42B22">
              <w:rPr>
                <w:rFonts w:eastAsiaTheme="minorEastAsia" w:cs="Calibri"/>
                <w:bCs/>
                <w:color w:val="000000"/>
                <w:szCs w:val="20"/>
                <w:lang w:eastAsia="en-AU"/>
              </w:rPr>
              <w:t>(237.4)</w:t>
            </w:r>
          </w:p>
        </w:tc>
        <w:tc>
          <w:tcPr>
            <w:tcW w:w="1032" w:type="dxa"/>
            <w:tcBorders>
              <w:top w:val="nil"/>
              <w:bottom w:val="single" w:sz="12" w:space="0" w:color="auto"/>
            </w:tcBorders>
          </w:tcPr>
          <w:p w:rsidR="00552DFA" w:rsidRPr="00842B22" w:rsidRDefault="00552DFA" w:rsidP="00423C3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42B22">
              <w:rPr>
                <w:rFonts w:eastAsiaTheme="minorEastAsia" w:cs="Calibri"/>
                <w:bCs/>
                <w:color w:val="000000"/>
                <w:szCs w:val="20"/>
                <w:lang w:eastAsia="en-AU"/>
              </w:rPr>
              <w:t>(696.1)</w:t>
            </w:r>
          </w:p>
        </w:tc>
      </w:tr>
    </w:tbl>
    <w:p w:rsidR="00552DFA" w:rsidRPr="00855761" w:rsidRDefault="00552DFA" w:rsidP="00423C3D">
      <w:pPr>
        <w:pStyle w:val="Source"/>
        <w:spacing w:after="0"/>
      </w:pPr>
      <w:r>
        <w:t xml:space="preserve">Source: Department of Treasury and Finance </w:t>
      </w:r>
    </w:p>
    <w:p w:rsidR="00552DFA" w:rsidRDefault="00552DFA">
      <w:pPr>
        <w:keepLines w:val="0"/>
        <w:rPr>
          <w:rFonts w:asciiTheme="majorHAnsi" w:hAnsiTheme="majorHAnsi"/>
          <w:i/>
          <w:spacing w:val="-2"/>
          <w:sz w:val="14"/>
        </w:rPr>
      </w:pPr>
    </w:p>
    <w:p w:rsidR="00552DFA" w:rsidRPr="00522472" w:rsidRDefault="00552DFA" w:rsidP="00423C3D">
      <w:pPr>
        <w:pStyle w:val="ObjectiveHeading"/>
        <w:tabs>
          <w:tab w:val="left" w:pos="993"/>
        </w:tabs>
        <w:rPr>
          <w:sz w:val="20"/>
        </w:rPr>
      </w:pPr>
      <w:r w:rsidRPr="00522472">
        <w:rPr>
          <w:sz w:val="20"/>
        </w:rPr>
        <w:t xml:space="preserve">Box A.1: </w:t>
      </w:r>
      <w:r w:rsidRPr="00522472">
        <w:rPr>
          <w:sz w:val="20"/>
        </w:rPr>
        <w:tab/>
        <w:t>A new method for quantifying economic scenarios</w:t>
      </w:r>
    </w:p>
    <w:p w:rsidR="00552DFA" w:rsidRDefault="00552DFA" w:rsidP="00423C3D">
      <w:pPr>
        <w:pStyle w:val="HighlightBoxText"/>
      </w:pPr>
      <w:r>
        <w:t xml:space="preserve">Previous sensitivity analysis focused on independent changes in major economic parameters and historical forecasting experience. In the </w:t>
      </w:r>
      <w:r w:rsidRPr="00AC37DE">
        <w:rPr>
          <w:i/>
        </w:rPr>
        <w:t>2017</w:t>
      </w:r>
      <w:r>
        <w:rPr>
          <w:i/>
        </w:rPr>
        <w:noBreakHyphen/>
      </w:r>
      <w:r w:rsidRPr="00AC37DE">
        <w:rPr>
          <w:i/>
        </w:rPr>
        <w:t>18 Budget</w:t>
      </w:r>
      <w:r>
        <w:t xml:space="preserve"> a new methodology has been adopted to identify, quantitatively, the effects of some of the key risks to the economic outlook.</w:t>
      </w:r>
      <w:r>
        <w:rPr>
          <w:rStyle w:val="FootnoteReference"/>
        </w:rPr>
        <w:footnoteReference w:id="9"/>
      </w:r>
      <w:r>
        <w:t xml:space="preserve"> This is to better understand the effects of potential changes in the economic outlook, and how the budget may be sensitive to different economic shocks or scenarios.</w:t>
      </w:r>
    </w:p>
    <w:p w:rsidR="00552DFA" w:rsidRDefault="00552DFA" w:rsidP="00423C3D">
      <w:pPr>
        <w:pStyle w:val="HighlightBoxText"/>
      </w:pPr>
      <w:r>
        <w:t>Importantly, a range of modelling and technical assumptions are required to quantify each scenario, map that scenario into changes in economic parameters, and then into a fiscal impact. Changes to the modelling approach, assumptions or the methodology and data used to map the scenarios into a fiscal impact would all generate variations in the results. The relationships between economic and fiscal aggregates are complex, depend on the specific characteristics of any given scenario, and modelling and technical assumptions may only partially capture important economic effects. Care should be exercised in interpreting the results.</w:t>
      </w:r>
    </w:p>
    <w:p w:rsidR="00552DFA" w:rsidRDefault="00552DFA" w:rsidP="00423C3D">
      <w:pPr>
        <w:pStyle w:val="HighlightBoxText"/>
      </w:pPr>
      <w:r>
        <w:t>The methodology is undertaken in three stages. First, material risks to the economic outlook are identified and quantified. Second, the quantified risks (economic shocks) are mapped into changes in state</w:t>
      </w:r>
      <w:r>
        <w:noBreakHyphen/>
        <w:t xml:space="preserve">level economic parameters using a dynamic computable general equilibrium model. Third, the effects of changes in economic parameters on major revenue and expenditure lines are calculated using </w:t>
      </w:r>
      <w:proofErr w:type="spellStart"/>
      <w:r>
        <w:t>elasticities</w:t>
      </w:r>
      <w:proofErr w:type="spellEnd"/>
      <w:r>
        <w:t xml:space="preserve"> that underlie the fiscal impacts reported in Table A.1. </w:t>
      </w:r>
    </w:p>
    <w:p w:rsidR="00552DFA" w:rsidRDefault="00552DFA" w:rsidP="00423C3D">
      <w:pPr>
        <w:pStyle w:val="HighlightBoxText"/>
      </w:pPr>
      <w:r>
        <w:lastRenderedPageBreak/>
        <w:t xml:space="preserve">For the </w:t>
      </w:r>
      <w:r w:rsidRPr="00522472">
        <w:rPr>
          <w:i/>
        </w:rPr>
        <w:t>2017</w:t>
      </w:r>
      <w:r>
        <w:rPr>
          <w:i/>
        </w:rPr>
        <w:noBreakHyphen/>
      </w:r>
      <w:r w:rsidRPr="00522472">
        <w:rPr>
          <w:i/>
        </w:rPr>
        <w:t>18 Budget</w:t>
      </w:r>
      <w:r>
        <w:t xml:space="preserve"> the first risk identified is a 10 percentage point increase in the trade costs of goods in the US, China and the EU. This risk is designed to capture a reversal of trade liberalisation policies and is similar to an average increase in tariffs to bound tariff rates last observed in 2001 (OECD).</w:t>
      </w:r>
    </w:p>
    <w:p w:rsidR="00552DFA" w:rsidRDefault="00552DFA" w:rsidP="00423C3D">
      <w:pPr>
        <w:pStyle w:val="HighlightBoxText"/>
      </w:pPr>
      <w:r>
        <w:t xml:space="preserve">The second risk is a higher than forecast rate of population growth. Victoria has experienced higher than anticipated net interstate and overseas migration in recent years and there is a risk that this experience will continue in the future, particularly if economic conditions in other states do not rebound as quickly as envisaged. Population flows have important effects on budget aggregates. </w:t>
      </w:r>
    </w:p>
    <w:p w:rsidR="00552DFA" w:rsidRDefault="00552DFA" w:rsidP="00423C3D">
      <w:pPr>
        <w:pStyle w:val="HighlightBoxText"/>
      </w:pPr>
      <w:r>
        <w:t>The third risk identified is a higher than forecast rate of labour force participation, maintaining the assumption of high population growth. Labour force participation</w:t>
      </w:r>
      <w:r w:rsidR="00356A95">
        <w:fldChar w:fldCharType="begin"/>
      </w:r>
      <w:r w:rsidR="00356A95">
        <w:instrText xml:space="preserve"> XE "Labour force participation" </w:instrText>
      </w:r>
      <w:r w:rsidR="00356A95">
        <w:fldChar w:fldCharType="end"/>
      </w:r>
      <w:r>
        <w:t xml:space="preserve"> has been under</w:t>
      </w:r>
      <w:r>
        <w:noBreakHyphen/>
        <w:t>predicted in recent years. There is a risk that the forecast tapering in the participation rate does not materialise and that it remains high.</w:t>
      </w:r>
      <w:r>
        <w:rPr>
          <w:rStyle w:val="FootnoteReference"/>
        </w:rPr>
        <w:footnoteReference w:id="10"/>
      </w:r>
      <w:r>
        <w:t xml:space="preserve"> </w:t>
      </w:r>
    </w:p>
    <w:p w:rsidR="00552DFA" w:rsidRPr="001E0293" w:rsidRDefault="00552DFA" w:rsidP="00423C3D">
      <w:pPr>
        <w:pStyle w:val="HighlightBoxText"/>
      </w:pPr>
      <w:r>
        <w:t>The second stage of the sensitivity analysis is to map each scenario into changes in state</w:t>
      </w:r>
      <w:r>
        <w:noBreakHyphen/>
        <w:t>level economic parameters. This is undertaken in conjunction with the Centre of Policy Studies, using the dynamic computable general equilibrium model VURM (Victoria University’s Regional Model). VURM is a dynamic economic model of Australia’s six states and two territories. It models each region as an economy in its own right. For example, the model contains region</w:t>
      </w:r>
      <w:r>
        <w:noBreakHyphen/>
        <w:t>specific prices, consumers and industries.</w:t>
      </w:r>
      <w:r>
        <w:rPr>
          <w:rStyle w:val="FootnoteReference"/>
        </w:rPr>
        <w:footnoteReference w:id="11"/>
      </w:r>
    </w:p>
    <w:p w:rsidR="00552DFA" w:rsidRDefault="00552DFA" w:rsidP="00423C3D">
      <w:pPr>
        <w:pStyle w:val="HighlightBoxText"/>
      </w:pPr>
      <w:r>
        <w:t xml:space="preserve">With changes in economic parameters in response to each shock identified, the third stage is to map changes in the parameters into changes in revenue and expenditure. This is undertaken using the </w:t>
      </w:r>
      <w:proofErr w:type="spellStart"/>
      <w:r>
        <w:t>elasticities</w:t>
      </w:r>
      <w:proofErr w:type="spellEnd"/>
      <w:r>
        <w:t xml:space="preserve"> that underpin Table A.1. With changes in multiple economic parameters at the same time, the effects are cumulated for major revenue and expenditure items (i.e. reflecting the sum product of all the partial equilibrium </w:t>
      </w:r>
      <w:proofErr w:type="spellStart"/>
      <w:r>
        <w:t>elasticities</w:t>
      </w:r>
      <w:proofErr w:type="spellEnd"/>
      <w:r>
        <w:t xml:space="preserve"> multiplied by the corresponding variations in economic parameters). This approach can be thought of as a log</w:t>
      </w:r>
      <w:r>
        <w:noBreakHyphen/>
        <w:t>linear approximation of the overall quantitative impact, and as mentioned above should be treated as indicative.</w:t>
      </w:r>
      <w:r>
        <w:rPr>
          <w:rStyle w:val="FootnoteReference"/>
        </w:rPr>
        <w:footnoteReference w:id="12"/>
      </w:r>
    </w:p>
    <w:p w:rsidR="00552DFA" w:rsidRDefault="00552DFA">
      <w:pPr>
        <w:keepLines w:val="0"/>
      </w:pPr>
    </w:p>
    <w:p w:rsidR="00777A12" w:rsidRDefault="00777A12">
      <w:pPr>
        <w:keepLines w:val="0"/>
      </w:pPr>
      <w:r>
        <w:br w:type="page"/>
      </w:r>
    </w:p>
    <w:p w:rsidR="00552DFA" w:rsidRDefault="00552DFA" w:rsidP="00627E95"/>
    <w:p w:rsidR="00552DFA" w:rsidRDefault="00552DFA" w:rsidP="00627E95"/>
    <w:p w:rsidR="00552DFA" w:rsidRDefault="00552DFA" w:rsidP="00627E95">
      <w:pPr>
        <w:sectPr w:rsidR="00552DFA" w:rsidSect="008E76F5">
          <w:footerReference w:type="even" r:id="rId52"/>
          <w:footerReference w:type="default" r:id="rId53"/>
          <w:type w:val="oddPage"/>
          <w:pgSz w:w="9979" w:h="14175" w:code="34"/>
          <w:pgMar w:top="1138" w:right="1138" w:bottom="1138" w:left="1138" w:header="619" w:footer="562" w:gutter="0"/>
          <w:cols w:sep="1" w:space="567"/>
          <w:docGrid w:linePitch="360"/>
        </w:sectPr>
      </w:pPr>
    </w:p>
    <w:p w:rsidR="00552DFA" w:rsidRDefault="00552DFA" w:rsidP="000C43CD">
      <w:pPr>
        <w:pStyle w:val="Chapterheading"/>
      </w:pPr>
      <w:bookmarkStart w:id="63" w:name="_Toc481160584"/>
      <w:bookmarkStart w:id="64" w:name="_Toc481246489"/>
      <w:r>
        <w:lastRenderedPageBreak/>
        <w:t>Style conventions</w:t>
      </w:r>
      <w:bookmarkEnd w:id="63"/>
      <w:bookmarkEnd w:id="64"/>
    </w:p>
    <w:p w:rsidR="00552DFA" w:rsidRPr="0009665B" w:rsidRDefault="00552DFA" w:rsidP="00423C3D">
      <w:r w:rsidRPr="0009665B">
        <w:t>Figures in the tables and in the text have been rounded. Discrepancies in tables between totals and sums of components reflect rounding. Percentage changes in all tables are based on the underlying unrounded amounts.</w:t>
      </w:r>
    </w:p>
    <w:p w:rsidR="00552DFA" w:rsidRPr="0009665B" w:rsidRDefault="00552DFA" w:rsidP="00423C3D">
      <w:r w:rsidRPr="0009665B">
        <w:t>The notation used in the tables and charts is as follows:</w:t>
      </w:r>
    </w:p>
    <w:p w:rsidR="00552DFA" w:rsidRPr="0009665B" w:rsidRDefault="00552DFA" w:rsidP="00423C3D">
      <w:pPr>
        <w:ind w:left="2520" w:hanging="1800"/>
      </w:pPr>
      <w:proofErr w:type="spellStart"/>
      <w:r w:rsidRPr="0009665B">
        <w:t>n.a</w:t>
      </w:r>
      <w:proofErr w:type="spellEnd"/>
      <w:r w:rsidRPr="0009665B">
        <w:t xml:space="preserve">. or </w:t>
      </w:r>
      <w:proofErr w:type="spellStart"/>
      <w:r w:rsidRPr="0009665B">
        <w:t>na</w:t>
      </w:r>
      <w:proofErr w:type="spellEnd"/>
      <w:r w:rsidRPr="0009665B">
        <w:tab/>
        <w:t>not available or not applicable</w:t>
      </w:r>
    </w:p>
    <w:p w:rsidR="00552DFA" w:rsidRPr="0009665B" w:rsidRDefault="00552DFA" w:rsidP="00423C3D">
      <w:pPr>
        <w:ind w:left="2520" w:hanging="1800"/>
      </w:pPr>
      <w:r w:rsidRPr="0009665B">
        <w:t>1</w:t>
      </w:r>
      <w:r>
        <w:t> billion</w:t>
      </w:r>
      <w:r w:rsidRPr="0009665B">
        <w:tab/>
        <w:t>1 000</w:t>
      </w:r>
      <w:r>
        <w:t> million</w:t>
      </w:r>
    </w:p>
    <w:p w:rsidR="00552DFA" w:rsidRPr="0009665B" w:rsidRDefault="00552DFA" w:rsidP="00423C3D">
      <w:pPr>
        <w:ind w:left="2520" w:hanging="1800"/>
      </w:pPr>
      <w:r w:rsidRPr="0009665B">
        <w:t>1 basis point</w:t>
      </w:r>
      <w:r w:rsidRPr="0009665B">
        <w:tab/>
        <w:t>0.01</w:t>
      </w:r>
      <w:r>
        <w:t> per cent</w:t>
      </w:r>
    </w:p>
    <w:p w:rsidR="00552DFA" w:rsidRPr="0009665B" w:rsidRDefault="00552DFA" w:rsidP="00423C3D">
      <w:pPr>
        <w:ind w:left="2520" w:hanging="1800"/>
      </w:pPr>
      <w:r w:rsidRPr="0009665B">
        <w:t>..</w:t>
      </w:r>
      <w:r w:rsidRPr="0009665B">
        <w:tab/>
        <w:t>zero, or rounded to zero</w:t>
      </w:r>
    </w:p>
    <w:p w:rsidR="00552DFA" w:rsidRPr="0009665B" w:rsidRDefault="00552DFA" w:rsidP="00423C3D">
      <w:pPr>
        <w:ind w:left="2520" w:hanging="1800"/>
      </w:pPr>
      <w:r w:rsidRPr="0009665B">
        <w:t>tb</w:t>
      </w:r>
      <w:r>
        <w:t>c</w:t>
      </w:r>
      <w:r w:rsidRPr="0009665B">
        <w:tab/>
        <w:t xml:space="preserve">to be </w:t>
      </w:r>
      <w:r>
        <w:t>confirmed</w:t>
      </w:r>
    </w:p>
    <w:p w:rsidR="00552DFA" w:rsidRPr="0009665B" w:rsidRDefault="00552DFA" w:rsidP="00423C3D">
      <w:pPr>
        <w:ind w:left="2520" w:hanging="1800"/>
      </w:pPr>
      <w:r w:rsidRPr="0009665B">
        <w:t>ongoing</w:t>
      </w:r>
      <w:r w:rsidRPr="0009665B">
        <w:tab/>
        <w:t>continuing output, program, project etc.</w:t>
      </w:r>
    </w:p>
    <w:p w:rsidR="00552DFA" w:rsidRDefault="00552DFA" w:rsidP="00423C3D">
      <w:pPr>
        <w:ind w:left="2520" w:hanging="1800"/>
      </w:pPr>
      <w:r w:rsidRPr="0009665B">
        <w:t>(</w:t>
      </w:r>
      <w:r>
        <w:t xml:space="preserve">x </w:t>
      </w:r>
      <w:proofErr w:type="spellStart"/>
      <w:r w:rsidRPr="0009665B">
        <w:t>xxx.x</w:t>
      </w:r>
      <w:proofErr w:type="spellEnd"/>
      <w:r w:rsidRPr="0009665B">
        <w:t>)</w:t>
      </w:r>
      <w:r w:rsidRPr="0009665B">
        <w:tab/>
        <w:t xml:space="preserve">negative </w:t>
      </w:r>
      <w:r>
        <w:t>amount</w:t>
      </w:r>
    </w:p>
    <w:p w:rsidR="00552DFA" w:rsidRDefault="00552DFA" w:rsidP="00423C3D">
      <w:pPr>
        <w:ind w:left="2520" w:hanging="1800"/>
      </w:pPr>
      <w:r>
        <w:t>x xxx.0</w:t>
      </w:r>
      <w:r>
        <w:tab/>
        <w:t>rounded amount</w:t>
      </w:r>
    </w:p>
    <w:p w:rsidR="00552DFA" w:rsidRPr="0009665B" w:rsidRDefault="00552DFA" w:rsidP="00423C3D">
      <w:pPr>
        <w:ind w:left="2520" w:hanging="1800"/>
      </w:pPr>
    </w:p>
    <w:p w:rsidR="00552DFA" w:rsidRDefault="00552DFA" w:rsidP="00423C3D"/>
    <w:p w:rsidR="00552DFA" w:rsidRPr="00C47FE8" w:rsidRDefault="00552DFA" w:rsidP="00423C3D">
      <w:pPr>
        <w:rPr>
          <w:color w:val="000000" w:themeColor="text1"/>
        </w:rPr>
      </w:pPr>
      <w:r w:rsidRPr="00C47FE8">
        <w:rPr>
          <w:color w:val="000000" w:themeColor="text1"/>
        </w:rPr>
        <w:t xml:space="preserve">Please refer to the </w:t>
      </w:r>
      <w:r w:rsidRPr="00C47FE8">
        <w:rPr>
          <w:b/>
          <w:color w:val="000000" w:themeColor="text1"/>
        </w:rPr>
        <w:t xml:space="preserve">Treasury and Finance glossary for budget and financial reports </w:t>
      </w:r>
      <w:r w:rsidRPr="00C47FE8">
        <w:rPr>
          <w:b/>
          <w:color w:val="000000" w:themeColor="text1"/>
        </w:rPr>
        <w:br/>
      </w:r>
      <w:r w:rsidRPr="00C47FE8">
        <w:rPr>
          <w:color w:val="000000" w:themeColor="text1"/>
        </w:rPr>
        <w:t xml:space="preserve">at </w:t>
      </w:r>
      <w:r w:rsidRPr="008F606B">
        <w:t>dtf.vic.gov.au</w:t>
      </w:r>
      <w:r w:rsidRPr="00C47FE8">
        <w:rPr>
          <w:color w:val="000000" w:themeColor="text1"/>
        </w:rPr>
        <w:t xml:space="preserve"> for additional terms and references.</w:t>
      </w:r>
    </w:p>
    <w:p w:rsidR="00552DFA" w:rsidRDefault="00CA6811" w:rsidP="00CA6811">
      <w:pPr>
        <w:keepLines w:val="0"/>
      </w:pPr>
      <w:r>
        <w:br w:type="page"/>
      </w:r>
    </w:p>
    <w:p w:rsidR="00552DFA" w:rsidRDefault="00760B4D">
      <w:pPr>
        <w:keepLines w:val="0"/>
        <w:rPr>
          <w:rFonts w:ascii="Calibri" w:hAnsi="Calibri"/>
          <w:b/>
          <w:caps/>
          <w:sz w:val="36"/>
        </w:rPr>
      </w:pPr>
      <w:r w:rsidRPr="007B2462">
        <w:lastRenderedPageBreak/>
        <w:fldChar w:fldCharType="begin"/>
      </w:r>
      <w:r w:rsidRPr="007B2462">
        <w:instrText xml:space="preserve"> XE "</w:instrText>
      </w:r>
      <w:r>
        <w:instrText>Consumer price index</w:instrText>
      </w:r>
      <w:r w:rsidRPr="007B2462">
        <w:instrText>" \t "</w:instrText>
      </w:r>
      <w:r w:rsidRPr="007B2462">
        <w:rPr>
          <w:i/>
        </w:rPr>
        <w:instrText xml:space="preserve">See </w:instrText>
      </w:r>
      <w:r>
        <w:instrText>Inflation</w:instrText>
      </w:r>
      <w:r w:rsidRPr="007B2462">
        <w:instrText xml:space="preserve">" </w:instrText>
      </w:r>
      <w:r w:rsidRPr="007B2462">
        <w:fldChar w:fldCharType="end"/>
      </w:r>
      <w:r w:rsidRPr="007B2462">
        <w:fldChar w:fldCharType="begin"/>
      </w:r>
      <w:r w:rsidRPr="007B2462">
        <w:instrText xml:space="preserve"> XE "</w:instrText>
      </w:r>
      <w:r>
        <w:instrText>Economic growth</w:instrText>
      </w:r>
      <w:r w:rsidRPr="007B2462">
        <w:instrText>" \t "</w:instrText>
      </w:r>
      <w:r w:rsidRPr="007B2462">
        <w:rPr>
          <w:i/>
        </w:rPr>
        <w:instrText>See</w:instrText>
      </w:r>
      <w:r>
        <w:rPr>
          <w:i/>
        </w:rPr>
        <w:instrText> also </w:instrText>
      </w:r>
      <w:r>
        <w:instrText>Risks</w:instrText>
      </w:r>
      <w:r w:rsidRPr="007B2462">
        <w:instrText xml:space="preserve">" </w:instrText>
      </w:r>
      <w:r w:rsidRPr="007B2462">
        <w:fldChar w:fldCharType="end"/>
      </w:r>
      <w:r w:rsidRPr="007B2462">
        <w:fldChar w:fldCharType="begin"/>
      </w:r>
      <w:r w:rsidRPr="007B2462">
        <w:instrText xml:space="preserve"> XE "General government net debt" \t "</w:instrText>
      </w:r>
      <w:r w:rsidRPr="007B2462">
        <w:rPr>
          <w:i/>
        </w:rPr>
        <w:instrText xml:space="preserve">See </w:instrText>
      </w:r>
      <w:r w:rsidRPr="007B2462">
        <w:instrText xml:space="preserve">Debt" </w:instrText>
      </w:r>
      <w:r w:rsidRPr="007B2462">
        <w:fldChar w:fldCharType="end"/>
      </w:r>
      <w:r w:rsidRPr="007B2462">
        <w:fldChar w:fldCharType="begin"/>
      </w:r>
      <w:r w:rsidRPr="007B2462">
        <w:instrText xml:space="preserve"> XE "</w:instrText>
      </w:r>
      <w:r>
        <w:instrText>Gross state product</w:instrText>
      </w:r>
      <w:r w:rsidRPr="007B2462">
        <w:instrText>" \t "</w:instrText>
      </w:r>
      <w:r w:rsidRPr="007B2462">
        <w:rPr>
          <w:i/>
        </w:rPr>
        <w:instrText>See</w:instrText>
      </w:r>
      <w:r>
        <w:rPr>
          <w:i/>
        </w:rPr>
        <w:instrText xml:space="preserve"> also</w:instrText>
      </w:r>
      <w:r w:rsidRPr="007B2462">
        <w:rPr>
          <w:i/>
        </w:rPr>
        <w:instrText xml:space="preserve"> </w:instrText>
      </w:r>
      <w:r>
        <w:instrText>Economic growth</w:instrText>
      </w:r>
      <w:r w:rsidRPr="007B2462">
        <w:instrText xml:space="preserve">" </w:instrText>
      </w:r>
      <w:r w:rsidRPr="007B2462">
        <w:fldChar w:fldCharType="end"/>
      </w:r>
      <w:r w:rsidRPr="007B2462">
        <w:fldChar w:fldCharType="begin"/>
      </w:r>
      <w:r w:rsidRPr="007B2462">
        <w:instrText xml:space="preserve"> XE "Net debt" \t "</w:instrText>
      </w:r>
      <w:r w:rsidRPr="007B2462">
        <w:rPr>
          <w:i/>
        </w:rPr>
        <w:instrText xml:space="preserve">See </w:instrText>
      </w:r>
      <w:r w:rsidRPr="007B2462">
        <w:instrText xml:space="preserve">Debt" </w:instrText>
      </w:r>
      <w:r w:rsidRPr="007B2462">
        <w:fldChar w:fldCharType="end"/>
      </w:r>
      <w:r w:rsidRPr="007B2462">
        <w:fldChar w:fldCharType="begin"/>
      </w:r>
      <w:r w:rsidRPr="007B2462">
        <w:instrText xml:space="preserve"> XE "</w:instrText>
      </w:r>
      <w:r>
        <w:instrText>Non</w:instrText>
      </w:r>
      <w:r>
        <w:noBreakHyphen/>
        <w:instrText>financial public sector</w:instrText>
      </w:r>
      <w:r w:rsidRPr="007B2462">
        <w:instrText>" \t "</w:instrText>
      </w:r>
      <w:r w:rsidRPr="007B2462">
        <w:rPr>
          <w:i/>
        </w:rPr>
        <w:instrText>See</w:instrText>
      </w:r>
      <w:r>
        <w:rPr>
          <w:i/>
        </w:rPr>
        <w:instrText> also </w:instrText>
      </w:r>
      <w:r w:rsidRPr="007B2462">
        <w:instrText xml:space="preserve">Debt" </w:instrText>
      </w:r>
      <w:r w:rsidRPr="007B2462">
        <w:fldChar w:fldCharType="end"/>
      </w:r>
      <w:r w:rsidRPr="007B2462">
        <w:fldChar w:fldCharType="begin"/>
      </w:r>
      <w:r w:rsidRPr="007B2462">
        <w:instrText xml:space="preserve"> XE "</w:instrText>
      </w:r>
      <w:r>
        <w:instrText>Royal Commission into Family Violence</w:instrText>
      </w:r>
      <w:r w:rsidRPr="007B2462">
        <w:instrText>" \t "</w:instrText>
      </w:r>
      <w:r w:rsidRPr="007B2462">
        <w:rPr>
          <w:i/>
        </w:rPr>
        <w:instrText xml:space="preserve">See </w:instrText>
      </w:r>
      <w:r>
        <w:instrText>Family Violence</w:instrText>
      </w:r>
      <w:r w:rsidRPr="007B2462">
        <w:instrText xml:space="preserve">" </w:instrText>
      </w:r>
      <w:r w:rsidRPr="007B2462">
        <w:fldChar w:fldCharType="end"/>
      </w:r>
      <w:r w:rsidRPr="007B2462">
        <w:fldChar w:fldCharType="begin"/>
      </w:r>
      <w:r w:rsidRPr="007B2462">
        <w:instrText xml:space="preserve"> XE "Surplus" \t "</w:instrText>
      </w:r>
      <w:r w:rsidRPr="007B2462">
        <w:rPr>
          <w:i/>
        </w:rPr>
        <w:instrText xml:space="preserve">See </w:instrText>
      </w:r>
      <w:r w:rsidRPr="007B2462">
        <w:instrText xml:space="preserve">Operating surplus" </w:instrText>
      </w:r>
      <w:r w:rsidRPr="007B2462">
        <w:fldChar w:fldCharType="end"/>
      </w:r>
      <w:r w:rsidRPr="007B2462">
        <w:fldChar w:fldCharType="begin"/>
      </w:r>
      <w:r w:rsidRPr="007B2462">
        <w:instrText xml:space="preserve"> XE "</w:instrText>
      </w:r>
      <w:r>
        <w:instrText>Payroll tax</w:instrText>
      </w:r>
      <w:r w:rsidRPr="007B2462">
        <w:instrText>" \t "</w:instrText>
      </w:r>
      <w:r w:rsidRPr="007B2462">
        <w:rPr>
          <w:i/>
        </w:rPr>
        <w:instrText xml:space="preserve">See </w:instrText>
      </w:r>
      <w:r>
        <w:instrText>Taxation</w:instrText>
      </w:r>
      <w:r w:rsidRPr="007B2462">
        <w:instrText xml:space="preserve">" </w:instrText>
      </w:r>
      <w:r w:rsidRPr="007B2462">
        <w:fldChar w:fldCharType="end"/>
      </w:r>
    </w:p>
    <w:p w:rsidR="00CA6811" w:rsidRDefault="00CA6811" w:rsidP="00E14B35">
      <w:pPr>
        <w:pStyle w:val="Chapterheading"/>
        <w:sectPr w:rsidR="00CA6811" w:rsidSect="00777A12">
          <w:headerReference w:type="even" r:id="rId54"/>
          <w:headerReference w:type="default" r:id="rId55"/>
          <w:footerReference w:type="even" r:id="rId56"/>
          <w:footerReference w:type="default" r:id="rId57"/>
          <w:headerReference w:type="first" r:id="rId58"/>
          <w:footerReference w:type="first" r:id="rId59"/>
          <w:type w:val="oddPage"/>
          <w:pgSz w:w="9979" w:h="14175" w:code="34"/>
          <w:pgMar w:top="1138" w:right="1138" w:bottom="1138" w:left="1138" w:header="619" w:footer="562" w:gutter="0"/>
          <w:cols w:sep="1" w:space="567"/>
          <w:docGrid w:linePitch="360"/>
        </w:sectPr>
      </w:pPr>
    </w:p>
    <w:p w:rsidR="00552DFA" w:rsidRPr="002C7C53" w:rsidRDefault="00552DFA" w:rsidP="002C7C53">
      <w:pPr>
        <w:pStyle w:val="Chapterheading"/>
      </w:pPr>
      <w:bookmarkStart w:id="65" w:name="_Toc481246490"/>
      <w:r w:rsidRPr="002C7C53">
        <w:lastRenderedPageBreak/>
        <w:t>Index</w:t>
      </w:r>
      <w:bookmarkEnd w:id="65"/>
    </w:p>
    <w:p w:rsidR="004A1298" w:rsidRDefault="00356A95" w:rsidP="00CD3AC2">
      <w:pPr>
        <w:pStyle w:val="IndexHeading"/>
        <w:rPr>
          <w:noProof/>
        </w:rPr>
        <w:sectPr w:rsidR="004A1298" w:rsidSect="004A1298">
          <w:footerReference w:type="even" r:id="rId60"/>
          <w:footerReference w:type="default" r:id="rId61"/>
          <w:type w:val="oddPage"/>
          <w:pgSz w:w="9979" w:h="14175" w:code="34"/>
          <w:pgMar w:top="1138" w:right="1138" w:bottom="1138" w:left="1138" w:header="619" w:footer="562" w:gutter="0"/>
          <w:cols w:sep="1" w:space="567"/>
          <w:docGrid w:linePitch="360"/>
        </w:sectPr>
      </w:pPr>
      <w:r>
        <w:fldChar w:fldCharType="begin"/>
      </w:r>
      <w:r>
        <w:instrText xml:space="preserve"> INDEX \h "A" \c "2" \z "3081" </w:instrText>
      </w:r>
      <w:r>
        <w:fldChar w:fldCharType="separate"/>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lastRenderedPageBreak/>
        <w:t>A</w:t>
      </w:r>
    </w:p>
    <w:p w:rsidR="004A1298" w:rsidRDefault="004A1298">
      <w:pPr>
        <w:pStyle w:val="Index1"/>
        <w:tabs>
          <w:tab w:val="clear" w:pos="3485"/>
          <w:tab w:val="right" w:leader="dot" w:pos="3481"/>
        </w:tabs>
        <w:rPr>
          <w:noProof/>
        </w:rPr>
      </w:pPr>
      <w:r>
        <w:rPr>
          <w:noProof/>
        </w:rPr>
        <w:t>Aboriginal and Torres Strait Islander Victorians, 2, 11, 12, 18, 21</w:t>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t>B</w:t>
      </w:r>
    </w:p>
    <w:p w:rsidR="004A1298" w:rsidRDefault="004A1298">
      <w:pPr>
        <w:pStyle w:val="Index1"/>
        <w:tabs>
          <w:tab w:val="clear" w:pos="3485"/>
          <w:tab w:val="right" w:leader="dot" w:pos="3481"/>
        </w:tabs>
        <w:rPr>
          <w:noProof/>
        </w:rPr>
      </w:pPr>
      <w:r>
        <w:rPr>
          <w:noProof/>
        </w:rPr>
        <w:t>Ballarat GovHub, 15</w:t>
      </w:r>
    </w:p>
    <w:p w:rsidR="004A1298" w:rsidRDefault="004A1298">
      <w:pPr>
        <w:pStyle w:val="Index1"/>
        <w:tabs>
          <w:tab w:val="clear" w:pos="3485"/>
          <w:tab w:val="right" w:leader="dot" w:pos="3481"/>
        </w:tabs>
        <w:rPr>
          <w:noProof/>
        </w:rPr>
      </w:pPr>
      <w:r>
        <w:rPr>
          <w:noProof/>
        </w:rPr>
        <w:t>Biosecurity, 15</w:t>
      </w:r>
    </w:p>
    <w:p w:rsidR="004A1298" w:rsidRDefault="004A1298">
      <w:pPr>
        <w:pStyle w:val="Index1"/>
        <w:tabs>
          <w:tab w:val="clear" w:pos="3485"/>
          <w:tab w:val="right" w:leader="dot" w:pos="3481"/>
        </w:tabs>
        <w:rPr>
          <w:noProof/>
        </w:rPr>
      </w:pPr>
      <w:r>
        <w:rPr>
          <w:noProof/>
        </w:rPr>
        <w:t>Business investment, 27</w:t>
      </w:r>
    </w:p>
    <w:p w:rsidR="004A1298" w:rsidRDefault="004A1298">
      <w:pPr>
        <w:pStyle w:val="Index1"/>
        <w:tabs>
          <w:tab w:val="clear" w:pos="3485"/>
          <w:tab w:val="right" w:leader="dot" w:pos="3481"/>
        </w:tabs>
        <w:rPr>
          <w:noProof/>
        </w:rPr>
      </w:pPr>
      <w:r>
        <w:rPr>
          <w:noProof/>
        </w:rPr>
        <w:t>Business sentiment, 3</w:t>
      </w:r>
    </w:p>
    <w:p w:rsidR="004A1298" w:rsidRDefault="004A1298">
      <w:pPr>
        <w:pStyle w:val="Index1"/>
        <w:tabs>
          <w:tab w:val="clear" w:pos="3485"/>
          <w:tab w:val="right" w:leader="dot" w:pos="3481"/>
        </w:tabs>
        <w:rPr>
          <w:noProof/>
        </w:rPr>
      </w:pPr>
      <w:r>
        <w:rPr>
          <w:noProof/>
        </w:rPr>
        <w:t>Buy Assist, 19</w:t>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t>C</w:t>
      </w:r>
    </w:p>
    <w:p w:rsidR="004A1298" w:rsidRDefault="004A1298">
      <w:pPr>
        <w:pStyle w:val="Index1"/>
        <w:tabs>
          <w:tab w:val="clear" w:pos="3485"/>
          <w:tab w:val="right" w:leader="dot" w:pos="3481"/>
        </w:tabs>
        <w:rPr>
          <w:noProof/>
        </w:rPr>
      </w:pPr>
      <w:r>
        <w:rPr>
          <w:noProof/>
        </w:rPr>
        <w:t>City Deal, 15</w:t>
      </w:r>
    </w:p>
    <w:p w:rsidR="004A1298" w:rsidRDefault="004A1298">
      <w:pPr>
        <w:pStyle w:val="Index1"/>
        <w:tabs>
          <w:tab w:val="clear" w:pos="3485"/>
          <w:tab w:val="right" w:leader="dot" w:pos="3481"/>
        </w:tabs>
        <w:rPr>
          <w:noProof/>
        </w:rPr>
      </w:pPr>
      <w:r>
        <w:rPr>
          <w:noProof/>
        </w:rPr>
        <w:t xml:space="preserve">Consumer price index. </w:t>
      </w:r>
      <w:r w:rsidRPr="0059460B">
        <w:rPr>
          <w:i/>
          <w:noProof/>
        </w:rPr>
        <w:t xml:space="preserve">See </w:t>
      </w:r>
      <w:r>
        <w:rPr>
          <w:noProof/>
        </w:rPr>
        <w:t>Inflation</w:t>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t>D</w:t>
      </w:r>
    </w:p>
    <w:p w:rsidR="004A1298" w:rsidRDefault="004A1298">
      <w:pPr>
        <w:pStyle w:val="Index1"/>
        <w:tabs>
          <w:tab w:val="clear" w:pos="3485"/>
          <w:tab w:val="right" w:leader="dot" w:pos="3481"/>
        </w:tabs>
        <w:rPr>
          <w:noProof/>
        </w:rPr>
      </w:pPr>
      <w:r>
        <w:rPr>
          <w:noProof/>
        </w:rPr>
        <w:t>Debt</w:t>
      </w:r>
    </w:p>
    <w:p w:rsidR="004A1298" w:rsidRDefault="004A1298">
      <w:pPr>
        <w:pStyle w:val="Index2"/>
        <w:tabs>
          <w:tab w:val="clear" w:pos="3485"/>
          <w:tab w:val="right" w:leader="dot" w:pos="3481"/>
        </w:tabs>
      </w:pPr>
      <w:r>
        <w:t>General government net debt, 23, 58</w:t>
      </w:r>
    </w:p>
    <w:p w:rsidR="004A1298" w:rsidRDefault="004A1298">
      <w:pPr>
        <w:pStyle w:val="Index2"/>
        <w:tabs>
          <w:tab w:val="clear" w:pos="3485"/>
          <w:tab w:val="right" w:leader="dot" w:pos="3481"/>
        </w:tabs>
      </w:pPr>
      <w:r>
        <w:t>Net debt, 5, 22, 23, 47, 48, 58, 67, 72, 73, 77, 79, 82</w:t>
      </w:r>
    </w:p>
    <w:p w:rsidR="004A1298" w:rsidRDefault="004A1298">
      <w:pPr>
        <w:pStyle w:val="Index1"/>
        <w:tabs>
          <w:tab w:val="clear" w:pos="3485"/>
          <w:tab w:val="right" w:leader="dot" w:pos="3481"/>
        </w:tabs>
        <w:rPr>
          <w:noProof/>
        </w:rPr>
      </w:pPr>
      <w:r>
        <w:rPr>
          <w:noProof/>
        </w:rPr>
        <w:t>Dwelling investment, 26, 33, 35</w:t>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t>E</w:t>
      </w:r>
    </w:p>
    <w:p w:rsidR="004A1298" w:rsidRDefault="004A1298">
      <w:pPr>
        <w:pStyle w:val="Index1"/>
        <w:tabs>
          <w:tab w:val="clear" w:pos="3485"/>
          <w:tab w:val="right" w:leader="dot" w:pos="3481"/>
        </w:tabs>
        <w:rPr>
          <w:noProof/>
        </w:rPr>
      </w:pPr>
      <w:r>
        <w:rPr>
          <w:noProof/>
        </w:rPr>
        <w:t>Economic conditions, 25, 33</w:t>
      </w:r>
    </w:p>
    <w:p w:rsidR="004A1298" w:rsidRDefault="004A1298">
      <w:pPr>
        <w:pStyle w:val="Index2"/>
        <w:tabs>
          <w:tab w:val="clear" w:pos="3485"/>
          <w:tab w:val="right" w:leader="dot" w:pos="3481"/>
        </w:tabs>
      </w:pPr>
      <w:r>
        <w:t>Australia, 33</w:t>
      </w:r>
    </w:p>
    <w:p w:rsidR="004A1298" w:rsidRDefault="004A1298">
      <w:pPr>
        <w:pStyle w:val="Index2"/>
        <w:tabs>
          <w:tab w:val="clear" w:pos="3485"/>
          <w:tab w:val="right" w:leader="dot" w:pos="3481"/>
        </w:tabs>
      </w:pPr>
      <w:r>
        <w:t>International, 34</w:t>
      </w:r>
    </w:p>
    <w:p w:rsidR="004A1298" w:rsidRDefault="004A1298">
      <w:pPr>
        <w:pStyle w:val="Index2"/>
        <w:tabs>
          <w:tab w:val="clear" w:pos="3485"/>
          <w:tab w:val="right" w:leader="dot" w:pos="3481"/>
        </w:tabs>
      </w:pPr>
      <w:r>
        <w:t>Victoria, 25</w:t>
      </w:r>
    </w:p>
    <w:p w:rsidR="004A1298" w:rsidRDefault="004A1298">
      <w:pPr>
        <w:pStyle w:val="Index1"/>
        <w:tabs>
          <w:tab w:val="clear" w:pos="3485"/>
          <w:tab w:val="right" w:leader="dot" w:pos="3481"/>
        </w:tabs>
        <w:rPr>
          <w:noProof/>
        </w:rPr>
      </w:pPr>
      <w:r>
        <w:rPr>
          <w:noProof/>
        </w:rPr>
        <w:t xml:space="preserve">Economic growth, 3, 34, </w:t>
      </w:r>
      <w:r w:rsidRPr="0059460B">
        <w:rPr>
          <w:i/>
          <w:noProof/>
        </w:rPr>
        <w:t>See also </w:t>
      </w:r>
      <w:r>
        <w:rPr>
          <w:noProof/>
        </w:rPr>
        <w:t>Risks</w:t>
      </w:r>
    </w:p>
    <w:p w:rsidR="004A1298" w:rsidRDefault="004A1298">
      <w:pPr>
        <w:pStyle w:val="Index1"/>
        <w:tabs>
          <w:tab w:val="clear" w:pos="3485"/>
          <w:tab w:val="right" w:leader="dot" w:pos="3481"/>
        </w:tabs>
        <w:rPr>
          <w:noProof/>
        </w:rPr>
      </w:pPr>
      <w:r>
        <w:rPr>
          <w:noProof/>
        </w:rPr>
        <w:t>Education State, 43</w:t>
      </w:r>
    </w:p>
    <w:p w:rsidR="004A1298" w:rsidRDefault="004A1298">
      <w:pPr>
        <w:pStyle w:val="Index1"/>
        <w:tabs>
          <w:tab w:val="clear" w:pos="3485"/>
          <w:tab w:val="right" w:leader="dot" w:pos="3481"/>
        </w:tabs>
        <w:rPr>
          <w:noProof/>
        </w:rPr>
      </w:pPr>
      <w:r>
        <w:rPr>
          <w:noProof/>
        </w:rPr>
        <w:t>Employment</w:t>
      </w:r>
    </w:p>
    <w:p w:rsidR="004A1298" w:rsidRDefault="004A1298">
      <w:pPr>
        <w:pStyle w:val="Index2"/>
        <w:tabs>
          <w:tab w:val="clear" w:pos="3485"/>
          <w:tab w:val="right" w:leader="dot" w:pos="3481"/>
        </w:tabs>
      </w:pPr>
      <w:r>
        <w:t>Growth, 4, 35, 37, 39</w:t>
      </w:r>
    </w:p>
    <w:p w:rsidR="004A1298" w:rsidRDefault="004A1298">
      <w:pPr>
        <w:pStyle w:val="Index2"/>
        <w:tabs>
          <w:tab w:val="clear" w:pos="3485"/>
          <w:tab w:val="right" w:leader="dot" w:pos="3481"/>
        </w:tabs>
      </w:pPr>
      <w:r>
        <w:t>Regional, 30</w:t>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lastRenderedPageBreak/>
        <w:t>F</w:t>
      </w:r>
    </w:p>
    <w:p w:rsidR="004A1298" w:rsidRDefault="004A1298">
      <w:pPr>
        <w:pStyle w:val="Index1"/>
        <w:tabs>
          <w:tab w:val="clear" w:pos="3485"/>
          <w:tab w:val="right" w:leader="dot" w:pos="3481"/>
        </w:tabs>
        <w:rPr>
          <w:noProof/>
        </w:rPr>
      </w:pPr>
      <w:r>
        <w:rPr>
          <w:noProof/>
        </w:rPr>
        <w:t>Family violence, 11</w:t>
      </w:r>
    </w:p>
    <w:p w:rsidR="004A1298" w:rsidRDefault="004A1298">
      <w:pPr>
        <w:pStyle w:val="Index2"/>
        <w:tabs>
          <w:tab w:val="clear" w:pos="3485"/>
          <w:tab w:val="right" w:leader="dot" w:pos="3481"/>
        </w:tabs>
      </w:pPr>
      <w:r>
        <w:t>Support and Safety Hubs, 11</w:t>
      </w:r>
    </w:p>
    <w:p w:rsidR="004A1298" w:rsidRDefault="004A1298">
      <w:pPr>
        <w:pStyle w:val="Index1"/>
        <w:tabs>
          <w:tab w:val="clear" w:pos="3485"/>
          <w:tab w:val="right" w:leader="dot" w:pos="3481"/>
        </w:tabs>
        <w:rPr>
          <w:noProof/>
        </w:rPr>
      </w:pPr>
      <w:r>
        <w:rPr>
          <w:noProof/>
        </w:rPr>
        <w:t>First Home Owner Grant, 19</w:t>
      </w:r>
    </w:p>
    <w:p w:rsidR="004A1298" w:rsidRDefault="004A1298">
      <w:pPr>
        <w:pStyle w:val="Index1"/>
        <w:tabs>
          <w:tab w:val="clear" w:pos="3485"/>
          <w:tab w:val="right" w:leader="dot" w:pos="3481"/>
        </w:tabs>
        <w:rPr>
          <w:noProof/>
        </w:rPr>
      </w:pPr>
      <w:r>
        <w:rPr>
          <w:noProof/>
        </w:rPr>
        <w:t>Footscray Hospital, 12</w:t>
      </w:r>
    </w:p>
    <w:p w:rsidR="004A1298" w:rsidRDefault="004A1298">
      <w:pPr>
        <w:pStyle w:val="Index1"/>
        <w:tabs>
          <w:tab w:val="clear" w:pos="3485"/>
          <w:tab w:val="right" w:leader="dot" w:pos="3481"/>
        </w:tabs>
        <w:rPr>
          <w:noProof/>
        </w:rPr>
      </w:pPr>
      <w:r>
        <w:rPr>
          <w:noProof/>
        </w:rPr>
        <w:t>Future Industries Manufacturing Program, 8</w:t>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t>G</w:t>
      </w:r>
    </w:p>
    <w:p w:rsidR="004A1298" w:rsidRDefault="004A1298">
      <w:pPr>
        <w:pStyle w:val="Index1"/>
        <w:tabs>
          <w:tab w:val="clear" w:pos="3485"/>
          <w:tab w:val="right" w:leader="dot" w:pos="3481"/>
        </w:tabs>
        <w:rPr>
          <w:noProof/>
        </w:rPr>
      </w:pPr>
      <w:r>
        <w:rPr>
          <w:noProof/>
        </w:rPr>
        <w:t>General fiscal risks, 60</w:t>
      </w:r>
    </w:p>
    <w:p w:rsidR="004A1298" w:rsidRDefault="004A1298">
      <w:pPr>
        <w:pStyle w:val="Index1"/>
        <w:tabs>
          <w:tab w:val="clear" w:pos="3485"/>
          <w:tab w:val="right" w:leader="dot" w:pos="3481"/>
        </w:tabs>
        <w:rPr>
          <w:noProof/>
        </w:rPr>
      </w:pPr>
      <w:r>
        <w:rPr>
          <w:noProof/>
        </w:rPr>
        <w:t xml:space="preserve">General government net debt. </w:t>
      </w:r>
      <w:r>
        <w:rPr>
          <w:i/>
          <w:noProof/>
        </w:rPr>
        <w:t>See </w:t>
      </w:r>
      <w:r>
        <w:rPr>
          <w:noProof/>
        </w:rPr>
        <w:t>Debt</w:t>
      </w:r>
    </w:p>
    <w:p w:rsidR="004A1298" w:rsidRDefault="004A1298">
      <w:pPr>
        <w:pStyle w:val="Index1"/>
        <w:tabs>
          <w:tab w:val="clear" w:pos="3485"/>
          <w:tab w:val="right" w:leader="dot" w:pos="3481"/>
        </w:tabs>
        <w:rPr>
          <w:noProof/>
        </w:rPr>
      </w:pPr>
      <w:r>
        <w:rPr>
          <w:noProof/>
        </w:rPr>
        <w:t>Gippsland Rail, 8, 45, 58, 66</w:t>
      </w:r>
    </w:p>
    <w:p w:rsidR="004A1298" w:rsidRDefault="004A1298">
      <w:pPr>
        <w:pStyle w:val="Index1"/>
        <w:tabs>
          <w:tab w:val="clear" w:pos="3485"/>
          <w:tab w:val="right" w:leader="dot" w:pos="3481"/>
        </w:tabs>
        <w:rPr>
          <w:noProof/>
        </w:rPr>
      </w:pPr>
      <w:r>
        <w:rPr>
          <w:noProof/>
        </w:rPr>
        <w:t>Goulburn-Murray Water Connections Project, 56, 66</w:t>
      </w:r>
    </w:p>
    <w:p w:rsidR="004A1298" w:rsidRDefault="004A1298">
      <w:pPr>
        <w:pStyle w:val="Index1"/>
        <w:tabs>
          <w:tab w:val="clear" w:pos="3485"/>
          <w:tab w:val="right" w:leader="dot" w:pos="3481"/>
        </w:tabs>
        <w:rPr>
          <w:noProof/>
        </w:rPr>
      </w:pPr>
      <w:r>
        <w:rPr>
          <w:noProof/>
        </w:rPr>
        <w:t>Grants</w:t>
      </w:r>
    </w:p>
    <w:p w:rsidR="004A1298" w:rsidRDefault="004A1298">
      <w:pPr>
        <w:pStyle w:val="Index2"/>
        <w:tabs>
          <w:tab w:val="clear" w:pos="3485"/>
          <w:tab w:val="right" w:leader="dot" w:pos="3481"/>
        </w:tabs>
      </w:pPr>
      <w:r>
        <w:t>Commonwealth, 52, 56</w:t>
      </w:r>
    </w:p>
    <w:p w:rsidR="004A1298" w:rsidRDefault="004A1298">
      <w:pPr>
        <w:pStyle w:val="Index1"/>
        <w:tabs>
          <w:tab w:val="clear" w:pos="3485"/>
          <w:tab w:val="right" w:leader="dot" w:pos="3481"/>
        </w:tabs>
        <w:rPr>
          <w:noProof/>
        </w:rPr>
      </w:pPr>
      <w:r>
        <w:rPr>
          <w:noProof/>
        </w:rPr>
        <w:t>Gross domestic product, 26, 37, 81</w:t>
      </w:r>
    </w:p>
    <w:p w:rsidR="004A1298" w:rsidRDefault="004A1298">
      <w:pPr>
        <w:pStyle w:val="Index1"/>
        <w:tabs>
          <w:tab w:val="clear" w:pos="3485"/>
          <w:tab w:val="right" w:leader="dot" w:pos="3481"/>
        </w:tabs>
        <w:rPr>
          <w:noProof/>
        </w:rPr>
      </w:pPr>
      <w:r>
        <w:rPr>
          <w:noProof/>
        </w:rPr>
        <w:t xml:space="preserve">Gross state product. </w:t>
      </w:r>
      <w:r w:rsidRPr="0059460B">
        <w:rPr>
          <w:i/>
          <w:noProof/>
        </w:rPr>
        <w:t xml:space="preserve">See also </w:t>
      </w:r>
      <w:r>
        <w:rPr>
          <w:noProof/>
        </w:rPr>
        <w:t>Economic growth</w:t>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t>H</w:t>
      </w:r>
    </w:p>
    <w:p w:rsidR="004A1298" w:rsidRDefault="004A1298">
      <w:pPr>
        <w:pStyle w:val="Index1"/>
        <w:tabs>
          <w:tab w:val="clear" w:pos="3485"/>
          <w:tab w:val="right" w:leader="dot" w:pos="3481"/>
        </w:tabs>
        <w:rPr>
          <w:noProof/>
        </w:rPr>
      </w:pPr>
      <w:r>
        <w:rPr>
          <w:noProof/>
        </w:rPr>
        <w:t>Health</w:t>
      </w:r>
    </w:p>
    <w:p w:rsidR="004A1298" w:rsidRDefault="004A1298">
      <w:pPr>
        <w:pStyle w:val="Index2"/>
        <w:tabs>
          <w:tab w:val="clear" w:pos="3485"/>
          <w:tab w:val="right" w:leader="dot" w:pos="3481"/>
        </w:tabs>
      </w:pPr>
      <w:r>
        <w:t>Care, 13</w:t>
      </w:r>
    </w:p>
    <w:p w:rsidR="004A1298" w:rsidRDefault="004A1298">
      <w:pPr>
        <w:pStyle w:val="Index2"/>
        <w:tabs>
          <w:tab w:val="clear" w:pos="3485"/>
          <w:tab w:val="right" w:leader="dot" w:pos="3481"/>
        </w:tabs>
      </w:pPr>
      <w:r>
        <w:t>Hospitals, 12, 59, 65</w:t>
      </w:r>
    </w:p>
    <w:p w:rsidR="004A1298" w:rsidRDefault="004A1298">
      <w:pPr>
        <w:pStyle w:val="Index1"/>
        <w:tabs>
          <w:tab w:val="clear" w:pos="3485"/>
          <w:tab w:val="right" w:leader="dot" w:pos="3481"/>
        </w:tabs>
        <w:rPr>
          <w:noProof/>
        </w:rPr>
      </w:pPr>
      <w:r>
        <w:rPr>
          <w:noProof/>
        </w:rPr>
        <w:t>Homes for Victorians, 19</w:t>
      </w:r>
    </w:p>
    <w:p w:rsidR="004A1298" w:rsidRDefault="004A1298">
      <w:pPr>
        <w:pStyle w:val="Index1"/>
        <w:tabs>
          <w:tab w:val="clear" w:pos="3485"/>
          <w:tab w:val="right" w:leader="dot" w:pos="3481"/>
        </w:tabs>
        <w:rPr>
          <w:noProof/>
        </w:rPr>
      </w:pPr>
      <w:r>
        <w:rPr>
          <w:noProof/>
        </w:rPr>
        <w:t>Household consumption, 25, 26, 33</w:t>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t>I</w:t>
      </w:r>
    </w:p>
    <w:p w:rsidR="004A1298" w:rsidRDefault="004A1298">
      <w:pPr>
        <w:pStyle w:val="Index1"/>
        <w:tabs>
          <w:tab w:val="clear" w:pos="3485"/>
          <w:tab w:val="right" w:leader="dot" w:pos="3481"/>
        </w:tabs>
        <w:rPr>
          <w:noProof/>
        </w:rPr>
      </w:pPr>
      <w:r>
        <w:rPr>
          <w:noProof/>
        </w:rPr>
        <w:t>Ice Action Plan, 14</w:t>
      </w:r>
    </w:p>
    <w:p w:rsidR="004A1298" w:rsidRDefault="004A1298">
      <w:pPr>
        <w:pStyle w:val="Index1"/>
        <w:tabs>
          <w:tab w:val="clear" w:pos="3485"/>
          <w:tab w:val="right" w:leader="dot" w:pos="3481"/>
        </w:tabs>
        <w:rPr>
          <w:noProof/>
        </w:rPr>
      </w:pPr>
      <w:r>
        <w:rPr>
          <w:noProof/>
        </w:rPr>
        <w:t>Inflation</w:t>
      </w:r>
    </w:p>
    <w:p w:rsidR="004A1298" w:rsidRDefault="004A1298">
      <w:pPr>
        <w:pStyle w:val="Index2"/>
        <w:tabs>
          <w:tab w:val="clear" w:pos="3485"/>
          <w:tab w:val="right" w:leader="dot" w:pos="3481"/>
        </w:tabs>
      </w:pPr>
      <w:r>
        <w:t>Consumer price index, 26</w:t>
      </w:r>
    </w:p>
    <w:p w:rsidR="004A1298" w:rsidRDefault="004A1298">
      <w:pPr>
        <w:keepLines w:val="0"/>
        <w:rPr>
          <w:rFonts w:asciiTheme="majorHAnsi" w:hAnsiTheme="majorHAnsi"/>
          <w:noProof/>
        </w:rPr>
      </w:pPr>
      <w:r>
        <w:rPr>
          <w:noProof/>
        </w:rPr>
        <w:br w:type="page"/>
      </w:r>
    </w:p>
    <w:p w:rsidR="004A1298" w:rsidRDefault="004A1298">
      <w:pPr>
        <w:pStyle w:val="Index1"/>
        <w:tabs>
          <w:tab w:val="clear" w:pos="3485"/>
          <w:tab w:val="right" w:leader="dot" w:pos="3481"/>
        </w:tabs>
        <w:rPr>
          <w:noProof/>
        </w:rPr>
      </w:pPr>
      <w:r>
        <w:rPr>
          <w:noProof/>
        </w:rPr>
        <w:lastRenderedPageBreak/>
        <w:t>Infrastructure investment, 7, 45, 48</w:t>
      </w:r>
    </w:p>
    <w:p w:rsidR="004A1298" w:rsidRDefault="004A1298">
      <w:pPr>
        <w:pStyle w:val="Index2"/>
        <w:tabs>
          <w:tab w:val="clear" w:pos="3485"/>
          <w:tab w:val="right" w:leader="dot" w:pos="3481"/>
        </w:tabs>
      </w:pPr>
      <w:r>
        <w:t>Government infrastructure investment, 5, 22, 47, 48, 57</w:t>
      </w:r>
    </w:p>
    <w:p w:rsidR="004A1298" w:rsidRDefault="004A1298">
      <w:pPr>
        <w:pStyle w:val="Index1"/>
        <w:tabs>
          <w:tab w:val="clear" w:pos="3485"/>
          <w:tab w:val="right" w:leader="dot" w:pos="3481"/>
        </w:tabs>
        <w:rPr>
          <w:noProof/>
        </w:rPr>
      </w:pPr>
      <w:r>
        <w:rPr>
          <w:noProof/>
        </w:rPr>
        <w:t>Infrastructure Victoria, 10, 42</w:t>
      </w:r>
    </w:p>
    <w:p w:rsidR="004A1298" w:rsidRDefault="004A1298">
      <w:pPr>
        <w:pStyle w:val="Index1"/>
        <w:tabs>
          <w:tab w:val="clear" w:pos="3485"/>
          <w:tab w:val="right" w:leader="dot" w:pos="3481"/>
        </w:tabs>
        <w:rPr>
          <w:noProof/>
        </w:rPr>
      </w:pPr>
      <w:r>
        <w:rPr>
          <w:noProof/>
        </w:rPr>
        <w:t>International Monetary Fund, 34</w:t>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t>J</w:t>
      </w:r>
    </w:p>
    <w:p w:rsidR="004A1298" w:rsidRDefault="004A1298">
      <w:pPr>
        <w:pStyle w:val="Index1"/>
        <w:tabs>
          <w:tab w:val="clear" w:pos="3485"/>
          <w:tab w:val="right" w:leader="dot" w:pos="3481"/>
        </w:tabs>
        <w:rPr>
          <w:noProof/>
        </w:rPr>
      </w:pPr>
      <w:r>
        <w:rPr>
          <w:noProof/>
        </w:rPr>
        <w:t>Jobs</w:t>
      </w:r>
    </w:p>
    <w:p w:rsidR="004A1298" w:rsidRDefault="004A1298">
      <w:pPr>
        <w:pStyle w:val="Index2"/>
        <w:tabs>
          <w:tab w:val="clear" w:pos="3485"/>
          <w:tab w:val="right" w:leader="dot" w:pos="3481"/>
        </w:tabs>
      </w:pPr>
      <w:r>
        <w:t>Jobs Victoria, 7</w:t>
      </w:r>
    </w:p>
    <w:p w:rsidR="004A1298" w:rsidRDefault="004A1298">
      <w:pPr>
        <w:pStyle w:val="Index2"/>
        <w:tabs>
          <w:tab w:val="clear" w:pos="3485"/>
          <w:tab w:val="right" w:leader="dot" w:pos="3481"/>
        </w:tabs>
      </w:pPr>
      <w:r>
        <w:t>Regional, 30</w:t>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t>L</w:t>
      </w:r>
    </w:p>
    <w:p w:rsidR="004A1298" w:rsidRDefault="004A1298">
      <w:pPr>
        <w:pStyle w:val="Index1"/>
        <w:tabs>
          <w:tab w:val="clear" w:pos="3485"/>
          <w:tab w:val="right" w:leader="dot" w:pos="3481"/>
        </w:tabs>
        <w:rPr>
          <w:noProof/>
        </w:rPr>
      </w:pPr>
      <w:r>
        <w:rPr>
          <w:noProof/>
        </w:rPr>
        <w:t>Labour force participation, 80, 83</w:t>
      </w:r>
    </w:p>
    <w:p w:rsidR="004A1298" w:rsidRDefault="004A1298">
      <w:pPr>
        <w:pStyle w:val="Index1"/>
        <w:tabs>
          <w:tab w:val="clear" w:pos="3485"/>
          <w:tab w:val="right" w:leader="dot" w:pos="3481"/>
        </w:tabs>
        <w:rPr>
          <w:noProof/>
        </w:rPr>
      </w:pPr>
      <w:r>
        <w:rPr>
          <w:noProof/>
        </w:rPr>
        <w:t>Labour market</w:t>
      </w:r>
    </w:p>
    <w:p w:rsidR="004A1298" w:rsidRDefault="004A1298">
      <w:pPr>
        <w:pStyle w:val="Index2"/>
        <w:tabs>
          <w:tab w:val="clear" w:pos="3485"/>
          <w:tab w:val="right" w:leader="dot" w:pos="3481"/>
        </w:tabs>
      </w:pPr>
      <w:r>
        <w:t>Employment growth, 4, 35, 37, 39</w:t>
      </w:r>
    </w:p>
    <w:p w:rsidR="004A1298" w:rsidRDefault="004A1298">
      <w:pPr>
        <w:pStyle w:val="Index1"/>
        <w:tabs>
          <w:tab w:val="clear" w:pos="3485"/>
          <w:tab w:val="right" w:leader="dot" w:pos="3481"/>
        </w:tabs>
        <w:rPr>
          <w:noProof/>
        </w:rPr>
      </w:pPr>
      <w:r>
        <w:rPr>
          <w:noProof/>
        </w:rPr>
        <w:t>Latrobe Valley, 8, 15, 44</w:t>
      </w:r>
    </w:p>
    <w:p w:rsidR="004A1298" w:rsidRDefault="004A1298">
      <w:pPr>
        <w:pStyle w:val="Index1"/>
        <w:tabs>
          <w:tab w:val="clear" w:pos="3485"/>
          <w:tab w:val="right" w:leader="dot" w:pos="3481"/>
        </w:tabs>
        <w:rPr>
          <w:noProof/>
        </w:rPr>
      </w:pPr>
      <w:r>
        <w:rPr>
          <w:noProof/>
        </w:rPr>
        <w:t>Level Crossing Removal Program, 8, 22, 42, 57, 58</w:t>
      </w:r>
    </w:p>
    <w:p w:rsidR="004A1298" w:rsidRDefault="004A1298">
      <w:pPr>
        <w:pStyle w:val="Index1"/>
        <w:tabs>
          <w:tab w:val="clear" w:pos="3485"/>
          <w:tab w:val="right" w:leader="dot" w:pos="3481"/>
        </w:tabs>
        <w:rPr>
          <w:noProof/>
        </w:rPr>
      </w:pPr>
      <w:r>
        <w:rPr>
          <w:noProof/>
        </w:rPr>
        <w:t>Local Industry Fund for Transition, 8</w:t>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t>M</w:t>
      </w:r>
    </w:p>
    <w:p w:rsidR="004A1298" w:rsidRDefault="004A1298">
      <w:pPr>
        <w:pStyle w:val="Index1"/>
        <w:tabs>
          <w:tab w:val="clear" w:pos="3485"/>
          <w:tab w:val="right" w:leader="dot" w:pos="3481"/>
        </w:tabs>
        <w:rPr>
          <w:noProof/>
        </w:rPr>
      </w:pPr>
      <w:r>
        <w:rPr>
          <w:noProof/>
        </w:rPr>
        <w:t>M80 Ring Road, 2, 9, 58</w:t>
      </w:r>
    </w:p>
    <w:p w:rsidR="004A1298" w:rsidRDefault="004A1298">
      <w:pPr>
        <w:pStyle w:val="Index1"/>
        <w:tabs>
          <w:tab w:val="clear" w:pos="3485"/>
          <w:tab w:val="right" w:leader="dot" w:pos="3481"/>
        </w:tabs>
        <w:rPr>
          <w:noProof/>
        </w:rPr>
      </w:pPr>
      <w:r>
        <w:rPr>
          <w:noProof/>
        </w:rPr>
        <w:t>Melbourne Park, 20</w:t>
      </w:r>
    </w:p>
    <w:p w:rsidR="004A1298" w:rsidRDefault="004A1298">
      <w:pPr>
        <w:pStyle w:val="Index1"/>
        <w:tabs>
          <w:tab w:val="clear" w:pos="3485"/>
          <w:tab w:val="right" w:leader="dot" w:pos="3481"/>
        </w:tabs>
        <w:rPr>
          <w:noProof/>
        </w:rPr>
      </w:pPr>
      <w:r>
        <w:rPr>
          <w:noProof/>
        </w:rPr>
        <w:t>Metro Tunnel, 7, 8, 22, 42, 57, 58</w:t>
      </w:r>
    </w:p>
    <w:p w:rsidR="004A1298" w:rsidRDefault="004A1298">
      <w:pPr>
        <w:pStyle w:val="Index1"/>
        <w:tabs>
          <w:tab w:val="clear" w:pos="3485"/>
          <w:tab w:val="right" w:leader="dot" w:pos="3481"/>
        </w:tabs>
        <w:rPr>
          <w:noProof/>
        </w:rPr>
      </w:pPr>
      <w:r>
        <w:rPr>
          <w:noProof/>
        </w:rPr>
        <w:t>Mobile Black Spots Program, 16</w:t>
      </w:r>
    </w:p>
    <w:p w:rsidR="004A1298" w:rsidRDefault="004A1298">
      <w:pPr>
        <w:pStyle w:val="Index1"/>
        <w:tabs>
          <w:tab w:val="clear" w:pos="3485"/>
          <w:tab w:val="right" w:leader="dot" w:pos="3481"/>
        </w:tabs>
        <w:rPr>
          <w:noProof/>
        </w:rPr>
      </w:pPr>
      <w:r>
        <w:rPr>
          <w:noProof/>
        </w:rPr>
        <w:t>Monash Medical Centre, 12</w:t>
      </w:r>
    </w:p>
    <w:p w:rsidR="004A1298" w:rsidRDefault="004A1298">
      <w:pPr>
        <w:pStyle w:val="Index1"/>
        <w:tabs>
          <w:tab w:val="clear" w:pos="3485"/>
          <w:tab w:val="right" w:leader="dot" w:pos="3481"/>
        </w:tabs>
        <w:rPr>
          <w:noProof/>
        </w:rPr>
      </w:pPr>
      <w:r>
        <w:rPr>
          <w:noProof/>
        </w:rPr>
        <w:t>Mordialloc Bypass, 2, 9, 58</w:t>
      </w:r>
    </w:p>
    <w:p w:rsidR="004A1298" w:rsidRDefault="004A1298">
      <w:pPr>
        <w:pStyle w:val="Index1"/>
        <w:tabs>
          <w:tab w:val="clear" w:pos="3485"/>
          <w:tab w:val="right" w:leader="dot" w:pos="3481"/>
        </w:tabs>
        <w:rPr>
          <w:noProof/>
        </w:rPr>
      </w:pPr>
      <w:r>
        <w:rPr>
          <w:noProof/>
        </w:rPr>
        <w:t>Multicultural Policy Statement, 21</w:t>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t>N</w:t>
      </w:r>
    </w:p>
    <w:p w:rsidR="004A1298" w:rsidRDefault="004A1298">
      <w:pPr>
        <w:pStyle w:val="Index1"/>
        <w:tabs>
          <w:tab w:val="clear" w:pos="3485"/>
          <w:tab w:val="right" w:leader="dot" w:pos="3481"/>
        </w:tabs>
        <w:rPr>
          <w:noProof/>
        </w:rPr>
      </w:pPr>
      <w:r>
        <w:rPr>
          <w:noProof/>
        </w:rPr>
        <w:t>National Disability Insurance Scheme, 13, 61</w:t>
      </w:r>
    </w:p>
    <w:p w:rsidR="004A1298" w:rsidRDefault="004A1298">
      <w:pPr>
        <w:pStyle w:val="Index1"/>
        <w:tabs>
          <w:tab w:val="clear" w:pos="3485"/>
          <w:tab w:val="right" w:leader="dot" w:pos="3481"/>
        </w:tabs>
        <w:rPr>
          <w:noProof/>
        </w:rPr>
      </w:pPr>
      <w:r>
        <w:rPr>
          <w:noProof/>
        </w:rPr>
        <w:t>National Gallery of Victoria, 20</w:t>
      </w:r>
    </w:p>
    <w:p w:rsidR="004A1298" w:rsidRDefault="004A1298">
      <w:pPr>
        <w:pStyle w:val="Index1"/>
        <w:tabs>
          <w:tab w:val="clear" w:pos="3485"/>
          <w:tab w:val="right" w:leader="dot" w:pos="3481"/>
        </w:tabs>
        <w:rPr>
          <w:noProof/>
        </w:rPr>
      </w:pPr>
      <w:r>
        <w:rPr>
          <w:noProof/>
        </w:rPr>
        <w:t>National Partnership on Asset Recycling, 11, 17</w:t>
      </w:r>
    </w:p>
    <w:p w:rsidR="004A1298" w:rsidRDefault="004A1298">
      <w:pPr>
        <w:pStyle w:val="Index1"/>
        <w:tabs>
          <w:tab w:val="clear" w:pos="3485"/>
          <w:tab w:val="right" w:leader="dot" w:pos="3481"/>
        </w:tabs>
        <w:rPr>
          <w:noProof/>
        </w:rPr>
      </w:pPr>
      <w:r>
        <w:rPr>
          <w:noProof/>
        </w:rPr>
        <w:t xml:space="preserve">Net debt. </w:t>
      </w:r>
      <w:r w:rsidRPr="0059460B">
        <w:rPr>
          <w:i/>
          <w:noProof/>
        </w:rPr>
        <w:t xml:space="preserve">See </w:t>
      </w:r>
      <w:r>
        <w:rPr>
          <w:noProof/>
        </w:rPr>
        <w:t>Debt</w:t>
      </w:r>
    </w:p>
    <w:p w:rsidR="004A1298" w:rsidRDefault="004A1298">
      <w:pPr>
        <w:pStyle w:val="Index1"/>
        <w:tabs>
          <w:tab w:val="clear" w:pos="3485"/>
          <w:tab w:val="right" w:leader="dot" w:pos="3481"/>
        </w:tabs>
        <w:rPr>
          <w:noProof/>
        </w:rPr>
      </w:pPr>
      <w:r>
        <w:rPr>
          <w:noProof/>
        </w:rPr>
        <w:t>Net financial liabilities, 67</w:t>
      </w:r>
    </w:p>
    <w:p w:rsidR="004A1298" w:rsidRDefault="004A1298">
      <w:pPr>
        <w:pStyle w:val="Index1"/>
        <w:tabs>
          <w:tab w:val="clear" w:pos="3485"/>
          <w:tab w:val="right" w:leader="dot" w:pos="3481"/>
        </w:tabs>
        <w:rPr>
          <w:noProof/>
        </w:rPr>
      </w:pPr>
      <w:r>
        <w:rPr>
          <w:noProof/>
        </w:rPr>
        <w:t>Night Network, 9</w:t>
      </w:r>
    </w:p>
    <w:p w:rsidR="004A1298" w:rsidRDefault="004A1298">
      <w:pPr>
        <w:pStyle w:val="Index1"/>
        <w:tabs>
          <w:tab w:val="clear" w:pos="3485"/>
          <w:tab w:val="right" w:leader="dot" w:pos="3481"/>
        </w:tabs>
        <w:rPr>
          <w:noProof/>
        </w:rPr>
      </w:pPr>
      <w:r>
        <w:rPr>
          <w:noProof/>
        </w:rPr>
        <w:t xml:space="preserve">Non-financial public sector, 64, 67, </w:t>
      </w:r>
      <w:r w:rsidRPr="0059460B">
        <w:rPr>
          <w:i/>
          <w:noProof/>
        </w:rPr>
        <w:t>See also </w:t>
      </w:r>
      <w:r>
        <w:rPr>
          <w:noProof/>
        </w:rPr>
        <w:t>Debt</w:t>
      </w:r>
    </w:p>
    <w:p w:rsidR="004A1298" w:rsidRDefault="004A1298">
      <w:pPr>
        <w:pStyle w:val="Index1"/>
        <w:tabs>
          <w:tab w:val="clear" w:pos="3485"/>
          <w:tab w:val="right" w:leader="dot" w:pos="3481"/>
        </w:tabs>
        <w:rPr>
          <w:noProof/>
        </w:rPr>
      </w:pPr>
      <w:r>
        <w:rPr>
          <w:noProof/>
        </w:rPr>
        <w:t>North East Link, 9, 58</w:t>
      </w:r>
    </w:p>
    <w:p w:rsidR="004A1298" w:rsidRDefault="004A1298">
      <w:pPr>
        <w:pStyle w:val="Index1"/>
        <w:tabs>
          <w:tab w:val="clear" w:pos="3485"/>
          <w:tab w:val="right" w:leader="dot" w:pos="3481"/>
        </w:tabs>
        <w:rPr>
          <w:noProof/>
        </w:rPr>
      </w:pPr>
      <w:r>
        <w:rPr>
          <w:noProof/>
        </w:rPr>
        <w:t>Northern Hospital, 12</w:t>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lastRenderedPageBreak/>
        <w:t>O</w:t>
      </w:r>
    </w:p>
    <w:p w:rsidR="004A1298" w:rsidRDefault="004A1298">
      <w:pPr>
        <w:pStyle w:val="Index1"/>
        <w:tabs>
          <w:tab w:val="clear" w:pos="3485"/>
          <w:tab w:val="right" w:leader="dot" w:pos="3481"/>
        </w:tabs>
        <w:rPr>
          <w:noProof/>
        </w:rPr>
      </w:pPr>
      <w:r>
        <w:rPr>
          <w:noProof/>
        </w:rPr>
        <w:t>Operating surplus, 23</w:t>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t>P</w:t>
      </w:r>
    </w:p>
    <w:p w:rsidR="004A1298" w:rsidRDefault="004A1298">
      <w:pPr>
        <w:pStyle w:val="Index1"/>
        <w:tabs>
          <w:tab w:val="clear" w:pos="3485"/>
          <w:tab w:val="right" w:leader="dot" w:pos="3481"/>
        </w:tabs>
        <w:rPr>
          <w:noProof/>
        </w:rPr>
      </w:pPr>
      <w:r>
        <w:rPr>
          <w:noProof/>
        </w:rPr>
        <w:t xml:space="preserve">Payroll tax. </w:t>
      </w:r>
      <w:r w:rsidRPr="0059460B">
        <w:rPr>
          <w:i/>
          <w:noProof/>
        </w:rPr>
        <w:t xml:space="preserve">See </w:t>
      </w:r>
      <w:r>
        <w:rPr>
          <w:noProof/>
        </w:rPr>
        <w:t>Taxation</w:t>
      </w:r>
    </w:p>
    <w:p w:rsidR="004A1298" w:rsidRDefault="004A1298">
      <w:pPr>
        <w:pStyle w:val="Index1"/>
        <w:tabs>
          <w:tab w:val="clear" w:pos="3485"/>
          <w:tab w:val="right" w:leader="dot" w:pos="3481"/>
        </w:tabs>
        <w:rPr>
          <w:noProof/>
        </w:rPr>
      </w:pPr>
      <w:r>
        <w:rPr>
          <w:noProof/>
        </w:rPr>
        <w:t>Population</w:t>
      </w:r>
    </w:p>
    <w:p w:rsidR="004A1298" w:rsidRDefault="004A1298">
      <w:pPr>
        <w:pStyle w:val="Index2"/>
        <w:tabs>
          <w:tab w:val="clear" w:pos="3485"/>
          <w:tab w:val="right" w:leader="dot" w:pos="3481"/>
        </w:tabs>
      </w:pPr>
      <w:r>
        <w:t>Growth, 26, 31, 77</w:t>
      </w:r>
    </w:p>
    <w:p w:rsidR="004A1298" w:rsidRDefault="004A1298">
      <w:pPr>
        <w:pStyle w:val="Index1"/>
        <w:tabs>
          <w:tab w:val="clear" w:pos="3485"/>
          <w:tab w:val="right" w:leader="dot" w:pos="3481"/>
        </w:tabs>
        <w:rPr>
          <w:noProof/>
        </w:rPr>
      </w:pPr>
      <w:r>
        <w:rPr>
          <w:noProof/>
        </w:rPr>
        <w:t>Port of Melbourne, 15, 68</w:t>
      </w:r>
    </w:p>
    <w:p w:rsidR="004A1298" w:rsidRDefault="004A1298">
      <w:pPr>
        <w:pStyle w:val="Index1"/>
        <w:tabs>
          <w:tab w:val="clear" w:pos="3485"/>
          <w:tab w:val="right" w:leader="dot" w:pos="3481"/>
        </w:tabs>
        <w:rPr>
          <w:noProof/>
        </w:rPr>
      </w:pPr>
      <w:r>
        <w:rPr>
          <w:noProof/>
        </w:rPr>
        <w:t>Productivity, 39</w:t>
      </w:r>
    </w:p>
    <w:p w:rsidR="004A1298" w:rsidRDefault="004A1298">
      <w:pPr>
        <w:pStyle w:val="Index1"/>
        <w:tabs>
          <w:tab w:val="clear" w:pos="3485"/>
          <w:tab w:val="right" w:leader="dot" w:pos="3481"/>
        </w:tabs>
        <w:rPr>
          <w:noProof/>
        </w:rPr>
      </w:pPr>
      <w:r>
        <w:rPr>
          <w:noProof/>
        </w:rPr>
        <w:t>Public financial corporations, 63, 70</w:t>
      </w:r>
    </w:p>
    <w:p w:rsidR="004A1298" w:rsidRDefault="004A1298">
      <w:pPr>
        <w:pStyle w:val="Index1"/>
        <w:tabs>
          <w:tab w:val="clear" w:pos="3485"/>
          <w:tab w:val="right" w:leader="dot" w:pos="3481"/>
        </w:tabs>
        <w:rPr>
          <w:noProof/>
        </w:rPr>
      </w:pPr>
      <w:r>
        <w:rPr>
          <w:noProof/>
        </w:rPr>
        <w:t>Public non-financial corporations, 63, 64, 65, 66</w:t>
      </w:r>
    </w:p>
    <w:p w:rsidR="004A1298" w:rsidRDefault="004A1298">
      <w:pPr>
        <w:pStyle w:val="Index1"/>
        <w:tabs>
          <w:tab w:val="clear" w:pos="3485"/>
          <w:tab w:val="right" w:leader="dot" w:pos="3481"/>
        </w:tabs>
        <w:rPr>
          <w:noProof/>
        </w:rPr>
      </w:pPr>
      <w:r>
        <w:rPr>
          <w:noProof/>
        </w:rPr>
        <w:t>Public Private Partnerships (PPPs), 59, 65</w:t>
      </w:r>
    </w:p>
    <w:p w:rsidR="004A1298" w:rsidRDefault="004A1298">
      <w:pPr>
        <w:pStyle w:val="Index1"/>
        <w:tabs>
          <w:tab w:val="clear" w:pos="3485"/>
          <w:tab w:val="right" w:leader="dot" w:pos="3481"/>
        </w:tabs>
        <w:rPr>
          <w:noProof/>
        </w:rPr>
      </w:pPr>
      <w:r>
        <w:rPr>
          <w:noProof/>
        </w:rPr>
        <w:t>Public transport, 8</w:t>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t>R</w:t>
      </w:r>
    </w:p>
    <w:p w:rsidR="004A1298" w:rsidRDefault="004A1298">
      <w:pPr>
        <w:pStyle w:val="Index1"/>
        <w:tabs>
          <w:tab w:val="clear" w:pos="3485"/>
          <w:tab w:val="right" w:leader="dot" w:pos="3481"/>
        </w:tabs>
        <w:rPr>
          <w:noProof/>
        </w:rPr>
      </w:pPr>
      <w:r>
        <w:rPr>
          <w:noProof/>
        </w:rPr>
        <w:t>Regional Assemblies and Partnerships, 2</w:t>
      </w:r>
    </w:p>
    <w:p w:rsidR="004A1298" w:rsidRDefault="004A1298">
      <w:pPr>
        <w:pStyle w:val="Index1"/>
        <w:tabs>
          <w:tab w:val="clear" w:pos="3485"/>
          <w:tab w:val="right" w:leader="dot" w:pos="3481"/>
        </w:tabs>
        <w:rPr>
          <w:noProof/>
        </w:rPr>
      </w:pPr>
      <w:r>
        <w:rPr>
          <w:noProof/>
        </w:rPr>
        <w:t>Regional Victoria, 16</w:t>
      </w:r>
    </w:p>
    <w:p w:rsidR="004A1298" w:rsidRDefault="004A1298">
      <w:pPr>
        <w:pStyle w:val="Index1"/>
        <w:tabs>
          <w:tab w:val="clear" w:pos="3485"/>
          <w:tab w:val="right" w:leader="dot" w:pos="3481"/>
        </w:tabs>
        <w:rPr>
          <w:noProof/>
        </w:rPr>
      </w:pPr>
      <w:r>
        <w:rPr>
          <w:noProof/>
        </w:rPr>
        <w:t>Risks</w:t>
      </w:r>
    </w:p>
    <w:p w:rsidR="004A1298" w:rsidRDefault="004A1298">
      <w:pPr>
        <w:pStyle w:val="Index2"/>
        <w:tabs>
          <w:tab w:val="clear" w:pos="3485"/>
          <w:tab w:val="right" w:leader="dot" w:pos="3481"/>
        </w:tabs>
      </w:pPr>
      <w:r>
        <w:t>Fiscal, 60</w:t>
      </w:r>
    </w:p>
    <w:p w:rsidR="004A1298" w:rsidRDefault="004A1298">
      <w:pPr>
        <w:pStyle w:val="Index1"/>
        <w:tabs>
          <w:tab w:val="clear" w:pos="3485"/>
          <w:tab w:val="right" w:leader="dot" w:pos="3481"/>
        </w:tabs>
        <w:rPr>
          <w:noProof/>
        </w:rPr>
      </w:pPr>
      <w:r>
        <w:rPr>
          <w:noProof/>
        </w:rPr>
        <w:t>Roads, 9</w:t>
      </w:r>
    </w:p>
    <w:p w:rsidR="004A1298" w:rsidRDefault="004A1298">
      <w:pPr>
        <w:pStyle w:val="Index1"/>
        <w:tabs>
          <w:tab w:val="clear" w:pos="3485"/>
          <w:tab w:val="right" w:leader="dot" w:pos="3481"/>
        </w:tabs>
        <w:rPr>
          <w:noProof/>
        </w:rPr>
      </w:pPr>
      <w:r>
        <w:rPr>
          <w:noProof/>
        </w:rPr>
        <w:t xml:space="preserve">Royal Commission into Family Violence. </w:t>
      </w:r>
      <w:r w:rsidRPr="0059460B">
        <w:rPr>
          <w:i/>
          <w:noProof/>
        </w:rPr>
        <w:t xml:space="preserve">See </w:t>
      </w:r>
      <w:r>
        <w:rPr>
          <w:noProof/>
        </w:rPr>
        <w:t>Family Violence</w:t>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t>S</w:t>
      </w:r>
    </w:p>
    <w:p w:rsidR="004A1298" w:rsidRDefault="004A1298">
      <w:pPr>
        <w:pStyle w:val="Index1"/>
        <w:tabs>
          <w:tab w:val="clear" w:pos="3485"/>
          <w:tab w:val="right" w:leader="dot" w:pos="3481"/>
        </w:tabs>
        <w:rPr>
          <w:noProof/>
        </w:rPr>
      </w:pPr>
      <w:r>
        <w:rPr>
          <w:noProof/>
        </w:rPr>
        <w:t>Schools, 59, 65</w:t>
      </w:r>
    </w:p>
    <w:p w:rsidR="004A1298" w:rsidRDefault="004A1298">
      <w:pPr>
        <w:pStyle w:val="Index1"/>
        <w:tabs>
          <w:tab w:val="clear" w:pos="3485"/>
          <w:tab w:val="right" w:leader="dot" w:pos="3481"/>
        </w:tabs>
        <w:rPr>
          <w:noProof/>
        </w:rPr>
      </w:pPr>
      <w:r>
        <w:rPr>
          <w:noProof/>
        </w:rPr>
        <w:t>Social Housing Growth Fund, 19</w:t>
      </w:r>
    </w:p>
    <w:p w:rsidR="004A1298" w:rsidRDefault="004A1298">
      <w:pPr>
        <w:pStyle w:val="Index1"/>
        <w:tabs>
          <w:tab w:val="clear" w:pos="3485"/>
          <w:tab w:val="right" w:leader="dot" w:pos="3481"/>
        </w:tabs>
        <w:rPr>
          <w:noProof/>
        </w:rPr>
      </w:pPr>
      <w:r>
        <w:rPr>
          <w:noProof/>
        </w:rPr>
        <w:t>Sports Infrastructure Fund, 20</w:t>
      </w:r>
    </w:p>
    <w:p w:rsidR="004A1298" w:rsidRDefault="004A1298">
      <w:pPr>
        <w:pStyle w:val="Index1"/>
        <w:tabs>
          <w:tab w:val="clear" w:pos="3485"/>
          <w:tab w:val="right" w:leader="dot" w:pos="3481"/>
        </w:tabs>
        <w:rPr>
          <w:noProof/>
        </w:rPr>
      </w:pPr>
      <w:r>
        <w:rPr>
          <w:noProof/>
        </w:rPr>
        <w:t>State Emergency Service, 18</w:t>
      </w:r>
    </w:p>
    <w:p w:rsidR="004A1298" w:rsidRDefault="004A1298">
      <w:pPr>
        <w:pStyle w:val="Index1"/>
        <w:tabs>
          <w:tab w:val="clear" w:pos="3485"/>
          <w:tab w:val="right" w:leader="dot" w:pos="3481"/>
        </w:tabs>
        <w:rPr>
          <w:noProof/>
        </w:rPr>
      </w:pPr>
      <w:r>
        <w:rPr>
          <w:noProof/>
        </w:rPr>
        <w:t>State of Victoria, 1, 49, 63, 69, 70</w:t>
      </w:r>
    </w:p>
    <w:p w:rsidR="004A1298" w:rsidRDefault="004A1298">
      <w:pPr>
        <w:pStyle w:val="Index1"/>
        <w:tabs>
          <w:tab w:val="clear" w:pos="3485"/>
          <w:tab w:val="right" w:leader="dot" w:pos="3481"/>
        </w:tabs>
        <w:rPr>
          <w:noProof/>
        </w:rPr>
      </w:pPr>
      <w:r>
        <w:rPr>
          <w:noProof/>
        </w:rPr>
        <w:t>Superannuation</w:t>
      </w:r>
    </w:p>
    <w:p w:rsidR="004A1298" w:rsidRDefault="004A1298">
      <w:pPr>
        <w:pStyle w:val="Index2"/>
        <w:tabs>
          <w:tab w:val="clear" w:pos="3485"/>
          <w:tab w:val="right" w:leader="dot" w:pos="3481"/>
        </w:tabs>
      </w:pPr>
      <w:r>
        <w:t>Liability, 67</w:t>
      </w:r>
    </w:p>
    <w:p w:rsidR="004A1298" w:rsidRDefault="004A1298">
      <w:pPr>
        <w:pStyle w:val="Index2"/>
        <w:tabs>
          <w:tab w:val="clear" w:pos="3485"/>
          <w:tab w:val="right" w:leader="dot" w:pos="3481"/>
        </w:tabs>
      </w:pPr>
      <w:r>
        <w:t>Unfunded superannuation liability, 59</w:t>
      </w:r>
    </w:p>
    <w:p w:rsidR="004A1298" w:rsidRDefault="004A1298">
      <w:pPr>
        <w:pStyle w:val="Index1"/>
        <w:tabs>
          <w:tab w:val="clear" w:pos="3485"/>
          <w:tab w:val="right" w:leader="dot" w:pos="3481"/>
        </w:tabs>
        <w:rPr>
          <w:noProof/>
        </w:rPr>
      </w:pPr>
      <w:r>
        <w:rPr>
          <w:noProof/>
        </w:rPr>
        <w:t xml:space="preserve">Surplus. </w:t>
      </w:r>
      <w:r w:rsidRPr="0059460B">
        <w:rPr>
          <w:i/>
          <w:noProof/>
        </w:rPr>
        <w:t xml:space="preserve">See </w:t>
      </w:r>
      <w:r>
        <w:rPr>
          <w:noProof/>
        </w:rPr>
        <w:t>Operating surplus</w:t>
      </w:r>
    </w:p>
    <w:p w:rsidR="004A1298" w:rsidRDefault="004A1298">
      <w:pPr>
        <w:keepLines w:val="0"/>
        <w:rPr>
          <w:rFonts w:asciiTheme="majorHAnsi" w:eastAsiaTheme="majorEastAsia" w:hAnsiTheme="majorHAnsi" w:cstheme="majorBidi"/>
          <w:b/>
          <w:bCs/>
          <w:noProof/>
          <w:sz w:val="26"/>
        </w:rPr>
      </w:pPr>
      <w:r>
        <w:rPr>
          <w:noProof/>
        </w:rPr>
        <w:br w:type="page"/>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lastRenderedPageBreak/>
        <w:t>T</w:t>
      </w:r>
    </w:p>
    <w:p w:rsidR="004A1298" w:rsidRDefault="004A1298">
      <w:pPr>
        <w:pStyle w:val="Index1"/>
        <w:tabs>
          <w:tab w:val="clear" w:pos="3485"/>
          <w:tab w:val="right" w:leader="dot" w:pos="3481"/>
        </w:tabs>
        <w:rPr>
          <w:noProof/>
        </w:rPr>
      </w:pPr>
      <w:r>
        <w:rPr>
          <w:noProof/>
        </w:rPr>
        <w:t>Taxation</w:t>
      </w:r>
    </w:p>
    <w:p w:rsidR="004A1298" w:rsidRDefault="004A1298">
      <w:pPr>
        <w:pStyle w:val="Index2"/>
        <w:tabs>
          <w:tab w:val="clear" w:pos="3485"/>
          <w:tab w:val="right" w:leader="dot" w:pos="3481"/>
        </w:tabs>
      </w:pPr>
      <w:r>
        <w:t>Goods and services tax, 50, 52, 56, 62, 76, 79, 81, 82</w:t>
      </w:r>
    </w:p>
    <w:p w:rsidR="004A1298" w:rsidRDefault="004A1298">
      <w:pPr>
        <w:pStyle w:val="Index2"/>
        <w:tabs>
          <w:tab w:val="clear" w:pos="3485"/>
          <w:tab w:val="right" w:leader="dot" w:pos="3481"/>
        </w:tabs>
      </w:pPr>
      <w:r>
        <w:t>Revenue, 64, 69</w:t>
      </w:r>
    </w:p>
    <w:p w:rsidR="004A1298" w:rsidRDefault="004A1298">
      <w:pPr>
        <w:pStyle w:val="Index1"/>
        <w:tabs>
          <w:tab w:val="clear" w:pos="3485"/>
          <w:tab w:val="right" w:leader="dot" w:pos="3481"/>
        </w:tabs>
        <w:rPr>
          <w:noProof/>
        </w:rPr>
      </w:pPr>
      <w:r>
        <w:rPr>
          <w:noProof/>
        </w:rPr>
        <w:t>Total Estimated Investment (TEI), 22, 47, 48, 58</w:t>
      </w:r>
    </w:p>
    <w:p w:rsidR="004A1298" w:rsidRDefault="004A1298">
      <w:pPr>
        <w:pStyle w:val="Index1"/>
        <w:tabs>
          <w:tab w:val="clear" w:pos="3485"/>
          <w:tab w:val="right" w:leader="dot" w:pos="3481"/>
        </w:tabs>
        <w:rPr>
          <w:noProof/>
        </w:rPr>
      </w:pPr>
      <w:r>
        <w:rPr>
          <w:noProof/>
        </w:rPr>
        <w:t>Tourism, 7, 27, 30</w:t>
      </w:r>
    </w:p>
    <w:p w:rsidR="004A1298" w:rsidRDefault="004A1298">
      <w:pPr>
        <w:pStyle w:val="Index1"/>
        <w:tabs>
          <w:tab w:val="clear" w:pos="3485"/>
          <w:tab w:val="right" w:leader="dot" w:pos="3481"/>
        </w:tabs>
        <w:rPr>
          <w:noProof/>
        </w:rPr>
      </w:pPr>
      <w:r>
        <w:rPr>
          <w:noProof/>
        </w:rPr>
        <w:t>Triple-A credit rating, 49</w:t>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t>U</w:t>
      </w:r>
    </w:p>
    <w:p w:rsidR="004A1298" w:rsidRDefault="004A1298">
      <w:pPr>
        <w:pStyle w:val="Index1"/>
        <w:tabs>
          <w:tab w:val="clear" w:pos="3485"/>
          <w:tab w:val="right" w:leader="dot" w:pos="3481"/>
        </w:tabs>
        <w:rPr>
          <w:noProof/>
        </w:rPr>
      </w:pPr>
      <w:r>
        <w:rPr>
          <w:noProof/>
        </w:rPr>
        <w:t>Unemployment, 4, 26</w:t>
      </w:r>
    </w:p>
    <w:p w:rsidR="004A1298" w:rsidRDefault="004A1298">
      <w:pPr>
        <w:pStyle w:val="Index2"/>
        <w:tabs>
          <w:tab w:val="clear" w:pos="3485"/>
          <w:tab w:val="right" w:leader="dot" w:pos="3481"/>
        </w:tabs>
      </w:pPr>
      <w:r>
        <w:t>Unemployment rate, 26</w:t>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lastRenderedPageBreak/>
        <w:t>V</w:t>
      </w:r>
    </w:p>
    <w:p w:rsidR="004A1298" w:rsidRDefault="004A1298">
      <w:pPr>
        <w:pStyle w:val="Index1"/>
        <w:tabs>
          <w:tab w:val="clear" w:pos="3485"/>
          <w:tab w:val="right" w:leader="dot" w:pos="3481"/>
        </w:tabs>
        <w:rPr>
          <w:noProof/>
        </w:rPr>
      </w:pPr>
      <w:r>
        <w:rPr>
          <w:noProof/>
        </w:rPr>
        <w:t>Victoria Police, 17</w:t>
      </w:r>
    </w:p>
    <w:p w:rsidR="004A1298" w:rsidRDefault="004A1298">
      <w:pPr>
        <w:pStyle w:val="Index1"/>
        <w:tabs>
          <w:tab w:val="clear" w:pos="3485"/>
          <w:tab w:val="right" w:leader="dot" w:pos="3481"/>
        </w:tabs>
        <w:rPr>
          <w:noProof/>
        </w:rPr>
      </w:pPr>
      <w:r>
        <w:rPr>
          <w:noProof/>
        </w:rPr>
        <w:t>Visit Victoria, 7</w:t>
      </w:r>
    </w:p>
    <w:p w:rsidR="004A1298" w:rsidRDefault="004A1298">
      <w:pPr>
        <w:pStyle w:val="Index1"/>
        <w:tabs>
          <w:tab w:val="clear" w:pos="3485"/>
          <w:tab w:val="right" w:leader="dot" w:pos="3481"/>
        </w:tabs>
        <w:rPr>
          <w:noProof/>
        </w:rPr>
      </w:pPr>
      <w:r>
        <w:rPr>
          <w:noProof/>
        </w:rPr>
        <w:t>VLocity carriages, 17</w:t>
      </w:r>
    </w:p>
    <w:p w:rsidR="004A1298" w:rsidRDefault="004A1298">
      <w:pPr>
        <w:pStyle w:val="IndexHeading"/>
        <w:keepNext/>
        <w:tabs>
          <w:tab w:val="right" w:leader="dot" w:pos="3481"/>
        </w:tabs>
        <w:rPr>
          <w:rFonts w:asciiTheme="minorHAnsi" w:eastAsiaTheme="minorEastAsia" w:hAnsiTheme="minorHAnsi" w:cstheme="minorBidi"/>
          <w:b w:val="0"/>
          <w:bCs w:val="0"/>
          <w:noProof/>
        </w:rPr>
      </w:pPr>
      <w:r>
        <w:rPr>
          <w:noProof/>
        </w:rPr>
        <w:t>W</w:t>
      </w:r>
    </w:p>
    <w:p w:rsidR="004A1298" w:rsidRDefault="004A1298">
      <w:pPr>
        <w:pStyle w:val="Index1"/>
        <w:tabs>
          <w:tab w:val="clear" w:pos="3485"/>
          <w:tab w:val="right" w:leader="dot" w:pos="3481"/>
        </w:tabs>
        <w:rPr>
          <w:noProof/>
        </w:rPr>
      </w:pPr>
      <w:r>
        <w:rPr>
          <w:noProof/>
        </w:rPr>
        <w:t>Wages, 3, 27, 60</w:t>
      </w:r>
    </w:p>
    <w:p w:rsidR="004A1298" w:rsidRDefault="004A1298">
      <w:pPr>
        <w:pStyle w:val="Index1"/>
        <w:tabs>
          <w:tab w:val="clear" w:pos="3485"/>
          <w:tab w:val="right" w:leader="dot" w:pos="3481"/>
        </w:tabs>
        <w:rPr>
          <w:noProof/>
        </w:rPr>
      </w:pPr>
      <w:r>
        <w:rPr>
          <w:noProof/>
        </w:rPr>
        <w:t>Water for Victoria, 15</w:t>
      </w:r>
    </w:p>
    <w:p w:rsidR="004A1298" w:rsidRDefault="004A1298">
      <w:pPr>
        <w:pStyle w:val="Index1"/>
        <w:tabs>
          <w:tab w:val="clear" w:pos="3485"/>
          <w:tab w:val="right" w:leader="dot" w:pos="3481"/>
        </w:tabs>
        <w:rPr>
          <w:noProof/>
        </w:rPr>
      </w:pPr>
      <w:r>
        <w:rPr>
          <w:noProof/>
        </w:rPr>
        <w:t>West Gate Tunnel Project, 7, 9, 22, 42, 48, 57, 58</w:t>
      </w:r>
    </w:p>
    <w:p w:rsidR="004A1298" w:rsidRDefault="004A1298">
      <w:pPr>
        <w:pStyle w:val="Index1"/>
        <w:tabs>
          <w:tab w:val="clear" w:pos="3485"/>
          <w:tab w:val="right" w:leader="dot" w:pos="3481"/>
        </w:tabs>
        <w:rPr>
          <w:noProof/>
        </w:rPr>
      </w:pPr>
      <w:r>
        <w:rPr>
          <w:noProof/>
        </w:rPr>
        <w:t>Western Suburbs Roads Package, 22, 65</w:t>
      </w:r>
    </w:p>
    <w:p w:rsidR="004A1298" w:rsidRDefault="004A1298" w:rsidP="00CD3AC2">
      <w:pPr>
        <w:pStyle w:val="IndexHeading"/>
        <w:rPr>
          <w:noProof/>
        </w:rPr>
        <w:sectPr w:rsidR="004A1298" w:rsidSect="004A1298">
          <w:type w:val="continuous"/>
          <w:pgSz w:w="9979" w:h="14175" w:code="34"/>
          <w:pgMar w:top="1138" w:right="1138" w:bottom="1138" w:left="1138" w:header="619" w:footer="562" w:gutter="0"/>
          <w:cols w:num="2" w:space="720"/>
          <w:docGrid w:linePitch="360"/>
        </w:sectPr>
      </w:pPr>
    </w:p>
    <w:p w:rsidR="00760B4D" w:rsidRDefault="00356A95" w:rsidP="00CD3AC2">
      <w:pPr>
        <w:pStyle w:val="IndexHeading"/>
      </w:pPr>
      <w:r>
        <w:lastRenderedPageBreak/>
        <w:fldChar w:fldCharType="end"/>
      </w:r>
    </w:p>
    <w:p w:rsidR="00760B4D" w:rsidRDefault="00760B4D" w:rsidP="00760B4D">
      <w:pPr>
        <w:pStyle w:val="Heading10"/>
      </w:pPr>
      <w:r>
        <w:br w:type="page"/>
      </w:r>
    </w:p>
    <w:p w:rsidR="00CD3AC2" w:rsidRPr="00CD3AC2" w:rsidRDefault="00CD3AC2" w:rsidP="00CD3AC2">
      <w:pPr>
        <w:pStyle w:val="IndexHeading"/>
      </w:pPr>
    </w:p>
    <w:p w:rsidR="00552DFA" w:rsidRDefault="00552DFA" w:rsidP="004419CD"/>
    <w:sectPr w:rsidR="00552DFA" w:rsidSect="004A1298">
      <w:type w:val="continuous"/>
      <w:pgSz w:w="9979" w:h="14175" w:code="34"/>
      <w:pgMar w:top="1138" w:right="1138" w:bottom="1138" w:left="1138" w:header="619" w:footer="562" w:gutter="0"/>
      <w:cols w:sep="1"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AE0" w:rsidRDefault="008F2AE0" w:rsidP="00552DFA">
      <w:pPr>
        <w:spacing w:before="0"/>
      </w:pPr>
      <w:r>
        <w:separator/>
      </w:r>
    </w:p>
  </w:endnote>
  <w:endnote w:type="continuationSeparator" w:id="0">
    <w:p w:rsidR="008F2AE0" w:rsidRDefault="008F2AE0" w:rsidP="00552DF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Pr="00D90086" w:rsidRDefault="008F2AE0" w:rsidP="001B09E2">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49535D">
      <w:rPr>
        <w:rStyle w:val="PageNumber"/>
        <w:rFonts w:asciiTheme="majorHAnsi" w:hAnsiTheme="majorHAnsi"/>
        <w:noProof/>
      </w:rPr>
      <w:t>ii</w:t>
    </w:r>
    <w:r w:rsidRPr="00D90086">
      <w:rPr>
        <w:rStyle w:val="PageNumber"/>
        <w:rFonts w:asciiTheme="majorHAnsi" w:hAnsiTheme="majorHAnsi"/>
      </w:rPr>
      <w:fldChar w:fldCharType="end"/>
    </w:r>
    <w:r w:rsidRPr="00D90086">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Pr="00DA1818" w:rsidRDefault="008F2AE0" w:rsidP="00DA1818">
    <w:pPr>
      <w:pStyle w:val="Footerodd"/>
    </w:pPr>
    <w:r w:rsidRPr="00DA1818">
      <w:rPr>
        <w:rStyle w:val="PageNumber"/>
        <w:rFonts w:asciiTheme="majorHAnsi" w:hAnsiTheme="majorHAnsi"/>
      </w:rPr>
      <w:t>2017</w:t>
    </w:r>
    <w:r w:rsidRPr="00DA1818">
      <w:rPr>
        <w:rStyle w:val="PageNumber"/>
        <w:rFonts w:asciiTheme="majorHAnsi" w:hAnsiTheme="majorHAnsi"/>
      </w:rPr>
      <w:noBreakHyphen/>
      <w:t>18 Strategy and Outlook</w:t>
    </w:r>
    <w:r w:rsidRPr="00DA1818">
      <w:tab/>
      <w:t>Chapter 4</w:t>
    </w:r>
    <w:r w:rsidRPr="00DA1818">
      <w:tab/>
    </w:r>
    <w:r w:rsidRPr="00DA1818">
      <w:rPr>
        <w:rStyle w:val="PageNumber"/>
        <w:rFonts w:asciiTheme="majorHAnsi" w:hAnsiTheme="majorHAnsi"/>
      </w:rPr>
      <w:fldChar w:fldCharType="begin"/>
    </w:r>
    <w:r w:rsidRPr="00DA1818">
      <w:rPr>
        <w:rStyle w:val="PageNumber"/>
        <w:rFonts w:asciiTheme="majorHAnsi" w:hAnsiTheme="majorHAnsi"/>
      </w:rPr>
      <w:instrText xml:space="preserve"> PAGE </w:instrText>
    </w:r>
    <w:r w:rsidRPr="00DA1818">
      <w:rPr>
        <w:rStyle w:val="PageNumber"/>
        <w:rFonts w:asciiTheme="majorHAnsi" w:hAnsiTheme="majorHAnsi"/>
      </w:rPr>
      <w:fldChar w:fldCharType="separate"/>
    </w:r>
    <w:r w:rsidR="0049535D">
      <w:rPr>
        <w:rStyle w:val="PageNumber"/>
        <w:rFonts w:asciiTheme="majorHAnsi" w:hAnsiTheme="majorHAnsi"/>
        <w:noProof/>
      </w:rPr>
      <w:t>57</w:t>
    </w:r>
    <w:r w:rsidRPr="00DA1818">
      <w:rPr>
        <w:rStyle w:val="PageNumber"/>
        <w:rFonts w:asciiTheme="majorHAnsi" w:hAnsiTheme="majorHAns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Pr="00DA1818" w:rsidRDefault="008F2AE0" w:rsidP="00DA1818">
    <w:pPr>
      <w:pStyle w:val="Footereven"/>
    </w:pPr>
    <w:r w:rsidRPr="00DA1818">
      <w:rPr>
        <w:rStyle w:val="PageNumber"/>
        <w:rFonts w:asciiTheme="majorHAnsi" w:hAnsiTheme="majorHAnsi"/>
      </w:rPr>
      <w:fldChar w:fldCharType="begin"/>
    </w:r>
    <w:r w:rsidRPr="00DA1818">
      <w:rPr>
        <w:rStyle w:val="PageNumber"/>
        <w:rFonts w:asciiTheme="majorHAnsi" w:hAnsiTheme="majorHAnsi"/>
      </w:rPr>
      <w:instrText xml:space="preserve"> PAGE </w:instrText>
    </w:r>
    <w:r w:rsidRPr="00DA1818">
      <w:rPr>
        <w:rStyle w:val="PageNumber"/>
        <w:rFonts w:asciiTheme="majorHAnsi" w:hAnsiTheme="majorHAnsi"/>
      </w:rPr>
      <w:fldChar w:fldCharType="separate"/>
    </w:r>
    <w:r w:rsidR="0049535D">
      <w:rPr>
        <w:rStyle w:val="PageNumber"/>
        <w:rFonts w:asciiTheme="majorHAnsi" w:hAnsiTheme="majorHAnsi"/>
        <w:noProof/>
      </w:rPr>
      <w:t>70</w:t>
    </w:r>
    <w:r w:rsidRPr="00DA1818">
      <w:rPr>
        <w:rStyle w:val="PageNumber"/>
        <w:rFonts w:asciiTheme="majorHAnsi" w:hAnsiTheme="majorHAnsi"/>
      </w:rPr>
      <w:fldChar w:fldCharType="end"/>
    </w:r>
    <w:r w:rsidRPr="00DA1818">
      <w:tab/>
      <w:t>Chapter 5</w:t>
    </w:r>
    <w:r w:rsidRPr="00DA1818">
      <w:tab/>
    </w:r>
    <w:r w:rsidRPr="00DA1818">
      <w:rPr>
        <w:rStyle w:val="PageNumber"/>
        <w:rFonts w:asciiTheme="majorHAnsi" w:hAnsiTheme="majorHAnsi"/>
      </w:rPr>
      <w:t>2017</w:t>
    </w:r>
    <w:r w:rsidRPr="00DA1818">
      <w:rPr>
        <w:rStyle w:val="PageNumber"/>
        <w:rFonts w:asciiTheme="majorHAnsi" w:hAnsiTheme="majorHAnsi"/>
      </w:rPr>
      <w:noBreakHyphen/>
      <w:t>18 Strategy and Outlook</w:t>
    </w:r>
    <w:r w:rsidRPr="00DA1818">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Pr="00DA1818" w:rsidRDefault="008F2AE0" w:rsidP="00DA1818">
    <w:pPr>
      <w:pStyle w:val="Footerodd"/>
    </w:pPr>
    <w:r w:rsidRPr="00DA1818">
      <w:rPr>
        <w:rStyle w:val="PageNumber"/>
        <w:rFonts w:asciiTheme="majorHAnsi" w:hAnsiTheme="majorHAnsi"/>
      </w:rPr>
      <w:t>2017</w:t>
    </w:r>
    <w:r w:rsidRPr="00DA1818">
      <w:rPr>
        <w:rStyle w:val="PageNumber"/>
        <w:rFonts w:asciiTheme="majorHAnsi" w:hAnsiTheme="majorHAnsi"/>
      </w:rPr>
      <w:noBreakHyphen/>
      <w:t>18 Strategy and Outlook</w:t>
    </w:r>
    <w:r w:rsidRPr="00DA1818">
      <w:tab/>
      <w:t>Chapter 5</w:t>
    </w:r>
    <w:r w:rsidRPr="00DA1818">
      <w:tab/>
    </w:r>
    <w:r w:rsidRPr="00DA1818">
      <w:rPr>
        <w:rStyle w:val="PageNumber"/>
        <w:rFonts w:asciiTheme="majorHAnsi" w:hAnsiTheme="majorHAnsi"/>
      </w:rPr>
      <w:fldChar w:fldCharType="begin"/>
    </w:r>
    <w:r w:rsidRPr="00DA1818">
      <w:rPr>
        <w:rStyle w:val="PageNumber"/>
        <w:rFonts w:asciiTheme="majorHAnsi" w:hAnsiTheme="majorHAnsi"/>
      </w:rPr>
      <w:instrText xml:space="preserve"> PAGE </w:instrText>
    </w:r>
    <w:r w:rsidRPr="00DA1818">
      <w:rPr>
        <w:rStyle w:val="PageNumber"/>
        <w:rFonts w:asciiTheme="majorHAnsi" w:hAnsiTheme="majorHAnsi"/>
      </w:rPr>
      <w:fldChar w:fldCharType="separate"/>
    </w:r>
    <w:r w:rsidR="0049535D">
      <w:rPr>
        <w:rStyle w:val="PageNumber"/>
        <w:rFonts w:asciiTheme="majorHAnsi" w:hAnsiTheme="majorHAnsi"/>
        <w:noProof/>
      </w:rPr>
      <w:t>69</w:t>
    </w:r>
    <w:r w:rsidRPr="00DA1818">
      <w:rPr>
        <w:rStyle w:val="PageNumber"/>
        <w:rFonts w:asciiTheme="majorHAnsi" w:hAnsiTheme="majorHAnsi"/>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Pr="00D90086" w:rsidRDefault="008F2AE0"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49535D">
      <w:rPr>
        <w:rStyle w:val="PageNumber"/>
        <w:rFonts w:asciiTheme="majorHAnsi" w:hAnsiTheme="majorHAnsi"/>
        <w:noProof/>
      </w:rPr>
      <w:t>82</w:t>
    </w:r>
    <w:r w:rsidRPr="00D90086">
      <w:rPr>
        <w:rStyle w:val="PageNumber"/>
        <w:rFonts w:asciiTheme="majorHAnsi" w:hAnsiTheme="majorHAnsi"/>
      </w:rPr>
      <w:fldChar w:fldCharType="end"/>
    </w:r>
    <w:r w:rsidRPr="00D90086">
      <w:tab/>
    </w:r>
    <w:r>
      <w:t>Appendix A</w:t>
    </w:r>
    <w:r w:rsidRPr="00D90086">
      <w:tab/>
    </w:r>
    <w:r>
      <w:rPr>
        <w:rStyle w:val="PageNumber"/>
        <w:rFonts w:asciiTheme="majorHAnsi" w:hAnsiTheme="majorHAnsi"/>
      </w:rPr>
      <w:t>2017</w:t>
    </w:r>
    <w:r>
      <w:rPr>
        <w:rStyle w:val="PageNumber"/>
        <w:rFonts w:asciiTheme="majorHAnsi" w:hAnsiTheme="majorHAnsi"/>
      </w:rPr>
      <w:noBreakHyphen/>
      <w:t>18 Strategy and Outlook</w:t>
    </w:r>
    <w:r w:rsidRPr="00D90086">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Pr="00BA26F2" w:rsidRDefault="008F2AE0" w:rsidP="008155D0">
    <w:pPr>
      <w:pStyle w:val="Footerodd"/>
    </w:pPr>
    <w:r>
      <w:rPr>
        <w:rStyle w:val="PageNumber"/>
        <w:rFonts w:asciiTheme="majorHAnsi" w:hAnsiTheme="majorHAnsi"/>
      </w:rPr>
      <w:t>2017</w:t>
    </w:r>
    <w:r>
      <w:rPr>
        <w:rStyle w:val="PageNumber"/>
        <w:rFonts w:asciiTheme="majorHAnsi" w:hAnsiTheme="majorHAnsi"/>
      </w:rPr>
      <w:noBreakHyphen/>
      <w:t>18 Strategy and Outlook</w:t>
    </w:r>
    <w:r w:rsidRPr="00BA26F2">
      <w:tab/>
    </w:r>
    <w:r>
      <w:t>Appendix A</w:t>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49535D">
      <w:rPr>
        <w:rStyle w:val="PageNumber"/>
        <w:rFonts w:asciiTheme="majorHAnsi" w:hAnsiTheme="majorHAnsi"/>
        <w:noProof/>
      </w:rPr>
      <w:t>83</w:t>
    </w:r>
    <w:r w:rsidRPr="00BA26F2">
      <w:rPr>
        <w:rStyle w:val="PageNumber"/>
        <w:rFonts w:asciiTheme="majorHAnsi" w:hAnsiTheme="majorHAnsi"/>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Pr="00D90086" w:rsidRDefault="008F2AE0"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49535D">
      <w:rPr>
        <w:rStyle w:val="PageNumber"/>
        <w:rFonts w:asciiTheme="majorHAnsi" w:hAnsiTheme="majorHAnsi"/>
        <w:noProof/>
      </w:rPr>
      <w:t>86</w:t>
    </w:r>
    <w:r w:rsidRPr="00D90086">
      <w:rPr>
        <w:rStyle w:val="PageNumber"/>
        <w:rFonts w:asciiTheme="majorHAnsi" w:hAnsiTheme="majorHAnsi"/>
      </w:rPr>
      <w:fldChar w:fldCharType="end"/>
    </w:r>
    <w:r w:rsidRPr="00D90086">
      <w:tab/>
    </w:r>
    <w:r>
      <w:t>Style conventions</w:t>
    </w:r>
    <w:r w:rsidRPr="00D90086">
      <w:tab/>
    </w:r>
    <w:r>
      <w:rPr>
        <w:rStyle w:val="PageNumber"/>
        <w:rFonts w:asciiTheme="majorHAnsi" w:hAnsiTheme="majorHAnsi"/>
      </w:rPr>
      <w:t>2017</w:t>
    </w:r>
    <w:r>
      <w:rPr>
        <w:rStyle w:val="PageNumber"/>
        <w:rFonts w:asciiTheme="majorHAnsi" w:hAnsiTheme="majorHAnsi"/>
      </w:rPr>
      <w:noBreakHyphen/>
      <w:t>18 Strategy and Outlook</w:t>
    </w:r>
    <w:r w:rsidRPr="00D90086">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Pr="00BA26F2" w:rsidRDefault="008F2AE0" w:rsidP="008155D0">
    <w:pPr>
      <w:pStyle w:val="Footerodd"/>
    </w:pPr>
    <w:r>
      <w:rPr>
        <w:rStyle w:val="PageNumber"/>
        <w:rFonts w:asciiTheme="majorHAnsi" w:hAnsiTheme="majorHAnsi"/>
      </w:rPr>
      <w:t>2017</w:t>
    </w:r>
    <w:r>
      <w:rPr>
        <w:rStyle w:val="PageNumber"/>
        <w:rFonts w:asciiTheme="majorHAnsi" w:hAnsiTheme="majorHAnsi"/>
      </w:rPr>
      <w:noBreakHyphen/>
      <w:t>18 Strategy and Outlook</w:t>
    </w:r>
    <w:r w:rsidRPr="00BA26F2">
      <w:tab/>
    </w:r>
    <w:r>
      <w:t>Style conventions</w:t>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49535D">
      <w:rPr>
        <w:rStyle w:val="PageNumber"/>
        <w:rFonts w:asciiTheme="majorHAnsi" w:hAnsiTheme="majorHAnsi"/>
        <w:noProof/>
      </w:rPr>
      <w:t>85</w:t>
    </w:r>
    <w:r w:rsidRPr="00BA26F2">
      <w:rPr>
        <w:rStyle w:val="PageNumber"/>
        <w:rFonts w:asciiTheme="majorHAnsi" w:hAnsiTheme="majorHAns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Default="008F2AE0">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Pr="00D90086" w:rsidRDefault="008F2AE0"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49535D">
      <w:rPr>
        <w:rStyle w:val="PageNumber"/>
        <w:rFonts w:asciiTheme="majorHAnsi" w:hAnsiTheme="majorHAnsi"/>
        <w:noProof/>
      </w:rPr>
      <w:t>90</w:t>
    </w:r>
    <w:r w:rsidRPr="00D90086">
      <w:rPr>
        <w:rStyle w:val="PageNumber"/>
        <w:rFonts w:asciiTheme="majorHAnsi" w:hAnsiTheme="majorHAnsi"/>
      </w:rPr>
      <w:fldChar w:fldCharType="end"/>
    </w:r>
    <w:r w:rsidRPr="00D90086">
      <w:tab/>
    </w:r>
    <w:r>
      <w:t>Index</w:t>
    </w:r>
    <w:r w:rsidRPr="00D90086">
      <w:tab/>
    </w:r>
    <w:r>
      <w:rPr>
        <w:rStyle w:val="PageNumber"/>
        <w:rFonts w:asciiTheme="majorHAnsi" w:hAnsiTheme="majorHAnsi"/>
      </w:rPr>
      <w:t>2017</w:t>
    </w:r>
    <w:r>
      <w:rPr>
        <w:rStyle w:val="PageNumber"/>
        <w:rFonts w:asciiTheme="majorHAnsi" w:hAnsiTheme="majorHAnsi"/>
      </w:rPr>
      <w:noBreakHyphen/>
      <w:t>18 Strategy and Outlook</w:t>
    </w:r>
    <w:r w:rsidRPr="00D90086">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Pr="00BA26F2" w:rsidRDefault="008F2AE0" w:rsidP="008155D0">
    <w:pPr>
      <w:pStyle w:val="Footerodd"/>
    </w:pPr>
    <w:r>
      <w:rPr>
        <w:rStyle w:val="PageNumber"/>
        <w:rFonts w:asciiTheme="majorHAnsi" w:hAnsiTheme="majorHAnsi"/>
      </w:rPr>
      <w:t>2017</w:t>
    </w:r>
    <w:r>
      <w:rPr>
        <w:rStyle w:val="PageNumber"/>
        <w:rFonts w:asciiTheme="majorHAnsi" w:hAnsiTheme="majorHAnsi"/>
      </w:rPr>
      <w:noBreakHyphen/>
      <w:t>18 Strategy and Outlook</w:t>
    </w:r>
    <w:r w:rsidRPr="00BA26F2">
      <w:tab/>
    </w:r>
    <w:r>
      <w:t>Index</w:t>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49535D">
      <w:rPr>
        <w:rStyle w:val="PageNumber"/>
        <w:rFonts w:asciiTheme="majorHAnsi" w:hAnsiTheme="majorHAnsi"/>
        <w:noProof/>
      </w:rPr>
      <w:t>89</w:t>
    </w:r>
    <w:r w:rsidRPr="00BA26F2">
      <w:rPr>
        <w:rStyle w:val="PageNumber"/>
        <w:rFonts w:asciiTheme="majorHAnsi" w:hAnsiTheme="majorHAns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Pr="00BA26F2" w:rsidRDefault="008F2AE0" w:rsidP="001B09E2">
    <w:pPr>
      <w:jc w:val="right"/>
    </w:pP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49535D">
      <w:rPr>
        <w:rStyle w:val="PageNumber"/>
        <w:rFonts w:asciiTheme="majorHAnsi" w:hAnsiTheme="majorHAnsi"/>
        <w:noProof/>
      </w:rPr>
      <w:t>i</w:t>
    </w:r>
    <w:r w:rsidRPr="00BA26F2">
      <w:rPr>
        <w:rStyle w:val="PageNumber"/>
        <w:rFonts w:asciiTheme="majorHAnsi" w:hAnsiTheme="majorHAns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Pr="00D90086" w:rsidRDefault="008F2AE0"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49535D">
      <w:rPr>
        <w:rStyle w:val="PageNumber"/>
        <w:rFonts w:asciiTheme="majorHAnsi" w:hAnsiTheme="majorHAnsi"/>
        <w:noProof/>
      </w:rPr>
      <w:t>10</w:t>
    </w:r>
    <w:r w:rsidRPr="00D90086">
      <w:rPr>
        <w:rStyle w:val="PageNumber"/>
        <w:rFonts w:asciiTheme="majorHAnsi" w:hAnsiTheme="majorHAnsi"/>
      </w:rPr>
      <w:fldChar w:fldCharType="end"/>
    </w:r>
    <w:r w:rsidRPr="00D90086">
      <w:tab/>
    </w:r>
    <w:r>
      <w:t>Chapter 1</w:t>
    </w:r>
    <w:r w:rsidRPr="00D90086">
      <w:tab/>
    </w:r>
    <w:r>
      <w:rPr>
        <w:rStyle w:val="PageNumber"/>
        <w:rFonts w:asciiTheme="majorHAnsi" w:hAnsiTheme="majorHAnsi"/>
      </w:rPr>
      <w:t>2017</w:t>
    </w:r>
    <w:r>
      <w:rPr>
        <w:rStyle w:val="PageNumber"/>
        <w:rFonts w:asciiTheme="majorHAnsi" w:hAnsiTheme="majorHAnsi"/>
      </w:rPr>
      <w:noBreakHyphen/>
      <w:t>18 Strategy and Outlook</w:t>
    </w:r>
    <w:r w:rsidRPr="00D90086">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Pr="00BA26F2" w:rsidRDefault="008F2AE0" w:rsidP="008155D0">
    <w:pPr>
      <w:pStyle w:val="Footerodd"/>
    </w:pPr>
    <w:r>
      <w:rPr>
        <w:rStyle w:val="PageNumber"/>
        <w:rFonts w:asciiTheme="majorHAnsi" w:hAnsiTheme="majorHAnsi"/>
      </w:rPr>
      <w:t>2017</w:t>
    </w:r>
    <w:r>
      <w:rPr>
        <w:rStyle w:val="PageNumber"/>
        <w:rFonts w:asciiTheme="majorHAnsi" w:hAnsiTheme="majorHAnsi"/>
      </w:rPr>
      <w:noBreakHyphen/>
      <w:t>18 Strategy and Outlook</w:t>
    </w:r>
    <w:r w:rsidRPr="00BA26F2">
      <w:tab/>
    </w:r>
    <w:r>
      <w:t>Chapter 1</w:t>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49535D">
      <w:rPr>
        <w:rStyle w:val="PageNumber"/>
        <w:rFonts w:asciiTheme="majorHAnsi" w:hAnsiTheme="majorHAnsi"/>
        <w:noProof/>
      </w:rPr>
      <w:t>23</w:t>
    </w:r>
    <w:r w:rsidRPr="00BA26F2">
      <w:rPr>
        <w:rStyle w:val="PageNumber"/>
        <w:rFonts w:asciiTheme="majorHAnsi" w:hAnsiTheme="majorHAns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Pr="00DA1818" w:rsidRDefault="008F2AE0" w:rsidP="00DA1818">
    <w:pPr>
      <w:pStyle w:val="Footereven"/>
    </w:pPr>
    <w:r w:rsidRPr="00DA1818">
      <w:rPr>
        <w:rStyle w:val="PageNumber"/>
        <w:rFonts w:asciiTheme="majorHAnsi" w:hAnsiTheme="majorHAnsi"/>
      </w:rPr>
      <w:fldChar w:fldCharType="begin"/>
    </w:r>
    <w:r w:rsidRPr="00DA1818">
      <w:rPr>
        <w:rStyle w:val="PageNumber"/>
        <w:rFonts w:asciiTheme="majorHAnsi" w:hAnsiTheme="majorHAnsi"/>
      </w:rPr>
      <w:instrText xml:space="preserve"> PAGE </w:instrText>
    </w:r>
    <w:r w:rsidRPr="00DA1818">
      <w:rPr>
        <w:rStyle w:val="PageNumber"/>
        <w:rFonts w:asciiTheme="majorHAnsi" w:hAnsiTheme="majorHAnsi"/>
      </w:rPr>
      <w:fldChar w:fldCharType="separate"/>
    </w:r>
    <w:r w:rsidR="0049535D">
      <w:rPr>
        <w:rStyle w:val="PageNumber"/>
        <w:rFonts w:asciiTheme="majorHAnsi" w:hAnsiTheme="majorHAnsi"/>
        <w:noProof/>
      </w:rPr>
      <w:t>30</w:t>
    </w:r>
    <w:r w:rsidRPr="00DA1818">
      <w:rPr>
        <w:rStyle w:val="PageNumber"/>
        <w:rFonts w:asciiTheme="majorHAnsi" w:hAnsiTheme="majorHAnsi"/>
      </w:rPr>
      <w:fldChar w:fldCharType="end"/>
    </w:r>
    <w:r w:rsidRPr="00DA1818">
      <w:tab/>
      <w:t>Chapter 2</w:t>
    </w:r>
    <w:r w:rsidRPr="00DA1818">
      <w:tab/>
    </w:r>
    <w:r w:rsidRPr="00DA1818">
      <w:rPr>
        <w:rStyle w:val="PageNumber"/>
        <w:rFonts w:asciiTheme="majorHAnsi" w:hAnsiTheme="majorHAnsi"/>
      </w:rPr>
      <w:t>2017</w:t>
    </w:r>
    <w:r w:rsidRPr="00DA1818">
      <w:rPr>
        <w:rStyle w:val="PageNumber"/>
        <w:rFonts w:asciiTheme="majorHAnsi" w:hAnsiTheme="majorHAnsi"/>
      </w:rPr>
      <w:noBreakHyphen/>
      <w:t>18 Strategy and Outlook</w:t>
    </w:r>
    <w:r w:rsidRPr="00DA1818">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Pr="00DA1818" w:rsidRDefault="008F2AE0" w:rsidP="00DA1818">
    <w:pPr>
      <w:pStyle w:val="Footerodd"/>
    </w:pPr>
    <w:r w:rsidRPr="00DA1818">
      <w:rPr>
        <w:rStyle w:val="PageNumber"/>
        <w:rFonts w:asciiTheme="majorHAnsi" w:hAnsiTheme="majorHAnsi"/>
      </w:rPr>
      <w:t>2017</w:t>
    </w:r>
    <w:r w:rsidRPr="00DA1818">
      <w:rPr>
        <w:rStyle w:val="PageNumber"/>
        <w:rFonts w:asciiTheme="majorHAnsi" w:hAnsiTheme="majorHAnsi"/>
      </w:rPr>
      <w:noBreakHyphen/>
      <w:t>18 Strategy and Outlook</w:t>
    </w:r>
    <w:r w:rsidRPr="00DA1818">
      <w:tab/>
      <w:t>Chapter 2</w:t>
    </w:r>
    <w:r w:rsidRPr="00DA1818">
      <w:tab/>
    </w:r>
    <w:r w:rsidRPr="00DA1818">
      <w:rPr>
        <w:rStyle w:val="PageNumber"/>
        <w:rFonts w:asciiTheme="majorHAnsi" w:hAnsiTheme="majorHAnsi"/>
      </w:rPr>
      <w:fldChar w:fldCharType="begin"/>
    </w:r>
    <w:r w:rsidRPr="00DA1818">
      <w:rPr>
        <w:rStyle w:val="PageNumber"/>
        <w:rFonts w:asciiTheme="majorHAnsi" w:hAnsiTheme="majorHAnsi"/>
      </w:rPr>
      <w:instrText xml:space="preserve"> PAGE </w:instrText>
    </w:r>
    <w:r w:rsidRPr="00DA1818">
      <w:rPr>
        <w:rStyle w:val="PageNumber"/>
        <w:rFonts w:asciiTheme="majorHAnsi" w:hAnsiTheme="majorHAnsi"/>
      </w:rPr>
      <w:fldChar w:fldCharType="separate"/>
    </w:r>
    <w:r w:rsidR="0049535D">
      <w:rPr>
        <w:rStyle w:val="PageNumber"/>
        <w:rFonts w:asciiTheme="majorHAnsi" w:hAnsiTheme="majorHAnsi"/>
        <w:noProof/>
      </w:rPr>
      <w:t>31</w:t>
    </w:r>
    <w:r w:rsidRPr="00DA1818">
      <w:rPr>
        <w:rStyle w:val="PageNumber"/>
        <w:rFonts w:asciiTheme="majorHAnsi" w:hAnsiTheme="majorHAns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Pr="00DA1818" w:rsidRDefault="008F2AE0" w:rsidP="00DA1818">
    <w:pPr>
      <w:pStyle w:val="Footereven"/>
    </w:pPr>
    <w:r w:rsidRPr="00DA1818">
      <w:rPr>
        <w:rStyle w:val="PageNumber"/>
        <w:rFonts w:asciiTheme="majorHAnsi" w:hAnsiTheme="majorHAnsi"/>
      </w:rPr>
      <w:fldChar w:fldCharType="begin"/>
    </w:r>
    <w:r w:rsidRPr="00DA1818">
      <w:rPr>
        <w:rStyle w:val="PageNumber"/>
        <w:rFonts w:asciiTheme="majorHAnsi" w:hAnsiTheme="majorHAnsi"/>
      </w:rPr>
      <w:instrText xml:space="preserve"> PAGE </w:instrText>
    </w:r>
    <w:r w:rsidRPr="00DA1818">
      <w:rPr>
        <w:rStyle w:val="PageNumber"/>
        <w:rFonts w:asciiTheme="majorHAnsi" w:hAnsiTheme="majorHAnsi"/>
      </w:rPr>
      <w:fldChar w:fldCharType="separate"/>
    </w:r>
    <w:r w:rsidR="0049535D">
      <w:rPr>
        <w:rStyle w:val="PageNumber"/>
        <w:rFonts w:asciiTheme="majorHAnsi" w:hAnsiTheme="majorHAnsi"/>
        <w:noProof/>
      </w:rPr>
      <w:t>40</w:t>
    </w:r>
    <w:r w:rsidRPr="00DA1818">
      <w:rPr>
        <w:rStyle w:val="PageNumber"/>
        <w:rFonts w:asciiTheme="majorHAnsi" w:hAnsiTheme="majorHAnsi"/>
      </w:rPr>
      <w:fldChar w:fldCharType="end"/>
    </w:r>
    <w:r w:rsidRPr="00DA1818">
      <w:tab/>
      <w:t>Chapter 3</w:t>
    </w:r>
    <w:r w:rsidRPr="00DA1818">
      <w:tab/>
    </w:r>
    <w:r w:rsidRPr="00DA1818">
      <w:rPr>
        <w:rStyle w:val="PageNumber"/>
        <w:rFonts w:asciiTheme="majorHAnsi" w:hAnsiTheme="majorHAnsi"/>
      </w:rPr>
      <w:t>2017</w:t>
    </w:r>
    <w:r w:rsidRPr="00DA1818">
      <w:rPr>
        <w:rStyle w:val="PageNumber"/>
        <w:rFonts w:asciiTheme="majorHAnsi" w:hAnsiTheme="majorHAnsi"/>
      </w:rPr>
      <w:noBreakHyphen/>
      <w:t>18 Strategy and Outlook</w:t>
    </w:r>
    <w:r w:rsidRPr="00DA1818">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Pr="00DA1818" w:rsidRDefault="008F2AE0" w:rsidP="00DA1818">
    <w:pPr>
      <w:pStyle w:val="Footerodd"/>
    </w:pPr>
    <w:r w:rsidRPr="00DA1818">
      <w:rPr>
        <w:rStyle w:val="PageNumber"/>
        <w:rFonts w:asciiTheme="majorHAnsi" w:hAnsiTheme="majorHAnsi"/>
      </w:rPr>
      <w:t>2017</w:t>
    </w:r>
    <w:r w:rsidRPr="00DA1818">
      <w:rPr>
        <w:rStyle w:val="PageNumber"/>
        <w:rFonts w:asciiTheme="majorHAnsi" w:hAnsiTheme="majorHAnsi"/>
      </w:rPr>
      <w:noBreakHyphen/>
      <w:t>18 Strategy and Outlook</w:t>
    </w:r>
    <w:r w:rsidRPr="00DA1818">
      <w:tab/>
      <w:t>Chapter 3</w:t>
    </w:r>
    <w:r w:rsidRPr="00DA1818">
      <w:tab/>
    </w:r>
    <w:r w:rsidRPr="00DA1818">
      <w:rPr>
        <w:rStyle w:val="PageNumber"/>
        <w:rFonts w:asciiTheme="majorHAnsi" w:hAnsiTheme="majorHAnsi"/>
      </w:rPr>
      <w:fldChar w:fldCharType="begin"/>
    </w:r>
    <w:r w:rsidRPr="00DA1818">
      <w:rPr>
        <w:rStyle w:val="PageNumber"/>
        <w:rFonts w:asciiTheme="majorHAnsi" w:hAnsiTheme="majorHAnsi"/>
      </w:rPr>
      <w:instrText xml:space="preserve"> PAGE </w:instrText>
    </w:r>
    <w:r w:rsidRPr="00DA1818">
      <w:rPr>
        <w:rStyle w:val="PageNumber"/>
        <w:rFonts w:asciiTheme="majorHAnsi" w:hAnsiTheme="majorHAnsi"/>
      </w:rPr>
      <w:fldChar w:fldCharType="separate"/>
    </w:r>
    <w:r w:rsidR="0049535D">
      <w:rPr>
        <w:rStyle w:val="PageNumber"/>
        <w:rFonts w:asciiTheme="majorHAnsi" w:hAnsiTheme="majorHAnsi"/>
        <w:noProof/>
      </w:rPr>
      <w:t>41</w:t>
    </w:r>
    <w:r w:rsidRPr="00DA1818">
      <w:rPr>
        <w:rStyle w:val="PageNumber"/>
        <w:rFonts w:asciiTheme="majorHAnsi" w:hAnsiTheme="majorHAns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Pr="00DA1818" w:rsidRDefault="008F2AE0" w:rsidP="00DA1818">
    <w:pPr>
      <w:pStyle w:val="Footereven"/>
    </w:pPr>
    <w:r w:rsidRPr="00DA1818">
      <w:rPr>
        <w:rStyle w:val="PageNumber"/>
        <w:rFonts w:asciiTheme="majorHAnsi" w:hAnsiTheme="majorHAnsi"/>
      </w:rPr>
      <w:fldChar w:fldCharType="begin"/>
    </w:r>
    <w:r w:rsidRPr="00DA1818">
      <w:rPr>
        <w:rStyle w:val="PageNumber"/>
        <w:rFonts w:asciiTheme="majorHAnsi" w:hAnsiTheme="majorHAnsi"/>
      </w:rPr>
      <w:instrText xml:space="preserve"> PAGE </w:instrText>
    </w:r>
    <w:r w:rsidRPr="00DA1818">
      <w:rPr>
        <w:rStyle w:val="PageNumber"/>
        <w:rFonts w:asciiTheme="majorHAnsi" w:hAnsiTheme="majorHAnsi"/>
      </w:rPr>
      <w:fldChar w:fldCharType="separate"/>
    </w:r>
    <w:r w:rsidR="0049535D">
      <w:rPr>
        <w:rStyle w:val="PageNumber"/>
        <w:rFonts w:asciiTheme="majorHAnsi" w:hAnsiTheme="majorHAnsi"/>
        <w:noProof/>
      </w:rPr>
      <w:t>58</w:t>
    </w:r>
    <w:r w:rsidRPr="00DA1818">
      <w:rPr>
        <w:rStyle w:val="PageNumber"/>
        <w:rFonts w:asciiTheme="majorHAnsi" w:hAnsiTheme="majorHAnsi"/>
      </w:rPr>
      <w:fldChar w:fldCharType="end"/>
    </w:r>
    <w:r w:rsidRPr="00DA1818">
      <w:tab/>
      <w:t>Chapter 4</w:t>
    </w:r>
    <w:r w:rsidRPr="00DA1818">
      <w:tab/>
    </w:r>
    <w:r w:rsidRPr="00DA1818">
      <w:rPr>
        <w:rStyle w:val="PageNumber"/>
        <w:rFonts w:asciiTheme="majorHAnsi" w:hAnsiTheme="majorHAnsi"/>
      </w:rPr>
      <w:t>2017</w:t>
    </w:r>
    <w:r w:rsidRPr="00DA1818">
      <w:rPr>
        <w:rStyle w:val="PageNumber"/>
        <w:rFonts w:asciiTheme="majorHAnsi" w:hAnsiTheme="majorHAnsi"/>
      </w:rPr>
      <w:noBreakHyphen/>
      <w:t>18 Strategy and Outlook</w:t>
    </w:r>
    <w:r w:rsidRPr="00DA1818">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AE0" w:rsidRDefault="008F2AE0" w:rsidP="00552DFA">
      <w:pPr>
        <w:spacing w:before="0"/>
      </w:pPr>
      <w:r>
        <w:separator/>
      </w:r>
    </w:p>
  </w:footnote>
  <w:footnote w:type="continuationSeparator" w:id="0">
    <w:p w:rsidR="008F2AE0" w:rsidRDefault="008F2AE0" w:rsidP="00552DFA">
      <w:pPr>
        <w:spacing w:before="0"/>
      </w:pPr>
      <w:r>
        <w:continuationSeparator/>
      </w:r>
    </w:p>
  </w:footnote>
  <w:footnote w:id="1">
    <w:p w:rsidR="008F2AE0" w:rsidRPr="00FA402D" w:rsidRDefault="008F2AE0" w:rsidP="00777A12">
      <w:pPr>
        <w:pStyle w:val="FootnoteText"/>
        <w:rPr>
          <w:lang w:val="en-AU"/>
        </w:rPr>
      </w:pPr>
      <w:r>
        <w:rPr>
          <w:rStyle w:val="FootnoteReference"/>
        </w:rPr>
        <w:footnoteRef/>
      </w:r>
      <w:r>
        <w:t xml:space="preserve"> </w:t>
      </w:r>
      <w:r>
        <w:rPr>
          <w:lang w:val="en-AU"/>
        </w:rPr>
        <w:t>All three scenarios have been modelled as deviations from a business as usual base case. The analysis relies on applications of the Victoria University Regional Model (VURM), see Box A.1.</w:t>
      </w:r>
    </w:p>
  </w:footnote>
  <w:footnote w:id="2">
    <w:p w:rsidR="008F2AE0" w:rsidRPr="00255E54" w:rsidRDefault="008F2AE0">
      <w:pPr>
        <w:pStyle w:val="FootnoteText"/>
        <w:rPr>
          <w:lang w:val="en-AU"/>
        </w:rPr>
      </w:pPr>
      <w:r>
        <w:rPr>
          <w:rStyle w:val="FootnoteReference"/>
        </w:rPr>
        <w:footnoteRef/>
      </w:r>
      <w:r>
        <w:t xml:space="preserve"> See the </w:t>
      </w:r>
      <w:r w:rsidRPr="00974AD6">
        <w:rPr>
          <w:i/>
        </w:rPr>
        <w:t>OECD</w:t>
      </w:r>
      <w:r>
        <w:t xml:space="preserve"> </w:t>
      </w:r>
      <w:r w:rsidRPr="000E6FFD">
        <w:rPr>
          <w:i/>
        </w:rPr>
        <w:t>Economic Outlook, Volume 2016 Issue 2</w:t>
      </w:r>
      <w:r>
        <w:t xml:space="preserve">. </w:t>
      </w:r>
      <w:r>
        <w:rPr>
          <w:lang w:val="en-AU"/>
        </w:rPr>
        <w:t xml:space="preserve">Trade costs include transportation costs, such as shipping and time in transit. They also capture trade barriers such as tariffs. Together, </w:t>
      </w:r>
      <w:r>
        <w:t>the US, China and the EU</w:t>
      </w:r>
      <w:r>
        <w:rPr>
          <w:lang w:val="en-AU"/>
        </w:rPr>
        <w:t xml:space="preserve"> made up almost half of Australia’s trade for 2015</w:t>
      </w:r>
      <w:r>
        <w:rPr>
          <w:lang w:val="en-AU"/>
        </w:rPr>
        <w:noBreakHyphen/>
        <w:t>16.</w:t>
      </w:r>
    </w:p>
  </w:footnote>
  <w:footnote w:id="3">
    <w:p w:rsidR="008F2AE0" w:rsidRPr="00DB0F71" w:rsidRDefault="008F2AE0" w:rsidP="00423C3D">
      <w:pPr>
        <w:pStyle w:val="FootnoteText"/>
        <w:rPr>
          <w:lang w:val="en-AU"/>
        </w:rPr>
      </w:pPr>
      <w:r>
        <w:rPr>
          <w:rStyle w:val="FootnoteReference"/>
        </w:rPr>
        <w:footnoteRef/>
      </w:r>
      <w:r>
        <w:t xml:space="preserve"> </w:t>
      </w:r>
      <w:r w:rsidRPr="00072D5E">
        <w:t>Th</w:t>
      </w:r>
      <w:r>
        <w:t>is scenario</w:t>
      </w:r>
      <w:r w:rsidRPr="00072D5E">
        <w:t xml:space="preserve"> capture</w:t>
      </w:r>
      <w:r>
        <w:t>s</w:t>
      </w:r>
      <w:r w:rsidRPr="00072D5E">
        <w:t xml:space="preserve"> the direct effects of </w:t>
      </w:r>
      <w:r>
        <w:t>a</w:t>
      </w:r>
      <w:r w:rsidRPr="00072D5E">
        <w:t xml:space="preserve"> rise in </w:t>
      </w:r>
      <w:r>
        <w:t xml:space="preserve">the trade costs of goods </w:t>
      </w:r>
      <w:r w:rsidRPr="00072D5E">
        <w:t xml:space="preserve">in the major trading economies. It does not capture other economies imposing additional trade barriers in </w:t>
      </w:r>
      <w:r>
        <w:t xml:space="preserve">response </w:t>
      </w:r>
      <w:r w:rsidRPr="00072D5E">
        <w:t>or second</w:t>
      </w:r>
      <w:r>
        <w:noBreakHyphen/>
      </w:r>
      <w:r w:rsidRPr="00072D5E">
        <w:t>round effects such as declines in global confidence, increases in uncertainty in financial markets or the disappearance of global trade chains. If large second</w:t>
      </w:r>
      <w:r>
        <w:noBreakHyphen/>
      </w:r>
      <w:r w:rsidRPr="00072D5E">
        <w:t xml:space="preserve">round effects were </w:t>
      </w:r>
      <w:proofErr w:type="spellStart"/>
      <w:r w:rsidRPr="00072D5E">
        <w:t>realised</w:t>
      </w:r>
      <w:proofErr w:type="spellEnd"/>
      <w:r w:rsidRPr="00072D5E">
        <w:t xml:space="preserve">, then the effects on global output, trade </w:t>
      </w:r>
      <w:r>
        <w:t>and investment would be larger.</w:t>
      </w:r>
    </w:p>
  </w:footnote>
  <w:footnote w:id="4">
    <w:p w:rsidR="008F2AE0" w:rsidRPr="001D6829" w:rsidRDefault="008F2AE0">
      <w:pPr>
        <w:pStyle w:val="FootnoteText"/>
        <w:rPr>
          <w:lang w:val="en-AU"/>
        </w:rPr>
      </w:pPr>
      <w:r>
        <w:rPr>
          <w:rStyle w:val="FootnoteReference"/>
        </w:rPr>
        <w:footnoteRef/>
      </w:r>
      <w:r>
        <w:t xml:space="preserve"> </w:t>
      </w:r>
      <w:r>
        <w:rPr>
          <w:lang w:val="en-AU"/>
        </w:rPr>
        <w:t xml:space="preserve">This reflects the cumulative changes in US, Chinese and European GDP, weighted by their trading shares with Australia (as at December 2016), which are normalised to sum to one. </w:t>
      </w:r>
    </w:p>
  </w:footnote>
  <w:footnote w:id="5">
    <w:p w:rsidR="008F2AE0" w:rsidRPr="00D00506" w:rsidRDefault="008F2AE0">
      <w:pPr>
        <w:pStyle w:val="FootnoteText"/>
        <w:rPr>
          <w:lang w:val="en-AU"/>
        </w:rPr>
      </w:pPr>
      <w:r>
        <w:rPr>
          <w:rStyle w:val="FootnoteReference"/>
        </w:rPr>
        <w:footnoteRef/>
      </w:r>
      <w:r>
        <w:t xml:space="preserve"> </w:t>
      </w:r>
      <w:r>
        <w:rPr>
          <w:lang w:val="en-AU"/>
        </w:rPr>
        <w:t>Using alternative models provided similar estimated effects on Victorian GSP and employment, but captured different transmission mechanisms.</w:t>
      </w:r>
    </w:p>
  </w:footnote>
  <w:footnote w:id="6">
    <w:p w:rsidR="008F2AE0" w:rsidRPr="00C52A74" w:rsidRDefault="008F2AE0">
      <w:pPr>
        <w:pStyle w:val="FootnoteText"/>
        <w:rPr>
          <w:lang w:val="en-AU"/>
        </w:rPr>
      </w:pPr>
      <w:r>
        <w:rPr>
          <w:rStyle w:val="FootnoteReference"/>
        </w:rPr>
        <w:footnoteRef/>
      </w:r>
      <w:r>
        <w:t xml:space="preserve"> </w:t>
      </w:r>
      <w:r>
        <w:rPr>
          <w:lang w:val="en-AU"/>
        </w:rPr>
        <w:t xml:space="preserve">Growth of </w:t>
      </w:r>
      <w:r>
        <w:t>Victoria’s exports such as higher education, tourism and manufacturing fare better in relative terms as the depreciation helps to insulate trade</w:t>
      </w:r>
      <w:r>
        <w:noBreakHyphen/>
        <w:t>exposed industries.</w:t>
      </w:r>
    </w:p>
  </w:footnote>
  <w:footnote w:id="7">
    <w:p w:rsidR="008F2AE0" w:rsidRPr="00D46C60" w:rsidRDefault="008F2AE0">
      <w:pPr>
        <w:pStyle w:val="FootnoteText"/>
      </w:pPr>
      <w:r>
        <w:rPr>
          <w:rStyle w:val="FootnoteReference"/>
        </w:rPr>
        <w:footnoteRef/>
      </w:r>
      <w:r>
        <w:t xml:space="preserve"> </w:t>
      </w:r>
      <w:r w:rsidRPr="00A06D9C">
        <w:t xml:space="preserve">To implement this, it is assumed that new arrivals are as likely to be employed as the existing population. That is, the scenario envisages an increase in </w:t>
      </w:r>
      <w:proofErr w:type="spellStart"/>
      <w:r w:rsidRPr="00A06D9C">
        <w:t>labour</w:t>
      </w:r>
      <w:proofErr w:type="spellEnd"/>
      <w:r w:rsidRPr="00A06D9C">
        <w:t xml:space="preserve"> supply that is accompanied by </w:t>
      </w:r>
      <w:r>
        <w:t xml:space="preserve">greater </w:t>
      </w:r>
      <w:r w:rsidRPr="00A06D9C">
        <w:t>demand</w:t>
      </w:r>
      <w:r>
        <w:t xml:space="preserve"> for goods and services, and thus </w:t>
      </w:r>
      <w:proofErr w:type="spellStart"/>
      <w:r>
        <w:t>labour</w:t>
      </w:r>
      <w:proofErr w:type="spellEnd"/>
      <w:r>
        <w:t xml:space="preserve"> as well</w:t>
      </w:r>
      <w:r w:rsidRPr="00A06D9C">
        <w:t xml:space="preserve">. Assuming no change in </w:t>
      </w:r>
      <w:proofErr w:type="spellStart"/>
      <w:r w:rsidRPr="00A06D9C">
        <w:t>labour</w:t>
      </w:r>
      <w:proofErr w:type="spellEnd"/>
      <w:r w:rsidRPr="00A06D9C">
        <w:t xml:space="preserve"> demand results in higher unemployment rates for new arrivals, but does not significantly change the overall </w:t>
      </w:r>
      <w:r>
        <w:t>fiscal impact</w:t>
      </w:r>
      <w:r w:rsidRPr="00A06D9C">
        <w:t>.</w:t>
      </w:r>
    </w:p>
  </w:footnote>
  <w:footnote w:id="8">
    <w:p w:rsidR="008F2AE0" w:rsidRPr="00BF6450" w:rsidRDefault="008F2AE0">
      <w:pPr>
        <w:pStyle w:val="FootnoteText"/>
        <w:rPr>
          <w:lang w:val="en-AU"/>
        </w:rPr>
      </w:pPr>
      <w:r>
        <w:rPr>
          <w:rStyle w:val="FootnoteReference"/>
        </w:rPr>
        <w:footnoteRef/>
      </w:r>
      <w:r>
        <w:t xml:space="preserve"> </w:t>
      </w:r>
      <w:r>
        <w:rPr>
          <w:lang w:val="en-AU"/>
        </w:rPr>
        <w:t>Again, it is assumed that new arrivals have the same employment and labour force participation probabilities as the existing population.</w:t>
      </w:r>
    </w:p>
  </w:footnote>
  <w:footnote w:id="9">
    <w:p w:rsidR="008F2AE0" w:rsidRPr="00E259B5" w:rsidRDefault="008F2AE0" w:rsidP="00423C3D">
      <w:pPr>
        <w:pStyle w:val="FootnoteText"/>
        <w:rPr>
          <w:lang w:val="en-AU"/>
        </w:rPr>
      </w:pPr>
      <w:r>
        <w:rPr>
          <w:rStyle w:val="FootnoteReference"/>
        </w:rPr>
        <w:footnoteRef/>
      </w:r>
      <w:r>
        <w:t xml:space="preserve"> </w:t>
      </w:r>
      <w:r>
        <w:rPr>
          <w:lang w:val="en-AU"/>
        </w:rPr>
        <w:t>Sensitivity analysis of individual economic parameters is provided in Table A.1.</w:t>
      </w:r>
    </w:p>
  </w:footnote>
  <w:footnote w:id="10">
    <w:p w:rsidR="008F2AE0" w:rsidRPr="00C51532" w:rsidRDefault="008F2AE0">
      <w:pPr>
        <w:pStyle w:val="FootnoteText"/>
        <w:rPr>
          <w:lang w:val="en-AU"/>
        </w:rPr>
      </w:pPr>
      <w:r>
        <w:rPr>
          <w:rStyle w:val="FootnoteReference"/>
        </w:rPr>
        <w:footnoteRef/>
      </w:r>
      <w:r>
        <w:t xml:space="preserve"> </w:t>
      </w:r>
      <w:r w:rsidRPr="00C51532">
        <w:rPr>
          <w:lang w:val="en-AU"/>
        </w:rPr>
        <w:t>A higher than forecast rate of labour forc</w:t>
      </w:r>
      <w:r>
        <w:rPr>
          <w:lang w:val="en-AU"/>
        </w:rPr>
        <w:t xml:space="preserve">e participation could reflect: </w:t>
      </w:r>
      <w:r w:rsidRPr="00C51532">
        <w:rPr>
          <w:lang w:val="en-AU"/>
        </w:rPr>
        <w:t>a positive economic outlook in Victoria raising participation rates in groups that are either marginally attach</w:t>
      </w:r>
      <w:r>
        <w:rPr>
          <w:lang w:val="en-AU"/>
        </w:rPr>
        <w:t xml:space="preserve">ed or not in the labour force; </w:t>
      </w:r>
      <w:r w:rsidRPr="00C51532">
        <w:rPr>
          <w:lang w:val="en-AU"/>
        </w:rPr>
        <w:t xml:space="preserve">larger than anticipated effects of recent changes in federal retirement policy or greater uncertainty about future changes in retirement policy inducing higher participation </w:t>
      </w:r>
      <w:r>
        <w:rPr>
          <w:lang w:val="en-AU"/>
        </w:rPr>
        <w:t xml:space="preserve">amongst older age cohorts; and </w:t>
      </w:r>
      <w:r w:rsidRPr="00C51532">
        <w:rPr>
          <w:lang w:val="en-AU"/>
        </w:rPr>
        <w:t xml:space="preserve">higher than forecast rates of labour force participation among new arrivals to Victoria. </w:t>
      </w:r>
    </w:p>
  </w:footnote>
  <w:footnote w:id="11">
    <w:p w:rsidR="008F2AE0" w:rsidRPr="00FB2932" w:rsidRDefault="008F2AE0" w:rsidP="00423C3D">
      <w:pPr>
        <w:pStyle w:val="FootnoteText"/>
      </w:pPr>
      <w:r>
        <w:rPr>
          <w:rStyle w:val="FootnoteReference"/>
        </w:rPr>
        <w:footnoteRef/>
      </w:r>
      <w:r>
        <w:t xml:space="preserve"> </w:t>
      </w:r>
      <w:r w:rsidRPr="00FB2932">
        <w:t>Technical documentation of the model’s equations and database can be downloaded from:</w:t>
      </w:r>
    </w:p>
    <w:p w:rsidR="008F2AE0" w:rsidRPr="00FB2932" w:rsidRDefault="008F2AE0">
      <w:pPr>
        <w:pStyle w:val="FootnoteText"/>
      </w:pPr>
      <w:r w:rsidRPr="00FB2932">
        <w:t xml:space="preserve">   www.co</w:t>
      </w:r>
      <w:r>
        <w:t>psmodels.com/</w:t>
      </w:r>
      <w:proofErr w:type="spellStart"/>
      <w:r>
        <w:t>elecpapr</w:t>
      </w:r>
      <w:proofErr w:type="spellEnd"/>
      <w:r>
        <w:t>/g</w:t>
      </w:r>
      <w:r>
        <w:noBreakHyphen/>
        <w:t>254.htm</w:t>
      </w:r>
    </w:p>
  </w:footnote>
  <w:footnote w:id="12">
    <w:p w:rsidR="008F2AE0" w:rsidRPr="00BD2066" w:rsidRDefault="008F2AE0" w:rsidP="00423C3D">
      <w:pPr>
        <w:pStyle w:val="FootnoteText"/>
        <w:rPr>
          <w:lang w:val="en-AU"/>
        </w:rPr>
      </w:pPr>
      <w:r>
        <w:rPr>
          <w:rStyle w:val="FootnoteReference"/>
        </w:rPr>
        <w:footnoteRef/>
      </w:r>
      <w:r>
        <w:t xml:space="preserve"> </w:t>
      </w:r>
      <w:r>
        <w:rPr>
          <w:rFonts w:ascii="Garamond" w:hAnsi="Garamond" w:cs="Garamond"/>
          <w:color w:val="000000"/>
        </w:rPr>
        <w:t xml:space="preserve">The </w:t>
      </w:r>
      <w:proofErr w:type="spellStart"/>
      <w:r>
        <w:rPr>
          <w:rFonts w:ascii="Garamond" w:hAnsi="Garamond" w:cs="Garamond"/>
          <w:color w:val="000000"/>
        </w:rPr>
        <w:t>elasticities</w:t>
      </w:r>
      <w:proofErr w:type="spellEnd"/>
      <w:r>
        <w:rPr>
          <w:rFonts w:ascii="Garamond" w:hAnsi="Garamond" w:cs="Garamond"/>
          <w:color w:val="000000"/>
        </w:rPr>
        <w:t xml:space="preserve"> reflect a range of technical assumptions made by the Department of Treasury and Finance and can be based on average historical relationships, internal models that link economic parameters to key revenue or grant or expense lines, economic theory, or assumptions about service delivery to capture the effects on expenditure.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Default="008F2A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Default="008F2A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Default="008F2AE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Default="008F2AE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AE0" w:rsidRDefault="008F2A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nsid w:val="03CA09F2"/>
    <w:multiLevelType w:val="singleLevel"/>
    <w:tmpl w:val="3AE00BBA"/>
    <w:lvl w:ilvl="0">
      <w:start w:val="1"/>
      <w:numFmt w:val="bullet"/>
      <w:pStyle w:val="OGBullet"/>
      <w:lvlText w:val=""/>
      <w:lvlJc w:val="left"/>
      <w:pPr>
        <w:tabs>
          <w:tab w:val="num" w:pos="360"/>
        </w:tabs>
        <w:ind w:left="360" w:hanging="360"/>
      </w:pPr>
      <w:rPr>
        <w:rFonts w:ascii="Symbol" w:hAnsi="Symbol" w:hint="default"/>
        <w:sz w:val="16"/>
      </w:rPr>
    </w:lvl>
  </w:abstractNum>
  <w:abstractNum w:abstractNumId="4">
    <w:nsid w:val="05860C76"/>
    <w:multiLevelType w:val="hybridMultilevel"/>
    <w:tmpl w:val="68A88E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6EE77F9"/>
    <w:multiLevelType w:val="multilevel"/>
    <w:tmpl w:val="F104AB12"/>
    <w:numStyleLink w:val="NumberedHeadings"/>
  </w:abstractNum>
  <w:abstractNum w:abstractNumId="6">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83B293C"/>
    <w:multiLevelType w:val="hybridMultilevel"/>
    <w:tmpl w:val="B540C8D6"/>
    <w:lvl w:ilvl="0" w:tplc="BF24713E">
      <w:start w:val="1"/>
      <w:numFmt w:val="bullet"/>
      <w:pStyle w:val="VAGOBullet"/>
      <w:lvlText w:val=""/>
      <w:lvlJc w:val="left"/>
      <w:pPr>
        <w:tabs>
          <w:tab w:val="num" w:pos="426"/>
        </w:tabs>
        <w:ind w:left="42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2">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B695180"/>
    <w:multiLevelType w:val="multilevel"/>
    <w:tmpl w:val="5E22C0F8"/>
    <w:numStyleLink w:val="Bullet"/>
  </w:abstractNum>
  <w:abstractNum w:abstractNumId="15">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nsid w:val="669A5F0E"/>
    <w:multiLevelType w:val="hybridMultilevel"/>
    <w:tmpl w:val="CE2E6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CFF3731"/>
    <w:multiLevelType w:val="multilevel"/>
    <w:tmpl w:val="7500EB92"/>
    <w:numStyleLink w:val="Number"/>
  </w:abstractNum>
  <w:abstractNum w:abstractNumId="18">
    <w:nsid w:val="6EE34E10"/>
    <w:multiLevelType w:val="multilevel"/>
    <w:tmpl w:val="D9F407CA"/>
    <w:lvl w:ilvl="0">
      <w:start w:val="1"/>
      <w:numFmt w:val="upperLetter"/>
      <w:pStyle w:val="Heading3NumberingBP4"/>
      <w:lvlText w:val="(%1)"/>
      <w:lvlJc w:val="left"/>
      <w:pPr>
        <w:tabs>
          <w:tab w:val="num" w:pos="720"/>
        </w:tabs>
        <w:ind w:left="720" w:hanging="720"/>
      </w:pPr>
      <w:rPr>
        <w:rFonts w:ascii="Calibri" w:hAnsi="Calibri" w:hint="default"/>
        <w:sz w:val="24"/>
        <w:szCs w:val="24"/>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2"/>
  </w:num>
  <w:num w:numId="2">
    <w:abstractNumId w:val="10"/>
  </w:num>
  <w:num w:numId="3">
    <w:abstractNumId w:val="12"/>
  </w:num>
  <w:num w:numId="4">
    <w:abstractNumId w:val="9"/>
  </w:num>
  <w:num w:numId="5">
    <w:abstractNumId w:val="11"/>
  </w:num>
  <w:num w:numId="6">
    <w:abstractNumId w:val="13"/>
  </w:num>
  <w:num w:numId="7">
    <w:abstractNumId w:val="14"/>
  </w:num>
  <w:num w:numId="8">
    <w:abstractNumId w:val="17"/>
  </w:num>
  <w:num w:numId="9">
    <w:abstractNumId w:val="1"/>
  </w:num>
  <w:num w:numId="10">
    <w:abstractNumId w:val="0"/>
  </w:num>
  <w:num w:numId="11">
    <w:abstractNumId w:val="8"/>
  </w:num>
  <w:num w:numId="12">
    <w:abstractNumId w:val="6"/>
  </w:num>
  <w:num w:numId="13">
    <w:abstractNumId w:val="15"/>
  </w:num>
  <w:num w:numId="14">
    <w:abstractNumId w:val="5"/>
  </w:num>
  <w:num w:numId="15">
    <w:abstractNumId w:val="3"/>
  </w:num>
  <w:num w:numId="16">
    <w:abstractNumId w:val="18"/>
  </w:num>
  <w:num w:numId="17">
    <w:abstractNumId w:val="7"/>
  </w:num>
  <w:num w:numId="18">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 w:ilvl="0">
        <w:start w:val="1"/>
        <w:numFmt w:val="bullet"/>
        <w:pStyle w:val="ListBullet"/>
        <w:lvlText w:val=""/>
        <w:lvlJc w:val="left"/>
        <w:pPr>
          <w:ind w:left="284" w:hanging="284"/>
        </w:pPr>
        <w:rPr>
          <w:rFonts w:ascii="Symbol" w:hAnsi="Symbol" w:hint="default"/>
          <w:sz w:val="20"/>
          <w:szCs w:val="20"/>
        </w:rPr>
      </w:lvl>
    </w:lvlOverride>
  </w:num>
  <w:num w:numId="20">
    <w:abstractNumId w:val="4"/>
  </w:num>
  <w:num w:numId="21">
    <w:abstractNumId w:val="9"/>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lvl w:ilvl="0">
        <w:start w:val="1"/>
        <w:numFmt w:val="bullet"/>
        <w:pStyle w:val="ListBullet"/>
        <w:lvlText w:val=""/>
        <w:lvlJc w:val="left"/>
        <w:pPr>
          <w:ind w:left="284" w:hanging="284"/>
        </w:pPr>
        <w:rPr>
          <w:rFonts w:ascii="Symbol" w:hAnsi="Symbol" w:hint="default"/>
          <w:sz w:val="20"/>
          <w:szCs w:val="20"/>
        </w:rPr>
      </w:lvl>
    </w:lvlOverride>
  </w:num>
  <w:num w:numId="23">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isplayBackgroundShape/>
  <w:proofState w:spelling="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9E2"/>
    <w:rsid w:val="00001A3C"/>
    <w:rsid w:val="000068BC"/>
    <w:rsid w:val="00017EF2"/>
    <w:rsid w:val="000256AE"/>
    <w:rsid w:val="00042ABE"/>
    <w:rsid w:val="00055A63"/>
    <w:rsid w:val="00056736"/>
    <w:rsid w:val="00057EFB"/>
    <w:rsid w:val="000616EB"/>
    <w:rsid w:val="00064F49"/>
    <w:rsid w:val="00073219"/>
    <w:rsid w:val="00073EFA"/>
    <w:rsid w:val="000759F0"/>
    <w:rsid w:val="00082872"/>
    <w:rsid w:val="00082D1F"/>
    <w:rsid w:val="0009147C"/>
    <w:rsid w:val="000915C9"/>
    <w:rsid w:val="00091C2E"/>
    <w:rsid w:val="000A03F9"/>
    <w:rsid w:val="000A07AD"/>
    <w:rsid w:val="000A2CDF"/>
    <w:rsid w:val="000C1B0B"/>
    <w:rsid w:val="000C43CD"/>
    <w:rsid w:val="000C68FD"/>
    <w:rsid w:val="000C6A23"/>
    <w:rsid w:val="000D0ECF"/>
    <w:rsid w:val="000D53D5"/>
    <w:rsid w:val="000D5949"/>
    <w:rsid w:val="000E037E"/>
    <w:rsid w:val="000E04E7"/>
    <w:rsid w:val="000E1A6C"/>
    <w:rsid w:val="000E2126"/>
    <w:rsid w:val="000E252D"/>
    <w:rsid w:val="000E28B3"/>
    <w:rsid w:val="000F140B"/>
    <w:rsid w:val="000F34B0"/>
    <w:rsid w:val="000F5BCA"/>
    <w:rsid w:val="00103DE5"/>
    <w:rsid w:val="00104F1A"/>
    <w:rsid w:val="00113667"/>
    <w:rsid w:val="00120B97"/>
    <w:rsid w:val="001212DB"/>
    <w:rsid w:val="001213D6"/>
    <w:rsid w:val="00124F13"/>
    <w:rsid w:val="00131FBE"/>
    <w:rsid w:val="00132069"/>
    <w:rsid w:val="00150302"/>
    <w:rsid w:val="001506B1"/>
    <w:rsid w:val="00157D89"/>
    <w:rsid w:val="00160DB5"/>
    <w:rsid w:val="00166699"/>
    <w:rsid w:val="001675E6"/>
    <w:rsid w:val="001808F7"/>
    <w:rsid w:val="001845E1"/>
    <w:rsid w:val="00185B60"/>
    <w:rsid w:val="001B04ED"/>
    <w:rsid w:val="001B09E2"/>
    <w:rsid w:val="001B3B72"/>
    <w:rsid w:val="001D7A51"/>
    <w:rsid w:val="001E0815"/>
    <w:rsid w:val="001E6E6F"/>
    <w:rsid w:val="001F4F51"/>
    <w:rsid w:val="002065D0"/>
    <w:rsid w:val="00210496"/>
    <w:rsid w:val="00212222"/>
    <w:rsid w:val="00214AB1"/>
    <w:rsid w:val="00220042"/>
    <w:rsid w:val="00220E35"/>
    <w:rsid w:val="00222883"/>
    <w:rsid w:val="00237563"/>
    <w:rsid w:val="00241BC9"/>
    <w:rsid w:val="00247670"/>
    <w:rsid w:val="00253619"/>
    <w:rsid w:val="00255A9A"/>
    <w:rsid w:val="0025669F"/>
    <w:rsid w:val="00257E89"/>
    <w:rsid w:val="00260DE7"/>
    <w:rsid w:val="00271E79"/>
    <w:rsid w:val="00290BD4"/>
    <w:rsid w:val="00294556"/>
    <w:rsid w:val="00295E0F"/>
    <w:rsid w:val="00296CF7"/>
    <w:rsid w:val="002A0262"/>
    <w:rsid w:val="002A0391"/>
    <w:rsid w:val="002A57BB"/>
    <w:rsid w:val="002B3B71"/>
    <w:rsid w:val="002B3E8C"/>
    <w:rsid w:val="002B526C"/>
    <w:rsid w:val="002B7DE4"/>
    <w:rsid w:val="002C3386"/>
    <w:rsid w:val="002C3B94"/>
    <w:rsid w:val="002C3F78"/>
    <w:rsid w:val="002C5BE1"/>
    <w:rsid w:val="002C6EA8"/>
    <w:rsid w:val="002C7C53"/>
    <w:rsid w:val="002D040C"/>
    <w:rsid w:val="002D47C9"/>
    <w:rsid w:val="002D4EE8"/>
    <w:rsid w:val="002E2D4E"/>
    <w:rsid w:val="002E369A"/>
    <w:rsid w:val="002E628D"/>
    <w:rsid w:val="002F7BBC"/>
    <w:rsid w:val="00301106"/>
    <w:rsid w:val="00306EAE"/>
    <w:rsid w:val="0033621D"/>
    <w:rsid w:val="003371B4"/>
    <w:rsid w:val="00337317"/>
    <w:rsid w:val="0034185B"/>
    <w:rsid w:val="00343667"/>
    <w:rsid w:val="00347922"/>
    <w:rsid w:val="00352F2E"/>
    <w:rsid w:val="00356A95"/>
    <w:rsid w:val="00357C4E"/>
    <w:rsid w:val="00360393"/>
    <w:rsid w:val="00363B60"/>
    <w:rsid w:val="003703D1"/>
    <w:rsid w:val="00371DE1"/>
    <w:rsid w:val="003741F4"/>
    <w:rsid w:val="0037430B"/>
    <w:rsid w:val="00377B81"/>
    <w:rsid w:val="003805EF"/>
    <w:rsid w:val="003825F8"/>
    <w:rsid w:val="003900AC"/>
    <w:rsid w:val="00390A50"/>
    <w:rsid w:val="0039234B"/>
    <w:rsid w:val="00395FF7"/>
    <w:rsid w:val="00397E96"/>
    <w:rsid w:val="003A0816"/>
    <w:rsid w:val="003A1578"/>
    <w:rsid w:val="003A1BBB"/>
    <w:rsid w:val="003A5819"/>
    <w:rsid w:val="003B670B"/>
    <w:rsid w:val="003B79C5"/>
    <w:rsid w:val="003C5DBD"/>
    <w:rsid w:val="003C75BF"/>
    <w:rsid w:val="003D279B"/>
    <w:rsid w:val="003D5075"/>
    <w:rsid w:val="003D7FD7"/>
    <w:rsid w:val="003E06FF"/>
    <w:rsid w:val="003E58E4"/>
    <w:rsid w:val="003E68E6"/>
    <w:rsid w:val="003E7CD9"/>
    <w:rsid w:val="00402880"/>
    <w:rsid w:val="00403881"/>
    <w:rsid w:val="00405C11"/>
    <w:rsid w:val="00407B77"/>
    <w:rsid w:val="00407F41"/>
    <w:rsid w:val="00411254"/>
    <w:rsid w:val="00416B0D"/>
    <w:rsid w:val="0042008E"/>
    <w:rsid w:val="00423170"/>
    <w:rsid w:val="00423C3D"/>
    <w:rsid w:val="00424473"/>
    <w:rsid w:val="00424959"/>
    <w:rsid w:val="0042622D"/>
    <w:rsid w:val="00432BD8"/>
    <w:rsid w:val="00434A18"/>
    <w:rsid w:val="00434CF6"/>
    <w:rsid w:val="004419CD"/>
    <w:rsid w:val="00441FC3"/>
    <w:rsid w:val="00450141"/>
    <w:rsid w:val="00454513"/>
    <w:rsid w:val="00474C53"/>
    <w:rsid w:val="00475D53"/>
    <w:rsid w:val="00486125"/>
    <w:rsid w:val="0048771F"/>
    <w:rsid w:val="00493C2E"/>
    <w:rsid w:val="0049535D"/>
    <w:rsid w:val="004964EC"/>
    <w:rsid w:val="00496B0F"/>
    <w:rsid w:val="004A1298"/>
    <w:rsid w:val="004A2F9A"/>
    <w:rsid w:val="004A4429"/>
    <w:rsid w:val="004A59F9"/>
    <w:rsid w:val="004B1258"/>
    <w:rsid w:val="004B1F1F"/>
    <w:rsid w:val="004B241A"/>
    <w:rsid w:val="004C1F0B"/>
    <w:rsid w:val="004C59E7"/>
    <w:rsid w:val="004C71E9"/>
    <w:rsid w:val="004D0973"/>
    <w:rsid w:val="004D13C3"/>
    <w:rsid w:val="004D37BB"/>
    <w:rsid w:val="004E095F"/>
    <w:rsid w:val="004E5248"/>
    <w:rsid w:val="004E5C31"/>
    <w:rsid w:val="004F03F6"/>
    <w:rsid w:val="004F2F5C"/>
    <w:rsid w:val="004F3EFD"/>
    <w:rsid w:val="004F5AD4"/>
    <w:rsid w:val="004F6DBA"/>
    <w:rsid w:val="004F738A"/>
    <w:rsid w:val="00500DAE"/>
    <w:rsid w:val="005160F4"/>
    <w:rsid w:val="00517FF8"/>
    <w:rsid w:val="005243EA"/>
    <w:rsid w:val="005271FE"/>
    <w:rsid w:val="005303B7"/>
    <w:rsid w:val="005307AA"/>
    <w:rsid w:val="0053103E"/>
    <w:rsid w:val="00531EF1"/>
    <w:rsid w:val="00535247"/>
    <w:rsid w:val="00536ACD"/>
    <w:rsid w:val="00541C6D"/>
    <w:rsid w:val="00542B89"/>
    <w:rsid w:val="00542C03"/>
    <w:rsid w:val="00545C39"/>
    <w:rsid w:val="00552DFA"/>
    <w:rsid w:val="00553605"/>
    <w:rsid w:val="00553CEB"/>
    <w:rsid w:val="005563E9"/>
    <w:rsid w:val="00556B3E"/>
    <w:rsid w:val="00560E01"/>
    <w:rsid w:val="00563960"/>
    <w:rsid w:val="005657B2"/>
    <w:rsid w:val="00566049"/>
    <w:rsid w:val="00566692"/>
    <w:rsid w:val="00573F75"/>
    <w:rsid w:val="00574728"/>
    <w:rsid w:val="00576C73"/>
    <w:rsid w:val="00580399"/>
    <w:rsid w:val="005852CA"/>
    <w:rsid w:val="0058536D"/>
    <w:rsid w:val="005867EE"/>
    <w:rsid w:val="005903BA"/>
    <w:rsid w:val="005A0BEB"/>
    <w:rsid w:val="005A3B07"/>
    <w:rsid w:val="005A6098"/>
    <w:rsid w:val="005C0288"/>
    <w:rsid w:val="005C09D4"/>
    <w:rsid w:val="005C62C6"/>
    <w:rsid w:val="005D108E"/>
    <w:rsid w:val="005E3CF7"/>
    <w:rsid w:val="00600C46"/>
    <w:rsid w:val="00605A27"/>
    <w:rsid w:val="00606611"/>
    <w:rsid w:val="00612683"/>
    <w:rsid w:val="006135D1"/>
    <w:rsid w:val="0061407E"/>
    <w:rsid w:val="00617210"/>
    <w:rsid w:val="00617936"/>
    <w:rsid w:val="0062070B"/>
    <w:rsid w:val="006243FE"/>
    <w:rsid w:val="0062613A"/>
    <w:rsid w:val="00627C2B"/>
    <w:rsid w:val="00627E95"/>
    <w:rsid w:val="00635722"/>
    <w:rsid w:val="00644B4A"/>
    <w:rsid w:val="0064521D"/>
    <w:rsid w:val="006479D1"/>
    <w:rsid w:val="0065156A"/>
    <w:rsid w:val="006517D1"/>
    <w:rsid w:val="00651946"/>
    <w:rsid w:val="0065280D"/>
    <w:rsid w:val="00664667"/>
    <w:rsid w:val="0066512E"/>
    <w:rsid w:val="00676AAC"/>
    <w:rsid w:val="006773B4"/>
    <w:rsid w:val="00677990"/>
    <w:rsid w:val="00691B31"/>
    <w:rsid w:val="006A1F6F"/>
    <w:rsid w:val="006A35C1"/>
    <w:rsid w:val="006C00EB"/>
    <w:rsid w:val="006C505F"/>
    <w:rsid w:val="006D4F41"/>
    <w:rsid w:val="006E1EEA"/>
    <w:rsid w:val="006E2ADF"/>
    <w:rsid w:val="006E2BC5"/>
    <w:rsid w:val="006E400E"/>
    <w:rsid w:val="006E6F37"/>
    <w:rsid w:val="006F1D47"/>
    <w:rsid w:val="006F1F28"/>
    <w:rsid w:val="006F23B1"/>
    <w:rsid w:val="007021B4"/>
    <w:rsid w:val="00705B7B"/>
    <w:rsid w:val="007116A2"/>
    <w:rsid w:val="00720B4C"/>
    <w:rsid w:val="00722C32"/>
    <w:rsid w:val="00722E77"/>
    <w:rsid w:val="00725696"/>
    <w:rsid w:val="00725906"/>
    <w:rsid w:val="00725AF2"/>
    <w:rsid w:val="00726975"/>
    <w:rsid w:val="00726F1F"/>
    <w:rsid w:val="00727E4F"/>
    <w:rsid w:val="00731598"/>
    <w:rsid w:val="007346C0"/>
    <w:rsid w:val="007349CB"/>
    <w:rsid w:val="007352B3"/>
    <w:rsid w:val="00737FCE"/>
    <w:rsid w:val="00741825"/>
    <w:rsid w:val="00743CE4"/>
    <w:rsid w:val="00751550"/>
    <w:rsid w:val="00753E64"/>
    <w:rsid w:val="007575FF"/>
    <w:rsid w:val="00760B4D"/>
    <w:rsid w:val="0076376B"/>
    <w:rsid w:val="007676F1"/>
    <w:rsid w:val="00771A05"/>
    <w:rsid w:val="00773F07"/>
    <w:rsid w:val="00775AB7"/>
    <w:rsid w:val="00777A12"/>
    <w:rsid w:val="007814B1"/>
    <w:rsid w:val="00790E40"/>
    <w:rsid w:val="00790FB8"/>
    <w:rsid w:val="007919BA"/>
    <w:rsid w:val="007925EF"/>
    <w:rsid w:val="00794963"/>
    <w:rsid w:val="00794C4A"/>
    <w:rsid w:val="0079507A"/>
    <w:rsid w:val="00797CD1"/>
    <w:rsid w:val="007A0D8B"/>
    <w:rsid w:val="007A11BE"/>
    <w:rsid w:val="007A4996"/>
    <w:rsid w:val="007A5BD1"/>
    <w:rsid w:val="007A7975"/>
    <w:rsid w:val="007A7D78"/>
    <w:rsid w:val="007B51DD"/>
    <w:rsid w:val="007D6D1A"/>
    <w:rsid w:val="007E0272"/>
    <w:rsid w:val="007F1AAF"/>
    <w:rsid w:val="00800E63"/>
    <w:rsid w:val="00801B7F"/>
    <w:rsid w:val="0080479F"/>
    <w:rsid w:val="00813A48"/>
    <w:rsid w:val="00814A7C"/>
    <w:rsid w:val="008155D0"/>
    <w:rsid w:val="008167C2"/>
    <w:rsid w:val="00820AFD"/>
    <w:rsid w:val="008270F7"/>
    <w:rsid w:val="00831AE5"/>
    <w:rsid w:val="0083463B"/>
    <w:rsid w:val="00846845"/>
    <w:rsid w:val="0086442A"/>
    <w:rsid w:val="00865B25"/>
    <w:rsid w:val="0086647D"/>
    <w:rsid w:val="00866ECE"/>
    <w:rsid w:val="00886715"/>
    <w:rsid w:val="00886DF7"/>
    <w:rsid w:val="0089207D"/>
    <w:rsid w:val="00893855"/>
    <w:rsid w:val="00896969"/>
    <w:rsid w:val="008A5A91"/>
    <w:rsid w:val="008A5F0E"/>
    <w:rsid w:val="008D128E"/>
    <w:rsid w:val="008D29E5"/>
    <w:rsid w:val="008D37BD"/>
    <w:rsid w:val="008D5DD6"/>
    <w:rsid w:val="008D7D39"/>
    <w:rsid w:val="008E1571"/>
    <w:rsid w:val="008E3105"/>
    <w:rsid w:val="008E469A"/>
    <w:rsid w:val="008E554D"/>
    <w:rsid w:val="008E76F5"/>
    <w:rsid w:val="008F0067"/>
    <w:rsid w:val="008F0F55"/>
    <w:rsid w:val="008F2AE0"/>
    <w:rsid w:val="00900DF0"/>
    <w:rsid w:val="00901B8C"/>
    <w:rsid w:val="00903544"/>
    <w:rsid w:val="009046BD"/>
    <w:rsid w:val="009103EC"/>
    <w:rsid w:val="009146D5"/>
    <w:rsid w:val="009174A7"/>
    <w:rsid w:val="00917D22"/>
    <w:rsid w:val="00924B15"/>
    <w:rsid w:val="00934FFB"/>
    <w:rsid w:val="00943188"/>
    <w:rsid w:val="00943EAD"/>
    <w:rsid w:val="00947417"/>
    <w:rsid w:val="009479BF"/>
    <w:rsid w:val="00950409"/>
    <w:rsid w:val="00950FB1"/>
    <w:rsid w:val="00952665"/>
    <w:rsid w:val="00953503"/>
    <w:rsid w:val="00953556"/>
    <w:rsid w:val="00954F01"/>
    <w:rsid w:val="009556A3"/>
    <w:rsid w:val="0096130D"/>
    <w:rsid w:val="009754F2"/>
    <w:rsid w:val="00981BC3"/>
    <w:rsid w:val="0098338B"/>
    <w:rsid w:val="00983AF0"/>
    <w:rsid w:val="009862B3"/>
    <w:rsid w:val="0098693A"/>
    <w:rsid w:val="009B080A"/>
    <w:rsid w:val="009B185C"/>
    <w:rsid w:val="009B7B27"/>
    <w:rsid w:val="009C7E23"/>
    <w:rsid w:val="009D2DF2"/>
    <w:rsid w:val="009D44E6"/>
    <w:rsid w:val="009E1F58"/>
    <w:rsid w:val="009E302E"/>
    <w:rsid w:val="009E4D30"/>
    <w:rsid w:val="009E6EDF"/>
    <w:rsid w:val="009F06C1"/>
    <w:rsid w:val="009F07A5"/>
    <w:rsid w:val="009F160B"/>
    <w:rsid w:val="009F51C0"/>
    <w:rsid w:val="009F6886"/>
    <w:rsid w:val="009F6D73"/>
    <w:rsid w:val="00A015F0"/>
    <w:rsid w:val="00A105F2"/>
    <w:rsid w:val="00A119C9"/>
    <w:rsid w:val="00A171DC"/>
    <w:rsid w:val="00A20782"/>
    <w:rsid w:val="00A2094F"/>
    <w:rsid w:val="00A20F1E"/>
    <w:rsid w:val="00A21C10"/>
    <w:rsid w:val="00A264FE"/>
    <w:rsid w:val="00A30D6D"/>
    <w:rsid w:val="00A40680"/>
    <w:rsid w:val="00A42771"/>
    <w:rsid w:val="00A47629"/>
    <w:rsid w:val="00A50C8B"/>
    <w:rsid w:val="00A545AB"/>
    <w:rsid w:val="00A63051"/>
    <w:rsid w:val="00A637FA"/>
    <w:rsid w:val="00A657E6"/>
    <w:rsid w:val="00A72634"/>
    <w:rsid w:val="00A737CB"/>
    <w:rsid w:val="00A75888"/>
    <w:rsid w:val="00A75FEE"/>
    <w:rsid w:val="00A85FA2"/>
    <w:rsid w:val="00A9345E"/>
    <w:rsid w:val="00A94E87"/>
    <w:rsid w:val="00A95794"/>
    <w:rsid w:val="00A977EF"/>
    <w:rsid w:val="00AA6D14"/>
    <w:rsid w:val="00AB0C55"/>
    <w:rsid w:val="00AB5FA5"/>
    <w:rsid w:val="00AB724F"/>
    <w:rsid w:val="00AC4001"/>
    <w:rsid w:val="00AE2BEA"/>
    <w:rsid w:val="00AF5018"/>
    <w:rsid w:val="00AF6157"/>
    <w:rsid w:val="00AF7DCE"/>
    <w:rsid w:val="00B04832"/>
    <w:rsid w:val="00B121BD"/>
    <w:rsid w:val="00B146AC"/>
    <w:rsid w:val="00B17122"/>
    <w:rsid w:val="00B34A89"/>
    <w:rsid w:val="00B37B2E"/>
    <w:rsid w:val="00B4755F"/>
    <w:rsid w:val="00B56791"/>
    <w:rsid w:val="00B56B25"/>
    <w:rsid w:val="00B56C73"/>
    <w:rsid w:val="00B60A67"/>
    <w:rsid w:val="00B70D99"/>
    <w:rsid w:val="00B72498"/>
    <w:rsid w:val="00B77344"/>
    <w:rsid w:val="00B809CD"/>
    <w:rsid w:val="00B83597"/>
    <w:rsid w:val="00B859C9"/>
    <w:rsid w:val="00B862F0"/>
    <w:rsid w:val="00B91C7F"/>
    <w:rsid w:val="00B936B8"/>
    <w:rsid w:val="00BA26F2"/>
    <w:rsid w:val="00BA77B9"/>
    <w:rsid w:val="00BB2087"/>
    <w:rsid w:val="00BC1376"/>
    <w:rsid w:val="00BC21AD"/>
    <w:rsid w:val="00BC6329"/>
    <w:rsid w:val="00BC6724"/>
    <w:rsid w:val="00BC7AB1"/>
    <w:rsid w:val="00BD0D9B"/>
    <w:rsid w:val="00BD2A8E"/>
    <w:rsid w:val="00BD2AB3"/>
    <w:rsid w:val="00BE12EA"/>
    <w:rsid w:val="00BE2FBB"/>
    <w:rsid w:val="00BF07FE"/>
    <w:rsid w:val="00BF08BC"/>
    <w:rsid w:val="00BF6E17"/>
    <w:rsid w:val="00C00568"/>
    <w:rsid w:val="00C0462D"/>
    <w:rsid w:val="00C04F08"/>
    <w:rsid w:val="00C12F2B"/>
    <w:rsid w:val="00C134E2"/>
    <w:rsid w:val="00C146E9"/>
    <w:rsid w:val="00C2116C"/>
    <w:rsid w:val="00C27041"/>
    <w:rsid w:val="00C32D27"/>
    <w:rsid w:val="00C36FCD"/>
    <w:rsid w:val="00C461A9"/>
    <w:rsid w:val="00C4714D"/>
    <w:rsid w:val="00C56E73"/>
    <w:rsid w:val="00C573F8"/>
    <w:rsid w:val="00C65BE3"/>
    <w:rsid w:val="00C661B9"/>
    <w:rsid w:val="00C6657B"/>
    <w:rsid w:val="00C72D96"/>
    <w:rsid w:val="00C77D7E"/>
    <w:rsid w:val="00C80D95"/>
    <w:rsid w:val="00C8749B"/>
    <w:rsid w:val="00C90B98"/>
    <w:rsid w:val="00CA29CB"/>
    <w:rsid w:val="00CA41CF"/>
    <w:rsid w:val="00CA4410"/>
    <w:rsid w:val="00CA4F8B"/>
    <w:rsid w:val="00CA6435"/>
    <w:rsid w:val="00CA6811"/>
    <w:rsid w:val="00CB43A2"/>
    <w:rsid w:val="00CB7327"/>
    <w:rsid w:val="00CC3DD5"/>
    <w:rsid w:val="00CC706D"/>
    <w:rsid w:val="00CD1FEA"/>
    <w:rsid w:val="00CD3AC2"/>
    <w:rsid w:val="00CD6B20"/>
    <w:rsid w:val="00CD6F54"/>
    <w:rsid w:val="00CD716F"/>
    <w:rsid w:val="00CE30BD"/>
    <w:rsid w:val="00CE4B69"/>
    <w:rsid w:val="00CE5CF8"/>
    <w:rsid w:val="00CE6A19"/>
    <w:rsid w:val="00CE763C"/>
    <w:rsid w:val="00CF2B70"/>
    <w:rsid w:val="00CF5E6F"/>
    <w:rsid w:val="00D07E65"/>
    <w:rsid w:val="00D07E7D"/>
    <w:rsid w:val="00D11A1E"/>
    <w:rsid w:val="00D341DE"/>
    <w:rsid w:val="00D3519E"/>
    <w:rsid w:val="00D379C4"/>
    <w:rsid w:val="00D429FE"/>
    <w:rsid w:val="00D451B9"/>
    <w:rsid w:val="00D46C60"/>
    <w:rsid w:val="00D52A5D"/>
    <w:rsid w:val="00D6267F"/>
    <w:rsid w:val="00D63655"/>
    <w:rsid w:val="00D708DC"/>
    <w:rsid w:val="00D71612"/>
    <w:rsid w:val="00D7231C"/>
    <w:rsid w:val="00D75608"/>
    <w:rsid w:val="00D75A85"/>
    <w:rsid w:val="00D760FE"/>
    <w:rsid w:val="00D827B1"/>
    <w:rsid w:val="00D90086"/>
    <w:rsid w:val="00D97443"/>
    <w:rsid w:val="00D977CF"/>
    <w:rsid w:val="00DA1818"/>
    <w:rsid w:val="00DA4CB5"/>
    <w:rsid w:val="00DA769F"/>
    <w:rsid w:val="00DB2A52"/>
    <w:rsid w:val="00DB7BB3"/>
    <w:rsid w:val="00DD1082"/>
    <w:rsid w:val="00DE3014"/>
    <w:rsid w:val="00DE38D7"/>
    <w:rsid w:val="00DE6AB5"/>
    <w:rsid w:val="00DE7ED9"/>
    <w:rsid w:val="00DF14C0"/>
    <w:rsid w:val="00DF4B2E"/>
    <w:rsid w:val="00E108FF"/>
    <w:rsid w:val="00E14B35"/>
    <w:rsid w:val="00E170C8"/>
    <w:rsid w:val="00E173B6"/>
    <w:rsid w:val="00E244F1"/>
    <w:rsid w:val="00E32FD9"/>
    <w:rsid w:val="00E34095"/>
    <w:rsid w:val="00E36DAC"/>
    <w:rsid w:val="00E40EDA"/>
    <w:rsid w:val="00E41328"/>
    <w:rsid w:val="00E42052"/>
    <w:rsid w:val="00E46DD4"/>
    <w:rsid w:val="00E46E4F"/>
    <w:rsid w:val="00E52A0F"/>
    <w:rsid w:val="00E64BC1"/>
    <w:rsid w:val="00E64CBF"/>
    <w:rsid w:val="00E65539"/>
    <w:rsid w:val="00E709BA"/>
    <w:rsid w:val="00E7185E"/>
    <w:rsid w:val="00E73BF7"/>
    <w:rsid w:val="00E75212"/>
    <w:rsid w:val="00E815F9"/>
    <w:rsid w:val="00E8244C"/>
    <w:rsid w:val="00EA4E6B"/>
    <w:rsid w:val="00EA5C59"/>
    <w:rsid w:val="00EA66C8"/>
    <w:rsid w:val="00EB0619"/>
    <w:rsid w:val="00EB2DF9"/>
    <w:rsid w:val="00EB4924"/>
    <w:rsid w:val="00EB68A5"/>
    <w:rsid w:val="00EC3EAA"/>
    <w:rsid w:val="00EC7040"/>
    <w:rsid w:val="00ED06E6"/>
    <w:rsid w:val="00ED07D6"/>
    <w:rsid w:val="00ED3271"/>
    <w:rsid w:val="00ED5415"/>
    <w:rsid w:val="00ED5DFC"/>
    <w:rsid w:val="00EE0ACF"/>
    <w:rsid w:val="00EE3840"/>
    <w:rsid w:val="00EF0A38"/>
    <w:rsid w:val="00EF1DCB"/>
    <w:rsid w:val="00EF3C02"/>
    <w:rsid w:val="00EF5424"/>
    <w:rsid w:val="00F0128E"/>
    <w:rsid w:val="00F110B5"/>
    <w:rsid w:val="00F12718"/>
    <w:rsid w:val="00F15820"/>
    <w:rsid w:val="00F15DE6"/>
    <w:rsid w:val="00F270C7"/>
    <w:rsid w:val="00F3421F"/>
    <w:rsid w:val="00F36C92"/>
    <w:rsid w:val="00F40B68"/>
    <w:rsid w:val="00F4185A"/>
    <w:rsid w:val="00F476D0"/>
    <w:rsid w:val="00F516FF"/>
    <w:rsid w:val="00F55D36"/>
    <w:rsid w:val="00F6286D"/>
    <w:rsid w:val="00F65FF9"/>
    <w:rsid w:val="00F74BC1"/>
    <w:rsid w:val="00F8170E"/>
    <w:rsid w:val="00F858E5"/>
    <w:rsid w:val="00F9161F"/>
    <w:rsid w:val="00F91FC1"/>
    <w:rsid w:val="00F94D7D"/>
    <w:rsid w:val="00F9559A"/>
    <w:rsid w:val="00FA3262"/>
    <w:rsid w:val="00FA68DF"/>
    <w:rsid w:val="00FB1BDF"/>
    <w:rsid w:val="00FB2A00"/>
    <w:rsid w:val="00FC05D4"/>
    <w:rsid w:val="00FC5E1B"/>
    <w:rsid w:val="00FD279A"/>
    <w:rsid w:val="00FD4336"/>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semiHidden="0" w:uiPriority="9" w:unhideWhenUsed="0"/>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94" w:unhideWhenUsed="0"/>
    <w:lsdException w:name="toc 4" w:uiPriority="96" w:unhideWhenUsed="0"/>
    <w:lsdException w:name="toc 5" w:uiPriority="96" w:unhideWhenUsed="0"/>
    <w:lsdException w:name="toc 6" w:uiPriority="96" w:unhideWhenUsed="0"/>
    <w:lsdException w:name="toc 7" w:uiPriority="96" w:unhideWhenUsed="0"/>
    <w:lsdException w:name="toc 8" w:uiPriority="96" w:unhideWhenUsed="0"/>
    <w:lsdException w:name="toc 9" w:uiPriority="94"/>
    <w:lsdException w:name="header" w:uiPriority="85"/>
    <w:lsdException w:name="footer" w:uiPriority="84"/>
    <w:lsdException w:name="caption" w:uiPriority="35"/>
    <w:lsdException w:name="page number" w:uiPriority="0"/>
    <w:lsdException w:name="List" w:semiHidden="0" w:uiPriority="29" w:unhideWhenUsed="0"/>
    <w:lsdException w:name="List Bullet" w:uiPriority="19" w:qFormat="1"/>
    <w:lsdException w:name="List Number" w:semiHidden="0" w:uiPriority="19" w:unhideWhenUsed="0" w:qFormat="1"/>
    <w:lsdException w:name="List 2" w:uiPriority="29" w:unhideWhenUsed="0"/>
    <w:lsdException w:name="List 3" w:uiPriority="29"/>
    <w:lsdException w:name="List 4" w:uiPriority="29"/>
    <w:lsdException w:name="List 5" w:uiPriority="29"/>
    <w:lsdException w:name="List Bullet 2" w:uiPriority="19"/>
    <w:lsdException w:name="List Bullet 3" w:uiPriority="19"/>
    <w:lsdException w:name="List Bullet 4" w:uiPriority="19"/>
    <w:lsdException w:name="List Bullet 5" w:uiPriority="19"/>
    <w:lsdException w:name="List Number 2" w:semiHidden="0" w:uiPriority="19" w:unhideWhenUsed="0"/>
    <w:lsdException w:name="List Number 3" w:uiPriority="19"/>
    <w:lsdException w:name="List Number 4" w:uiPriority="19"/>
    <w:lsdException w:name="List Number 5" w:uiPriority="19"/>
    <w:lsdException w:name="Title" w:uiPriority="89" w:unhideWhenUsed="0"/>
    <w:lsdException w:name="Default Paragraph Font" w:uiPriority="1"/>
    <w:lsdException w:name="Body Text" w:uiPriority="4"/>
    <w:lsdException w:name="List Continue" w:semiHidden="0" w:uiPriority="24" w:unhideWhenUsed="0" w:qFormat="1"/>
    <w:lsdException w:name="List Continue 2" w:semiHidden="0" w:uiPriority="24" w:unhideWhenUsed="0"/>
    <w:lsdException w:name="List Continue 3" w:uiPriority="24"/>
    <w:lsdException w:name="List Continue 4" w:uiPriority="24"/>
    <w:lsdException w:name="List Continue 5" w:uiPriority="24"/>
    <w:lsdException w:name="Subtitle" w:uiPriority="90" w:unhideWhenUsed="0"/>
    <w:lsdException w:name="Strong" w:uiPriority="98" w:unhideWhenUsed="0"/>
    <w:lsdException w:name="Emphasis" w:uiPriority="98"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8" w:unhideWhenUsed="0"/>
    <w:lsdException w:name="Intense Emphasis" w:uiPriority="98"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90"/>
  </w:latentStyles>
  <w:style w:type="paragraph" w:default="1" w:styleId="Normal">
    <w:name w:val="Normal"/>
    <w:qFormat/>
    <w:rsid w:val="00627E95"/>
    <w:pPr>
      <w:keepLines/>
    </w:pPr>
  </w:style>
  <w:style w:type="paragraph" w:styleId="Heading10">
    <w:name w:val="heading 1"/>
    <w:next w:val="Normal"/>
    <w:link w:val="Heading1Char"/>
    <w:uiPriority w:val="9"/>
    <w:qFormat/>
    <w:rsid w:val="00E46E4F"/>
    <w:pPr>
      <w:keepNext/>
      <w:keepLines/>
      <w:spacing w:before="360"/>
      <w:outlineLvl w:val="0"/>
    </w:pPr>
    <w:rPr>
      <w:rFonts w:asciiTheme="majorHAnsi" w:eastAsiaTheme="majorEastAsia" w:hAnsiTheme="majorHAnsi" w:cstheme="majorBidi"/>
      <w:b/>
      <w:bCs/>
      <w:caps/>
      <w:spacing w:val="-2"/>
      <w:sz w:val="26"/>
      <w:szCs w:val="28"/>
    </w:rPr>
  </w:style>
  <w:style w:type="paragraph" w:styleId="Heading20">
    <w:name w:val="heading 2"/>
    <w:basedOn w:val="Heading10"/>
    <w:next w:val="Normal"/>
    <w:link w:val="Heading2Char"/>
    <w:uiPriority w:val="9"/>
    <w:qFormat/>
    <w:rsid w:val="00612683"/>
    <w:pPr>
      <w:numPr>
        <w:ilvl w:val="1"/>
      </w:numPr>
      <w:tabs>
        <w:tab w:val="right" w:pos="9582"/>
      </w:tabs>
      <w:spacing w:before="240"/>
      <w:outlineLvl w:val="1"/>
    </w:pPr>
    <w:rPr>
      <w:bCs w:val="0"/>
      <w:caps w:val="0"/>
      <w:szCs w:val="26"/>
    </w:rPr>
  </w:style>
  <w:style w:type="paragraph" w:styleId="Heading30">
    <w:name w:val="heading 3"/>
    <w:basedOn w:val="Heading20"/>
    <w:next w:val="Normal"/>
    <w:link w:val="Heading3Char"/>
    <w:uiPriority w:val="9"/>
    <w:qFormat/>
    <w:rsid w:val="00EB0619"/>
    <w:pPr>
      <w:numPr>
        <w:ilvl w:val="2"/>
      </w:numPr>
      <w:tabs>
        <w:tab w:val="clear" w:pos="9582"/>
        <w:tab w:val="right" w:pos="7710"/>
      </w:tabs>
      <w:outlineLvl w:val="2"/>
    </w:pPr>
    <w:rPr>
      <w:bCs/>
      <w:sz w:val="23"/>
    </w:rPr>
  </w:style>
  <w:style w:type="paragraph" w:styleId="Heading4">
    <w:name w:val="heading 4"/>
    <w:basedOn w:val="Heading30"/>
    <w:next w:val="Normal"/>
    <w:link w:val="Heading4Char"/>
    <w:uiPriority w:val="9"/>
    <w:rsid w:val="00EB0619"/>
    <w:pPr>
      <w:numPr>
        <w:ilvl w:val="3"/>
      </w:numPr>
      <w:spacing w:before="180"/>
      <w:outlineLvl w:val="3"/>
    </w:pPr>
    <w:rPr>
      <w:b w:val="0"/>
      <w:bCs w:val="0"/>
      <w:i/>
      <w:iCs/>
      <w:spacing w:val="0"/>
    </w:rPr>
  </w:style>
  <w:style w:type="paragraph" w:styleId="Heading5">
    <w:name w:val="heading 5"/>
    <w:basedOn w:val="Heading4"/>
    <w:next w:val="Normal"/>
    <w:link w:val="Heading5Char"/>
    <w:uiPriority w:val="9"/>
    <w:unhideWhenUsed/>
    <w:rsid w:val="00EB0619"/>
    <w:pPr>
      <w:numPr>
        <w:ilvl w:val="4"/>
      </w:numPr>
      <w:outlineLvl w:val="4"/>
    </w:pPr>
    <w:rPr>
      <w:b/>
      <w:i w:val="0"/>
      <w:sz w:val="21"/>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E46E4F"/>
    <w:rPr>
      <w:rFonts w:asciiTheme="majorHAnsi" w:eastAsiaTheme="majorEastAsia" w:hAnsiTheme="majorHAnsi" w:cstheme="majorBidi"/>
      <w:b/>
      <w:bCs/>
      <w:caps/>
      <w:spacing w:val="-2"/>
      <w:sz w:val="26"/>
      <w:szCs w:val="28"/>
    </w:rPr>
  </w:style>
  <w:style w:type="paragraph" w:customStyle="1" w:styleId="Chapterheading">
    <w:name w:val="Chapter heading"/>
    <w:basedOn w:val="Normal"/>
    <w:next w:val="Heading10"/>
    <w:link w:val="ChapterheadingChar"/>
    <w:uiPriority w:val="89"/>
    <w:rsid w:val="0061407E"/>
    <w:pPr>
      <w:keepNext/>
      <w:pBdr>
        <w:bottom w:val="single" w:sz="12" w:space="1" w:color="auto"/>
      </w:pBdr>
      <w:spacing w:before="1440" w:after="360"/>
      <w:outlineLvl w:val="0"/>
    </w:pPr>
    <w:rPr>
      <w:rFonts w:asciiTheme="majorHAnsi" w:eastAsiaTheme="majorEastAsia" w:hAnsiTheme="majorHAnsi" w:cstheme="majorBidi"/>
      <w:b/>
      <w:bCs/>
      <w:caps/>
      <w:spacing w:val="-2"/>
      <w:sz w:val="36"/>
      <w:szCs w:val="28"/>
    </w:rPr>
  </w:style>
  <w:style w:type="character" w:customStyle="1" w:styleId="Heading3Char">
    <w:name w:val="Heading 3 Char"/>
    <w:basedOn w:val="DefaultParagraphFont"/>
    <w:link w:val="Heading30"/>
    <w:uiPriority w:val="9"/>
    <w:rsid w:val="00EB0619"/>
    <w:rPr>
      <w:rFonts w:asciiTheme="majorHAnsi" w:eastAsiaTheme="majorEastAsia" w:hAnsiTheme="majorHAnsi" w:cstheme="majorBidi"/>
      <w:b/>
      <w:bCs/>
      <w:spacing w:val="-2"/>
      <w:sz w:val="23"/>
      <w:szCs w:val="26"/>
    </w:rPr>
  </w:style>
  <w:style w:type="character" w:customStyle="1" w:styleId="Heading2Char">
    <w:name w:val="Heading 2 Char"/>
    <w:basedOn w:val="DefaultParagraphFont"/>
    <w:link w:val="Heading20"/>
    <w:uiPriority w:val="9"/>
    <w:rsid w:val="00612683"/>
    <w:rPr>
      <w:rFonts w:asciiTheme="majorHAnsi" w:eastAsiaTheme="majorEastAsia" w:hAnsiTheme="majorHAnsi" w:cstheme="majorBidi"/>
      <w:b/>
      <w:spacing w:val="-2"/>
      <w:sz w:val="26"/>
      <w:szCs w:val="26"/>
    </w:rPr>
  </w:style>
  <w:style w:type="character" w:customStyle="1" w:styleId="Heading4Char">
    <w:name w:val="Heading 4 Char"/>
    <w:basedOn w:val="DefaultParagraphFont"/>
    <w:link w:val="Heading4"/>
    <w:uiPriority w:val="9"/>
    <w:rsid w:val="00EB0619"/>
    <w:rPr>
      <w:rFonts w:asciiTheme="majorHAnsi" w:eastAsiaTheme="majorEastAsia" w:hAnsiTheme="majorHAnsi" w:cstheme="majorBidi"/>
      <w:i/>
      <w:iCs/>
      <w:sz w:val="23"/>
      <w:szCs w:val="26"/>
    </w:rPr>
  </w:style>
  <w:style w:type="character" w:customStyle="1" w:styleId="Heading2Char0">
    <w:name w:val="Heading 2 (#) Char"/>
    <w:basedOn w:val="Heading2Char"/>
    <w:link w:val="Heading2"/>
    <w:uiPriority w:val="14"/>
    <w:rsid w:val="0037430B"/>
    <w:rPr>
      <w:rFonts w:asciiTheme="majorHAnsi" w:eastAsiaTheme="majorEastAsia" w:hAnsiTheme="majorHAnsi" w:cstheme="majorBidi"/>
      <w:b/>
      <w:spacing w:val="-2"/>
      <w:sz w:val="26"/>
      <w:szCs w:val="26"/>
    </w:rPr>
  </w:style>
  <w:style w:type="paragraph" w:customStyle="1" w:styleId="Source">
    <w:name w:val="Source"/>
    <w:basedOn w:val="Normal"/>
    <w:next w:val="Note"/>
    <w:link w:val="SourceChar"/>
    <w:uiPriority w:val="51"/>
    <w:qFormat/>
    <w:rsid w:val="006F23B1"/>
    <w:pPr>
      <w:spacing w:before="20" w:after="60"/>
    </w:pPr>
    <w:rPr>
      <w:rFonts w:asciiTheme="majorHAnsi" w:hAnsiTheme="majorHAnsi"/>
      <w:i/>
      <w:spacing w:val="-2"/>
      <w:sz w:val="14"/>
    </w:rPr>
  </w:style>
  <w:style w:type="paragraph" w:customStyle="1" w:styleId="Note">
    <w:name w:val="Note"/>
    <w:basedOn w:val="Normal"/>
    <w:link w:val="NoteChar"/>
    <w:uiPriority w:val="52"/>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link w:val="HighlightBoxTextChar"/>
    <w:uiPriority w:val="60"/>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after="200" w:line="276" w:lineRule="auto"/>
    </w:pPr>
    <w:rPr>
      <w:lang w:val="en-US" w:eastAsia="ja-JP"/>
    </w:rPr>
  </w:style>
  <w:style w:type="paragraph" w:styleId="FootnoteText">
    <w:name w:val="footnote text"/>
    <w:basedOn w:val="Normal"/>
    <w:link w:val="FootnoteTextChar"/>
    <w:uiPriority w:val="99"/>
    <w:rsid w:val="007A11BE"/>
    <w:pPr>
      <w:spacing w:before="40"/>
    </w:pPr>
    <w:rPr>
      <w:rFonts w:eastAsiaTheme="minorEastAsia"/>
      <w:sz w:val="20"/>
      <w:lang w:val="en-US" w:eastAsia="ja-JP"/>
    </w:rPr>
  </w:style>
  <w:style w:type="character" w:customStyle="1" w:styleId="FootnoteTextChar">
    <w:name w:val="Footnote Text Char"/>
    <w:basedOn w:val="DefaultParagraphFont"/>
    <w:link w:val="FootnoteText"/>
    <w:uiPriority w:val="99"/>
    <w:rsid w:val="007A11BE"/>
    <w:rPr>
      <w:rFonts w:eastAsiaTheme="minorEastAsia"/>
      <w:sz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5"/>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97"/>
    <w:rsid w:val="00CA41CF"/>
    <w:rPr>
      <w:rFonts w:asciiTheme="majorHAnsi" w:hAnsiTheme="majorHAnsi"/>
      <w:b/>
      <w:caps/>
      <w:color w:val="53565A"/>
    </w:rPr>
  </w:style>
  <w:style w:type="numbering" w:styleId="111111">
    <w:name w:val="Outline List 2"/>
    <w:basedOn w:val="NoList"/>
    <w:uiPriority w:val="99"/>
    <w:semiHidden/>
    <w:unhideWhenUsed/>
    <w:rsid w:val="00C00568"/>
    <w:pPr>
      <w:numPr>
        <w:numId w:val="11"/>
      </w:numPr>
    </w:pPr>
  </w:style>
  <w:style w:type="character" w:customStyle="1" w:styleId="FooteroddChar">
    <w:name w:val="Footer (odd) Char"/>
    <w:basedOn w:val="DefaultParagraphFont"/>
    <w:link w:val="Footerodd"/>
    <w:uiPriority w:val="84"/>
    <w:rsid w:val="008155D0"/>
    <w:rPr>
      <w:rFonts w:asciiTheme="majorHAnsi" w:hAnsiTheme="majorHAnsi"/>
      <w:sz w:val="18"/>
    </w:rPr>
  </w:style>
  <w:style w:type="paragraph" w:customStyle="1" w:styleId="Footerodd">
    <w:name w:val="Footer (odd)"/>
    <w:basedOn w:val="Normal"/>
    <w:link w:val="FooteroddChar"/>
    <w:uiPriority w:val="84"/>
    <w:rsid w:val="002E369A"/>
    <w:pPr>
      <w:pBdr>
        <w:top w:val="single" w:sz="6" w:space="1" w:color="auto"/>
      </w:pBdr>
      <w:tabs>
        <w:tab w:val="center" w:pos="4762"/>
        <w:tab w:val="right" w:pos="7710"/>
      </w:tabs>
      <w:spacing w:before="0"/>
    </w:pPr>
    <w:rPr>
      <w:rFonts w:asciiTheme="majorHAnsi" w:hAnsiTheme="majorHAnsi"/>
      <w:sz w:val="18"/>
    </w:rPr>
  </w:style>
  <w:style w:type="paragraph" w:customStyle="1" w:styleId="NoteDash">
    <w:name w:val="Note Dash"/>
    <w:basedOn w:val="Note"/>
    <w:next w:val="Note"/>
    <w:uiPriority w:val="53"/>
    <w:rsid w:val="00E46DD4"/>
    <w:pPr>
      <w:numPr>
        <w:numId w:val="3"/>
      </w:numPr>
      <w:ind w:left="568" w:hanging="284"/>
    </w:pPr>
  </w:style>
  <w:style w:type="character" w:customStyle="1" w:styleId="NoteChar">
    <w:name w:val="Note Char"/>
    <w:basedOn w:val="DefaultParagraphFont"/>
    <w:link w:val="Note"/>
    <w:uiPriority w:val="52"/>
    <w:rsid w:val="006F23B1"/>
    <w:rPr>
      <w:rFonts w:asciiTheme="majorHAnsi" w:hAnsiTheme="majorHAnsi"/>
      <w:i/>
      <w:spacing w:val="-2"/>
      <w:sz w:val="14"/>
    </w:rPr>
  </w:style>
  <w:style w:type="paragraph" w:styleId="TOC1">
    <w:name w:val="toc 1"/>
    <w:basedOn w:val="Normal"/>
    <w:next w:val="Normal"/>
    <w:uiPriority w:val="39"/>
    <w:rsid w:val="000616EB"/>
    <w:pPr>
      <w:tabs>
        <w:tab w:val="right" w:leader="dot" w:pos="7711"/>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qFormat/>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EB0619"/>
    <w:rPr>
      <w:rFonts w:asciiTheme="majorHAnsi" w:eastAsiaTheme="majorEastAsia" w:hAnsiTheme="majorHAnsi" w:cstheme="majorBidi"/>
      <w:b/>
      <w:iCs/>
      <w:sz w:val="21"/>
      <w:szCs w:val="26"/>
    </w:rPr>
  </w:style>
  <w:style w:type="paragraph" w:styleId="ListBullet">
    <w:name w:val="List Bullet"/>
    <w:basedOn w:val="Normal"/>
    <w:link w:val="ListBulletChar"/>
    <w:uiPriority w:val="19"/>
    <w:qFormat/>
    <w:rsid w:val="00CE5CF8"/>
    <w:pPr>
      <w:numPr>
        <w:numId w:val="7"/>
      </w:numPr>
      <w:spacing w:before="60"/>
    </w:pPr>
  </w:style>
  <w:style w:type="paragraph" w:styleId="List">
    <w:name w:val="List"/>
    <w:basedOn w:val="Normal"/>
    <w:uiPriority w:val="29"/>
    <w:unhideWhenUsed/>
    <w:rsid w:val="008A5A91"/>
    <w:pPr>
      <w:keepLines w:val="0"/>
      <w:tabs>
        <w:tab w:val="left" w:pos="284"/>
        <w:tab w:val="left" w:pos="567"/>
        <w:tab w:val="left" w:pos="851"/>
      </w:tabs>
    </w:pPr>
  </w:style>
  <w:style w:type="paragraph" w:styleId="ListContinue">
    <w:name w:val="List Continue"/>
    <w:basedOn w:val="Normal"/>
    <w:uiPriority w:val="24"/>
    <w:qFormat/>
    <w:rsid w:val="006C00EB"/>
    <w:pPr>
      <w:spacing w:before="60"/>
      <w:ind w:left="284"/>
    </w:pPr>
  </w:style>
  <w:style w:type="paragraph" w:styleId="ListContinue2">
    <w:name w:val="List Continue 2"/>
    <w:basedOn w:val="Normal"/>
    <w:uiPriority w:val="24"/>
    <w:rsid w:val="006C00EB"/>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4"/>
    <w:semiHidden/>
    <w:rsid w:val="00627E95"/>
    <w:pPr>
      <w:tabs>
        <w:tab w:val="center" w:pos="4513"/>
        <w:tab w:val="right" w:pos="9026"/>
      </w:tabs>
      <w:spacing w:before="0"/>
    </w:pPr>
  </w:style>
  <w:style w:type="paragraph" w:styleId="TOC2">
    <w:name w:val="toc 2"/>
    <w:basedOn w:val="TOC1"/>
    <w:next w:val="Normal"/>
    <w:uiPriority w:val="39"/>
    <w:rsid w:val="00E14B35"/>
    <w:pPr>
      <w:spacing w:before="40"/>
      <w:ind w:left="288" w:right="562"/>
    </w:pPr>
    <w:rPr>
      <w:b w:val="0"/>
      <w:noProof/>
    </w:rPr>
  </w:style>
  <w:style w:type="character" w:styleId="PageNumber">
    <w:name w:val="page number"/>
    <w:rsid w:val="000A03F9"/>
    <w:rPr>
      <w:rFonts w:asciiTheme="minorHAnsi" w:hAnsiTheme="minorHAnsi"/>
      <w:sz w:val="18"/>
    </w:rPr>
  </w:style>
  <w:style w:type="paragraph" w:styleId="TOC3">
    <w:name w:val="toc 3"/>
    <w:basedOn w:val="Normal"/>
    <w:next w:val="Normal"/>
    <w:uiPriority w:val="94"/>
    <w:rsid w:val="00402880"/>
    <w:pPr>
      <w:spacing w:after="100"/>
      <w:ind w:left="420"/>
    </w:pPr>
  </w:style>
  <w:style w:type="paragraph" w:styleId="TOC4">
    <w:name w:val="toc 4"/>
    <w:next w:val="Normal"/>
    <w:uiPriority w:val="96"/>
    <w:rsid w:val="000E2126"/>
    <w:pPr>
      <w:tabs>
        <w:tab w:val="left" w:pos="1021"/>
        <w:tab w:val="right" w:leader="dot" w:pos="9072"/>
      </w:tabs>
      <w:spacing w:after="100"/>
    </w:pPr>
    <w:rPr>
      <w:rFonts w:asciiTheme="majorHAnsi" w:hAnsiTheme="majorHAnsi"/>
      <w:spacing w:val="2"/>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qFormat/>
    <w:rsid w:val="00EB0619"/>
    <w:pPr>
      <w:keepNext/>
    </w:pPr>
    <w:rPr>
      <w:rFonts w:asciiTheme="majorHAnsi" w:hAnsiTheme="majorHAnsi"/>
      <w:b/>
      <w:sz w:val="24"/>
    </w:rPr>
  </w:style>
  <w:style w:type="paragraph" w:customStyle="1" w:styleId="HighlightBoxBullet">
    <w:name w:val="Highlight Box Bullet"/>
    <w:basedOn w:val="ListBullet"/>
    <w:link w:val="HighlightBoxBulletChar"/>
    <w:uiPriority w:val="61"/>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link w:val="TableHeadingChar"/>
    <w:uiPriority w:val="49"/>
    <w:qFormat/>
    <w:rsid w:val="000616EB"/>
    <w:pPr>
      <w:keepNext/>
      <w:tabs>
        <w:tab w:val="left" w:pos="1134"/>
        <w:tab w:val="right" w:pos="7710"/>
      </w:tabs>
      <w:spacing w:before="240" w:after="6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3E68E6"/>
    <w:rPr>
      <w:rFonts w:asciiTheme="majorHAnsi" w:eastAsiaTheme="majorEastAsia" w:hAnsiTheme="majorHAnsi" w:cstheme="majorBidi"/>
      <w:b/>
      <w:bCs/>
      <w:caps/>
      <w:spacing w:val="-2"/>
      <w:sz w:val="2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94"/>
    <w:rsid w:val="00B56C73"/>
    <w:pPr>
      <w:tabs>
        <w:tab w:val="left" w:pos="567"/>
        <w:tab w:val="right" w:leader="dot" w:pos="3629"/>
      </w:tabs>
      <w:spacing w:after="100"/>
      <w:ind w:left="567" w:right="340" w:hanging="567"/>
    </w:pPr>
    <w:rPr>
      <w:spacing w:val="-2"/>
    </w:rPr>
  </w:style>
  <w:style w:type="paragraph" w:customStyle="1" w:styleId="Footereven">
    <w:name w:val="Footer (even)"/>
    <w:basedOn w:val="Normal"/>
    <w:link w:val="FooterevenChar"/>
    <w:uiPriority w:val="84"/>
    <w:rsid w:val="002E369A"/>
    <w:pPr>
      <w:pBdr>
        <w:top w:val="single" w:sz="6" w:space="1" w:color="auto"/>
      </w:pBdr>
      <w:tabs>
        <w:tab w:val="center" w:pos="2948"/>
        <w:tab w:val="right" w:pos="7710"/>
      </w:tabs>
      <w:spacing w:before="0"/>
    </w:pPr>
    <w:rPr>
      <w:rFonts w:asciiTheme="majorHAnsi" w:hAnsiTheme="majorHAnsi"/>
      <w:sz w:val="18"/>
    </w:rPr>
  </w:style>
  <w:style w:type="table" w:customStyle="1" w:styleId="DTFTable">
    <w:name w:val="DTF Table"/>
    <w:basedOn w:val="TableNormal"/>
    <w:uiPriority w:val="99"/>
    <w:rsid w:val="00A637FA"/>
    <w:pPr>
      <w:spacing w:before="20" w:after="20"/>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8"/>
      </w:numPr>
      <w:spacing w:before="60"/>
      <w:ind w:left="851"/>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qFormat/>
    <w:rsid w:val="003E68E6"/>
    <w:pPr>
      <w:numPr>
        <w:numId w:val="14"/>
      </w:numPr>
    </w:pPr>
  </w:style>
  <w:style w:type="paragraph" w:customStyle="1" w:styleId="Heading2">
    <w:name w:val="Heading 2 (#)"/>
    <w:basedOn w:val="Heading20"/>
    <w:link w:val="Heading2Char0"/>
    <w:uiPriority w:val="14"/>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37430B"/>
    <w:pPr>
      <w:numPr>
        <w:numId w:val="14"/>
      </w:numPr>
      <w:spacing w:after="120"/>
    </w:pPr>
  </w:style>
  <w:style w:type="character" w:customStyle="1" w:styleId="Heading3Char0">
    <w:name w:val="Heading 3 (#) Char"/>
    <w:basedOn w:val="Heading3Char"/>
    <w:link w:val="Heading3"/>
    <w:uiPriority w:val="14"/>
    <w:rsid w:val="0037430B"/>
    <w:rPr>
      <w:rFonts w:asciiTheme="majorHAnsi" w:eastAsiaTheme="majorEastAsia" w:hAnsiTheme="majorHAnsi" w:cstheme="majorBidi"/>
      <w:b/>
      <w:bCs/>
      <w:spacing w:val="-2"/>
      <w:sz w:val="23"/>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4"/>
    <w:semiHidden/>
    <w:rsid w:val="00627E95"/>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C00568"/>
    <w:pPr>
      <w:spacing w:after="120"/>
    </w:pPr>
  </w:style>
  <w:style w:type="character" w:customStyle="1" w:styleId="BodyTextChar">
    <w:name w:val="Body Text Char"/>
    <w:basedOn w:val="DefaultParagraphFont"/>
    <w:link w:val="BodyText"/>
    <w:uiPriority w:val="4"/>
    <w:semiHidden/>
    <w:rsid w:val="00C00568"/>
  </w:style>
  <w:style w:type="paragraph" w:styleId="BodyText2">
    <w:name w:val="Body Text 2"/>
    <w:basedOn w:val="Normal"/>
    <w:link w:val="BodyText2Char"/>
    <w:uiPriority w:val="99"/>
    <w:semiHidden/>
    <w:unhideWhenUsed/>
    <w:rsid w:val="00C00568"/>
    <w:pPr>
      <w:spacing w:after="120" w:line="480" w:lineRule="auto"/>
    </w:pPr>
  </w:style>
  <w:style w:type="character" w:customStyle="1" w:styleId="BodyText2Char">
    <w:name w:val="Body Text 2 Char"/>
    <w:basedOn w:val="DefaultParagraphFont"/>
    <w:link w:val="BodyText2"/>
    <w:uiPriority w:val="99"/>
    <w:semiHidden/>
    <w:rsid w:val="00C00568"/>
  </w:style>
  <w:style w:type="paragraph" w:styleId="BodyText3">
    <w:name w:val="Body Text 3"/>
    <w:basedOn w:val="Normal"/>
    <w:link w:val="BodyText3Char"/>
    <w:uiPriority w:val="99"/>
    <w:semiHidden/>
    <w:unhideWhenUsed/>
    <w:rsid w:val="00C00568"/>
    <w:pPr>
      <w:spacing w:after="120"/>
    </w:pPr>
    <w:rPr>
      <w:sz w:val="16"/>
      <w:szCs w:val="16"/>
    </w:rPr>
  </w:style>
  <w:style w:type="character" w:customStyle="1" w:styleId="BodyText3Char">
    <w:name w:val="Body Text 3 Char"/>
    <w:basedOn w:val="DefaultParagraphFont"/>
    <w:link w:val="BodyText3"/>
    <w:uiPriority w:val="99"/>
    <w:semiHidden/>
    <w:rsid w:val="00C00568"/>
    <w:rPr>
      <w:sz w:val="16"/>
      <w:szCs w:val="16"/>
    </w:rPr>
  </w:style>
  <w:style w:type="paragraph" w:styleId="BodyTextFirstIndent">
    <w:name w:val="Body Text First Indent"/>
    <w:basedOn w:val="BodyText"/>
    <w:link w:val="BodyTextFirstIndentChar"/>
    <w:uiPriority w:val="99"/>
    <w:semiHidden/>
    <w:unhideWhenUsed/>
    <w:rsid w:val="00C00568"/>
    <w:pPr>
      <w:spacing w:after="0"/>
      <w:ind w:firstLine="360"/>
    </w:pPr>
  </w:style>
  <w:style w:type="character" w:customStyle="1" w:styleId="BodyTextFirstIndentChar">
    <w:name w:val="Body Text First Indent Char"/>
    <w:basedOn w:val="BodyTextChar"/>
    <w:link w:val="BodyTextFirstIndent"/>
    <w:uiPriority w:val="99"/>
    <w:semiHidden/>
    <w:rsid w:val="00C00568"/>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C00568"/>
    <w:pPr>
      <w:spacing w:after="0"/>
      <w:ind w:left="360" w:firstLine="360"/>
    </w:pPr>
  </w:style>
  <w:style w:type="character" w:customStyle="1" w:styleId="BodyTextFirstIndent2Char">
    <w:name w:val="Body Text First Indent 2 Char"/>
    <w:basedOn w:val="BodyTextIndentChar"/>
    <w:link w:val="BodyTextFirstIndent2"/>
    <w:uiPriority w:val="99"/>
    <w:semiHidden/>
    <w:rsid w:val="00C00568"/>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pPr>
      <w:spacing w:before="0" w:after="200"/>
    </w:pPr>
    <w:rPr>
      <w:b/>
      <w:bCs/>
      <w:color w:val="0063A6" w:themeColor="accent1"/>
      <w:sz w:val="18"/>
      <w:szCs w:val="18"/>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unhideWhenUsed/>
    <w:rsid w:val="00C00568"/>
    <w:rPr>
      <w:sz w:val="20"/>
      <w:szCs w:val="20"/>
    </w:rPr>
  </w:style>
  <w:style w:type="character" w:customStyle="1" w:styleId="CommentTextChar">
    <w:name w:val="Comment Text Char"/>
    <w:basedOn w:val="DefaultParagraphFont"/>
    <w:link w:val="CommentText"/>
    <w:uiPriority w:val="99"/>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pPr>
      <w:spacing w:before="0"/>
    </w:pPr>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unhideWhenUsed/>
    <w:rsid w:val="00CD3AC2"/>
    <w:pPr>
      <w:tabs>
        <w:tab w:val="right" w:leader="dot" w:pos="3485"/>
      </w:tabs>
      <w:spacing w:before="0"/>
      <w:ind w:left="220" w:hanging="220"/>
    </w:pPr>
    <w:rPr>
      <w:rFonts w:asciiTheme="majorHAnsi" w:hAnsiTheme="majorHAnsi"/>
    </w:rPr>
  </w:style>
  <w:style w:type="paragraph" w:styleId="Index2">
    <w:name w:val="index 2"/>
    <w:basedOn w:val="Normal"/>
    <w:next w:val="Normal"/>
    <w:autoRedefine/>
    <w:uiPriority w:val="99"/>
    <w:unhideWhenUsed/>
    <w:rsid w:val="00CD3AC2"/>
    <w:pPr>
      <w:tabs>
        <w:tab w:val="right" w:leader="dot" w:pos="3485"/>
      </w:tabs>
      <w:spacing w:before="0"/>
      <w:ind w:left="440" w:hanging="220"/>
    </w:pPr>
    <w:rPr>
      <w:rFonts w:asciiTheme="majorHAnsi" w:hAnsiTheme="majorHAnsi" w:cs="Calibri"/>
      <w:noProof/>
      <w:color w:val="000000"/>
    </w:rPr>
  </w:style>
  <w:style w:type="paragraph" w:styleId="Index3">
    <w:name w:val="index 3"/>
    <w:basedOn w:val="Normal"/>
    <w:next w:val="Normal"/>
    <w:autoRedefine/>
    <w:uiPriority w:val="99"/>
    <w:unhideWhenUsed/>
    <w:rsid w:val="00C00568"/>
    <w:pPr>
      <w:spacing w:before="0"/>
      <w:ind w:left="660" w:hanging="220"/>
    </w:pPr>
    <w:rPr>
      <w:sz w:val="18"/>
      <w:szCs w:val="18"/>
    </w:rPr>
  </w:style>
  <w:style w:type="paragraph" w:styleId="Index4">
    <w:name w:val="index 4"/>
    <w:basedOn w:val="Normal"/>
    <w:next w:val="Normal"/>
    <w:autoRedefine/>
    <w:uiPriority w:val="99"/>
    <w:unhideWhenUsed/>
    <w:rsid w:val="00C00568"/>
    <w:pPr>
      <w:spacing w:before="0"/>
      <w:ind w:left="880" w:hanging="220"/>
    </w:pPr>
    <w:rPr>
      <w:sz w:val="18"/>
      <w:szCs w:val="18"/>
    </w:rPr>
  </w:style>
  <w:style w:type="paragraph" w:styleId="Index5">
    <w:name w:val="index 5"/>
    <w:basedOn w:val="Normal"/>
    <w:next w:val="Normal"/>
    <w:autoRedefine/>
    <w:uiPriority w:val="99"/>
    <w:unhideWhenUsed/>
    <w:rsid w:val="00C00568"/>
    <w:pPr>
      <w:spacing w:before="0"/>
      <w:ind w:left="1100" w:hanging="220"/>
    </w:pPr>
    <w:rPr>
      <w:sz w:val="18"/>
      <w:szCs w:val="18"/>
    </w:rPr>
  </w:style>
  <w:style w:type="paragraph" w:styleId="Index6">
    <w:name w:val="index 6"/>
    <w:basedOn w:val="Normal"/>
    <w:next w:val="Normal"/>
    <w:autoRedefine/>
    <w:uiPriority w:val="99"/>
    <w:unhideWhenUsed/>
    <w:rsid w:val="00C00568"/>
    <w:pPr>
      <w:spacing w:before="0"/>
      <w:ind w:left="1320" w:hanging="220"/>
    </w:pPr>
    <w:rPr>
      <w:sz w:val="18"/>
      <w:szCs w:val="18"/>
    </w:rPr>
  </w:style>
  <w:style w:type="paragraph" w:styleId="Index7">
    <w:name w:val="index 7"/>
    <w:basedOn w:val="Normal"/>
    <w:next w:val="Normal"/>
    <w:autoRedefine/>
    <w:uiPriority w:val="99"/>
    <w:unhideWhenUsed/>
    <w:rsid w:val="00C00568"/>
    <w:pPr>
      <w:spacing w:before="0"/>
      <w:ind w:left="1540" w:hanging="220"/>
    </w:pPr>
    <w:rPr>
      <w:sz w:val="18"/>
      <w:szCs w:val="18"/>
    </w:rPr>
  </w:style>
  <w:style w:type="paragraph" w:styleId="Index8">
    <w:name w:val="index 8"/>
    <w:basedOn w:val="Normal"/>
    <w:next w:val="Normal"/>
    <w:autoRedefine/>
    <w:uiPriority w:val="99"/>
    <w:unhideWhenUsed/>
    <w:rsid w:val="00C00568"/>
    <w:pPr>
      <w:spacing w:before="0"/>
      <w:ind w:left="1760" w:hanging="220"/>
    </w:pPr>
    <w:rPr>
      <w:sz w:val="18"/>
      <w:szCs w:val="18"/>
    </w:rPr>
  </w:style>
  <w:style w:type="paragraph" w:styleId="Index9">
    <w:name w:val="index 9"/>
    <w:basedOn w:val="Normal"/>
    <w:next w:val="Normal"/>
    <w:autoRedefine/>
    <w:uiPriority w:val="99"/>
    <w:unhideWhenUsed/>
    <w:rsid w:val="00C00568"/>
    <w:pPr>
      <w:spacing w:before="0"/>
      <w:ind w:left="1980" w:hanging="220"/>
    </w:pPr>
    <w:rPr>
      <w:sz w:val="18"/>
      <w:szCs w:val="18"/>
    </w:rPr>
  </w:style>
  <w:style w:type="paragraph" w:styleId="IndexHeading">
    <w:name w:val="index heading"/>
    <w:basedOn w:val="Normal"/>
    <w:next w:val="Index1"/>
    <w:uiPriority w:val="99"/>
    <w:unhideWhenUsed/>
    <w:rsid w:val="00CD3AC2"/>
    <w:pPr>
      <w:spacing w:before="240" w:after="120"/>
    </w:pPr>
    <w:rPr>
      <w:rFonts w:asciiTheme="majorHAnsi" w:eastAsiaTheme="majorEastAsia" w:hAnsiTheme="majorHAnsi" w:cstheme="majorBidi"/>
      <w:b/>
      <w:bCs/>
      <w:sz w:val="26"/>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pPr>
      <w:spacing w:before="0"/>
    </w:pPr>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pPr>
      <w:spacing w:before="0"/>
    </w:pPr>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pPr>
      <w:spacing w:before="0"/>
    </w:pPr>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spacing w:before="0"/>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semiHidden/>
    <w:rsid w:val="00C00568"/>
    <w:rPr>
      <w:i/>
      <w:iCs/>
      <w:color w:val="000000" w:themeColor="text1"/>
    </w:rPr>
  </w:style>
  <w:style w:type="character" w:customStyle="1" w:styleId="QuoteChar">
    <w:name w:val="Quote Char"/>
    <w:basedOn w:val="DefaultParagraphFont"/>
    <w:link w:val="Quote"/>
    <w:uiPriority w:val="29"/>
    <w:semiHidden/>
    <w:rsid w:val="00C00568"/>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Normal"/>
    <w:next w:val="Normal"/>
    <w:link w:val="SubtitleChar"/>
    <w:uiPriority w:val="90"/>
    <w:semiHidden/>
    <w:rsid w:val="00C00568"/>
    <w:pPr>
      <w:numPr>
        <w:ilvl w:val="1"/>
      </w:numPr>
    </w:pPr>
    <w:rPr>
      <w:rFonts w:asciiTheme="majorHAnsi" w:eastAsiaTheme="majorEastAsia" w:hAnsiTheme="majorHAnsi" w:cstheme="majorBidi"/>
      <w:i/>
      <w:iCs/>
      <w:color w:val="0063A6" w:themeColor="accent1"/>
      <w:spacing w:val="15"/>
      <w:sz w:val="24"/>
      <w:szCs w:val="24"/>
    </w:rPr>
  </w:style>
  <w:style w:type="character" w:customStyle="1" w:styleId="SubtitleChar">
    <w:name w:val="Subtitle Char"/>
    <w:basedOn w:val="DefaultParagraphFont"/>
    <w:link w:val="Subtitle"/>
    <w:uiPriority w:val="11"/>
    <w:semiHidden/>
    <w:rsid w:val="00C00568"/>
    <w:rPr>
      <w:rFonts w:asciiTheme="majorHAnsi" w:eastAsiaTheme="majorEastAsia" w:hAnsiTheme="majorHAnsi" w:cstheme="majorBidi"/>
      <w:i/>
      <w:iCs/>
      <w:color w:val="0063A6" w:themeColor="accent1"/>
      <w:spacing w:val="15"/>
      <w:sz w:val="24"/>
      <w:szCs w:val="24"/>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paragraph" w:customStyle="1" w:styleId="PerformanceMeasureNote">
    <w:name w:val="Performance Measure Note"/>
    <w:basedOn w:val="Normal"/>
    <w:uiPriority w:val="63"/>
    <w:qFormat/>
    <w:rsid w:val="00627E95"/>
    <w:pPr>
      <w:spacing w:before="20" w:after="20"/>
      <w:ind w:left="170"/>
      <w:contextualSpacing/>
    </w:pPr>
    <w:rPr>
      <w:rFonts w:asciiTheme="majorHAnsi" w:hAnsiTheme="majorHAnsi"/>
      <w:i/>
      <w:spacing w:val="-2"/>
      <w:sz w:val="15"/>
      <w:szCs w:val="15"/>
    </w:r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89"/>
    <w:semiHidden/>
    <w:rsid w:val="00C00568"/>
    <w:pPr>
      <w:pBdr>
        <w:bottom w:val="single" w:sz="8" w:space="4" w:color="0063A6" w:themeColor="accent1"/>
      </w:pBdr>
      <w:spacing w:before="0" w:after="300"/>
      <w:contextualSpacing/>
    </w:pPr>
    <w:rPr>
      <w:rFonts w:asciiTheme="majorHAnsi" w:eastAsiaTheme="majorEastAsia" w:hAnsiTheme="majorHAnsi" w:cstheme="majorBidi"/>
      <w:color w:val="170F34" w:themeColor="text2" w:themeShade="BF"/>
      <w:spacing w:val="5"/>
      <w:kern w:val="28"/>
      <w:sz w:val="52"/>
      <w:szCs w:val="52"/>
    </w:rPr>
  </w:style>
  <w:style w:type="character" w:customStyle="1" w:styleId="TitleChar">
    <w:name w:val="Title Char"/>
    <w:basedOn w:val="DefaultParagraphFont"/>
    <w:link w:val="Title"/>
    <w:uiPriority w:val="10"/>
    <w:semiHidden/>
    <w:rsid w:val="00C00568"/>
    <w:rPr>
      <w:rFonts w:asciiTheme="majorHAnsi" w:eastAsiaTheme="majorEastAsia" w:hAnsiTheme="majorHAnsi" w:cstheme="majorBidi"/>
      <w:color w:val="170F34" w:themeColor="text2" w:themeShade="BF"/>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val="0"/>
      <w:color w:val="004A7C" w:themeColor="accent1" w:themeShade="BF"/>
      <w:spacing w:val="0"/>
      <w:sz w:val="28"/>
    </w:rPr>
  </w:style>
  <w:style w:type="table" w:customStyle="1" w:styleId="DTFTextTable">
    <w:name w:val="DTF Text Table"/>
    <w:basedOn w:val="DTFTable"/>
    <w:uiPriority w:val="99"/>
    <w:rsid w:val="00917D22"/>
    <w:pPr>
      <w:spacing w:after="120" w:line="216" w:lineRule="auto"/>
      <w:jc w:val="left"/>
    </w:pPr>
    <w:rPr>
      <w:sz w:val="20"/>
    </w:rPr>
    <w:tblPr/>
    <w:tblStylePr w:type="firstRow">
      <w:pPr>
        <w:wordWrap/>
        <w:spacing w:beforeLines="0" w:before="20" w:beforeAutospacing="0" w:afterLines="0" w:after="20" w:afterAutospacing="0" w:line="216"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tcBorders>
          <w:top w:val="nil"/>
          <w:left w:val="nil"/>
          <w:bottom w:val="single" w:sz="6" w:space="0" w:color="auto"/>
          <w:right w:val="nil"/>
          <w:insideH w:val="nil"/>
          <w:insideV w:val="nil"/>
          <w:tl2br w:val="nil"/>
          <w:tr2bl w:val="nil"/>
        </w:tcBorders>
        <w:shd w:val="clear" w:color="auto" w:fill="EBEBEB" w:themeFill="background2"/>
      </w:tcPr>
    </w:tblStylePr>
    <w:tblStylePr w:type="band2Horz">
      <w:tblPr/>
      <w:tcPr>
        <w:tcBorders>
          <w:top w:val="nil"/>
          <w:left w:val="nil"/>
          <w:bottom w:val="single" w:sz="6" w:space="0" w:color="auto"/>
          <w:right w:val="nil"/>
          <w:insideH w:val="nil"/>
          <w:insideV w:val="nil"/>
          <w:tl2br w:val="nil"/>
          <w:tr2bl w:val="nil"/>
        </w:tcBorders>
        <w:shd w:val="clear" w:color="auto" w:fill="FFFFFF" w:themeFill="background1"/>
      </w:tcPr>
    </w:tblStylePr>
  </w:style>
  <w:style w:type="character" w:customStyle="1" w:styleId="FooterevenChar">
    <w:name w:val="Footer (even) Char"/>
    <w:basedOn w:val="DefaultParagraphFont"/>
    <w:link w:val="Footereven"/>
    <w:uiPriority w:val="84"/>
    <w:rsid w:val="002E369A"/>
    <w:rPr>
      <w:rFonts w:asciiTheme="majorHAnsi" w:hAnsiTheme="majorHAnsi"/>
      <w:sz w:val="18"/>
    </w:rPr>
  </w:style>
  <w:style w:type="paragraph" w:customStyle="1" w:styleId="ObjectiveHeading">
    <w:name w:val="Objective Heading"/>
    <w:basedOn w:val="Normal"/>
    <w:next w:val="Normal"/>
    <w:uiPriority w:val="62"/>
    <w:qFormat/>
    <w:rsid w:val="00EB0619"/>
    <w:pPr>
      <w:keepNext/>
      <w:pBdr>
        <w:top w:val="single" w:sz="6" w:space="3" w:color="auto"/>
        <w:left w:val="single" w:sz="6" w:space="5" w:color="auto"/>
        <w:bottom w:val="single" w:sz="6" w:space="3" w:color="auto"/>
        <w:right w:val="single" w:sz="6" w:space="5" w:color="auto"/>
      </w:pBdr>
      <w:shd w:val="clear" w:color="auto" w:fill="F2F2F2" w:themeFill="background1" w:themeFillShade="F2"/>
    </w:pPr>
    <w:rPr>
      <w:rFonts w:asciiTheme="majorHAnsi" w:hAnsiTheme="majorHAnsi"/>
      <w:b/>
      <w:sz w:val="24"/>
    </w:rPr>
  </w:style>
  <w:style w:type="character" w:customStyle="1" w:styleId="apple-converted-space">
    <w:name w:val="apple-converted-space"/>
    <w:basedOn w:val="DefaultParagraphFont"/>
    <w:rsid w:val="00627E95"/>
  </w:style>
  <w:style w:type="paragraph" w:customStyle="1" w:styleId="TableUnits">
    <w:name w:val="Table Units"/>
    <w:basedOn w:val="Normal"/>
    <w:next w:val="Normal"/>
    <w:uiPriority w:val="50"/>
    <w:qFormat/>
    <w:rsid w:val="000616EB"/>
    <w:pPr>
      <w:keepNext/>
      <w:tabs>
        <w:tab w:val="left" w:pos="567"/>
        <w:tab w:val="right" w:pos="9639"/>
        <w:tab w:val="right" w:pos="14742"/>
      </w:tabs>
      <w:spacing w:before="0" w:after="60"/>
      <w:ind w:left="1134" w:hanging="1134"/>
      <w:jc w:val="right"/>
    </w:pPr>
    <w:rPr>
      <w:rFonts w:asciiTheme="majorHAnsi" w:hAnsiTheme="majorHAnsi"/>
      <w:b/>
      <w:sz w:val="20"/>
      <w:szCs w:val="20"/>
    </w:rPr>
  </w:style>
  <w:style w:type="table" w:customStyle="1" w:styleId="DTFPerformanceMeasuresTable">
    <w:name w:val="DTF Performance Measures Table"/>
    <w:basedOn w:val="DTFTable"/>
    <w:uiPriority w:val="99"/>
    <w:rsid w:val="00F8170E"/>
    <w:pPr>
      <w:spacing w:before="0"/>
    </w:pPr>
    <w:tblPr>
      <w:tblStyleRowBandSize w:val="0"/>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44"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textheading">
    <w:name w:val="Table text heading"/>
    <w:basedOn w:val="Normal"/>
    <w:link w:val="TabletextheadingChar"/>
    <w:qFormat/>
    <w:rsid w:val="00627E95"/>
    <w:pPr>
      <w:keepLines w:val="0"/>
      <w:spacing w:before="0"/>
      <w:jc w:val="right"/>
    </w:pPr>
    <w:rPr>
      <w:rFonts w:ascii="Calibri" w:eastAsia="Times New Roman" w:hAnsi="Calibri" w:cs="Times New Roman"/>
      <w:i/>
      <w:sz w:val="20"/>
      <w:szCs w:val="18"/>
    </w:rPr>
  </w:style>
  <w:style w:type="character" w:customStyle="1" w:styleId="TabletextheadingChar">
    <w:name w:val="Table text heading Char"/>
    <w:link w:val="Tabletextheading"/>
    <w:locked/>
    <w:rsid w:val="00627E95"/>
    <w:rPr>
      <w:rFonts w:ascii="Calibri" w:eastAsia="Times New Roman" w:hAnsi="Calibri" w:cs="Times New Roman"/>
      <w:i/>
      <w:sz w:val="20"/>
      <w:szCs w:val="18"/>
    </w:rPr>
  </w:style>
  <w:style w:type="paragraph" w:customStyle="1" w:styleId="Tabletext">
    <w:name w:val="Table text"/>
    <w:basedOn w:val="Normal"/>
    <w:link w:val="TabletextChar"/>
    <w:qFormat/>
    <w:rsid w:val="00627E95"/>
    <w:pPr>
      <w:keepLines w:val="0"/>
      <w:spacing w:before="0"/>
      <w:ind w:left="180" w:hanging="180"/>
    </w:pPr>
    <w:rPr>
      <w:rFonts w:ascii="Calibri" w:eastAsia="Times New Roman" w:hAnsi="Calibri" w:cs="Times New Roman"/>
      <w:sz w:val="20"/>
      <w:szCs w:val="18"/>
    </w:rPr>
  </w:style>
  <w:style w:type="character" w:customStyle="1" w:styleId="TabletextChar">
    <w:name w:val="Table text Char"/>
    <w:link w:val="Tabletext"/>
    <w:rsid w:val="00627E95"/>
    <w:rPr>
      <w:rFonts w:ascii="Calibri" w:eastAsia="Times New Roman" w:hAnsi="Calibri" w:cs="Times New Roman"/>
      <w:sz w:val="20"/>
      <w:szCs w:val="18"/>
    </w:rPr>
  </w:style>
  <w:style w:type="paragraph" w:customStyle="1" w:styleId="Notes">
    <w:name w:val="Notes"/>
    <w:basedOn w:val="Normal"/>
    <w:link w:val="NotesChar"/>
    <w:qFormat/>
    <w:rsid w:val="00627E95"/>
    <w:pPr>
      <w:keepLines w:val="0"/>
      <w:tabs>
        <w:tab w:val="left" w:pos="454"/>
      </w:tabs>
      <w:spacing w:before="0"/>
      <w:ind w:left="461" w:hanging="461"/>
    </w:pPr>
    <w:rPr>
      <w:rFonts w:ascii="Calibri" w:eastAsia="Times New Roman" w:hAnsi="Calibri" w:cs="Times New Roman"/>
      <w:i/>
      <w:sz w:val="15"/>
      <w:szCs w:val="20"/>
    </w:rPr>
  </w:style>
  <w:style w:type="character" w:customStyle="1" w:styleId="NotesChar">
    <w:name w:val="Notes Char"/>
    <w:link w:val="Notes"/>
    <w:locked/>
    <w:rsid w:val="00627E95"/>
    <w:rPr>
      <w:rFonts w:ascii="Calibri" w:eastAsia="Times New Roman" w:hAnsi="Calibri" w:cs="Times New Roman"/>
      <w:i/>
      <w:sz w:val="15"/>
      <w:szCs w:val="20"/>
    </w:rPr>
  </w:style>
  <w:style w:type="paragraph" w:customStyle="1" w:styleId="Calibri">
    <w:name w:val="Calibri"/>
    <w:basedOn w:val="Normal"/>
    <w:qFormat/>
    <w:rsid w:val="00627E95"/>
    <w:pPr>
      <w:keepLines w:val="0"/>
      <w:spacing w:before="0" w:after="120"/>
    </w:pPr>
    <w:rPr>
      <w:rFonts w:ascii="Calibri" w:eastAsia="Times New Roman" w:hAnsi="Calibri" w:cs="Times New Roman"/>
      <w:i/>
      <w:sz w:val="15"/>
      <w:szCs w:val="20"/>
    </w:rPr>
  </w:style>
  <w:style w:type="character" w:customStyle="1" w:styleId="left">
    <w:name w:val="left"/>
    <w:basedOn w:val="DefaultParagraphFont"/>
    <w:rsid w:val="00627E95"/>
  </w:style>
  <w:style w:type="paragraph" w:styleId="Revision">
    <w:name w:val="Revision"/>
    <w:hidden/>
    <w:uiPriority w:val="99"/>
    <w:semiHidden/>
    <w:rsid w:val="00800E63"/>
    <w:pPr>
      <w:spacing w:before="0"/>
    </w:pPr>
  </w:style>
  <w:style w:type="character" w:customStyle="1" w:styleId="SourceChar">
    <w:name w:val="Source Char"/>
    <w:link w:val="Source"/>
    <w:locked/>
    <w:rsid w:val="00627E95"/>
    <w:rPr>
      <w:rFonts w:asciiTheme="majorHAnsi" w:hAnsiTheme="majorHAnsi"/>
      <w:i/>
      <w:spacing w:val="-2"/>
      <w:sz w:val="14"/>
    </w:rPr>
  </w:style>
  <w:style w:type="character" w:customStyle="1" w:styleId="TableHeadingChar">
    <w:name w:val="Table Heading Char"/>
    <w:basedOn w:val="DefaultParagraphFont"/>
    <w:link w:val="TableHeading"/>
    <w:uiPriority w:val="49"/>
    <w:rsid w:val="000616EB"/>
    <w:rPr>
      <w:rFonts w:asciiTheme="majorHAnsi" w:hAnsiTheme="majorHAnsi"/>
      <w:b/>
      <w:sz w:val="20"/>
      <w:szCs w:val="20"/>
    </w:rPr>
  </w:style>
  <w:style w:type="paragraph" w:customStyle="1" w:styleId="BP4Figures">
    <w:name w:val="BP4 Figures"/>
    <w:basedOn w:val="Normal"/>
    <w:semiHidden/>
    <w:rsid w:val="00627E95"/>
    <w:pPr>
      <w:keepLines w:val="0"/>
      <w:spacing w:before="0" w:after="30"/>
      <w:jc w:val="right"/>
    </w:pPr>
    <w:rPr>
      <w:rFonts w:ascii="Calibri" w:eastAsia="Times New Roman" w:hAnsi="Calibri" w:cs="Times New Roman"/>
      <w:sz w:val="18"/>
      <w:szCs w:val="18"/>
    </w:rPr>
  </w:style>
  <w:style w:type="paragraph" w:customStyle="1" w:styleId="BP4headingr">
    <w:name w:val="BP4 heading r"/>
    <w:basedOn w:val="Normal"/>
    <w:semiHidden/>
    <w:rsid w:val="00627E95"/>
    <w:pPr>
      <w:keepLines w:val="0"/>
      <w:spacing w:before="0"/>
      <w:jc w:val="right"/>
    </w:pPr>
    <w:rPr>
      <w:rFonts w:ascii="Calibri" w:eastAsia="Times New Roman" w:hAnsi="Calibri" w:cs="Times New Roman"/>
      <w:i/>
      <w:sz w:val="18"/>
      <w:szCs w:val="18"/>
    </w:rPr>
  </w:style>
  <w:style w:type="paragraph" w:customStyle="1" w:styleId="BP4headingl">
    <w:name w:val="BP4 heading l"/>
    <w:basedOn w:val="BP4headingr"/>
    <w:semiHidden/>
    <w:rsid w:val="00627E95"/>
    <w:pPr>
      <w:jc w:val="left"/>
    </w:pPr>
  </w:style>
  <w:style w:type="paragraph" w:customStyle="1" w:styleId="BP4tabletext">
    <w:name w:val="BP4 table text"/>
    <w:basedOn w:val="Normal"/>
    <w:semiHidden/>
    <w:rsid w:val="00627E95"/>
    <w:pPr>
      <w:keepLines w:val="0"/>
      <w:spacing w:before="0" w:after="30"/>
      <w:ind w:left="72" w:hanging="72"/>
    </w:pPr>
    <w:rPr>
      <w:rFonts w:ascii="Calibri" w:eastAsia="Times New Roman" w:hAnsi="Calibri" w:cs="Times New Roman"/>
      <w:sz w:val="18"/>
      <w:szCs w:val="18"/>
    </w:rPr>
  </w:style>
  <w:style w:type="paragraph" w:customStyle="1" w:styleId="ChapterHeading0">
    <w:name w:val="Chapter Heading"/>
    <w:basedOn w:val="Normal"/>
    <w:next w:val="Heading10"/>
    <w:semiHidden/>
    <w:qFormat/>
    <w:rsid w:val="00627E95"/>
    <w:pPr>
      <w:keepNext/>
      <w:keepLines w:val="0"/>
      <w:pBdr>
        <w:bottom w:val="single" w:sz="12" w:space="7" w:color="auto"/>
      </w:pBdr>
      <w:spacing w:before="1440" w:after="360"/>
    </w:pPr>
    <w:rPr>
      <w:rFonts w:ascii="Calibri" w:eastAsia="Times New Roman" w:hAnsi="Calibri" w:cs="Times New Roman"/>
      <w:b/>
      <w:caps/>
      <w:sz w:val="36"/>
      <w:szCs w:val="28"/>
    </w:rPr>
  </w:style>
  <w:style w:type="paragraph" w:customStyle="1" w:styleId="OGBullet">
    <w:name w:val="OGBullet"/>
    <w:basedOn w:val="Normal"/>
    <w:semiHidden/>
    <w:rsid w:val="00627E95"/>
    <w:pPr>
      <w:keepLines w:val="0"/>
      <w:numPr>
        <w:numId w:val="15"/>
      </w:numPr>
      <w:spacing w:before="0" w:after="120"/>
    </w:pPr>
    <w:rPr>
      <w:rFonts w:ascii="Calibri" w:eastAsia="Times New Roman" w:hAnsi="Calibri" w:cs="Times New Roman"/>
      <w:sz w:val="20"/>
      <w:szCs w:val="18"/>
    </w:rPr>
  </w:style>
  <w:style w:type="paragraph" w:customStyle="1" w:styleId="OGHeading1">
    <w:name w:val="OGHeading1"/>
    <w:basedOn w:val="Normal"/>
    <w:semiHidden/>
    <w:rsid w:val="00627E95"/>
    <w:pPr>
      <w:keepLines w:val="0"/>
      <w:spacing w:before="0" w:after="120"/>
    </w:pPr>
    <w:rPr>
      <w:rFonts w:ascii="Calibri" w:eastAsia="Times New Roman" w:hAnsi="Calibri" w:cs="Times New Roman"/>
      <w:b/>
      <w:sz w:val="32"/>
      <w:szCs w:val="28"/>
    </w:rPr>
  </w:style>
  <w:style w:type="paragraph" w:customStyle="1" w:styleId="OGTabHead">
    <w:name w:val="OGTabHead"/>
    <w:basedOn w:val="Normal"/>
    <w:semiHidden/>
    <w:rsid w:val="00627E95"/>
    <w:pPr>
      <w:keepNext/>
      <w:spacing w:before="30" w:after="30"/>
    </w:pPr>
    <w:rPr>
      <w:rFonts w:ascii="Calibri" w:eastAsia="Times New Roman" w:hAnsi="Calibri" w:cs="Times New Roman"/>
      <w:i/>
      <w:sz w:val="20"/>
      <w:szCs w:val="18"/>
    </w:rPr>
  </w:style>
  <w:style w:type="character" w:customStyle="1" w:styleId="OGTabBulletChar">
    <w:name w:val="OGTabBullet Char"/>
    <w:link w:val="OGTabBullet"/>
    <w:semiHidden/>
    <w:rsid w:val="00627E95"/>
    <w:rPr>
      <w:rFonts w:ascii="Calibri" w:hAnsi="Calibri"/>
      <w:szCs w:val="18"/>
    </w:rPr>
  </w:style>
  <w:style w:type="paragraph" w:customStyle="1" w:styleId="OGTabBullet">
    <w:name w:val="OGTabBullet"/>
    <w:basedOn w:val="OGBullet"/>
    <w:link w:val="OGTabBulletChar"/>
    <w:semiHidden/>
    <w:rsid w:val="00627E95"/>
    <w:pPr>
      <w:tabs>
        <w:tab w:val="clear" w:pos="360"/>
        <w:tab w:val="left" w:pos="604"/>
      </w:tabs>
      <w:spacing w:before="30" w:after="30"/>
      <w:ind w:left="605"/>
    </w:pPr>
    <w:rPr>
      <w:rFonts w:eastAsiaTheme="minorHAnsi" w:cstheme="minorBidi"/>
      <w:sz w:val="22"/>
    </w:rPr>
  </w:style>
  <w:style w:type="paragraph" w:customStyle="1" w:styleId="OGUoM">
    <w:name w:val="OGUoM"/>
    <w:basedOn w:val="Normal"/>
    <w:semiHidden/>
    <w:rsid w:val="00627E95"/>
    <w:pPr>
      <w:keepLines w:val="0"/>
      <w:spacing w:before="30" w:after="30"/>
      <w:jc w:val="center"/>
    </w:pPr>
    <w:rPr>
      <w:rFonts w:ascii="Calibri" w:eastAsia="Times New Roman" w:hAnsi="Calibri" w:cs="Times New Roman"/>
      <w:sz w:val="19"/>
      <w:szCs w:val="18"/>
    </w:rPr>
  </w:style>
  <w:style w:type="paragraph" w:customStyle="1" w:styleId="OGTableofFigures">
    <w:name w:val="OGTable of Figures"/>
    <w:basedOn w:val="Normal"/>
    <w:semiHidden/>
    <w:rsid w:val="00627E95"/>
    <w:pPr>
      <w:keepLines w:val="0"/>
      <w:spacing w:before="30" w:after="30"/>
      <w:jc w:val="right"/>
    </w:pPr>
    <w:rPr>
      <w:rFonts w:ascii="Calibri" w:eastAsia="Times New Roman" w:hAnsi="Calibri" w:cs="Times New Roman"/>
      <w:sz w:val="20"/>
      <w:szCs w:val="18"/>
    </w:rPr>
  </w:style>
  <w:style w:type="paragraph" w:customStyle="1" w:styleId="VAGOText">
    <w:name w:val="VAGOText"/>
    <w:basedOn w:val="Normal"/>
    <w:semiHidden/>
    <w:rsid w:val="00627E95"/>
    <w:pPr>
      <w:keepLines w:val="0"/>
      <w:spacing w:after="120"/>
    </w:pPr>
    <w:rPr>
      <w:rFonts w:ascii="Arial" w:eastAsia="Times New Roman" w:hAnsi="Arial" w:cs="Arial"/>
      <w:sz w:val="16"/>
      <w:szCs w:val="16"/>
    </w:rPr>
  </w:style>
  <w:style w:type="paragraph" w:customStyle="1" w:styleId="VAGOHeading2">
    <w:name w:val="VAGOHeading2"/>
    <w:basedOn w:val="Normal"/>
    <w:semiHidden/>
    <w:rsid w:val="00627E95"/>
    <w:pPr>
      <w:keepLines w:val="0"/>
      <w:spacing w:before="0" w:after="120"/>
    </w:pPr>
    <w:rPr>
      <w:rFonts w:ascii="Arial" w:eastAsia="Times New Roman" w:hAnsi="Arial" w:cs="Arial"/>
      <w:b/>
      <w:sz w:val="16"/>
      <w:szCs w:val="16"/>
    </w:rPr>
  </w:style>
  <w:style w:type="paragraph" w:customStyle="1" w:styleId="VAGOHeading1">
    <w:name w:val="VAGOHeading1"/>
    <w:basedOn w:val="Normal"/>
    <w:semiHidden/>
    <w:rsid w:val="00627E95"/>
    <w:pPr>
      <w:keepLines w:val="0"/>
      <w:spacing w:before="0" w:after="120"/>
      <w:jc w:val="center"/>
    </w:pPr>
    <w:rPr>
      <w:rFonts w:ascii="Arial" w:eastAsia="Times New Roman" w:hAnsi="Arial" w:cs="Arial"/>
      <w:b/>
      <w:sz w:val="17"/>
      <w:szCs w:val="17"/>
    </w:rPr>
  </w:style>
  <w:style w:type="paragraph" w:customStyle="1" w:styleId="VAGOHeading3">
    <w:name w:val="VAGOHeading3"/>
    <w:basedOn w:val="VAGOHeading2"/>
    <w:semiHidden/>
    <w:rsid w:val="00627E95"/>
    <w:rPr>
      <w:b w:val="0"/>
      <w:i/>
    </w:rPr>
  </w:style>
  <w:style w:type="paragraph" w:customStyle="1" w:styleId="VAGOBullet">
    <w:name w:val="VAGOBullet"/>
    <w:basedOn w:val="VAGOText"/>
    <w:semiHidden/>
    <w:rsid w:val="00627E95"/>
    <w:pPr>
      <w:numPr>
        <w:numId w:val="17"/>
      </w:numPr>
      <w:ind w:right="-51"/>
    </w:pPr>
    <w:rPr>
      <w:iCs/>
    </w:rPr>
  </w:style>
  <w:style w:type="paragraph" w:customStyle="1" w:styleId="Heading3NumberingBP4">
    <w:name w:val="Heading 3 Numbering BP4"/>
    <w:basedOn w:val="Normal"/>
    <w:semiHidden/>
    <w:rsid w:val="00627E95"/>
    <w:pPr>
      <w:keepNext/>
      <w:keepLines w:val="0"/>
      <w:numPr>
        <w:numId w:val="16"/>
      </w:numPr>
      <w:tabs>
        <w:tab w:val="clear" w:pos="720"/>
        <w:tab w:val="left" w:pos="504"/>
      </w:tabs>
      <w:spacing w:before="240" w:after="120"/>
      <w:ind w:left="504" w:hanging="504"/>
      <w:outlineLvl w:val="2"/>
    </w:pPr>
    <w:rPr>
      <w:rFonts w:ascii="Calibri" w:eastAsia="Times New Roman" w:hAnsi="Calibri" w:cs="Times New Roman"/>
      <w:b/>
      <w:i/>
      <w:kern w:val="28"/>
      <w:sz w:val="24"/>
    </w:rPr>
  </w:style>
  <w:style w:type="paragraph" w:customStyle="1" w:styleId="Chartpara">
    <w:name w:val="Chart para"/>
    <w:basedOn w:val="Normal"/>
    <w:semiHidden/>
    <w:rsid w:val="00627E95"/>
    <w:pPr>
      <w:keepLines w:val="0"/>
      <w:spacing w:before="0"/>
    </w:pPr>
    <w:rPr>
      <w:rFonts w:ascii="Garamond" w:eastAsia="Times New Roman" w:hAnsi="Garamond" w:cs="Times New Roman"/>
      <w:szCs w:val="20"/>
    </w:rPr>
  </w:style>
  <w:style w:type="paragraph" w:customStyle="1" w:styleId="OGTabColCentred">
    <w:name w:val="OGTabColCentred"/>
    <w:basedOn w:val="OGUoM"/>
    <w:semiHidden/>
    <w:rsid w:val="00627E95"/>
    <w:rPr>
      <w:b/>
      <w:lang w:eastAsia="en-AU"/>
    </w:rPr>
  </w:style>
  <w:style w:type="paragraph" w:customStyle="1" w:styleId="OGTabColRight">
    <w:name w:val="OGTabColRight"/>
    <w:basedOn w:val="OGTableofFigures"/>
    <w:semiHidden/>
    <w:rsid w:val="00627E95"/>
    <w:rPr>
      <w:b/>
    </w:rPr>
  </w:style>
  <w:style w:type="paragraph" w:customStyle="1" w:styleId="OGTabColLeft">
    <w:name w:val="OGTabColLeft"/>
    <w:basedOn w:val="OGTabColRight"/>
    <w:semiHidden/>
    <w:rsid w:val="00627E95"/>
    <w:pPr>
      <w:jc w:val="left"/>
    </w:pPr>
    <w:rPr>
      <w:lang w:eastAsia="en-AU"/>
    </w:rPr>
  </w:style>
  <w:style w:type="paragraph" w:customStyle="1" w:styleId="FrontPage">
    <w:name w:val="Front Page"/>
    <w:basedOn w:val="Normal"/>
    <w:semiHidden/>
    <w:rsid w:val="00627E95"/>
    <w:pPr>
      <w:keepLines w:val="0"/>
      <w:spacing w:before="0" w:after="120"/>
      <w:jc w:val="center"/>
    </w:pPr>
    <w:rPr>
      <w:rFonts w:ascii="Calibri" w:eastAsia="Times New Roman" w:hAnsi="Calibri" w:cs="Times New Roman"/>
      <w:b/>
      <w:sz w:val="52"/>
      <w:szCs w:val="52"/>
    </w:rPr>
  </w:style>
  <w:style w:type="paragraph" w:customStyle="1" w:styleId="FrontPage2">
    <w:name w:val="Front Page 2"/>
    <w:basedOn w:val="FrontPage"/>
    <w:semiHidden/>
    <w:rsid w:val="00627E95"/>
    <w:pPr>
      <w:pBdr>
        <w:bottom w:val="single" w:sz="12" w:space="1" w:color="auto"/>
      </w:pBdr>
    </w:pPr>
  </w:style>
  <w:style w:type="paragraph" w:customStyle="1" w:styleId="FrontPage3">
    <w:name w:val="Front Page 3"/>
    <w:basedOn w:val="Normal"/>
    <w:semiHidden/>
    <w:rsid w:val="00627E95"/>
    <w:pPr>
      <w:keepLines w:val="0"/>
      <w:spacing w:before="0" w:after="120"/>
      <w:jc w:val="center"/>
    </w:pPr>
    <w:rPr>
      <w:rFonts w:ascii="Calibri" w:eastAsia="Times New Roman" w:hAnsi="Calibri" w:cs="Times New Roman"/>
      <w:sz w:val="28"/>
      <w:szCs w:val="28"/>
    </w:rPr>
  </w:style>
  <w:style w:type="paragraph" w:customStyle="1" w:styleId="FrontPageMin">
    <w:name w:val="Front Page Min"/>
    <w:basedOn w:val="Normal"/>
    <w:semiHidden/>
    <w:rsid w:val="00627E95"/>
    <w:pPr>
      <w:keepLines w:val="0"/>
      <w:spacing w:before="0" w:after="120"/>
      <w:jc w:val="center"/>
    </w:pPr>
    <w:rPr>
      <w:rFonts w:ascii="Calibri" w:eastAsia="Times New Roman" w:hAnsi="Calibri" w:cs="Times New Roman"/>
      <w:sz w:val="36"/>
      <w:szCs w:val="36"/>
    </w:rPr>
  </w:style>
  <w:style w:type="paragraph" w:customStyle="1" w:styleId="FrontPageHon">
    <w:name w:val="Front Page Hon"/>
    <w:basedOn w:val="Normal"/>
    <w:semiHidden/>
    <w:rsid w:val="00627E95"/>
    <w:pPr>
      <w:keepLines w:val="0"/>
      <w:spacing w:before="0" w:after="120"/>
      <w:jc w:val="center"/>
    </w:pPr>
    <w:rPr>
      <w:rFonts w:ascii="Calibri" w:eastAsia="Times New Roman" w:hAnsi="Calibri" w:cs="Times New Roman"/>
      <w:sz w:val="30"/>
      <w:szCs w:val="30"/>
    </w:rPr>
  </w:style>
  <w:style w:type="paragraph" w:customStyle="1" w:styleId="FrontPageBP">
    <w:name w:val="Front Page BP"/>
    <w:basedOn w:val="Normal"/>
    <w:semiHidden/>
    <w:rsid w:val="00627E95"/>
    <w:pPr>
      <w:keepLines w:val="0"/>
      <w:spacing w:before="0" w:after="120"/>
      <w:jc w:val="center"/>
    </w:pPr>
    <w:rPr>
      <w:rFonts w:ascii="Calibri" w:eastAsia="Times New Roman" w:hAnsi="Calibri" w:cs="Times New Roman"/>
      <w:b/>
      <w:sz w:val="32"/>
      <w:szCs w:val="32"/>
    </w:rPr>
  </w:style>
  <w:style w:type="paragraph" w:customStyle="1" w:styleId="OGNotesIndent">
    <w:name w:val="OGNotesIndent"/>
    <w:basedOn w:val="Normal"/>
    <w:semiHidden/>
    <w:rsid w:val="00627E95"/>
    <w:pPr>
      <w:keepLines w:val="0"/>
      <w:spacing w:before="0" w:after="60"/>
      <w:ind w:left="720" w:right="115" w:hanging="360"/>
    </w:pPr>
    <w:rPr>
      <w:rFonts w:ascii="Calibri" w:eastAsia="Times New Roman" w:hAnsi="Calibri" w:cs="Times New Roman"/>
      <w:i/>
      <w:sz w:val="15"/>
      <w:szCs w:val="20"/>
      <w:lang w:eastAsia="en-AU"/>
    </w:rPr>
  </w:style>
  <w:style w:type="paragraph" w:customStyle="1" w:styleId="Default">
    <w:name w:val="Default"/>
    <w:semiHidden/>
    <w:rsid w:val="00627E95"/>
    <w:pPr>
      <w:autoSpaceDE w:val="0"/>
      <w:autoSpaceDN w:val="0"/>
      <w:adjustRightInd w:val="0"/>
      <w:spacing w:before="0"/>
    </w:pPr>
    <w:rPr>
      <w:rFonts w:ascii="Garamond" w:eastAsia="Times New Roman" w:hAnsi="Garamond" w:cs="Garamond"/>
      <w:color w:val="000000"/>
      <w:sz w:val="24"/>
      <w:szCs w:val="24"/>
      <w:lang w:eastAsia="en-AU"/>
    </w:rPr>
  </w:style>
  <w:style w:type="paragraph" w:customStyle="1" w:styleId="Performancemeasuremetric">
    <w:name w:val="Performance measure metric"/>
    <w:basedOn w:val="Normal"/>
    <w:uiPriority w:val="63"/>
    <w:rsid w:val="00627E95"/>
    <w:pPr>
      <w:keepLines w:val="0"/>
      <w:spacing w:before="20" w:after="20"/>
      <w:ind w:left="-14"/>
    </w:pPr>
    <w:rPr>
      <w:rFonts w:asciiTheme="majorHAnsi" w:hAnsiTheme="majorHAnsi"/>
      <w:i/>
      <w:sz w:val="17"/>
    </w:rPr>
  </w:style>
  <w:style w:type="character" w:customStyle="1" w:styleId="ChapterheadingChar">
    <w:name w:val="Chapter heading Char"/>
    <w:basedOn w:val="DefaultParagraphFont"/>
    <w:link w:val="Chapterheading"/>
    <w:uiPriority w:val="89"/>
    <w:rsid w:val="00627E95"/>
    <w:rPr>
      <w:rFonts w:asciiTheme="majorHAnsi" w:eastAsiaTheme="majorEastAsia" w:hAnsiTheme="majorHAnsi" w:cstheme="majorBidi"/>
      <w:b/>
      <w:bCs/>
      <w:caps/>
      <w:spacing w:val="-2"/>
      <w:sz w:val="36"/>
      <w:szCs w:val="28"/>
    </w:rPr>
  </w:style>
  <w:style w:type="character" w:customStyle="1" w:styleId="HighlightBoxTextChar">
    <w:name w:val="Highlight Box Text Char"/>
    <w:basedOn w:val="DefaultParagraphFont"/>
    <w:link w:val="HighlightBoxText"/>
    <w:uiPriority w:val="60"/>
    <w:rsid w:val="00627E95"/>
    <w:rPr>
      <w:shd w:val="clear" w:color="auto" w:fill="F2F2F2" w:themeFill="background1" w:themeFillShade="F2"/>
    </w:rPr>
  </w:style>
  <w:style w:type="character" w:customStyle="1" w:styleId="ListBulletChar">
    <w:name w:val="List Bullet Char"/>
    <w:basedOn w:val="DefaultParagraphFont"/>
    <w:link w:val="ListBullet"/>
    <w:uiPriority w:val="19"/>
    <w:rsid w:val="00627E95"/>
  </w:style>
  <w:style w:type="paragraph" w:customStyle="1" w:styleId="Tableheading0">
    <w:name w:val="Table heading"/>
    <w:basedOn w:val="Normal"/>
    <w:link w:val="TableheadingChar0"/>
    <w:qFormat/>
    <w:rsid w:val="00627E95"/>
    <w:pPr>
      <w:keepNext/>
      <w:keepLines w:val="0"/>
      <w:spacing w:before="240" w:after="120"/>
      <w:ind w:left="1152" w:hanging="1152"/>
    </w:pPr>
    <w:rPr>
      <w:rFonts w:ascii="Calibri" w:eastAsia="Times New Roman" w:hAnsi="Calibri" w:cs="Times New Roman"/>
      <w:b/>
      <w:szCs w:val="20"/>
    </w:rPr>
  </w:style>
  <w:style w:type="character" w:customStyle="1" w:styleId="TableheadingChar0">
    <w:name w:val="Table heading Char"/>
    <w:link w:val="Tableheading0"/>
    <w:rsid w:val="00627E95"/>
    <w:rPr>
      <w:rFonts w:ascii="Calibri" w:eastAsia="Times New Roman" w:hAnsi="Calibri" w:cs="Times New Roman"/>
      <w:b/>
      <w:szCs w:val="20"/>
    </w:rPr>
  </w:style>
  <w:style w:type="character" w:customStyle="1" w:styleId="HighlightBoxBulletChar">
    <w:name w:val="Highlight Box Bullet Char"/>
    <w:basedOn w:val="ListBulletChar"/>
    <w:link w:val="HighlightBoxBullet"/>
    <w:uiPriority w:val="61"/>
    <w:rsid w:val="00CA4A83"/>
    <w:rPr>
      <w:shd w:val="clear" w:color="auto" w:fill="F2F2F2" w:themeFill="background1" w:themeFillShade="F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semiHidden="0" w:uiPriority="9" w:unhideWhenUsed="0"/>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94" w:unhideWhenUsed="0"/>
    <w:lsdException w:name="toc 4" w:uiPriority="96" w:unhideWhenUsed="0"/>
    <w:lsdException w:name="toc 5" w:uiPriority="96" w:unhideWhenUsed="0"/>
    <w:lsdException w:name="toc 6" w:uiPriority="96" w:unhideWhenUsed="0"/>
    <w:lsdException w:name="toc 7" w:uiPriority="96" w:unhideWhenUsed="0"/>
    <w:lsdException w:name="toc 8" w:uiPriority="96" w:unhideWhenUsed="0"/>
    <w:lsdException w:name="toc 9" w:uiPriority="94"/>
    <w:lsdException w:name="header" w:uiPriority="85"/>
    <w:lsdException w:name="footer" w:uiPriority="84"/>
    <w:lsdException w:name="caption" w:uiPriority="35"/>
    <w:lsdException w:name="page number" w:uiPriority="0"/>
    <w:lsdException w:name="List" w:semiHidden="0" w:uiPriority="29" w:unhideWhenUsed="0"/>
    <w:lsdException w:name="List Bullet" w:uiPriority="19" w:qFormat="1"/>
    <w:lsdException w:name="List Number" w:semiHidden="0" w:uiPriority="19" w:unhideWhenUsed="0" w:qFormat="1"/>
    <w:lsdException w:name="List 2" w:uiPriority="29" w:unhideWhenUsed="0"/>
    <w:lsdException w:name="List 3" w:uiPriority="29"/>
    <w:lsdException w:name="List 4" w:uiPriority="29"/>
    <w:lsdException w:name="List 5" w:uiPriority="29"/>
    <w:lsdException w:name="List Bullet 2" w:uiPriority="19"/>
    <w:lsdException w:name="List Bullet 3" w:uiPriority="19"/>
    <w:lsdException w:name="List Bullet 4" w:uiPriority="19"/>
    <w:lsdException w:name="List Bullet 5" w:uiPriority="19"/>
    <w:lsdException w:name="List Number 2" w:semiHidden="0" w:uiPriority="19" w:unhideWhenUsed="0"/>
    <w:lsdException w:name="List Number 3" w:uiPriority="19"/>
    <w:lsdException w:name="List Number 4" w:uiPriority="19"/>
    <w:lsdException w:name="List Number 5" w:uiPriority="19"/>
    <w:lsdException w:name="Title" w:uiPriority="89" w:unhideWhenUsed="0"/>
    <w:lsdException w:name="Default Paragraph Font" w:uiPriority="1"/>
    <w:lsdException w:name="Body Text" w:uiPriority="4"/>
    <w:lsdException w:name="List Continue" w:semiHidden="0" w:uiPriority="24" w:unhideWhenUsed="0" w:qFormat="1"/>
    <w:lsdException w:name="List Continue 2" w:semiHidden="0" w:uiPriority="24" w:unhideWhenUsed="0"/>
    <w:lsdException w:name="List Continue 3" w:uiPriority="24"/>
    <w:lsdException w:name="List Continue 4" w:uiPriority="24"/>
    <w:lsdException w:name="List Continue 5" w:uiPriority="24"/>
    <w:lsdException w:name="Subtitle" w:uiPriority="90" w:unhideWhenUsed="0"/>
    <w:lsdException w:name="Strong" w:uiPriority="98" w:unhideWhenUsed="0"/>
    <w:lsdException w:name="Emphasis" w:uiPriority="98"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8" w:unhideWhenUsed="0"/>
    <w:lsdException w:name="Intense Emphasis" w:uiPriority="98"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90"/>
  </w:latentStyles>
  <w:style w:type="paragraph" w:default="1" w:styleId="Normal">
    <w:name w:val="Normal"/>
    <w:qFormat/>
    <w:rsid w:val="00627E95"/>
    <w:pPr>
      <w:keepLines/>
    </w:pPr>
  </w:style>
  <w:style w:type="paragraph" w:styleId="Heading10">
    <w:name w:val="heading 1"/>
    <w:next w:val="Normal"/>
    <w:link w:val="Heading1Char"/>
    <w:uiPriority w:val="9"/>
    <w:qFormat/>
    <w:rsid w:val="00E46E4F"/>
    <w:pPr>
      <w:keepNext/>
      <w:keepLines/>
      <w:spacing w:before="360"/>
      <w:outlineLvl w:val="0"/>
    </w:pPr>
    <w:rPr>
      <w:rFonts w:asciiTheme="majorHAnsi" w:eastAsiaTheme="majorEastAsia" w:hAnsiTheme="majorHAnsi" w:cstheme="majorBidi"/>
      <w:b/>
      <w:bCs/>
      <w:caps/>
      <w:spacing w:val="-2"/>
      <w:sz w:val="26"/>
      <w:szCs w:val="28"/>
    </w:rPr>
  </w:style>
  <w:style w:type="paragraph" w:styleId="Heading20">
    <w:name w:val="heading 2"/>
    <w:basedOn w:val="Heading10"/>
    <w:next w:val="Normal"/>
    <w:link w:val="Heading2Char"/>
    <w:uiPriority w:val="9"/>
    <w:qFormat/>
    <w:rsid w:val="00612683"/>
    <w:pPr>
      <w:numPr>
        <w:ilvl w:val="1"/>
      </w:numPr>
      <w:tabs>
        <w:tab w:val="right" w:pos="9582"/>
      </w:tabs>
      <w:spacing w:before="240"/>
      <w:outlineLvl w:val="1"/>
    </w:pPr>
    <w:rPr>
      <w:bCs w:val="0"/>
      <w:caps w:val="0"/>
      <w:szCs w:val="26"/>
    </w:rPr>
  </w:style>
  <w:style w:type="paragraph" w:styleId="Heading30">
    <w:name w:val="heading 3"/>
    <w:basedOn w:val="Heading20"/>
    <w:next w:val="Normal"/>
    <w:link w:val="Heading3Char"/>
    <w:uiPriority w:val="9"/>
    <w:qFormat/>
    <w:rsid w:val="00EB0619"/>
    <w:pPr>
      <w:numPr>
        <w:ilvl w:val="2"/>
      </w:numPr>
      <w:tabs>
        <w:tab w:val="clear" w:pos="9582"/>
        <w:tab w:val="right" w:pos="7710"/>
      </w:tabs>
      <w:outlineLvl w:val="2"/>
    </w:pPr>
    <w:rPr>
      <w:bCs/>
      <w:sz w:val="23"/>
    </w:rPr>
  </w:style>
  <w:style w:type="paragraph" w:styleId="Heading4">
    <w:name w:val="heading 4"/>
    <w:basedOn w:val="Heading30"/>
    <w:next w:val="Normal"/>
    <w:link w:val="Heading4Char"/>
    <w:uiPriority w:val="9"/>
    <w:rsid w:val="00EB0619"/>
    <w:pPr>
      <w:numPr>
        <w:ilvl w:val="3"/>
      </w:numPr>
      <w:spacing w:before="180"/>
      <w:outlineLvl w:val="3"/>
    </w:pPr>
    <w:rPr>
      <w:b w:val="0"/>
      <w:bCs w:val="0"/>
      <w:i/>
      <w:iCs/>
      <w:spacing w:val="0"/>
    </w:rPr>
  </w:style>
  <w:style w:type="paragraph" w:styleId="Heading5">
    <w:name w:val="heading 5"/>
    <w:basedOn w:val="Heading4"/>
    <w:next w:val="Normal"/>
    <w:link w:val="Heading5Char"/>
    <w:uiPriority w:val="9"/>
    <w:unhideWhenUsed/>
    <w:rsid w:val="00EB0619"/>
    <w:pPr>
      <w:numPr>
        <w:ilvl w:val="4"/>
      </w:numPr>
      <w:outlineLvl w:val="4"/>
    </w:pPr>
    <w:rPr>
      <w:b/>
      <w:i w:val="0"/>
      <w:sz w:val="21"/>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E46E4F"/>
    <w:rPr>
      <w:rFonts w:asciiTheme="majorHAnsi" w:eastAsiaTheme="majorEastAsia" w:hAnsiTheme="majorHAnsi" w:cstheme="majorBidi"/>
      <w:b/>
      <w:bCs/>
      <w:caps/>
      <w:spacing w:val="-2"/>
      <w:sz w:val="26"/>
      <w:szCs w:val="28"/>
    </w:rPr>
  </w:style>
  <w:style w:type="paragraph" w:customStyle="1" w:styleId="Chapterheading">
    <w:name w:val="Chapter heading"/>
    <w:basedOn w:val="Normal"/>
    <w:next w:val="Heading10"/>
    <w:link w:val="ChapterheadingChar"/>
    <w:uiPriority w:val="89"/>
    <w:rsid w:val="0061407E"/>
    <w:pPr>
      <w:keepNext/>
      <w:pBdr>
        <w:bottom w:val="single" w:sz="12" w:space="1" w:color="auto"/>
      </w:pBdr>
      <w:spacing w:before="1440" w:after="360"/>
      <w:outlineLvl w:val="0"/>
    </w:pPr>
    <w:rPr>
      <w:rFonts w:asciiTheme="majorHAnsi" w:eastAsiaTheme="majorEastAsia" w:hAnsiTheme="majorHAnsi" w:cstheme="majorBidi"/>
      <w:b/>
      <w:bCs/>
      <w:caps/>
      <w:spacing w:val="-2"/>
      <w:sz w:val="36"/>
      <w:szCs w:val="28"/>
    </w:rPr>
  </w:style>
  <w:style w:type="character" w:customStyle="1" w:styleId="Heading3Char">
    <w:name w:val="Heading 3 Char"/>
    <w:basedOn w:val="DefaultParagraphFont"/>
    <w:link w:val="Heading30"/>
    <w:uiPriority w:val="9"/>
    <w:rsid w:val="00EB0619"/>
    <w:rPr>
      <w:rFonts w:asciiTheme="majorHAnsi" w:eastAsiaTheme="majorEastAsia" w:hAnsiTheme="majorHAnsi" w:cstheme="majorBidi"/>
      <w:b/>
      <w:bCs/>
      <w:spacing w:val="-2"/>
      <w:sz w:val="23"/>
      <w:szCs w:val="26"/>
    </w:rPr>
  </w:style>
  <w:style w:type="character" w:customStyle="1" w:styleId="Heading2Char">
    <w:name w:val="Heading 2 Char"/>
    <w:basedOn w:val="DefaultParagraphFont"/>
    <w:link w:val="Heading20"/>
    <w:uiPriority w:val="9"/>
    <w:rsid w:val="00612683"/>
    <w:rPr>
      <w:rFonts w:asciiTheme="majorHAnsi" w:eastAsiaTheme="majorEastAsia" w:hAnsiTheme="majorHAnsi" w:cstheme="majorBidi"/>
      <w:b/>
      <w:spacing w:val="-2"/>
      <w:sz w:val="26"/>
      <w:szCs w:val="26"/>
    </w:rPr>
  </w:style>
  <w:style w:type="character" w:customStyle="1" w:styleId="Heading4Char">
    <w:name w:val="Heading 4 Char"/>
    <w:basedOn w:val="DefaultParagraphFont"/>
    <w:link w:val="Heading4"/>
    <w:uiPriority w:val="9"/>
    <w:rsid w:val="00EB0619"/>
    <w:rPr>
      <w:rFonts w:asciiTheme="majorHAnsi" w:eastAsiaTheme="majorEastAsia" w:hAnsiTheme="majorHAnsi" w:cstheme="majorBidi"/>
      <w:i/>
      <w:iCs/>
      <w:sz w:val="23"/>
      <w:szCs w:val="26"/>
    </w:rPr>
  </w:style>
  <w:style w:type="character" w:customStyle="1" w:styleId="Heading2Char0">
    <w:name w:val="Heading 2 (#) Char"/>
    <w:basedOn w:val="Heading2Char"/>
    <w:link w:val="Heading2"/>
    <w:uiPriority w:val="14"/>
    <w:rsid w:val="0037430B"/>
    <w:rPr>
      <w:rFonts w:asciiTheme="majorHAnsi" w:eastAsiaTheme="majorEastAsia" w:hAnsiTheme="majorHAnsi" w:cstheme="majorBidi"/>
      <w:b/>
      <w:spacing w:val="-2"/>
      <w:sz w:val="26"/>
      <w:szCs w:val="26"/>
    </w:rPr>
  </w:style>
  <w:style w:type="paragraph" w:customStyle="1" w:styleId="Source">
    <w:name w:val="Source"/>
    <w:basedOn w:val="Normal"/>
    <w:next w:val="Note"/>
    <w:link w:val="SourceChar"/>
    <w:uiPriority w:val="51"/>
    <w:qFormat/>
    <w:rsid w:val="006F23B1"/>
    <w:pPr>
      <w:spacing w:before="20" w:after="60"/>
    </w:pPr>
    <w:rPr>
      <w:rFonts w:asciiTheme="majorHAnsi" w:hAnsiTheme="majorHAnsi"/>
      <w:i/>
      <w:spacing w:val="-2"/>
      <w:sz w:val="14"/>
    </w:rPr>
  </w:style>
  <w:style w:type="paragraph" w:customStyle="1" w:styleId="Note">
    <w:name w:val="Note"/>
    <w:basedOn w:val="Normal"/>
    <w:link w:val="NoteChar"/>
    <w:uiPriority w:val="52"/>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link w:val="HighlightBoxTextChar"/>
    <w:uiPriority w:val="60"/>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after="200" w:line="276" w:lineRule="auto"/>
    </w:pPr>
    <w:rPr>
      <w:lang w:val="en-US" w:eastAsia="ja-JP"/>
    </w:rPr>
  </w:style>
  <w:style w:type="paragraph" w:styleId="FootnoteText">
    <w:name w:val="footnote text"/>
    <w:basedOn w:val="Normal"/>
    <w:link w:val="FootnoteTextChar"/>
    <w:uiPriority w:val="99"/>
    <w:rsid w:val="007A11BE"/>
    <w:pPr>
      <w:spacing w:before="40"/>
    </w:pPr>
    <w:rPr>
      <w:rFonts w:eastAsiaTheme="minorEastAsia"/>
      <w:sz w:val="20"/>
      <w:lang w:val="en-US" w:eastAsia="ja-JP"/>
    </w:rPr>
  </w:style>
  <w:style w:type="character" w:customStyle="1" w:styleId="FootnoteTextChar">
    <w:name w:val="Footnote Text Char"/>
    <w:basedOn w:val="DefaultParagraphFont"/>
    <w:link w:val="FootnoteText"/>
    <w:uiPriority w:val="99"/>
    <w:rsid w:val="007A11BE"/>
    <w:rPr>
      <w:rFonts w:eastAsiaTheme="minorEastAsia"/>
      <w:sz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5"/>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97"/>
    <w:rsid w:val="00CA41CF"/>
    <w:rPr>
      <w:rFonts w:asciiTheme="majorHAnsi" w:hAnsiTheme="majorHAnsi"/>
      <w:b/>
      <w:caps/>
      <w:color w:val="53565A"/>
    </w:rPr>
  </w:style>
  <w:style w:type="numbering" w:styleId="111111">
    <w:name w:val="Outline List 2"/>
    <w:basedOn w:val="NoList"/>
    <w:uiPriority w:val="99"/>
    <w:semiHidden/>
    <w:unhideWhenUsed/>
    <w:rsid w:val="00C00568"/>
    <w:pPr>
      <w:numPr>
        <w:numId w:val="11"/>
      </w:numPr>
    </w:pPr>
  </w:style>
  <w:style w:type="character" w:customStyle="1" w:styleId="FooteroddChar">
    <w:name w:val="Footer (odd) Char"/>
    <w:basedOn w:val="DefaultParagraphFont"/>
    <w:link w:val="Footerodd"/>
    <w:uiPriority w:val="84"/>
    <w:rsid w:val="008155D0"/>
    <w:rPr>
      <w:rFonts w:asciiTheme="majorHAnsi" w:hAnsiTheme="majorHAnsi"/>
      <w:sz w:val="18"/>
    </w:rPr>
  </w:style>
  <w:style w:type="paragraph" w:customStyle="1" w:styleId="Footerodd">
    <w:name w:val="Footer (odd)"/>
    <w:basedOn w:val="Normal"/>
    <w:link w:val="FooteroddChar"/>
    <w:uiPriority w:val="84"/>
    <w:rsid w:val="002E369A"/>
    <w:pPr>
      <w:pBdr>
        <w:top w:val="single" w:sz="6" w:space="1" w:color="auto"/>
      </w:pBdr>
      <w:tabs>
        <w:tab w:val="center" w:pos="4762"/>
        <w:tab w:val="right" w:pos="7710"/>
      </w:tabs>
      <w:spacing w:before="0"/>
    </w:pPr>
    <w:rPr>
      <w:rFonts w:asciiTheme="majorHAnsi" w:hAnsiTheme="majorHAnsi"/>
      <w:sz w:val="18"/>
    </w:rPr>
  </w:style>
  <w:style w:type="paragraph" w:customStyle="1" w:styleId="NoteDash">
    <w:name w:val="Note Dash"/>
    <w:basedOn w:val="Note"/>
    <w:next w:val="Note"/>
    <w:uiPriority w:val="53"/>
    <w:rsid w:val="00E46DD4"/>
    <w:pPr>
      <w:numPr>
        <w:numId w:val="3"/>
      </w:numPr>
      <w:ind w:left="568" w:hanging="284"/>
    </w:pPr>
  </w:style>
  <w:style w:type="character" w:customStyle="1" w:styleId="NoteChar">
    <w:name w:val="Note Char"/>
    <w:basedOn w:val="DefaultParagraphFont"/>
    <w:link w:val="Note"/>
    <w:uiPriority w:val="52"/>
    <w:rsid w:val="006F23B1"/>
    <w:rPr>
      <w:rFonts w:asciiTheme="majorHAnsi" w:hAnsiTheme="majorHAnsi"/>
      <w:i/>
      <w:spacing w:val="-2"/>
      <w:sz w:val="14"/>
    </w:rPr>
  </w:style>
  <w:style w:type="paragraph" w:styleId="TOC1">
    <w:name w:val="toc 1"/>
    <w:basedOn w:val="Normal"/>
    <w:next w:val="Normal"/>
    <w:uiPriority w:val="39"/>
    <w:rsid w:val="000616EB"/>
    <w:pPr>
      <w:tabs>
        <w:tab w:val="right" w:leader="dot" w:pos="7711"/>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qFormat/>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EB0619"/>
    <w:rPr>
      <w:rFonts w:asciiTheme="majorHAnsi" w:eastAsiaTheme="majorEastAsia" w:hAnsiTheme="majorHAnsi" w:cstheme="majorBidi"/>
      <w:b/>
      <w:iCs/>
      <w:sz w:val="21"/>
      <w:szCs w:val="26"/>
    </w:rPr>
  </w:style>
  <w:style w:type="paragraph" w:styleId="ListBullet">
    <w:name w:val="List Bullet"/>
    <w:basedOn w:val="Normal"/>
    <w:link w:val="ListBulletChar"/>
    <w:uiPriority w:val="19"/>
    <w:qFormat/>
    <w:rsid w:val="00CE5CF8"/>
    <w:pPr>
      <w:numPr>
        <w:numId w:val="7"/>
      </w:numPr>
      <w:spacing w:before="60"/>
    </w:pPr>
  </w:style>
  <w:style w:type="paragraph" w:styleId="List">
    <w:name w:val="List"/>
    <w:basedOn w:val="Normal"/>
    <w:uiPriority w:val="29"/>
    <w:unhideWhenUsed/>
    <w:rsid w:val="008A5A91"/>
    <w:pPr>
      <w:keepLines w:val="0"/>
      <w:tabs>
        <w:tab w:val="left" w:pos="284"/>
        <w:tab w:val="left" w:pos="567"/>
        <w:tab w:val="left" w:pos="851"/>
      </w:tabs>
    </w:pPr>
  </w:style>
  <w:style w:type="paragraph" w:styleId="ListContinue">
    <w:name w:val="List Continue"/>
    <w:basedOn w:val="Normal"/>
    <w:uiPriority w:val="24"/>
    <w:qFormat/>
    <w:rsid w:val="006C00EB"/>
    <w:pPr>
      <w:spacing w:before="60"/>
      <w:ind w:left="284"/>
    </w:pPr>
  </w:style>
  <w:style w:type="paragraph" w:styleId="ListContinue2">
    <w:name w:val="List Continue 2"/>
    <w:basedOn w:val="Normal"/>
    <w:uiPriority w:val="24"/>
    <w:rsid w:val="006C00EB"/>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4"/>
    <w:semiHidden/>
    <w:rsid w:val="00627E95"/>
    <w:pPr>
      <w:tabs>
        <w:tab w:val="center" w:pos="4513"/>
        <w:tab w:val="right" w:pos="9026"/>
      </w:tabs>
      <w:spacing w:before="0"/>
    </w:pPr>
  </w:style>
  <w:style w:type="paragraph" w:styleId="TOC2">
    <w:name w:val="toc 2"/>
    <w:basedOn w:val="TOC1"/>
    <w:next w:val="Normal"/>
    <w:uiPriority w:val="39"/>
    <w:rsid w:val="00E14B35"/>
    <w:pPr>
      <w:spacing w:before="40"/>
      <w:ind w:left="288" w:right="562"/>
    </w:pPr>
    <w:rPr>
      <w:b w:val="0"/>
      <w:noProof/>
    </w:rPr>
  </w:style>
  <w:style w:type="character" w:styleId="PageNumber">
    <w:name w:val="page number"/>
    <w:rsid w:val="000A03F9"/>
    <w:rPr>
      <w:rFonts w:asciiTheme="minorHAnsi" w:hAnsiTheme="minorHAnsi"/>
      <w:sz w:val="18"/>
    </w:rPr>
  </w:style>
  <w:style w:type="paragraph" w:styleId="TOC3">
    <w:name w:val="toc 3"/>
    <w:basedOn w:val="Normal"/>
    <w:next w:val="Normal"/>
    <w:uiPriority w:val="94"/>
    <w:rsid w:val="00402880"/>
    <w:pPr>
      <w:spacing w:after="100"/>
      <w:ind w:left="420"/>
    </w:pPr>
  </w:style>
  <w:style w:type="paragraph" w:styleId="TOC4">
    <w:name w:val="toc 4"/>
    <w:next w:val="Normal"/>
    <w:uiPriority w:val="96"/>
    <w:rsid w:val="000E2126"/>
    <w:pPr>
      <w:tabs>
        <w:tab w:val="left" w:pos="1021"/>
        <w:tab w:val="right" w:leader="dot" w:pos="9072"/>
      </w:tabs>
      <w:spacing w:after="100"/>
    </w:pPr>
    <w:rPr>
      <w:rFonts w:asciiTheme="majorHAnsi" w:hAnsiTheme="majorHAnsi"/>
      <w:spacing w:val="2"/>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qFormat/>
    <w:rsid w:val="00EB0619"/>
    <w:pPr>
      <w:keepNext/>
    </w:pPr>
    <w:rPr>
      <w:rFonts w:asciiTheme="majorHAnsi" w:hAnsiTheme="majorHAnsi"/>
      <w:b/>
      <w:sz w:val="24"/>
    </w:rPr>
  </w:style>
  <w:style w:type="paragraph" w:customStyle="1" w:styleId="HighlightBoxBullet">
    <w:name w:val="Highlight Box Bullet"/>
    <w:basedOn w:val="ListBullet"/>
    <w:link w:val="HighlightBoxBulletChar"/>
    <w:uiPriority w:val="61"/>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link w:val="TableHeadingChar"/>
    <w:uiPriority w:val="49"/>
    <w:qFormat/>
    <w:rsid w:val="000616EB"/>
    <w:pPr>
      <w:keepNext/>
      <w:tabs>
        <w:tab w:val="left" w:pos="1134"/>
        <w:tab w:val="right" w:pos="7710"/>
      </w:tabs>
      <w:spacing w:before="240" w:after="6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3E68E6"/>
    <w:rPr>
      <w:rFonts w:asciiTheme="majorHAnsi" w:eastAsiaTheme="majorEastAsia" w:hAnsiTheme="majorHAnsi" w:cstheme="majorBidi"/>
      <w:b/>
      <w:bCs/>
      <w:caps/>
      <w:spacing w:val="-2"/>
      <w:sz w:val="2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94"/>
    <w:rsid w:val="00B56C73"/>
    <w:pPr>
      <w:tabs>
        <w:tab w:val="left" w:pos="567"/>
        <w:tab w:val="right" w:leader="dot" w:pos="3629"/>
      </w:tabs>
      <w:spacing w:after="100"/>
      <w:ind w:left="567" w:right="340" w:hanging="567"/>
    </w:pPr>
    <w:rPr>
      <w:spacing w:val="-2"/>
    </w:rPr>
  </w:style>
  <w:style w:type="paragraph" w:customStyle="1" w:styleId="Footereven">
    <w:name w:val="Footer (even)"/>
    <w:basedOn w:val="Normal"/>
    <w:link w:val="FooterevenChar"/>
    <w:uiPriority w:val="84"/>
    <w:rsid w:val="002E369A"/>
    <w:pPr>
      <w:pBdr>
        <w:top w:val="single" w:sz="6" w:space="1" w:color="auto"/>
      </w:pBdr>
      <w:tabs>
        <w:tab w:val="center" w:pos="2948"/>
        <w:tab w:val="right" w:pos="7710"/>
      </w:tabs>
      <w:spacing w:before="0"/>
    </w:pPr>
    <w:rPr>
      <w:rFonts w:asciiTheme="majorHAnsi" w:hAnsiTheme="majorHAnsi"/>
      <w:sz w:val="18"/>
    </w:rPr>
  </w:style>
  <w:style w:type="table" w:customStyle="1" w:styleId="DTFTable">
    <w:name w:val="DTF Table"/>
    <w:basedOn w:val="TableNormal"/>
    <w:uiPriority w:val="99"/>
    <w:rsid w:val="00A637FA"/>
    <w:pPr>
      <w:spacing w:before="20" w:after="20"/>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8"/>
      </w:numPr>
      <w:spacing w:before="60"/>
      <w:ind w:left="851"/>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qFormat/>
    <w:rsid w:val="003E68E6"/>
    <w:pPr>
      <w:numPr>
        <w:numId w:val="14"/>
      </w:numPr>
    </w:pPr>
  </w:style>
  <w:style w:type="paragraph" w:customStyle="1" w:styleId="Heading2">
    <w:name w:val="Heading 2 (#)"/>
    <w:basedOn w:val="Heading20"/>
    <w:link w:val="Heading2Char0"/>
    <w:uiPriority w:val="14"/>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37430B"/>
    <w:pPr>
      <w:numPr>
        <w:numId w:val="14"/>
      </w:numPr>
      <w:spacing w:after="120"/>
    </w:pPr>
  </w:style>
  <w:style w:type="character" w:customStyle="1" w:styleId="Heading3Char0">
    <w:name w:val="Heading 3 (#) Char"/>
    <w:basedOn w:val="Heading3Char"/>
    <w:link w:val="Heading3"/>
    <w:uiPriority w:val="14"/>
    <w:rsid w:val="0037430B"/>
    <w:rPr>
      <w:rFonts w:asciiTheme="majorHAnsi" w:eastAsiaTheme="majorEastAsia" w:hAnsiTheme="majorHAnsi" w:cstheme="majorBidi"/>
      <w:b/>
      <w:bCs/>
      <w:spacing w:val="-2"/>
      <w:sz w:val="23"/>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4"/>
    <w:semiHidden/>
    <w:rsid w:val="00627E95"/>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C00568"/>
    <w:pPr>
      <w:spacing w:after="120"/>
    </w:pPr>
  </w:style>
  <w:style w:type="character" w:customStyle="1" w:styleId="BodyTextChar">
    <w:name w:val="Body Text Char"/>
    <w:basedOn w:val="DefaultParagraphFont"/>
    <w:link w:val="BodyText"/>
    <w:uiPriority w:val="4"/>
    <w:semiHidden/>
    <w:rsid w:val="00C00568"/>
  </w:style>
  <w:style w:type="paragraph" w:styleId="BodyText2">
    <w:name w:val="Body Text 2"/>
    <w:basedOn w:val="Normal"/>
    <w:link w:val="BodyText2Char"/>
    <w:uiPriority w:val="99"/>
    <w:semiHidden/>
    <w:unhideWhenUsed/>
    <w:rsid w:val="00C00568"/>
    <w:pPr>
      <w:spacing w:after="120" w:line="480" w:lineRule="auto"/>
    </w:pPr>
  </w:style>
  <w:style w:type="character" w:customStyle="1" w:styleId="BodyText2Char">
    <w:name w:val="Body Text 2 Char"/>
    <w:basedOn w:val="DefaultParagraphFont"/>
    <w:link w:val="BodyText2"/>
    <w:uiPriority w:val="99"/>
    <w:semiHidden/>
    <w:rsid w:val="00C00568"/>
  </w:style>
  <w:style w:type="paragraph" w:styleId="BodyText3">
    <w:name w:val="Body Text 3"/>
    <w:basedOn w:val="Normal"/>
    <w:link w:val="BodyText3Char"/>
    <w:uiPriority w:val="99"/>
    <w:semiHidden/>
    <w:unhideWhenUsed/>
    <w:rsid w:val="00C00568"/>
    <w:pPr>
      <w:spacing w:after="120"/>
    </w:pPr>
    <w:rPr>
      <w:sz w:val="16"/>
      <w:szCs w:val="16"/>
    </w:rPr>
  </w:style>
  <w:style w:type="character" w:customStyle="1" w:styleId="BodyText3Char">
    <w:name w:val="Body Text 3 Char"/>
    <w:basedOn w:val="DefaultParagraphFont"/>
    <w:link w:val="BodyText3"/>
    <w:uiPriority w:val="99"/>
    <w:semiHidden/>
    <w:rsid w:val="00C00568"/>
    <w:rPr>
      <w:sz w:val="16"/>
      <w:szCs w:val="16"/>
    </w:rPr>
  </w:style>
  <w:style w:type="paragraph" w:styleId="BodyTextFirstIndent">
    <w:name w:val="Body Text First Indent"/>
    <w:basedOn w:val="BodyText"/>
    <w:link w:val="BodyTextFirstIndentChar"/>
    <w:uiPriority w:val="99"/>
    <w:semiHidden/>
    <w:unhideWhenUsed/>
    <w:rsid w:val="00C00568"/>
    <w:pPr>
      <w:spacing w:after="0"/>
      <w:ind w:firstLine="360"/>
    </w:pPr>
  </w:style>
  <w:style w:type="character" w:customStyle="1" w:styleId="BodyTextFirstIndentChar">
    <w:name w:val="Body Text First Indent Char"/>
    <w:basedOn w:val="BodyTextChar"/>
    <w:link w:val="BodyTextFirstIndent"/>
    <w:uiPriority w:val="99"/>
    <w:semiHidden/>
    <w:rsid w:val="00C00568"/>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C00568"/>
    <w:pPr>
      <w:spacing w:after="0"/>
      <w:ind w:left="360" w:firstLine="360"/>
    </w:pPr>
  </w:style>
  <w:style w:type="character" w:customStyle="1" w:styleId="BodyTextFirstIndent2Char">
    <w:name w:val="Body Text First Indent 2 Char"/>
    <w:basedOn w:val="BodyTextIndentChar"/>
    <w:link w:val="BodyTextFirstIndent2"/>
    <w:uiPriority w:val="99"/>
    <w:semiHidden/>
    <w:rsid w:val="00C00568"/>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pPr>
      <w:spacing w:before="0" w:after="200"/>
    </w:pPr>
    <w:rPr>
      <w:b/>
      <w:bCs/>
      <w:color w:val="0063A6" w:themeColor="accent1"/>
      <w:sz w:val="18"/>
      <w:szCs w:val="18"/>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unhideWhenUsed/>
    <w:rsid w:val="00C00568"/>
    <w:rPr>
      <w:sz w:val="20"/>
      <w:szCs w:val="20"/>
    </w:rPr>
  </w:style>
  <w:style w:type="character" w:customStyle="1" w:styleId="CommentTextChar">
    <w:name w:val="Comment Text Char"/>
    <w:basedOn w:val="DefaultParagraphFont"/>
    <w:link w:val="CommentText"/>
    <w:uiPriority w:val="99"/>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pPr>
      <w:spacing w:before="0"/>
    </w:pPr>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unhideWhenUsed/>
    <w:rsid w:val="00CD3AC2"/>
    <w:pPr>
      <w:tabs>
        <w:tab w:val="right" w:leader="dot" w:pos="3485"/>
      </w:tabs>
      <w:spacing w:before="0"/>
      <w:ind w:left="220" w:hanging="220"/>
    </w:pPr>
    <w:rPr>
      <w:rFonts w:asciiTheme="majorHAnsi" w:hAnsiTheme="majorHAnsi"/>
    </w:rPr>
  </w:style>
  <w:style w:type="paragraph" w:styleId="Index2">
    <w:name w:val="index 2"/>
    <w:basedOn w:val="Normal"/>
    <w:next w:val="Normal"/>
    <w:autoRedefine/>
    <w:uiPriority w:val="99"/>
    <w:unhideWhenUsed/>
    <w:rsid w:val="00CD3AC2"/>
    <w:pPr>
      <w:tabs>
        <w:tab w:val="right" w:leader="dot" w:pos="3485"/>
      </w:tabs>
      <w:spacing w:before="0"/>
      <w:ind w:left="440" w:hanging="220"/>
    </w:pPr>
    <w:rPr>
      <w:rFonts w:asciiTheme="majorHAnsi" w:hAnsiTheme="majorHAnsi" w:cs="Calibri"/>
      <w:noProof/>
      <w:color w:val="000000"/>
    </w:rPr>
  </w:style>
  <w:style w:type="paragraph" w:styleId="Index3">
    <w:name w:val="index 3"/>
    <w:basedOn w:val="Normal"/>
    <w:next w:val="Normal"/>
    <w:autoRedefine/>
    <w:uiPriority w:val="99"/>
    <w:unhideWhenUsed/>
    <w:rsid w:val="00C00568"/>
    <w:pPr>
      <w:spacing w:before="0"/>
      <w:ind w:left="660" w:hanging="220"/>
    </w:pPr>
    <w:rPr>
      <w:sz w:val="18"/>
      <w:szCs w:val="18"/>
    </w:rPr>
  </w:style>
  <w:style w:type="paragraph" w:styleId="Index4">
    <w:name w:val="index 4"/>
    <w:basedOn w:val="Normal"/>
    <w:next w:val="Normal"/>
    <w:autoRedefine/>
    <w:uiPriority w:val="99"/>
    <w:unhideWhenUsed/>
    <w:rsid w:val="00C00568"/>
    <w:pPr>
      <w:spacing w:before="0"/>
      <w:ind w:left="880" w:hanging="220"/>
    </w:pPr>
    <w:rPr>
      <w:sz w:val="18"/>
      <w:szCs w:val="18"/>
    </w:rPr>
  </w:style>
  <w:style w:type="paragraph" w:styleId="Index5">
    <w:name w:val="index 5"/>
    <w:basedOn w:val="Normal"/>
    <w:next w:val="Normal"/>
    <w:autoRedefine/>
    <w:uiPriority w:val="99"/>
    <w:unhideWhenUsed/>
    <w:rsid w:val="00C00568"/>
    <w:pPr>
      <w:spacing w:before="0"/>
      <w:ind w:left="1100" w:hanging="220"/>
    </w:pPr>
    <w:rPr>
      <w:sz w:val="18"/>
      <w:szCs w:val="18"/>
    </w:rPr>
  </w:style>
  <w:style w:type="paragraph" w:styleId="Index6">
    <w:name w:val="index 6"/>
    <w:basedOn w:val="Normal"/>
    <w:next w:val="Normal"/>
    <w:autoRedefine/>
    <w:uiPriority w:val="99"/>
    <w:unhideWhenUsed/>
    <w:rsid w:val="00C00568"/>
    <w:pPr>
      <w:spacing w:before="0"/>
      <w:ind w:left="1320" w:hanging="220"/>
    </w:pPr>
    <w:rPr>
      <w:sz w:val="18"/>
      <w:szCs w:val="18"/>
    </w:rPr>
  </w:style>
  <w:style w:type="paragraph" w:styleId="Index7">
    <w:name w:val="index 7"/>
    <w:basedOn w:val="Normal"/>
    <w:next w:val="Normal"/>
    <w:autoRedefine/>
    <w:uiPriority w:val="99"/>
    <w:unhideWhenUsed/>
    <w:rsid w:val="00C00568"/>
    <w:pPr>
      <w:spacing w:before="0"/>
      <w:ind w:left="1540" w:hanging="220"/>
    </w:pPr>
    <w:rPr>
      <w:sz w:val="18"/>
      <w:szCs w:val="18"/>
    </w:rPr>
  </w:style>
  <w:style w:type="paragraph" w:styleId="Index8">
    <w:name w:val="index 8"/>
    <w:basedOn w:val="Normal"/>
    <w:next w:val="Normal"/>
    <w:autoRedefine/>
    <w:uiPriority w:val="99"/>
    <w:unhideWhenUsed/>
    <w:rsid w:val="00C00568"/>
    <w:pPr>
      <w:spacing w:before="0"/>
      <w:ind w:left="1760" w:hanging="220"/>
    </w:pPr>
    <w:rPr>
      <w:sz w:val="18"/>
      <w:szCs w:val="18"/>
    </w:rPr>
  </w:style>
  <w:style w:type="paragraph" w:styleId="Index9">
    <w:name w:val="index 9"/>
    <w:basedOn w:val="Normal"/>
    <w:next w:val="Normal"/>
    <w:autoRedefine/>
    <w:uiPriority w:val="99"/>
    <w:unhideWhenUsed/>
    <w:rsid w:val="00C00568"/>
    <w:pPr>
      <w:spacing w:before="0"/>
      <w:ind w:left="1980" w:hanging="220"/>
    </w:pPr>
    <w:rPr>
      <w:sz w:val="18"/>
      <w:szCs w:val="18"/>
    </w:rPr>
  </w:style>
  <w:style w:type="paragraph" w:styleId="IndexHeading">
    <w:name w:val="index heading"/>
    <w:basedOn w:val="Normal"/>
    <w:next w:val="Index1"/>
    <w:uiPriority w:val="99"/>
    <w:unhideWhenUsed/>
    <w:rsid w:val="00CD3AC2"/>
    <w:pPr>
      <w:spacing w:before="240" w:after="120"/>
    </w:pPr>
    <w:rPr>
      <w:rFonts w:asciiTheme="majorHAnsi" w:eastAsiaTheme="majorEastAsia" w:hAnsiTheme="majorHAnsi" w:cstheme="majorBidi"/>
      <w:b/>
      <w:bCs/>
      <w:sz w:val="26"/>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pPr>
      <w:spacing w:before="0"/>
    </w:pPr>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pPr>
      <w:spacing w:before="0"/>
    </w:pPr>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pPr>
      <w:spacing w:before="0"/>
    </w:pPr>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spacing w:before="0"/>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semiHidden/>
    <w:rsid w:val="00C00568"/>
    <w:rPr>
      <w:i/>
      <w:iCs/>
      <w:color w:val="000000" w:themeColor="text1"/>
    </w:rPr>
  </w:style>
  <w:style w:type="character" w:customStyle="1" w:styleId="QuoteChar">
    <w:name w:val="Quote Char"/>
    <w:basedOn w:val="DefaultParagraphFont"/>
    <w:link w:val="Quote"/>
    <w:uiPriority w:val="29"/>
    <w:semiHidden/>
    <w:rsid w:val="00C00568"/>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Normal"/>
    <w:next w:val="Normal"/>
    <w:link w:val="SubtitleChar"/>
    <w:uiPriority w:val="90"/>
    <w:semiHidden/>
    <w:rsid w:val="00C00568"/>
    <w:pPr>
      <w:numPr>
        <w:ilvl w:val="1"/>
      </w:numPr>
    </w:pPr>
    <w:rPr>
      <w:rFonts w:asciiTheme="majorHAnsi" w:eastAsiaTheme="majorEastAsia" w:hAnsiTheme="majorHAnsi" w:cstheme="majorBidi"/>
      <w:i/>
      <w:iCs/>
      <w:color w:val="0063A6" w:themeColor="accent1"/>
      <w:spacing w:val="15"/>
      <w:sz w:val="24"/>
      <w:szCs w:val="24"/>
    </w:rPr>
  </w:style>
  <w:style w:type="character" w:customStyle="1" w:styleId="SubtitleChar">
    <w:name w:val="Subtitle Char"/>
    <w:basedOn w:val="DefaultParagraphFont"/>
    <w:link w:val="Subtitle"/>
    <w:uiPriority w:val="11"/>
    <w:semiHidden/>
    <w:rsid w:val="00C00568"/>
    <w:rPr>
      <w:rFonts w:asciiTheme="majorHAnsi" w:eastAsiaTheme="majorEastAsia" w:hAnsiTheme="majorHAnsi" w:cstheme="majorBidi"/>
      <w:i/>
      <w:iCs/>
      <w:color w:val="0063A6" w:themeColor="accent1"/>
      <w:spacing w:val="15"/>
      <w:sz w:val="24"/>
      <w:szCs w:val="24"/>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paragraph" w:customStyle="1" w:styleId="PerformanceMeasureNote">
    <w:name w:val="Performance Measure Note"/>
    <w:basedOn w:val="Normal"/>
    <w:uiPriority w:val="63"/>
    <w:qFormat/>
    <w:rsid w:val="00627E95"/>
    <w:pPr>
      <w:spacing w:before="20" w:after="20"/>
      <w:ind w:left="170"/>
      <w:contextualSpacing/>
    </w:pPr>
    <w:rPr>
      <w:rFonts w:asciiTheme="majorHAnsi" w:hAnsiTheme="majorHAnsi"/>
      <w:i/>
      <w:spacing w:val="-2"/>
      <w:sz w:val="15"/>
      <w:szCs w:val="15"/>
    </w:r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89"/>
    <w:semiHidden/>
    <w:rsid w:val="00C00568"/>
    <w:pPr>
      <w:pBdr>
        <w:bottom w:val="single" w:sz="8" w:space="4" w:color="0063A6" w:themeColor="accent1"/>
      </w:pBdr>
      <w:spacing w:before="0" w:after="300"/>
      <w:contextualSpacing/>
    </w:pPr>
    <w:rPr>
      <w:rFonts w:asciiTheme="majorHAnsi" w:eastAsiaTheme="majorEastAsia" w:hAnsiTheme="majorHAnsi" w:cstheme="majorBidi"/>
      <w:color w:val="170F34" w:themeColor="text2" w:themeShade="BF"/>
      <w:spacing w:val="5"/>
      <w:kern w:val="28"/>
      <w:sz w:val="52"/>
      <w:szCs w:val="52"/>
    </w:rPr>
  </w:style>
  <w:style w:type="character" w:customStyle="1" w:styleId="TitleChar">
    <w:name w:val="Title Char"/>
    <w:basedOn w:val="DefaultParagraphFont"/>
    <w:link w:val="Title"/>
    <w:uiPriority w:val="10"/>
    <w:semiHidden/>
    <w:rsid w:val="00C00568"/>
    <w:rPr>
      <w:rFonts w:asciiTheme="majorHAnsi" w:eastAsiaTheme="majorEastAsia" w:hAnsiTheme="majorHAnsi" w:cstheme="majorBidi"/>
      <w:color w:val="170F34" w:themeColor="text2" w:themeShade="BF"/>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val="0"/>
      <w:color w:val="004A7C" w:themeColor="accent1" w:themeShade="BF"/>
      <w:spacing w:val="0"/>
      <w:sz w:val="28"/>
    </w:rPr>
  </w:style>
  <w:style w:type="table" w:customStyle="1" w:styleId="DTFTextTable">
    <w:name w:val="DTF Text Table"/>
    <w:basedOn w:val="DTFTable"/>
    <w:uiPriority w:val="99"/>
    <w:rsid w:val="00917D22"/>
    <w:pPr>
      <w:spacing w:after="120" w:line="216" w:lineRule="auto"/>
      <w:jc w:val="left"/>
    </w:pPr>
    <w:rPr>
      <w:sz w:val="20"/>
    </w:rPr>
    <w:tblPr/>
    <w:tblStylePr w:type="firstRow">
      <w:pPr>
        <w:wordWrap/>
        <w:spacing w:beforeLines="0" w:before="20" w:beforeAutospacing="0" w:afterLines="0" w:after="20" w:afterAutospacing="0" w:line="216"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tcBorders>
          <w:top w:val="nil"/>
          <w:left w:val="nil"/>
          <w:bottom w:val="single" w:sz="6" w:space="0" w:color="auto"/>
          <w:right w:val="nil"/>
          <w:insideH w:val="nil"/>
          <w:insideV w:val="nil"/>
          <w:tl2br w:val="nil"/>
          <w:tr2bl w:val="nil"/>
        </w:tcBorders>
        <w:shd w:val="clear" w:color="auto" w:fill="EBEBEB" w:themeFill="background2"/>
      </w:tcPr>
    </w:tblStylePr>
    <w:tblStylePr w:type="band2Horz">
      <w:tblPr/>
      <w:tcPr>
        <w:tcBorders>
          <w:top w:val="nil"/>
          <w:left w:val="nil"/>
          <w:bottom w:val="single" w:sz="6" w:space="0" w:color="auto"/>
          <w:right w:val="nil"/>
          <w:insideH w:val="nil"/>
          <w:insideV w:val="nil"/>
          <w:tl2br w:val="nil"/>
          <w:tr2bl w:val="nil"/>
        </w:tcBorders>
        <w:shd w:val="clear" w:color="auto" w:fill="FFFFFF" w:themeFill="background1"/>
      </w:tcPr>
    </w:tblStylePr>
  </w:style>
  <w:style w:type="character" w:customStyle="1" w:styleId="FooterevenChar">
    <w:name w:val="Footer (even) Char"/>
    <w:basedOn w:val="DefaultParagraphFont"/>
    <w:link w:val="Footereven"/>
    <w:uiPriority w:val="84"/>
    <w:rsid w:val="002E369A"/>
    <w:rPr>
      <w:rFonts w:asciiTheme="majorHAnsi" w:hAnsiTheme="majorHAnsi"/>
      <w:sz w:val="18"/>
    </w:rPr>
  </w:style>
  <w:style w:type="paragraph" w:customStyle="1" w:styleId="ObjectiveHeading">
    <w:name w:val="Objective Heading"/>
    <w:basedOn w:val="Normal"/>
    <w:next w:val="Normal"/>
    <w:uiPriority w:val="62"/>
    <w:qFormat/>
    <w:rsid w:val="00EB0619"/>
    <w:pPr>
      <w:keepNext/>
      <w:pBdr>
        <w:top w:val="single" w:sz="6" w:space="3" w:color="auto"/>
        <w:left w:val="single" w:sz="6" w:space="5" w:color="auto"/>
        <w:bottom w:val="single" w:sz="6" w:space="3" w:color="auto"/>
        <w:right w:val="single" w:sz="6" w:space="5" w:color="auto"/>
      </w:pBdr>
      <w:shd w:val="clear" w:color="auto" w:fill="F2F2F2" w:themeFill="background1" w:themeFillShade="F2"/>
    </w:pPr>
    <w:rPr>
      <w:rFonts w:asciiTheme="majorHAnsi" w:hAnsiTheme="majorHAnsi"/>
      <w:b/>
      <w:sz w:val="24"/>
    </w:rPr>
  </w:style>
  <w:style w:type="character" w:customStyle="1" w:styleId="apple-converted-space">
    <w:name w:val="apple-converted-space"/>
    <w:basedOn w:val="DefaultParagraphFont"/>
    <w:rsid w:val="00627E95"/>
  </w:style>
  <w:style w:type="paragraph" w:customStyle="1" w:styleId="TableUnits">
    <w:name w:val="Table Units"/>
    <w:basedOn w:val="Normal"/>
    <w:next w:val="Normal"/>
    <w:uiPriority w:val="50"/>
    <w:qFormat/>
    <w:rsid w:val="000616EB"/>
    <w:pPr>
      <w:keepNext/>
      <w:tabs>
        <w:tab w:val="left" w:pos="567"/>
        <w:tab w:val="right" w:pos="9639"/>
        <w:tab w:val="right" w:pos="14742"/>
      </w:tabs>
      <w:spacing w:before="0" w:after="60"/>
      <w:ind w:left="1134" w:hanging="1134"/>
      <w:jc w:val="right"/>
    </w:pPr>
    <w:rPr>
      <w:rFonts w:asciiTheme="majorHAnsi" w:hAnsiTheme="majorHAnsi"/>
      <w:b/>
      <w:sz w:val="20"/>
      <w:szCs w:val="20"/>
    </w:rPr>
  </w:style>
  <w:style w:type="table" w:customStyle="1" w:styleId="DTFPerformanceMeasuresTable">
    <w:name w:val="DTF Performance Measures Table"/>
    <w:basedOn w:val="DTFTable"/>
    <w:uiPriority w:val="99"/>
    <w:rsid w:val="00F8170E"/>
    <w:pPr>
      <w:spacing w:before="0"/>
    </w:pPr>
    <w:tblPr>
      <w:tblStyleRowBandSize w:val="0"/>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44"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textheading">
    <w:name w:val="Table text heading"/>
    <w:basedOn w:val="Normal"/>
    <w:link w:val="TabletextheadingChar"/>
    <w:qFormat/>
    <w:rsid w:val="00627E95"/>
    <w:pPr>
      <w:keepLines w:val="0"/>
      <w:spacing w:before="0"/>
      <w:jc w:val="right"/>
    </w:pPr>
    <w:rPr>
      <w:rFonts w:ascii="Calibri" w:eastAsia="Times New Roman" w:hAnsi="Calibri" w:cs="Times New Roman"/>
      <w:i/>
      <w:sz w:val="20"/>
      <w:szCs w:val="18"/>
    </w:rPr>
  </w:style>
  <w:style w:type="character" w:customStyle="1" w:styleId="TabletextheadingChar">
    <w:name w:val="Table text heading Char"/>
    <w:link w:val="Tabletextheading"/>
    <w:locked/>
    <w:rsid w:val="00627E95"/>
    <w:rPr>
      <w:rFonts w:ascii="Calibri" w:eastAsia="Times New Roman" w:hAnsi="Calibri" w:cs="Times New Roman"/>
      <w:i/>
      <w:sz w:val="20"/>
      <w:szCs w:val="18"/>
    </w:rPr>
  </w:style>
  <w:style w:type="paragraph" w:customStyle="1" w:styleId="Tabletext">
    <w:name w:val="Table text"/>
    <w:basedOn w:val="Normal"/>
    <w:link w:val="TabletextChar"/>
    <w:qFormat/>
    <w:rsid w:val="00627E95"/>
    <w:pPr>
      <w:keepLines w:val="0"/>
      <w:spacing w:before="0"/>
      <w:ind w:left="180" w:hanging="180"/>
    </w:pPr>
    <w:rPr>
      <w:rFonts w:ascii="Calibri" w:eastAsia="Times New Roman" w:hAnsi="Calibri" w:cs="Times New Roman"/>
      <w:sz w:val="20"/>
      <w:szCs w:val="18"/>
    </w:rPr>
  </w:style>
  <w:style w:type="character" w:customStyle="1" w:styleId="TabletextChar">
    <w:name w:val="Table text Char"/>
    <w:link w:val="Tabletext"/>
    <w:rsid w:val="00627E95"/>
    <w:rPr>
      <w:rFonts w:ascii="Calibri" w:eastAsia="Times New Roman" w:hAnsi="Calibri" w:cs="Times New Roman"/>
      <w:sz w:val="20"/>
      <w:szCs w:val="18"/>
    </w:rPr>
  </w:style>
  <w:style w:type="paragraph" w:customStyle="1" w:styleId="Notes">
    <w:name w:val="Notes"/>
    <w:basedOn w:val="Normal"/>
    <w:link w:val="NotesChar"/>
    <w:qFormat/>
    <w:rsid w:val="00627E95"/>
    <w:pPr>
      <w:keepLines w:val="0"/>
      <w:tabs>
        <w:tab w:val="left" w:pos="454"/>
      </w:tabs>
      <w:spacing w:before="0"/>
      <w:ind w:left="461" w:hanging="461"/>
    </w:pPr>
    <w:rPr>
      <w:rFonts w:ascii="Calibri" w:eastAsia="Times New Roman" w:hAnsi="Calibri" w:cs="Times New Roman"/>
      <w:i/>
      <w:sz w:val="15"/>
      <w:szCs w:val="20"/>
    </w:rPr>
  </w:style>
  <w:style w:type="character" w:customStyle="1" w:styleId="NotesChar">
    <w:name w:val="Notes Char"/>
    <w:link w:val="Notes"/>
    <w:locked/>
    <w:rsid w:val="00627E95"/>
    <w:rPr>
      <w:rFonts w:ascii="Calibri" w:eastAsia="Times New Roman" w:hAnsi="Calibri" w:cs="Times New Roman"/>
      <w:i/>
      <w:sz w:val="15"/>
      <w:szCs w:val="20"/>
    </w:rPr>
  </w:style>
  <w:style w:type="paragraph" w:customStyle="1" w:styleId="Calibri">
    <w:name w:val="Calibri"/>
    <w:basedOn w:val="Normal"/>
    <w:qFormat/>
    <w:rsid w:val="00627E95"/>
    <w:pPr>
      <w:keepLines w:val="0"/>
      <w:spacing w:before="0" w:after="120"/>
    </w:pPr>
    <w:rPr>
      <w:rFonts w:ascii="Calibri" w:eastAsia="Times New Roman" w:hAnsi="Calibri" w:cs="Times New Roman"/>
      <w:i/>
      <w:sz w:val="15"/>
      <w:szCs w:val="20"/>
    </w:rPr>
  </w:style>
  <w:style w:type="character" w:customStyle="1" w:styleId="left">
    <w:name w:val="left"/>
    <w:basedOn w:val="DefaultParagraphFont"/>
    <w:rsid w:val="00627E95"/>
  </w:style>
  <w:style w:type="paragraph" w:styleId="Revision">
    <w:name w:val="Revision"/>
    <w:hidden/>
    <w:uiPriority w:val="99"/>
    <w:semiHidden/>
    <w:rsid w:val="00800E63"/>
    <w:pPr>
      <w:spacing w:before="0"/>
    </w:pPr>
  </w:style>
  <w:style w:type="character" w:customStyle="1" w:styleId="SourceChar">
    <w:name w:val="Source Char"/>
    <w:link w:val="Source"/>
    <w:locked/>
    <w:rsid w:val="00627E95"/>
    <w:rPr>
      <w:rFonts w:asciiTheme="majorHAnsi" w:hAnsiTheme="majorHAnsi"/>
      <w:i/>
      <w:spacing w:val="-2"/>
      <w:sz w:val="14"/>
    </w:rPr>
  </w:style>
  <w:style w:type="character" w:customStyle="1" w:styleId="TableHeadingChar">
    <w:name w:val="Table Heading Char"/>
    <w:basedOn w:val="DefaultParagraphFont"/>
    <w:link w:val="TableHeading"/>
    <w:uiPriority w:val="49"/>
    <w:rsid w:val="000616EB"/>
    <w:rPr>
      <w:rFonts w:asciiTheme="majorHAnsi" w:hAnsiTheme="majorHAnsi"/>
      <w:b/>
      <w:sz w:val="20"/>
      <w:szCs w:val="20"/>
    </w:rPr>
  </w:style>
  <w:style w:type="paragraph" w:customStyle="1" w:styleId="BP4Figures">
    <w:name w:val="BP4 Figures"/>
    <w:basedOn w:val="Normal"/>
    <w:semiHidden/>
    <w:rsid w:val="00627E95"/>
    <w:pPr>
      <w:keepLines w:val="0"/>
      <w:spacing w:before="0" w:after="30"/>
      <w:jc w:val="right"/>
    </w:pPr>
    <w:rPr>
      <w:rFonts w:ascii="Calibri" w:eastAsia="Times New Roman" w:hAnsi="Calibri" w:cs="Times New Roman"/>
      <w:sz w:val="18"/>
      <w:szCs w:val="18"/>
    </w:rPr>
  </w:style>
  <w:style w:type="paragraph" w:customStyle="1" w:styleId="BP4headingr">
    <w:name w:val="BP4 heading r"/>
    <w:basedOn w:val="Normal"/>
    <w:semiHidden/>
    <w:rsid w:val="00627E95"/>
    <w:pPr>
      <w:keepLines w:val="0"/>
      <w:spacing w:before="0"/>
      <w:jc w:val="right"/>
    </w:pPr>
    <w:rPr>
      <w:rFonts w:ascii="Calibri" w:eastAsia="Times New Roman" w:hAnsi="Calibri" w:cs="Times New Roman"/>
      <w:i/>
      <w:sz w:val="18"/>
      <w:szCs w:val="18"/>
    </w:rPr>
  </w:style>
  <w:style w:type="paragraph" w:customStyle="1" w:styleId="BP4headingl">
    <w:name w:val="BP4 heading l"/>
    <w:basedOn w:val="BP4headingr"/>
    <w:semiHidden/>
    <w:rsid w:val="00627E95"/>
    <w:pPr>
      <w:jc w:val="left"/>
    </w:pPr>
  </w:style>
  <w:style w:type="paragraph" w:customStyle="1" w:styleId="BP4tabletext">
    <w:name w:val="BP4 table text"/>
    <w:basedOn w:val="Normal"/>
    <w:semiHidden/>
    <w:rsid w:val="00627E95"/>
    <w:pPr>
      <w:keepLines w:val="0"/>
      <w:spacing w:before="0" w:after="30"/>
      <w:ind w:left="72" w:hanging="72"/>
    </w:pPr>
    <w:rPr>
      <w:rFonts w:ascii="Calibri" w:eastAsia="Times New Roman" w:hAnsi="Calibri" w:cs="Times New Roman"/>
      <w:sz w:val="18"/>
      <w:szCs w:val="18"/>
    </w:rPr>
  </w:style>
  <w:style w:type="paragraph" w:customStyle="1" w:styleId="ChapterHeading0">
    <w:name w:val="Chapter Heading"/>
    <w:basedOn w:val="Normal"/>
    <w:next w:val="Heading10"/>
    <w:semiHidden/>
    <w:qFormat/>
    <w:rsid w:val="00627E95"/>
    <w:pPr>
      <w:keepNext/>
      <w:keepLines w:val="0"/>
      <w:pBdr>
        <w:bottom w:val="single" w:sz="12" w:space="7" w:color="auto"/>
      </w:pBdr>
      <w:spacing w:before="1440" w:after="360"/>
    </w:pPr>
    <w:rPr>
      <w:rFonts w:ascii="Calibri" w:eastAsia="Times New Roman" w:hAnsi="Calibri" w:cs="Times New Roman"/>
      <w:b/>
      <w:caps/>
      <w:sz w:val="36"/>
      <w:szCs w:val="28"/>
    </w:rPr>
  </w:style>
  <w:style w:type="paragraph" w:customStyle="1" w:styleId="OGBullet">
    <w:name w:val="OGBullet"/>
    <w:basedOn w:val="Normal"/>
    <w:semiHidden/>
    <w:rsid w:val="00627E95"/>
    <w:pPr>
      <w:keepLines w:val="0"/>
      <w:numPr>
        <w:numId w:val="15"/>
      </w:numPr>
      <w:spacing w:before="0" w:after="120"/>
    </w:pPr>
    <w:rPr>
      <w:rFonts w:ascii="Calibri" w:eastAsia="Times New Roman" w:hAnsi="Calibri" w:cs="Times New Roman"/>
      <w:sz w:val="20"/>
      <w:szCs w:val="18"/>
    </w:rPr>
  </w:style>
  <w:style w:type="paragraph" w:customStyle="1" w:styleId="OGHeading1">
    <w:name w:val="OGHeading1"/>
    <w:basedOn w:val="Normal"/>
    <w:semiHidden/>
    <w:rsid w:val="00627E95"/>
    <w:pPr>
      <w:keepLines w:val="0"/>
      <w:spacing w:before="0" w:after="120"/>
    </w:pPr>
    <w:rPr>
      <w:rFonts w:ascii="Calibri" w:eastAsia="Times New Roman" w:hAnsi="Calibri" w:cs="Times New Roman"/>
      <w:b/>
      <w:sz w:val="32"/>
      <w:szCs w:val="28"/>
    </w:rPr>
  </w:style>
  <w:style w:type="paragraph" w:customStyle="1" w:styleId="OGTabHead">
    <w:name w:val="OGTabHead"/>
    <w:basedOn w:val="Normal"/>
    <w:semiHidden/>
    <w:rsid w:val="00627E95"/>
    <w:pPr>
      <w:keepNext/>
      <w:spacing w:before="30" w:after="30"/>
    </w:pPr>
    <w:rPr>
      <w:rFonts w:ascii="Calibri" w:eastAsia="Times New Roman" w:hAnsi="Calibri" w:cs="Times New Roman"/>
      <w:i/>
      <w:sz w:val="20"/>
      <w:szCs w:val="18"/>
    </w:rPr>
  </w:style>
  <w:style w:type="character" w:customStyle="1" w:styleId="OGTabBulletChar">
    <w:name w:val="OGTabBullet Char"/>
    <w:link w:val="OGTabBullet"/>
    <w:semiHidden/>
    <w:rsid w:val="00627E95"/>
    <w:rPr>
      <w:rFonts w:ascii="Calibri" w:hAnsi="Calibri"/>
      <w:szCs w:val="18"/>
    </w:rPr>
  </w:style>
  <w:style w:type="paragraph" w:customStyle="1" w:styleId="OGTabBullet">
    <w:name w:val="OGTabBullet"/>
    <w:basedOn w:val="OGBullet"/>
    <w:link w:val="OGTabBulletChar"/>
    <w:semiHidden/>
    <w:rsid w:val="00627E95"/>
    <w:pPr>
      <w:tabs>
        <w:tab w:val="clear" w:pos="360"/>
        <w:tab w:val="left" w:pos="604"/>
      </w:tabs>
      <w:spacing w:before="30" w:after="30"/>
      <w:ind w:left="605"/>
    </w:pPr>
    <w:rPr>
      <w:rFonts w:eastAsiaTheme="minorHAnsi" w:cstheme="minorBidi"/>
      <w:sz w:val="22"/>
    </w:rPr>
  </w:style>
  <w:style w:type="paragraph" w:customStyle="1" w:styleId="OGUoM">
    <w:name w:val="OGUoM"/>
    <w:basedOn w:val="Normal"/>
    <w:semiHidden/>
    <w:rsid w:val="00627E95"/>
    <w:pPr>
      <w:keepLines w:val="0"/>
      <w:spacing w:before="30" w:after="30"/>
      <w:jc w:val="center"/>
    </w:pPr>
    <w:rPr>
      <w:rFonts w:ascii="Calibri" w:eastAsia="Times New Roman" w:hAnsi="Calibri" w:cs="Times New Roman"/>
      <w:sz w:val="19"/>
      <w:szCs w:val="18"/>
    </w:rPr>
  </w:style>
  <w:style w:type="paragraph" w:customStyle="1" w:styleId="OGTableofFigures">
    <w:name w:val="OGTable of Figures"/>
    <w:basedOn w:val="Normal"/>
    <w:semiHidden/>
    <w:rsid w:val="00627E95"/>
    <w:pPr>
      <w:keepLines w:val="0"/>
      <w:spacing w:before="30" w:after="30"/>
      <w:jc w:val="right"/>
    </w:pPr>
    <w:rPr>
      <w:rFonts w:ascii="Calibri" w:eastAsia="Times New Roman" w:hAnsi="Calibri" w:cs="Times New Roman"/>
      <w:sz w:val="20"/>
      <w:szCs w:val="18"/>
    </w:rPr>
  </w:style>
  <w:style w:type="paragraph" w:customStyle="1" w:styleId="VAGOText">
    <w:name w:val="VAGOText"/>
    <w:basedOn w:val="Normal"/>
    <w:semiHidden/>
    <w:rsid w:val="00627E95"/>
    <w:pPr>
      <w:keepLines w:val="0"/>
      <w:spacing w:after="120"/>
    </w:pPr>
    <w:rPr>
      <w:rFonts w:ascii="Arial" w:eastAsia="Times New Roman" w:hAnsi="Arial" w:cs="Arial"/>
      <w:sz w:val="16"/>
      <w:szCs w:val="16"/>
    </w:rPr>
  </w:style>
  <w:style w:type="paragraph" w:customStyle="1" w:styleId="VAGOHeading2">
    <w:name w:val="VAGOHeading2"/>
    <w:basedOn w:val="Normal"/>
    <w:semiHidden/>
    <w:rsid w:val="00627E95"/>
    <w:pPr>
      <w:keepLines w:val="0"/>
      <w:spacing w:before="0" w:after="120"/>
    </w:pPr>
    <w:rPr>
      <w:rFonts w:ascii="Arial" w:eastAsia="Times New Roman" w:hAnsi="Arial" w:cs="Arial"/>
      <w:b/>
      <w:sz w:val="16"/>
      <w:szCs w:val="16"/>
    </w:rPr>
  </w:style>
  <w:style w:type="paragraph" w:customStyle="1" w:styleId="VAGOHeading1">
    <w:name w:val="VAGOHeading1"/>
    <w:basedOn w:val="Normal"/>
    <w:semiHidden/>
    <w:rsid w:val="00627E95"/>
    <w:pPr>
      <w:keepLines w:val="0"/>
      <w:spacing w:before="0" w:after="120"/>
      <w:jc w:val="center"/>
    </w:pPr>
    <w:rPr>
      <w:rFonts w:ascii="Arial" w:eastAsia="Times New Roman" w:hAnsi="Arial" w:cs="Arial"/>
      <w:b/>
      <w:sz w:val="17"/>
      <w:szCs w:val="17"/>
    </w:rPr>
  </w:style>
  <w:style w:type="paragraph" w:customStyle="1" w:styleId="VAGOHeading3">
    <w:name w:val="VAGOHeading3"/>
    <w:basedOn w:val="VAGOHeading2"/>
    <w:semiHidden/>
    <w:rsid w:val="00627E95"/>
    <w:rPr>
      <w:b w:val="0"/>
      <w:i/>
    </w:rPr>
  </w:style>
  <w:style w:type="paragraph" w:customStyle="1" w:styleId="VAGOBullet">
    <w:name w:val="VAGOBullet"/>
    <w:basedOn w:val="VAGOText"/>
    <w:semiHidden/>
    <w:rsid w:val="00627E95"/>
    <w:pPr>
      <w:numPr>
        <w:numId w:val="17"/>
      </w:numPr>
      <w:ind w:right="-51"/>
    </w:pPr>
    <w:rPr>
      <w:iCs/>
    </w:rPr>
  </w:style>
  <w:style w:type="paragraph" w:customStyle="1" w:styleId="Heading3NumberingBP4">
    <w:name w:val="Heading 3 Numbering BP4"/>
    <w:basedOn w:val="Normal"/>
    <w:semiHidden/>
    <w:rsid w:val="00627E95"/>
    <w:pPr>
      <w:keepNext/>
      <w:keepLines w:val="0"/>
      <w:numPr>
        <w:numId w:val="16"/>
      </w:numPr>
      <w:tabs>
        <w:tab w:val="clear" w:pos="720"/>
        <w:tab w:val="left" w:pos="504"/>
      </w:tabs>
      <w:spacing w:before="240" w:after="120"/>
      <w:ind w:left="504" w:hanging="504"/>
      <w:outlineLvl w:val="2"/>
    </w:pPr>
    <w:rPr>
      <w:rFonts w:ascii="Calibri" w:eastAsia="Times New Roman" w:hAnsi="Calibri" w:cs="Times New Roman"/>
      <w:b/>
      <w:i/>
      <w:kern w:val="28"/>
      <w:sz w:val="24"/>
    </w:rPr>
  </w:style>
  <w:style w:type="paragraph" w:customStyle="1" w:styleId="Chartpara">
    <w:name w:val="Chart para"/>
    <w:basedOn w:val="Normal"/>
    <w:semiHidden/>
    <w:rsid w:val="00627E95"/>
    <w:pPr>
      <w:keepLines w:val="0"/>
      <w:spacing w:before="0"/>
    </w:pPr>
    <w:rPr>
      <w:rFonts w:ascii="Garamond" w:eastAsia="Times New Roman" w:hAnsi="Garamond" w:cs="Times New Roman"/>
      <w:szCs w:val="20"/>
    </w:rPr>
  </w:style>
  <w:style w:type="paragraph" w:customStyle="1" w:styleId="OGTabColCentred">
    <w:name w:val="OGTabColCentred"/>
    <w:basedOn w:val="OGUoM"/>
    <w:semiHidden/>
    <w:rsid w:val="00627E95"/>
    <w:rPr>
      <w:b/>
      <w:lang w:eastAsia="en-AU"/>
    </w:rPr>
  </w:style>
  <w:style w:type="paragraph" w:customStyle="1" w:styleId="OGTabColRight">
    <w:name w:val="OGTabColRight"/>
    <w:basedOn w:val="OGTableofFigures"/>
    <w:semiHidden/>
    <w:rsid w:val="00627E95"/>
    <w:rPr>
      <w:b/>
    </w:rPr>
  </w:style>
  <w:style w:type="paragraph" w:customStyle="1" w:styleId="OGTabColLeft">
    <w:name w:val="OGTabColLeft"/>
    <w:basedOn w:val="OGTabColRight"/>
    <w:semiHidden/>
    <w:rsid w:val="00627E95"/>
    <w:pPr>
      <w:jc w:val="left"/>
    </w:pPr>
    <w:rPr>
      <w:lang w:eastAsia="en-AU"/>
    </w:rPr>
  </w:style>
  <w:style w:type="paragraph" w:customStyle="1" w:styleId="FrontPage">
    <w:name w:val="Front Page"/>
    <w:basedOn w:val="Normal"/>
    <w:semiHidden/>
    <w:rsid w:val="00627E95"/>
    <w:pPr>
      <w:keepLines w:val="0"/>
      <w:spacing w:before="0" w:after="120"/>
      <w:jc w:val="center"/>
    </w:pPr>
    <w:rPr>
      <w:rFonts w:ascii="Calibri" w:eastAsia="Times New Roman" w:hAnsi="Calibri" w:cs="Times New Roman"/>
      <w:b/>
      <w:sz w:val="52"/>
      <w:szCs w:val="52"/>
    </w:rPr>
  </w:style>
  <w:style w:type="paragraph" w:customStyle="1" w:styleId="FrontPage2">
    <w:name w:val="Front Page 2"/>
    <w:basedOn w:val="FrontPage"/>
    <w:semiHidden/>
    <w:rsid w:val="00627E95"/>
    <w:pPr>
      <w:pBdr>
        <w:bottom w:val="single" w:sz="12" w:space="1" w:color="auto"/>
      </w:pBdr>
    </w:pPr>
  </w:style>
  <w:style w:type="paragraph" w:customStyle="1" w:styleId="FrontPage3">
    <w:name w:val="Front Page 3"/>
    <w:basedOn w:val="Normal"/>
    <w:semiHidden/>
    <w:rsid w:val="00627E95"/>
    <w:pPr>
      <w:keepLines w:val="0"/>
      <w:spacing w:before="0" w:after="120"/>
      <w:jc w:val="center"/>
    </w:pPr>
    <w:rPr>
      <w:rFonts w:ascii="Calibri" w:eastAsia="Times New Roman" w:hAnsi="Calibri" w:cs="Times New Roman"/>
      <w:sz w:val="28"/>
      <w:szCs w:val="28"/>
    </w:rPr>
  </w:style>
  <w:style w:type="paragraph" w:customStyle="1" w:styleId="FrontPageMin">
    <w:name w:val="Front Page Min"/>
    <w:basedOn w:val="Normal"/>
    <w:semiHidden/>
    <w:rsid w:val="00627E95"/>
    <w:pPr>
      <w:keepLines w:val="0"/>
      <w:spacing w:before="0" w:after="120"/>
      <w:jc w:val="center"/>
    </w:pPr>
    <w:rPr>
      <w:rFonts w:ascii="Calibri" w:eastAsia="Times New Roman" w:hAnsi="Calibri" w:cs="Times New Roman"/>
      <w:sz w:val="36"/>
      <w:szCs w:val="36"/>
    </w:rPr>
  </w:style>
  <w:style w:type="paragraph" w:customStyle="1" w:styleId="FrontPageHon">
    <w:name w:val="Front Page Hon"/>
    <w:basedOn w:val="Normal"/>
    <w:semiHidden/>
    <w:rsid w:val="00627E95"/>
    <w:pPr>
      <w:keepLines w:val="0"/>
      <w:spacing w:before="0" w:after="120"/>
      <w:jc w:val="center"/>
    </w:pPr>
    <w:rPr>
      <w:rFonts w:ascii="Calibri" w:eastAsia="Times New Roman" w:hAnsi="Calibri" w:cs="Times New Roman"/>
      <w:sz w:val="30"/>
      <w:szCs w:val="30"/>
    </w:rPr>
  </w:style>
  <w:style w:type="paragraph" w:customStyle="1" w:styleId="FrontPageBP">
    <w:name w:val="Front Page BP"/>
    <w:basedOn w:val="Normal"/>
    <w:semiHidden/>
    <w:rsid w:val="00627E95"/>
    <w:pPr>
      <w:keepLines w:val="0"/>
      <w:spacing w:before="0" w:after="120"/>
      <w:jc w:val="center"/>
    </w:pPr>
    <w:rPr>
      <w:rFonts w:ascii="Calibri" w:eastAsia="Times New Roman" w:hAnsi="Calibri" w:cs="Times New Roman"/>
      <w:b/>
      <w:sz w:val="32"/>
      <w:szCs w:val="32"/>
    </w:rPr>
  </w:style>
  <w:style w:type="paragraph" w:customStyle="1" w:styleId="OGNotesIndent">
    <w:name w:val="OGNotesIndent"/>
    <w:basedOn w:val="Normal"/>
    <w:semiHidden/>
    <w:rsid w:val="00627E95"/>
    <w:pPr>
      <w:keepLines w:val="0"/>
      <w:spacing w:before="0" w:after="60"/>
      <w:ind w:left="720" w:right="115" w:hanging="360"/>
    </w:pPr>
    <w:rPr>
      <w:rFonts w:ascii="Calibri" w:eastAsia="Times New Roman" w:hAnsi="Calibri" w:cs="Times New Roman"/>
      <w:i/>
      <w:sz w:val="15"/>
      <w:szCs w:val="20"/>
      <w:lang w:eastAsia="en-AU"/>
    </w:rPr>
  </w:style>
  <w:style w:type="paragraph" w:customStyle="1" w:styleId="Default">
    <w:name w:val="Default"/>
    <w:semiHidden/>
    <w:rsid w:val="00627E95"/>
    <w:pPr>
      <w:autoSpaceDE w:val="0"/>
      <w:autoSpaceDN w:val="0"/>
      <w:adjustRightInd w:val="0"/>
      <w:spacing w:before="0"/>
    </w:pPr>
    <w:rPr>
      <w:rFonts w:ascii="Garamond" w:eastAsia="Times New Roman" w:hAnsi="Garamond" w:cs="Garamond"/>
      <w:color w:val="000000"/>
      <w:sz w:val="24"/>
      <w:szCs w:val="24"/>
      <w:lang w:eastAsia="en-AU"/>
    </w:rPr>
  </w:style>
  <w:style w:type="paragraph" w:customStyle="1" w:styleId="Performancemeasuremetric">
    <w:name w:val="Performance measure metric"/>
    <w:basedOn w:val="Normal"/>
    <w:uiPriority w:val="63"/>
    <w:rsid w:val="00627E95"/>
    <w:pPr>
      <w:keepLines w:val="0"/>
      <w:spacing w:before="20" w:after="20"/>
      <w:ind w:left="-14"/>
    </w:pPr>
    <w:rPr>
      <w:rFonts w:asciiTheme="majorHAnsi" w:hAnsiTheme="majorHAnsi"/>
      <w:i/>
      <w:sz w:val="17"/>
    </w:rPr>
  </w:style>
  <w:style w:type="character" w:customStyle="1" w:styleId="ChapterheadingChar">
    <w:name w:val="Chapter heading Char"/>
    <w:basedOn w:val="DefaultParagraphFont"/>
    <w:link w:val="Chapterheading"/>
    <w:uiPriority w:val="89"/>
    <w:rsid w:val="00627E95"/>
    <w:rPr>
      <w:rFonts w:asciiTheme="majorHAnsi" w:eastAsiaTheme="majorEastAsia" w:hAnsiTheme="majorHAnsi" w:cstheme="majorBidi"/>
      <w:b/>
      <w:bCs/>
      <w:caps/>
      <w:spacing w:val="-2"/>
      <w:sz w:val="36"/>
      <w:szCs w:val="28"/>
    </w:rPr>
  </w:style>
  <w:style w:type="character" w:customStyle="1" w:styleId="HighlightBoxTextChar">
    <w:name w:val="Highlight Box Text Char"/>
    <w:basedOn w:val="DefaultParagraphFont"/>
    <w:link w:val="HighlightBoxText"/>
    <w:uiPriority w:val="60"/>
    <w:rsid w:val="00627E95"/>
    <w:rPr>
      <w:shd w:val="clear" w:color="auto" w:fill="F2F2F2" w:themeFill="background1" w:themeFillShade="F2"/>
    </w:rPr>
  </w:style>
  <w:style w:type="character" w:customStyle="1" w:styleId="ListBulletChar">
    <w:name w:val="List Bullet Char"/>
    <w:basedOn w:val="DefaultParagraphFont"/>
    <w:link w:val="ListBullet"/>
    <w:uiPriority w:val="19"/>
    <w:rsid w:val="00627E95"/>
  </w:style>
  <w:style w:type="paragraph" w:customStyle="1" w:styleId="Tableheading0">
    <w:name w:val="Table heading"/>
    <w:basedOn w:val="Normal"/>
    <w:link w:val="TableheadingChar0"/>
    <w:qFormat/>
    <w:rsid w:val="00627E95"/>
    <w:pPr>
      <w:keepNext/>
      <w:keepLines w:val="0"/>
      <w:spacing w:before="240" w:after="120"/>
      <w:ind w:left="1152" w:hanging="1152"/>
    </w:pPr>
    <w:rPr>
      <w:rFonts w:ascii="Calibri" w:eastAsia="Times New Roman" w:hAnsi="Calibri" w:cs="Times New Roman"/>
      <w:b/>
      <w:szCs w:val="20"/>
    </w:rPr>
  </w:style>
  <w:style w:type="character" w:customStyle="1" w:styleId="TableheadingChar0">
    <w:name w:val="Table heading Char"/>
    <w:link w:val="Tableheading0"/>
    <w:rsid w:val="00627E95"/>
    <w:rPr>
      <w:rFonts w:ascii="Calibri" w:eastAsia="Times New Roman" w:hAnsi="Calibri" w:cs="Times New Roman"/>
      <w:b/>
      <w:szCs w:val="20"/>
    </w:rPr>
  </w:style>
  <w:style w:type="character" w:customStyle="1" w:styleId="HighlightBoxBulletChar">
    <w:name w:val="Highlight Box Bullet Char"/>
    <w:basedOn w:val="ListBulletChar"/>
    <w:link w:val="HighlightBoxBullet"/>
    <w:uiPriority w:val="61"/>
    <w:rsid w:val="00CA4A83"/>
    <w:rPr>
      <w:shd w:val="clear" w:color="auto" w:fill="F2F2F2" w:themeFill="background1" w:themeFillShade="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2.png"/><Relationship Id="rId39" Type="http://schemas.openxmlformats.org/officeDocument/2006/relationships/footer" Target="footer10.xml"/><Relationship Id="rId21" Type="http://schemas.openxmlformats.org/officeDocument/2006/relationships/image" Target="media/image7.emf"/><Relationship Id="rId34" Type="http://schemas.openxmlformats.org/officeDocument/2006/relationships/footer" Target="footer7.xml"/><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header" Target="header4.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4.xml"/><Relationship Id="rId29" Type="http://schemas.openxmlformats.org/officeDocument/2006/relationships/image" Target="media/image13.emf"/><Relationship Id="rId41" Type="http://schemas.openxmlformats.org/officeDocument/2006/relationships/footer" Target="footer12.xml"/><Relationship Id="rId54" Type="http://schemas.openxmlformats.org/officeDocument/2006/relationships/header" Target="header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6.emf"/><Relationship Id="rId37" Type="http://schemas.openxmlformats.org/officeDocument/2006/relationships/image" Target="media/image18.emf"/><Relationship Id="rId40" Type="http://schemas.openxmlformats.org/officeDocument/2006/relationships/footer" Target="footer11.xml"/><Relationship Id="rId45" Type="http://schemas.openxmlformats.org/officeDocument/2006/relationships/image" Target="media/image22.emf"/><Relationship Id="rId53" Type="http://schemas.openxmlformats.org/officeDocument/2006/relationships/footer" Target="footer14.xml"/><Relationship Id="rId58"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footer" Target="footer6.xml"/><Relationship Id="rId36" Type="http://schemas.openxmlformats.org/officeDocument/2006/relationships/image" Target="media/image17.emf"/><Relationship Id="rId49" Type="http://schemas.openxmlformats.org/officeDocument/2006/relationships/image" Target="media/image26.emf"/><Relationship Id="rId57" Type="http://schemas.openxmlformats.org/officeDocument/2006/relationships/footer" Target="footer16.xml"/><Relationship Id="rId61" Type="http://schemas.openxmlformats.org/officeDocument/2006/relationships/footer" Target="footer19.xml"/><Relationship Id="rId10" Type="http://schemas.openxmlformats.org/officeDocument/2006/relationships/image" Target="media/image2.emf"/><Relationship Id="rId19" Type="http://schemas.openxmlformats.org/officeDocument/2006/relationships/footer" Target="footer3.xml"/><Relationship Id="rId31" Type="http://schemas.openxmlformats.org/officeDocument/2006/relationships/image" Target="media/image15.emf"/><Relationship Id="rId44" Type="http://schemas.openxmlformats.org/officeDocument/2006/relationships/image" Target="media/image21.emf"/><Relationship Id="rId52" Type="http://schemas.openxmlformats.org/officeDocument/2006/relationships/footer" Target="footer13.xml"/><Relationship Id="rId60"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footer" Target="footer5.xml"/><Relationship Id="rId30" Type="http://schemas.openxmlformats.org/officeDocument/2006/relationships/image" Target="media/image14.emf"/><Relationship Id="rId35" Type="http://schemas.openxmlformats.org/officeDocument/2006/relationships/footer" Target="footer8.xml"/><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package" Target="embeddings/Microsoft_Excel_Worksheet1.xlsx"/><Relationship Id="rId38" Type="http://schemas.openxmlformats.org/officeDocument/2006/relationships/footer" Target="footer9.xml"/><Relationship Id="rId46" Type="http://schemas.openxmlformats.org/officeDocument/2006/relationships/image" Target="media/image23.emf"/><Relationship Id="rId59" Type="http://schemas.openxmlformats.org/officeDocument/2006/relationships/footer" Target="footer17.xm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DTF publications">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4276C-FFA1-4CD2-8103-5D18ED627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28691</Words>
  <Characters>155798</Characters>
  <Application>Microsoft Office Word</Application>
  <DocSecurity>0</DocSecurity>
  <Lines>4582</Lines>
  <Paragraphs>3074</Paragraphs>
  <ScaleCrop>false</ScaleCrop>
  <Company/>
  <LinksUpToDate>false</LinksUpToDate>
  <CharactersWithSpaces>181415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2017-05-01T02:57:00Z</dcterms:created>
  <dcterms:modified xsi:type="dcterms:W3CDTF">2017-05-01T02:57:00Z</dcterms:modified>
</cp:coreProperties>
</file>