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561C15" w:rsidP="004C3262">
      <w:pPr>
        <w:pStyle w:val="Title"/>
      </w:pPr>
      <w:bookmarkStart w:id="0" w:name="_GoBack"/>
      <w:bookmarkEnd w:id="0"/>
      <w:r>
        <w:t>Guidelines for p</w:t>
      </w:r>
      <w:r w:rsidR="00DC654B">
        <w:t xml:space="preserve">reparing </w:t>
      </w:r>
      <w:r w:rsidR="003F5833">
        <w:t>Ministerial Statement</w:t>
      </w:r>
      <w:r w:rsidR="00D64F06">
        <w:t>s</w:t>
      </w:r>
      <w:r w:rsidR="003F5833">
        <w:t xml:space="preserve"> of Expectations (SOE</w:t>
      </w:r>
      <w:r w:rsidR="006C0D31">
        <w:t>s</w:t>
      </w:r>
      <w:r w:rsidR="003F5833">
        <w:t xml:space="preserve">) </w:t>
      </w:r>
      <w:r w:rsidR="004C3262">
        <w:br/>
      </w:r>
      <w:r w:rsidR="00DC654B">
        <w:t>under the SOE Framework</w:t>
      </w:r>
    </w:p>
    <w:p w:rsidR="00750CBE" w:rsidRDefault="00DC654B" w:rsidP="00F12312">
      <w:pPr>
        <w:pStyle w:val="Subtitle"/>
      </w:pPr>
      <w:r>
        <w:t>May 2017</w:t>
      </w:r>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1E48F9" w:rsidP="006F6693">
      <w:pPr>
        <w:ind w:right="1826"/>
        <w:rPr>
          <w:rFonts w:cstheme="minorHAnsi"/>
          <w:spacing w:val="0"/>
          <w:sz w:val="19"/>
          <w:szCs w:val="19"/>
        </w:rPr>
      </w:pPr>
      <w:r>
        <w:rPr>
          <w:rFonts w:cstheme="minorHAnsi"/>
          <w:spacing w:val="0"/>
          <w:sz w:val="19"/>
          <w:szCs w:val="19"/>
        </w:rPr>
        <w:t>© State of Victoria 2017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4DC718CB" wp14:editId="6A0EF890">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 xml:space="preserve">ISBN </w:t>
      </w:r>
      <w:r w:rsidR="003A3220">
        <w:t>978</w:t>
      </w:r>
      <w:r w:rsidRPr="00C92338">
        <w:t>-</w:t>
      </w:r>
      <w:r w:rsidR="003A3220">
        <w:t>1</w:t>
      </w:r>
      <w:r w:rsidRPr="00C92338">
        <w:t>-</w:t>
      </w:r>
      <w:r w:rsidR="003A3220">
        <w:t>925551</w:t>
      </w:r>
      <w:r w:rsidRPr="00C92338">
        <w:t>-</w:t>
      </w:r>
      <w:r w:rsidR="003A3220">
        <w:t>46</w:t>
      </w:r>
      <w:r w:rsidRPr="00C92338">
        <w:t>-</w:t>
      </w:r>
      <w:r w:rsidR="003A3220">
        <w:t>4</w:t>
      </w:r>
    </w:p>
    <w:p w:rsidR="00750CBE" w:rsidRPr="00C92338" w:rsidRDefault="00AC2624" w:rsidP="008D0281">
      <w:pPr>
        <w:pStyle w:val="NormalTight"/>
      </w:pPr>
      <w:r>
        <w:t xml:space="preserve">Published </w:t>
      </w:r>
      <w:r w:rsidR="003A3220">
        <w:t>May</w:t>
      </w:r>
      <w:r>
        <w:t xml:space="preserve"> 2017</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w:t>
      </w:r>
      <w:r w:rsidR="00830D19">
        <w:t xml:space="preserve">in an accessible format please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C21BC0"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483905604" w:history="1">
        <w:r w:rsidR="00C21BC0" w:rsidRPr="003776EC">
          <w:rPr>
            <w:rStyle w:val="Hyperlink"/>
          </w:rPr>
          <w:t>1.</w:t>
        </w:r>
        <w:r w:rsidR="00C21BC0">
          <w:rPr>
            <w:spacing w:val="0"/>
            <w:sz w:val="22"/>
            <w:szCs w:val="22"/>
            <w:lang w:eastAsia="en-AU"/>
          </w:rPr>
          <w:tab/>
        </w:r>
        <w:r w:rsidR="00C21BC0" w:rsidRPr="003776EC">
          <w:rPr>
            <w:rStyle w:val="Hyperlink"/>
          </w:rPr>
          <w:t>Implementing the Statement of Expectations Framework</w:t>
        </w:r>
        <w:r w:rsidR="00C21BC0">
          <w:rPr>
            <w:webHidden/>
          </w:rPr>
          <w:tab/>
        </w:r>
        <w:r w:rsidR="00C21BC0">
          <w:rPr>
            <w:webHidden/>
          </w:rPr>
          <w:fldChar w:fldCharType="begin"/>
        </w:r>
        <w:r w:rsidR="00C21BC0">
          <w:rPr>
            <w:webHidden/>
          </w:rPr>
          <w:instrText xml:space="preserve"> PAGEREF _Toc483905604 \h </w:instrText>
        </w:r>
        <w:r w:rsidR="00C21BC0">
          <w:rPr>
            <w:webHidden/>
          </w:rPr>
        </w:r>
        <w:r w:rsidR="00C21BC0">
          <w:rPr>
            <w:webHidden/>
          </w:rPr>
          <w:fldChar w:fldCharType="separate"/>
        </w:r>
        <w:r w:rsidR="00C21BC0">
          <w:rPr>
            <w:webHidden/>
          </w:rPr>
          <w:t>1</w:t>
        </w:r>
        <w:r w:rsidR="00C21BC0">
          <w:rPr>
            <w:webHidden/>
          </w:rPr>
          <w:fldChar w:fldCharType="end"/>
        </w:r>
      </w:hyperlink>
    </w:p>
    <w:p w:rsidR="00C21BC0" w:rsidRDefault="00336AC2">
      <w:pPr>
        <w:pStyle w:val="TOC5"/>
        <w:tabs>
          <w:tab w:val="left" w:pos="1080"/>
        </w:tabs>
        <w:rPr>
          <w:spacing w:val="0"/>
          <w:sz w:val="22"/>
          <w:szCs w:val="22"/>
          <w:lang w:eastAsia="en-AU"/>
        </w:rPr>
      </w:pPr>
      <w:hyperlink w:anchor="_Toc483905605" w:history="1">
        <w:r w:rsidR="00C21BC0" w:rsidRPr="003776EC">
          <w:rPr>
            <w:rStyle w:val="Hyperlink"/>
          </w:rPr>
          <w:t>1.1</w:t>
        </w:r>
        <w:r w:rsidR="00C21BC0">
          <w:rPr>
            <w:spacing w:val="0"/>
            <w:sz w:val="22"/>
            <w:szCs w:val="22"/>
            <w:lang w:eastAsia="en-AU"/>
          </w:rPr>
          <w:tab/>
        </w:r>
        <w:r w:rsidR="00C21BC0" w:rsidRPr="003776EC">
          <w:rPr>
            <w:rStyle w:val="Hyperlink"/>
          </w:rPr>
          <w:t>SOE Framework comes into effect</w:t>
        </w:r>
        <w:r w:rsidR="00C21BC0">
          <w:rPr>
            <w:webHidden/>
          </w:rPr>
          <w:tab/>
        </w:r>
        <w:r w:rsidR="00C21BC0">
          <w:rPr>
            <w:webHidden/>
          </w:rPr>
          <w:fldChar w:fldCharType="begin"/>
        </w:r>
        <w:r w:rsidR="00C21BC0">
          <w:rPr>
            <w:webHidden/>
          </w:rPr>
          <w:instrText xml:space="preserve"> PAGEREF _Toc483905605 \h </w:instrText>
        </w:r>
        <w:r w:rsidR="00C21BC0">
          <w:rPr>
            <w:webHidden/>
          </w:rPr>
        </w:r>
        <w:r w:rsidR="00C21BC0">
          <w:rPr>
            <w:webHidden/>
          </w:rPr>
          <w:fldChar w:fldCharType="separate"/>
        </w:r>
        <w:r w:rsidR="00C21BC0">
          <w:rPr>
            <w:webHidden/>
          </w:rPr>
          <w:t>1</w:t>
        </w:r>
        <w:r w:rsidR="00C21BC0">
          <w:rPr>
            <w:webHidden/>
          </w:rPr>
          <w:fldChar w:fldCharType="end"/>
        </w:r>
      </w:hyperlink>
    </w:p>
    <w:p w:rsidR="00C21BC0" w:rsidRDefault="00336AC2">
      <w:pPr>
        <w:pStyle w:val="TOC5"/>
        <w:tabs>
          <w:tab w:val="left" w:pos="1080"/>
        </w:tabs>
        <w:rPr>
          <w:spacing w:val="0"/>
          <w:sz w:val="22"/>
          <w:szCs w:val="22"/>
          <w:lang w:eastAsia="en-AU"/>
        </w:rPr>
      </w:pPr>
      <w:hyperlink w:anchor="_Toc483905606" w:history="1">
        <w:r w:rsidR="00C21BC0" w:rsidRPr="003776EC">
          <w:rPr>
            <w:rStyle w:val="Hyperlink"/>
          </w:rPr>
          <w:t>1.2</w:t>
        </w:r>
        <w:r w:rsidR="00C21BC0">
          <w:rPr>
            <w:spacing w:val="0"/>
            <w:sz w:val="22"/>
            <w:szCs w:val="22"/>
            <w:lang w:eastAsia="en-AU"/>
          </w:rPr>
          <w:tab/>
        </w:r>
        <w:r w:rsidR="00C21BC0" w:rsidRPr="003776EC">
          <w:rPr>
            <w:rStyle w:val="Hyperlink"/>
          </w:rPr>
          <w:t>Dividing regulators into two tranches</w:t>
        </w:r>
        <w:r w:rsidR="00C21BC0">
          <w:rPr>
            <w:webHidden/>
          </w:rPr>
          <w:tab/>
        </w:r>
        <w:r w:rsidR="00C21BC0">
          <w:rPr>
            <w:webHidden/>
          </w:rPr>
          <w:fldChar w:fldCharType="begin"/>
        </w:r>
        <w:r w:rsidR="00C21BC0">
          <w:rPr>
            <w:webHidden/>
          </w:rPr>
          <w:instrText xml:space="preserve"> PAGEREF _Toc483905606 \h </w:instrText>
        </w:r>
        <w:r w:rsidR="00C21BC0">
          <w:rPr>
            <w:webHidden/>
          </w:rPr>
        </w:r>
        <w:r w:rsidR="00C21BC0">
          <w:rPr>
            <w:webHidden/>
          </w:rPr>
          <w:fldChar w:fldCharType="separate"/>
        </w:r>
        <w:r w:rsidR="00C21BC0">
          <w:rPr>
            <w:webHidden/>
          </w:rPr>
          <w:t>1</w:t>
        </w:r>
        <w:r w:rsidR="00C21BC0">
          <w:rPr>
            <w:webHidden/>
          </w:rPr>
          <w:fldChar w:fldCharType="end"/>
        </w:r>
      </w:hyperlink>
    </w:p>
    <w:p w:rsidR="00C21BC0" w:rsidRDefault="00336AC2">
      <w:pPr>
        <w:pStyle w:val="TOC6"/>
        <w:tabs>
          <w:tab w:val="left" w:pos="1800"/>
        </w:tabs>
        <w:rPr>
          <w:spacing w:val="0"/>
          <w:sz w:val="22"/>
          <w:szCs w:val="22"/>
          <w:lang w:eastAsia="en-AU"/>
        </w:rPr>
      </w:pPr>
      <w:hyperlink w:anchor="_Toc483905607" w:history="1">
        <w:r w:rsidR="00C21BC0" w:rsidRPr="003776EC">
          <w:rPr>
            <w:rStyle w:val="Hyperlink"/>
          </w:rPr>
          <w:t>1.2.1</w:t>
        </w:r>
        <w:r w:rsidR="00C21BC0">
          <w:rPr>
            <w:spacing w:val="0"/>
            <w:sz w:val="22"/>
            <w:szCs w:val="22"/>
            <w:lang w:eastAsia="en-AU"/>
          </w:rPr>
          <w:tab/>
        </w:r>
        <w:r w:rsidR="00C21BC0" w:rsidRPr="003776EC">
          <w:rPr>
            <w:rStyle w:val="Hyperlink"/>
          </w:rPr>
          <w:t>Selecting regulators to move to the second tranche</w:t>
        </w:r>
        <w:r w:rsidR="00C21BC0">
          <w:rPr>
            <w:webHidden/>
          </w:rPr>
          <w:tab/>
        </w:r>
        <w:r w:rsidR="00C21BC0">
          <w:rPr>
            <w:webHidden/>
          </w:rPr>
          <w:fldChar w:fldCharType="begin"/>
        </w:r>
        <w:r w:rsidR="00C21BC0">
          <w:rPr>
            <w:webHidden/>
          </w:rPr>
          <w:instrText xml:space="preserve"> PAGEREF _Toc483905607 \h </w:instrText>
        </w:r>
        <w:r w:rsidR="00C21BC0">
          <w:rPr>
            <w:webHidden/>
          </w:rPr>
        </w:r>
        <w:r w:rsidR="00C21BC0">
          <w:rPr>
            <w:webHidden/>
          </w:rPr>
          <w:fldChar w:fldCharType="separate"/>
        </w:r>
        <w:r w:rsidR="00C21BC0">
          <w:rPr>
            <w:webHidden/>
          </w:rPr>
          <w:t>1</w:t>
        </w:r>
        <w:r w:rsidR="00C21BC0">
          <w:rPr>
            <w:webHidden/>
          </w:rPr>
          <w:fldChar w:fldCharType="end"/>
        </w:r>
      </w:hyperlink>
    </w:p>
    <w:p w:rsidR="00C21BC0" w:rsidRDefault="00336AC2">
      <w:pPr>
        <w:pStyle w:val="TOC6"/>
        <w:tabs>
          <w:tab w:val="left" w:pos="1800"/>
        </w:tabs>
        <w:rPr>
          <w:spacing w:val="0"/>
          <w:sz w:val="22"/>
          <w:szCs w:val="22"/>
          <w:lang w:eastAsia="en-AU"/>
        </w:rPr>
      </w:pPr>
      <w:hyperlink w:anchor="_Toc483905608" w:history="1">
        <w:r w:rsidR="00C21BC0" w:rsidRPr="003776EC">
          <w:rPr>
            <w:rStyle w:val="Hyperlink"/>
          </w:rPr>
          <w:t>1.2.2</w:t>
        </w:r>
        <w:r w:rsidR="00C21BC0">
          <w:rPr>
            <w:spacing w:val="0"/>
            <w:sz w:val="22"/>
            <w:szCs w:val="22"/>
            <w:lang w:eastAsia="en-AU"/>
          </w:rPr>
          <w:tab/>
        </w:r>
        <w:r w:rsidR="00C21BC0" w:rsidRPr="003776EC">
          <w:rPr>
            <w:rStyle w:val="Hyperlink"/>
          </w:rPr>
          <w:t>Moving regulators to the second tranche</w:t>
        </w:r>
        <w:r w:rsidR="00C21BC0">
          <w:rPr>
            <w:webHidden/>
          </w:rPr>
          <w:tab/>
        </w:r>
        <w:r w:rsidR="00C21BC0">
          <w:rPr>
            <w:webHidden/>
          </w:rPr>
          <w:fldChar w:fldCharType="begin"/>
        </w:r>
        <w:r w:rsidR="00C21BC0">
          <w:rPr>
            <w:webHidden/>
          </w:rPr>
          <w:instrText xml:space="preserve"> PAGEREF _Toc483905608 \h </w:instrText>
        </w:r>
        <w:r w:rsidR="00C21BC0">
          <w:rPr>
            <w:webHidden/>
          </w:rPr>
        </w:r>
        <w:r w:rsidR="00C21BC0">
          <w:rPr>
            <w:webHidden/>
          </w:rPr>
          <w:fldChar w:fldCharType="separate"/>
        </w:r>
        <w:r w:rsidR="00C21BC0">
          <w:rPr>
            <w:webHidden/>
          </w:rPr>
          <w:t>1</w:t>
        </w:r>
        <w:r w:rsidR="00C21BC0">
          <w:rPr>
            <w:webHidden/>
          </w:rPr>
          <w:fldChar w:fldCharType="end"/>
        </w:r>
      </w:hyperlink>
    </w:p>
    <w:p w:rsidR="00C21BC0" w:rsidRDefault="00336AC2">
      <w:pPr>
        <w:pStyle w:val="TOC5"/>
        <w:tabs>
          <w:tab w:val="left" w:pos="1080"/>
        </w:tabs>
        <w:rPr>
          <w:spacing w:val="0"/>
          <w:sz w:val="22"/>
          <w:szCs w:val="22"/>
          <w:lang w:eastAsia="en-AU"/>
        </w:rPr>
      </w:pPr>
      <w:hyperlink w:anchor="_Toc483905609" w:history="1">
        <w:r w:rsidR="00C21BC0" w:rsidRPr="003776EC">
          <w:rPr>
            <w:rStyle w:val="Hyperlink"/>
          </w:rPr>
          <w:t>1.3</w:t>
        </w:r>
        <w:r w:rsidR="00C21BC0">
          <w:rPr>
            <w:spacing w:val="0"/>
            <w:sz w:val="22"/>
            <w:szCs w:val="22"/>
            <w:lang w:eastAsia="en-AU"/>
          </w:rPr>
          <w:tab/>
        </w:r>
        <w:r w:rsidR="00C21BC0" w:rsidRPr="003776EC">
          <w:rPr>
            <w:rStyle w:val="Hyperlink"/>
          </w:rPr>
          <w:t>Carrying over (or reissuing) Stage Two SOEs</w:t>
        </w:r>
        <w:r w:rsidR="00C21BC0">
          <w:rPr>
            <w:webHidden/>
          </w:rPr>
          <w:tab/>
        </w:r>
        <w:r w:rsidR="00C21BC0">
          <w:rPr>
            <w:webHidden/>
          </w:rPr>
          <w:fldChar w:fldCharType="begin"/>
        </w:r>
        <w:r w:rsidR="00C21BC0">
          <w:rPr>
            <w:webHidden/>
          </w:rPr>
          <w:instrText xml:space="preserve"> PAGEREF _Toc483905609 \h </w:instrText>
        </w:r>
        <w:r w:rsidR="00C21BC0">
          <w:rPr>
            <w:webHidden/>
          </w:rPr>
        </w:r>
        <w:r w:rsidR="00C21BC0">
          <w:rPr>
            <w:webHidden/>
          </w:rPr>
          <w:fldChar w:fldCharType="separate"/>
        </w:r>
        <w:r w:rsidR="00C21BC0">
          <w:rPr>
            <w:webHidden/>
          </w:rPr>
          <w:t>1</w:t>
        </w:r>
        <w:r w:rsidR="00C21BC0">
          <w:rPr>
            <w:webHidden/>
          </w:rPr>
          <w:fldChar w:fldCharType="end"/>
        </w:r>
      </w:hyperlink>
    </w:p>
    <w:p w:rsidR="00C21BC0" w:rsidRDefault="00336AC2">
      <w:pPr>
        <w:pStyle w:val="TOC5"/>
        <w:tabs>
          <w:tab w:val="left" w:pos="1080"/>
        </w:tabs>
        <w:rPr>
          <w:spacing w:val="0"/>
          <w:sz w:val="22"/>
          <w:szCs w:val="22"/>
          <w:lang w:eastAsia="en-AU"/>
        </w:rPr>
      </w:pPr>
      <w:hyperlink w:anchor="_Toc483905610" w:history="1">
        <w:r w:rsidR="00C21BC0" w:rsidRPr="003776EC">
          <w:rPr>
            <w:rStyle w:val="Hyperlink"/>
          </w:rPr>
          <w:t>1.4</w:t>
        </w:r>
        <w:r w:rsidR="00C21BC0">
          <w:rPr>
            <w:spacing w:val="0"/>
            <w:sz w:val="22"/>
            <w:szCs w:val="22"/>
            <w:lang w:eastAsia="en-AU"/>
          </w:rPr>
          <w:tab/>
        </w:r>
        <w:r w:rsidR="00C21BC0" w:rsidRPr="003776EC">
          <w:rPr>
            <w:rStyle w:val="Hyperlink"/>
          </w:rPr>
          <w:t>SOE Framework timelines</w:t>
        </w:r>
        <w:r w:rsidR="00C21BC0">
          <w:rPr>
            <w:webHidden/>
          </w:rPr>
          <w:tab/>
        </w:r>
        <w:r w:rsidR="00C21BC0">
          <w:rPr>
            <w:webHidden/>
          </w:rPr>
          <w:fldChar w:fldCharType="begin"/>
        </w:r>
        <w:r w:rsidR="00C21BC0">
          <w:rPr>
            <w:webHidden/>
          </w:rPr>
          <w:instrText xml:space="preserve"> PAGEREF _Toc483905610 \h </w:instrText>
        </w:r>
        <w:r w:rsidR="00C21BC0">
          <w:rPr>
            <w:webHidden/>
          </w:rPr>
        </w:r>
        <w:r w:rsidR="00C21BC0">
          <w:rPr>
            <w:webHidden/>
          </w:rPr>
          <w:fldChar w:fldCharType="separate"/>
        </w:r>
        <w:r w:rsidR="00C21BC0">
          <w:rPr>
            <w:webHidden/>
          </w:rPr>
          <w:t>2</w:t>
        </w:r>
        <w:r w:rsidR="00C21BC0">
          <w:rPr>
            <w:webHidden/>
          </w:rPr>
          <w:fldChar w:fldCharType="end"/>
        </w:r>
      </w:hyperlink>
    </w:p>
    <w:p w:rsidR="00C21BC0" w:rsidRDefault="00336AC2">
      <w:pPr>
        <w:pStyle w:val="TOC6"/>
        <w:tabs>
          <w:tab w:val="left" w:pos="1800"/>
        </w:tabs>
        <w:rPr>
          <w:spacing w:val="0"/>
          <w:sz w:val="22"/>
          <w:szCs w:val="22"/>
          <w:lang w:eastAsia="en-AU"/>
        </w:rPr>
      </w:pPr>
      <w:hyperlink w:anchor="_Toc483905611" w:history="1">
        <w:r w:rsidR="00C21BC0" w:rsidRPr="003776EC">
          <w:rPr>
            <w:rStyle w:val="Hyperlink"/>
          </w:rPr>
          <w:t>1.4.3</w:t>
        </w:r>
        <w:r w:rsidR="00C21BC0">
          <w:rPr>
            <w:spacing w:val="0"/>
            <w:sz w:val="22"/>
            <w:szCs w:val="22"/>
            <w:lang w:eastAsia="en-AU"/>
          </w:rPr>
          <w:tab/>
        </w:r>
        <w:r w:rsidR="00C21BC0" w:rsidRPr="003776EC">
          <w:rPr>
            <w:rStyle w:val="Hyperlink"/>
          </w:rPr>
          <w:t>The first tranche of SOEs</w:t>
        </w:r>
        <w:r w:rsidR="00C21BC0">
          <w:rPr>
            <w:webHidden/>
          </w:rPr>
          <w:tab/>
        </w:r>
        <w:r w:rsidR="00C21BC0">
          <w:rPr>
            <w:webHidden/>
          </w:rPr>
          <w:fldChar w:fldCharType="begin"/>
        </w:r>
        <w:r w:rsidR="00C21BC0">
          <w:rPr>
            <w:webHidden/>
          </w:rPr>
          <w:instrText xml:space="preserve"> PAGEREF _Toc483905611 \h </w:instrText>
        </w:r>
        <w:r w:rsidR="00C21BC0">
          <w:rPr>
            <w:webHidden/>
          </w:rPr>
        </w:r>
        <w:r w:rsidR="00C21BC0">
          <w:rPr>
            <w:webHidden/>
          </w:rPr>
          <w:fldChar w:fldCharType="separate"/>
        </w:r>
        <w:r w:rsidR="00C21BC0">
          <w:rPr>
            <w:webHidden/>
          </w:rPr>
          <w:t>2</w:t>
        </w:r>
        <w:r w:rsidR="00C21BC0">
          <w:rPr>
            <w:webHidden/>
          </w:rPr>
          <w:fldChar w:fldCharType="end"/>
        </w:r>
      </w:hyperlink>
    </w:p>
    <w:p w:rsidR="00C21BC0" w:rsidRDefault="00336AC2">
      <w:pPr>
        <w:pStyle w:val="TOC6"/>
        <w:tabs>
          <w:tab w:val="left" w:pos="1800"/>
        </w:tabs>
        <w:rPr>
          <w:spacing w:val="0"/>
          <w:sz w:val="22"/>
          <w:szCs w:val="22"/>
          <w:lang w:eastAsia="en-AU"/>
        </w:rPr>
      </w:pPr>
      <w:hyperlink w:anchor="_Toc483905612" w:history="1">
        <w:r w:rsidR="00C21BC0" w:rsidRPr="003776EC">
          <w:rPr>
            <w:rStyle w:val="Hyperlink"/>
          </w:rPr>
          <w:t>1.4.4</w:t>
        </w:r>
        <w:r w:rsidR="00C21BC0">
          <w:rPr>
            <w:spacing w:val="0"/>
            <w:sz w:val="22"/>
            <w:szCs w:val="22"/>
            <w:lang w:eastAsia="en-AU"/>
          </w:rPr>
          <w:tab/>
        </w:r>
        <w:r w:rsidR="00C21BC0" w:rsidRPr="003776EC">
          <w:rPr>
            <w:rStyle w:val="Hyperlink"/>
          </w:rPr>
          <w:t>The second tranche of SOEs</w:t>
        </w:r>
        <w:r w:rsidR="00C21BC0">
          <w:rPr>
            <w:webHidden/>
          </w:rPr>
          <w:tab/>
        </w:r>
        <w:r w:rsidR="00C21BC0">
          <w:rPr>
            <w:webHidden/>
          </w:rPr>
          <w:fldChar w:fldCharType="begin"/>
        </w:r>
        <w:r w:rsidR="00C21BC0">
          <w:rPr>
            <w:webHidden/>
          </w:rPr>
          <w:instrText xml:space="preserve"> PAGEREF _Toc483905612 \h </w:instrText>
        </w:r>
        <w:r w:rsidR="00C21BC0">
          <w:rPr>
            <w:webHidden/>
          </w:rPr>
        </w:r>
        <w:r w:rsidR="00C21BC0">
          <w:rPr>
            <w:webHidden/>
          </w:rPr>
          <w:fldChar w:fldCharType="separate"/>
        </w:r>
        <w:r w:rsidR="00C21BC0">
          <w:rPr>
            <w:webHidden/>
          </w:rPr>
          <w:t>3</w:t>
        </w:r>
        <w:r w:rsidR="00C21BC0">
          <w:rPr>
            <w:webHidden/>
          </w:rPr>
          <w:fldChar w:fldCharType="end"/>
        </w:r>
      </w:hyperlink>
    </w:p>
    <w:p w:rsidR="00C21BC0" w:rsidRDefault="00336AC2">
      <w:pPr>
        <w:pStyle w:val="TOC6"/>
        <w:tabs>
          <w:tab w:val="left" w:pos="1800"/>
        </w:tabs>
        <w:rPr>
          <w:spacing w:val="0"/>
          <w:sz w:val="22"/>
          <w:szCs w:val="22"/>
          <w:lang w:eastAsia="en-AU"/>
        </w:rPr>
      </w:pPr>
      <w:hyperlink w:anchor="_Toc483905613" w:history="1">
        <w:r w:rsidR="00C21BC0" w:rsidRPr="003776EC">
          <w:rPr>
            <w:rStyle w:val="Hyperlink"/>
          </w:rPr>
          <w:t>1.4.5</w:t>
        </w:r>
        <w:r w:rsidR="00C21BC0">
          <w:rPr>
            <w:spacing w:val="0"/>
            <w:sz w:val="22"/>
            <w:szCs w:val="22"/>
            <w:lang w:eastAsia="en-AU"/>
          </w:rPr>
          <w:tab/>
        </w:r>
        <w:r w:rsidR="00C21BC0" w:rsidRPr="003776EC">
          <w:rPr>
            <w:rStyle w:val="Hyperlink"/>
          </w:rPr>
          <w:t>Summary of SOE Framework timelines</w:t>
        </w:r>
        <w:r w:rsidR="00C21BC0">
          <w:rPr>
            <w:webHidden/>
          </w:rPr>
          <w:tab/>
        </w:r>
        <w:r w:rsidR="00C21BC0">
          <w:rPr>
            <w:webHidden/>
          </w:rPr>
          <w:fldChar w:fldCharType="begin"/>
        </w:r>
        <w:r w:rsidR="00C21BC0">
          <w:rPr>
            <w:webHidden/>
          </w:rPr>
          <w:instrText xml:space="preserve"> PAGEREF _Toc483905613 \h </w:instrText>
        </w:r>
        <w:r w:rsidR="00C21BC0">
          <w:rPr>
            <w:webHidden/>
          </w:rPr>
        </w:r>
        <w:r w:rsidR="00C21BC0">
          <w:rPr>
            <w:webHidden/>
          </w:rPr>
          <w:fldChar w:fldCharType="separate"/>
        </w:r>
        <w:r w:rsidR="00C21BC0">
          <w:rPr>
            <w:webHidden/>
          </w:rPr>
          <w:t>3</w:t>
        </w:r>
        <w:r w:rsidR="00C21BC0">
          <w:rPr>
            <w:webHidden/>
          </w:rPr>
          <w:fldChar w:fldCharType="end"/>
        </w:r>
      </w:hyperlink>
    </w:p>
    <w:p w:rsidR="00C21BC0" w:rsidRDefault="00336AC2">
      <w:pPr>
        <w:pStyle w:val="TOC4"/>
        <w:rPr>
          <w:spacing w:val="0"/>
          <w:sz w:val="22"/>
          <w:szCs w:val="22"/>
          <w:lang w:eastAsia="en-AU"/>
        </w:rPr>
      </w:pPr>
      <w:hyperlink w:anchor="_Toc483905614" w:history="1">
        <w:r w:rsidR="00C21BC0" w:rsidRPr="003776EC">
          <w:rPr>
            <w:rStyle w:val="Hyperlink"/>
          </w:rPr>
          <w:t>2.</w:t>
        </w:r>
        <w:r w:rsidR="00C21BC0">
          <w:rPr>
            <w:spacing w:val="0"/>
            <w:sz w:val="22"/>
            <w:szCs w:val="22"/>
            <w:lang w:eastAsia="en-AU"/>
          </w:rPr>
          <w:tab/>
        </w:r>
        <w:r w:rsidR="00C21BC0" w:rsidRPr="003776EC">
          <w:rPr>
            <w:rStyle w:val="Hyperlink"/>
          </w:rPr>
          <w:t>Process for developing SOEs</w:t>
        </w:r>
        <w:r w:rsidR="00C21BC0">
          <w:rPr>
            <w:webHidden/>
          </w:rPr>
          <w:tab/>
        </w:r>
        <w:r w:rsidR="00C21BC0">
          <w:rPr>
            <w:webHidden/>
          </w:rPr>
          <w:fldChar w:fldCharType="begin"/>
        </w:r>
        <w:r w:rsidR="00C21BC0">
          <w:rPr>
            <w:webHidden/>
          </w:rPr>
          <w:instrText xml:space="preserve"> PAGEREF _Toc483905614 \h </w:instrText>
        </w:r>
        <w:r w:rsidR="00C21BC0">
          <w:rPr>
            <w:webHidden/>
          </w:rPr>
        </w:r>
        <w:r w:rsidR="00C21BC0">
          <w:rPr>
            <w:webHidden/>
          </w:rPr>
          <w:fldChar w:fldCharType="separate"/>
        </w:r>
        <w:r w:rsidR="00C21BC0">
          <w:rPr>
            <w:webHidden/>
          </w:rPr>
          <w:t>4</w:t>
        </w:r>
        <w:r w:rsidR="00C21BC0">
          <w:rPr>
            <w:webHidden/>
          </w:rPr>
          <w:fldChar w:fldCharType="end"/>
        </w:r>
      </w:hyperlink>
    </w:p>
    <w:p w:rsidR="00C21BC0" w:rsidRDefault="00336AC2">
      <w:pPr>
        <w:pStyle w:val="TOC5"/>
        <w:tabs>
          <w:tab w:val="left" w:pos="1080"/>
        </w:tabs>
        <w:rPr>
          <w:spacing w:val="0"/>
          <w:sz w:val="22"/>
          <w:szCs w:val="22"/>
          <w:lang w:eastAsia="en-AU"/>
        </w:rPr>
      </w:pPr>
      <w:hyperlink w:anchor="_Toc483905615" w:history="1">
        <w:r w:rsidR="00C21BC0" w:rsidRPr="003776EC">
          <w:rPr>
            <w:rStyle w:val="Hyperlink"/>
          </w:rPr>
          <w:t>2.1</w:t>
        </w:r>
        <w:r w:rsidR="00C21BC0">
          <w:rPr>
            <w:spacing w:val="0"/>
            <w:sz w:val="22"/>
            <w:szCs w:val="22"/>
            <w:lang w:eastAsia="en-AU"/>
          </w:rPr>
          <w:tab/>
        </w:r>
        <w:r w:rsidR="00C21BC0" w:rsidRPr="003776EC">
          <w:rPr>
            <w:rStyle w:val="Hyperlink"/>
          </w:rPr>
          <w:t>Developing SOEs</w:t>
        </w:r>
        <w:r w:rsidR="00C21BC0">
          <w:rPr>
            <w:webHidden/>
          </w:rPr>
          <w:tab/>
        </w:r>
        <w:r w:rsidR="00C21BC0">
          <w:rPr>
            <w:webHidden/>
          </w:rPr>
          <w:fldChar w:fldCharType="begin"/>
        </w:r>
        <w:r w:rsidR="00C21BC0">
          <w:rPr>
            <w:webHidden/>
          </w:rPr>
          <w:instrText xml:space="preserve"> PAGEREF _Toc483905615 \h </w:instrText>
        </w:r>
        <w:r w:rsidR="00C21BC0">
          <w:rPr>
            <w:webHidden/>
          </w:rPr>
        </w:r>
        <w:r w:rsidR="00C21BC0">
          <w:rPr>
            <w:webHidden/>
          </w:rPr>
          <w:fldChar w:fldCharType="separate"/>
        </w:r>
        <w:r w:rsidR="00C21BC0">
          <w:rPr>
            <w:webHidden/>
          </w:rPr>
          <w:t>4</w:t>
        </w:r>
        <w:r w:rsidR="00C21BC0">
          <w:rPr>
            <w:webHidden/>
          </w:rPr>
          <w:fldChar w:fldCharType="end"/>
        </w:r>
      </w:hyperlink>
    </w:p>
    <w:p w:rsidR="00C21BC0" w:rsidRDefault="00336AC2">
      <w:pPr>
        <w:pStyle w:val="TOC5"/>
        <w:tabs>
          <w:tab w:val="left" w:pos="1080"/>
        </w:tabs>
        <w:rPr>
          <w:spacing w:val="0"/>
          <w:sz w:val="22"/>
          <w:szCs w:val="22"/>
          <w:lang w:eastAsia="en-AU"/>
        </w:rPr>
      </w:pPr>
      <w:hyperlink w:anchor="_Toc483905616" w:history="1">
        <w:r w:rsidR="00C21BC0" w:rsidRPr="003776EC">
          <w:rPr>
            <w:rStyle w:val="Hyperlink"/>
          </w:rPr>
          <w:t>2.2</w:t>
        </w:r>
        <w:r w:rsidR="00C21BC0">
          <w:rPr>
            <w:spacing w:val="0"/>
            <w:sz w:val="22"/>
            <w:szCs w:val="22"/>
            <w:lang w:eastAsia="en-AU"/>
          </w:rPr>
          <w:tab/>
        </w:r>
        <w:r w:rsidR="00C21BC0" w:rsidRPr="003776EC">
          <w:rPr>
            <w:rStyle w:val="Hyperlink"/>
          </w:rPr>
          <w:t>Evaluating performance</w:t>
        </w:r>
        <w:r w:rsidR="00C21BC0">
          <w:rPr>
            <w:webHidden/>
          </w:rPr>
          <w:tab/>
        </w:r>
        <w:r w:rsidR="00C21BC0">
          <w:rPr>
            <w:webHidden/>
          </w:rPr>
          <w:fldChar w:fldCharType="begin"/>
        </w:r>
        <w:r w:rsidR="00C21BC0">
          <w:rPr>
            <w:webHidden/>
          </w:rPr>
          <w:instrText xml:space="preserve"> PAGEREF _Toc483905616 \h </w:instrText>
        </w:r>
        <w:r w:rsidR="00C21BC0">
          <w:rPr>
            <w:webHidden/>
          </w:rPr>
        </w:r>
        <w:r w:rsidR="00C21BC0">
          <w:rPr>
            <w:webHidden/>
          </w:rPr>
          <w:fldChar w:fldCharType="separate"/>
        </w:r>
        <w:r w:rsidR="00C21BC0">
          <w:rPr>
            <w:webHidden/>
          </w:rPr>
          <w:t>4</w:t>
        </w:r>
        <w:r w:rsidR="00C21BC0">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230AF6" w:rsidRDefault="00A8524F" w:rsidP="004C3262">
      <w:pPr>
        <w:pStyle w:val="Heading1numbered"/>
      </w:pPr>
      <w:bookmarkStart w:id="1" w:name="_Toc483905604"/>
      <w:r>
        <w:lastRenderedPageBreak/>
        <w:t>I</w:t>
      </w:r>
      <w:r w:rsidR="00DC654B">
        <w:t>mplementing the S</w:t>
      </w:r>
      <w:r w:rsidR="008D3396">
        <w:t xml:space="preserve">tatement of Expectations </w:t>
      </w:r>
      <w:r w:rsidR="00DC654B">
        <w:t>Framework</w:t>
      </w:r>
      <w:bookmarkEnd w:id="1"/>
    </w:p>
    <w:p w:rsidR="00FD2168" w:rsidRDefault="00FD2168" w:rsidP="004C3262">
      <w:pPr>
        <w:pStyle w:val="Heading2numbered"/>
      </w:pPr>
      <w:bookmarkStart w:id="2" w:name="_Toc483905605"/>
      <w:r>
        <w:t>SOE Framework comes into effect</w:t>
      </w:r>
      <w:bookmarkEnd w:id="2"/>
    </w:p>
    <w:p w:rsidR="00FD2168" w:rsidRDefault="00FD2168" w:rsidP="004C3262">
      <w:pPr>
        <w:pStyle w:val="NormalIndent"/>
      </w:pPr>
      <w:r>
        <w:t>The S</w:t>
      </w:r>
      <w:r w:rsidR="008D3396">
        <w:t xml:space="preserve">tatement of Expectations (SOE) </w:t>
      </w:r>
      <w:r>
        <w:t xml:space="preserve">Framework comes into effect on 1 July 2017. From </w:t>
      </w:r>
      <w:r w:rsidR="008D3396">
        <w:t>this date</w:t>
      </w:r>
      <w:r>
        <w:t>, all Victorian business regulators within scope of the SOE Framework must have a valid SOE (in many cases this will be a Stage Two SOE that is carried over or reissued for up to 12 months).</w:t>
      </w:r>
    </w:p>
    <w:p w:rsidR="00FD2168" w:rsidRDefault="008D3396" w:rsidP="00FD2168">
      <w:pPr>
        <w:pStyle w:val="NormalIndent"/>
      </w:pPr>
      <w:r>
        <w:t>The Department of Treasury and Finance (</w:t>
      </w:r>
      <w:r w:rsidR="00FD2168">
        <w:t>DTF</w:t>
      </w:r>
      <w:r>
        <w:t>)</w:t>
      </w:r>
      <w:r w:rsidR="00FD2168">
        <w:t xml:space="preserve"> has developed an implementation plan to ensure there is adequate time to undertake high quality and rigorous analysis in developing the first SOEs under the proposed SOE Framework. The implementation plan includes:</w:t>
      </w:r>
    </w:p>
    <w:p w:rsidR="00FD2168" w:rsidRDefault="008D3396" w:rsidP="00230AF6">
      <w:pPr>
        <w:pStyle w:val="Bulletindent"/>
      </w:pPr>
      <w:r>
        <w:t>d</w:t>
      </w:r>
      <w:r w:rsidR="00FD2168">
        <w:t>ividing regulators into two tranches for implementing the SOE Framework to create a rolling schedule of biennial SOEs;</w:t>
      </w:r>
    </w:p>
    <w:p w:rsidR="00FD2168" w:rsidRDefault="008D3396" w:rsidP="00230AF6">
      <w:pPr>
        <w:pStyle w:val="Bulletindent"/>
      </w:pPr>
      <w:r>
        <w:t>c</w:t>
      </w:r>
      <w:r w:rsidR="00FD2168">
        <w:t>arrying over or reissuing Stage Two SOEs for up to 12 months while SOE</w:t>
      </w:r>
      <w:r>
        <w:t>s are</w:t>
      </w:r>
      <w:r w:rsidR="00FD2168">
        <w:t xml:space="preserve"> developed under the SOE Framework; and</w:t>
      </w:r>
    </w:p>
    <w:p w:rsidR="00FD2168" w:rsidRDefault="008D3396" w:rsidP="00230AF6">
      <w:pPr>
        <w:pStyle w:val="Bulletindent"/>
      </w:pPr>
      <w:r>
        <w:t>t</w:t>
      </w:r>
      <w:r w:rsidR="00230AF6">
        <w:t>ransitional arrangements for the first tranche of SOEs.</w:t>
      </w:r>
    </w:p>
    <w:p w:rsidR="004A005B" w:rsidRDefault="00DC654B" w:rsidP="004A005B">
      <w:pPr>
        <w:pStyle w:val="Heading2numbered"/>
      </w:pPr>
      <w:bookmarkStart w:id="3" w:name="_Toc483905606"/>
      <w:r>
        <w:t>Dividing regulators into two tranches</w:t>
      </w:r>
      <w:bookmarkEnd w:id="3"/>
    </w:p>
    <w:p w:rsidR="00986AAC" w:rsidRDefault="006D6567" w:rsidP="00986AAC">
      <w:pPr>
        <w:pStyle w:val="Heading3numbered"/>
      </w:pPr>
      <w:bookmarkStart w:id="4" w:name="_Toc483905607"/>
      <w:r>
        <w:t xml:space="preserve">Selecting regulators to move to </w:t>
      </w:r>
      <w:r w:rsidR="00D64F06">
        <w:t xml:space="preserve">the second </w:t>
      </w:r>
      <w:r>
        <w:t>tranche</w:t>
      </w:r>
      <w:bookmarkEnd w:id="4"/>
    </w:p>
    <w:p w:rsidR="00986AAC" w:rsidRDefault="00DC654B" w:rsidP="00986AAC">
      <w:pPr>
        <w:pStyle w:val="NormalIndent"/>
      </w:pPr>
      <w:r>
        <w:t>Attachment 1 to the SOE Framework provides a list of Victorian business regulators by Ministerial responsibility. Each Minister can nominate up to half of their regulators</w:t>
      </w:r>
      <w:r w:rsidR="00D64F06">
        <w:t xml:space="preserve"> within each portfolio</w:t>
      </w:r>
      <w:r>
        <w:t xml:space="preserve"> to be included in the second tranche of SOEs.</w:t>
      </w:r>
    </w:p>
    <w:p w:rsidR="00DC654B" w:rsidRDefault="00DC654B" w:rsidP="00986AAC">
      <w:pPr>
        <w:pStyle w:val="NormalIndent"/>
      </w:pPr>
      <w:r w:rsidRPr="00DC654B">
        <w:t>DTF recommends that higher volume and higher impact regulators, or regulators with more complex considerations should be moved to the second tranche.</w:t>
      </w:r>
    </w:p>
    <w:p w:rsidR="00DC654B" w:rsidRDefault="006D6567" w:rsidP="00DC654B">
      <w:pPr>
        <w:pStyle w:val="Heading3numbered"/>
      </w:pPr>
      <w:bookmarkStart w:id="5" w:name="_Toc483905608"/>
      <w:r>
        <w:t xml:space="preserve">Moving regulators to </w:t>
      </w:r>
      <w:r w:rsidR="00D64F06">
        <w:t xml:space="preserve">the second </w:t>
      </w:r>
      <w:r>
        <w:t>tranche</w:t>
      </w:r>
      <w:bookmarkEnd w:id="5"/>
    </w:p>
    <w:p w:rsidR="00DC654B" w:rsidRDefault="00CF1691" w:rsidP="00DC654B">
      <w:pPr>
        <w:pStyle w:val="NormalIndent"/>
      </w:pPr>
      <w:r>
        <w:t>Min</w:t>
      </w:r>
      <w:r w:rsidR="006D6567">
        <w:t>isters must nomin</w:t>
      </w:r>
      <w:r w:rsidR="00D64F06">
        <w:t xml:space="preserve">ate in writing to the Treasurer </w:t>
      </w:r>
      <w:r w:rsidR="006D6567">
        <w:t xml:space="preserve">up to half their regulators </w:t>
      </w:r>
      <w:r w:rsidR="00D64F06">
        <w:t xml:space="preserve">within each portfolio </w:t>
      </w:r>
      <w:r w:rsidR="006D6567">
        <w:t xml:space="preserve">to be included in the second tranche of SOEs before </w:t>
      </w:r>
      <w:r w:rsidR="00D40671">
        <w:t>30 June</w:t>
      </w:r>
      <w:r w:rsidR="006D6567">
        <w:t xml:space="preserve"> 2017. </w:t>
      </w:r>
    </w:p>
    <w:p w:rsidR="006D6567" w:rsidRDefault="006D6567" w:rsidP="00DC654B">
      <w:pPr>
        <w:pStyle w:val="NormalIndent"/>
      </w:pPr>
      <w:r>
        <w:t>DTF will update Attachment 1 to the SOE Framework as soon as all nominations have been received.</w:t>
      </w:r>
    </w:p>
    <w:p w:rsidR="006D6567" w:rsidRDefault="006D6567" w:rsidP="00230AF6">
      <w:pPr>
        <w:pStyle w:val="Heading2numbered"/>
      </w:pPr>
      <w:bookmarkStart w:id="6" w:name="_Toc483905609"/>
      <w:r>
        <w:t xml:space="preserve">Carrying over </w:t>
      </w:r>
      <w:r w:rsidR="004573CB">
        <w:t>(</w:t>
      </w:r>
      <w:r>
        <w:t>or reissuing</w:t>
      </w:r>
      <w:r w:rsidR="004573CB">
        <w:t>)</w:t>
      </w:r>
      <w:r>
        <w:t xml:space="preserve"> </w:t>
      </w:r>
      <w:r w:rsidR="00FD2168">
        <w:t xml:space="preserve">Stage Two </w:t>
      </w:r>
      <w:r>
        <w:t>SOEs</w:t>
      </w:r>
      <w:bookmarkEnd w:id="6"/>
    </w:p>
    <w:p w:rsidR="00D40671" w:rsidRDefault="00D40671" w:rsidP="006D6567">
      <w:pPr>
        <w:pStyle w:val="NormalIndent"/>
      </w:pPr>
      <w:r w:rsidRPr="00D40671">
        <w:t>The purpose of carrying over Stage Two is an interim measure to ensure Victorian business regulators have SOE</w:t>
      </w:r>
      <w:r w:rsidR="008D3396">
        <w:t>s</w:t>
      </w:r>
      <w:r w:rsidRPr="00D40671">
        <w:t xml:space="preserve"> in place reflecting the current Government’s expectations until SOE</w:t>
      </w:r>
      <w:r w:rsidR="008D3396">
        <w:t>s</w:t>
      </w:r>
      <w:r w:rsidRPr="00D40671">
        <w:t xml:space="preserve"> can be developed and issued under the SOE Framework.</w:t>
      </w:r>
    </w:p>
    <w:p w:rsidR="006D6567" w:rsidRDefault="006D6567" w:rsidP="004C3262">
      <w:pPr>
        <w:pStyle w:val="NormalIndent"/>
        <w:keepNext/>
      </w:pPr>
      <w:r>
        <w:t xml:space="preserve">For </w:t>
      </w:r>
      <w:r w:rsidR="00830D19">
        <w:t>regulators in the first tranche</w:t>
      </w:r>
      <w:r w:rsidR="00230AF6">
        <w:t xml:space="preserve"> </w:t>
      </w:r>
      <w:r w:rsidR="00D4430E">
        <w:t>where</w:t>
      </w:r>
      <w:r w:rsidR="00230AF6">
        <w:t xml:space="preserve"> SOE</w:t>
      </w:r>
      <w:r w:rsidR="008D3396">
        <w:t>s</w:t>
      </w:r>
      <w:r w:rsidR="00230AF6">
        <w:t xml:space="preserve"> under the SOE Framework will not be ready by </w:t>
      </w:r>
      <w:r w:rsidR="00D40671">
        <w:t>30</w:t>
      </w:r>
      <w:r w:rsidR="00230AF6">
        <w:t xml:space="preserve"> Ju</w:t>
      </w:r>
      <w:r w:rsidR="00D40671">
        <w:t>ne</w:t>
      </w:r>
      <w:r w:rsidR="00230AF6">
        <w:t xml:space="preserve"> 2017</w:t>
      </w:r>
      <w:r w:rsidR="00CF7E1F">
        <w:t>,</w:t>
      </w:r>
      <w:r w:rsidR="00230AF6">
        <w:t xml:space="preserve"> and for </w:t>
      </w:r>
      <w:r>
        <w:t xml:space="preserve">regulators who have been moved to </w:t>
      </w:r>
      <w:r w:rsidR="00830D19">
        <w:t>the second tranche</w:t>
      </w:r>
      <w:r>
        <w:t xml:space="preserve">, existing </w:t>
      </w:r>
      <w:r>
        <w:lastRenderedPageBreak/>
        <w:t>Stage Two SOEs can be carried over (or reissued if necessary)</w:t>
      </w:r>
      <w:r w:rsidR="00230AF6">
        <w:t xml:space="preserve"> for up to 12 months</w:t>
      </w:r>
      <w:r>
        <w:t xml:space="preserve">. </w:t>
      </w:r>
      <w:r w:rsidR="004573CB">
        <w:t>There are two ways this can be done:</w:t>
      </w:r>
    </w:p>
    <w:p w:rsidR="004573CB" w:rsidRDefault="008D3396" w:rsidP="007D0CF7">
      <w:pPr>
        <w:pStyle w:val="NormalIndent"/>
        <w:numPr>
          <w:ilvl w:val="0"/>
          <w:numId w:val="9"/>
        </w:numPr>
      </w:pPr>
      <w:r>
        <w:t>r</w:t>
      </w:r>
      <w:r w:rsidR="004573CB" w:rsidRPr="004573CB">
        <w:t>esponsible Ministers can carry over Stage Two SOEs by is</w:t>
      </w:r>
      <w:r w:rsidR="00D64F06">
        <w:t>suing a letter to the regulator</w:t>
      </w:r>
      <w:r w:rsidR="004573CB" w:rsidRPr="004573CB">
        <w:t xml:space="preserve"> stating that the SOE has been carried over while an SOE is developed and issued under the SOE Framework</w:t>
      </w:r>
      <w:r>
        <w:t>; and</w:t>
      </w:r>
    </w:p>
    <w:p w:rsidR="007D0CF7" w:rsidRDefault="008D3396" w:rsidP="007D0CF7">
      <w:pPr>
        <w:pStyle w:val="NormalIndent"/>
        <w:numPr>
          <w:ilvl w:val="0"/>
          <w:numId w:val="9"/>
        </w:numPr>
      </w:pPr>
      <w:r>
        <w:t>r</w:t>
      </w:r>
      <w:r w:rsidR="007D0CF7">
        <w:t>esponsible Ministers can reissue an amended Stage Two SOE.</w:t>
      </w:r>
    </w:p>
    <w:p w:rsidR="00881974" w:rsidRDefault="00C27548" w:rsidP="006D6567">
      <w:pPr>
        <w:pStyle w:val="NormalIndent"/>
      </w:pPr>
      <w:r>
        <w:t xml:space="preserve">To ensure that carrying over existing SOEs is meaningful, the </w:t>
      </w:r>
      <w:r w:rsidR="007D0CF7">
        <w:t xml:space="preserve">following </w:t>
      </w:r>
      <w:r>
        <w:t xml:space="preserve">review process </w:t>
      </w:r>
      <w:r w:rsidR="007D0CF7">
        <w:t>s</w:t>
      </w:r>
      <w:r>
        <w:t xml:space="preserve">hould be undertaken at a minimum. </w:t>
      </w:r>
      <w:r w:rsidR="00881974">
        <w:t>Existing Stage Two SOEs should be reviewed and the following considerations taken into account as part of this process:</w:t>
      </w:r>
    </w:p>
    <w:p w:rsidR="00881974" w:rsidRDefault="00623DCF" w:rsidP="00C27548">
      <w:pPr>
        <w:pStyle w:val="Bulletindent"/>
      </w:pPr>
      <w:r>
        <w:t>c</w:t>
      </w:r>
      <w:r w:rsidR="00881974">
        <w:t xml:space="preserve">hanging the </w:t>
      </w:r>
      <w:r w:rsidR="00830D19">
        <w:t xml:space="preserve">administrative information </w:t>
      </w:r>
      <w:r w:rsidR="00881974">
        <w:t xml:space="preserve">in the SOE letter to reflect any details that have changed since the SOE was issued. This </w:t>
      </w:r>
      <w:r w:rsidR="00D64F06">
        <w:t>may</w:t>
      </w:r>
      <w:r w:rsidR="00881974">
        <w:t xml:space="preserve"> include replacing the name and portfolio of the responsible Minister, and conf</w:t>
      </w:r>
      <w:r w:rsidR="00830D19">
        <w:t>irming the correct name of the r</w:t>
      </w:r>
      <w:r w:rsidR="00881974">
        <w:t>egulator’s Chief Executive and the address of the regulator</w:t>
      </w:r>
      <w:r>
        <w:t>;</w:t>
      </w:r>
    </w:p>
    <w:p w:rsidR="00881974" w:rsidRDefault="00623DCF" w:rsidP="00C27548">
      <w:pPr>
        <w:pStyle w:val="Bulletindent"/>
      </w:pPr>
      <w:r>
        <w:t>t</w:t>
      </w:r>
      <w:r w:rsidR="00881974">
        <w:t xml:space="preserve">he time period to which the SOE applies will also need to be updated for the period </w:t>
      </w:r>
      <w:r w:rsidR="00830D19">
        <w:t xml:space="preserve">from </w:t>
      </w:r>
      <w:r w:rsidR="00881974">
        <w:t>1</w:t>
      </w:r>
      <w:r w:rsidR="004A005B">
        <w:t> </w:t>
      </w:r>
      <w:r w:rsidR="00881974">
        <w:t>July 2017</w:t>
      </w:r>
      <w:r w:rsidR="00D40671">
        <w:t xml:space="preserve"> until</w:t>
      </w:r>
      <w:r w:rsidR="00881974">
        <w:t xml:space="preserve"> </w:t>
      </w:r>
      <w:r w:rsidR="00830D19">
        <w:t>a new SOE is issued</w:t>
      </w:r>
      <w:r w:rsidR="00D4430E">
        <w:t>, which must be</w:t>
      </w:r>
      <w:r w:rsidR="00830D19">
        <w:t xml:space="preserve"> no later than 31 December 2017 for the first tranche or 30 June 2018 for the second tranche</w:t>
      </w:r>
      <w:r>
        <w:t>;</w:t>
      </w:r>
    </w:p>
    <w:p w:rsidR="00881974" w:rsidRDefault="00623DCF" w:rsidP="00C27548">
      <w:pPr>
        <w:pStyle w:val="Bulletindent"/>
      </w:pPr>
      <w:r>
        <w:t>i</w:t>
      </w:r>
      <w:r w:rsidR="00881974">
        <w:t>mprovements and targets that have been delivered or are no longer relevant can be removed from the SOE</w:t>
      </w:r>
      <w:r>
        <w:t>; and</w:t>
      </w:r>
    </w:p>
    <w:p w:rsidR="00CB3976" w:rsidRDefault="00623DCF" w:rsidP="007D0CF7">
      <w:pPr>
        <w:pStyle w:val="Bulletindent"/>
      </w:pPr>
      <w:r>
        <w:t>r</w:t>
      </w:r>
      <w:r w:rsidR="00881974">
        <w:t xml:space="preserve">eviewing and adjusting improvements and targets that remain relevant. </w:t>
      </w:r>
      <w:r w:rsidR="00881974" w:rsidRPr="00881974">
        <w:t>This may involve revising timelines for a particular task or setting a new target to improve performance standards for ongoing functions.</w:t>
      </w:r>
    </w:p>
    <w:p w:rsidR="004A005B" w:rsidRPr="00520C88" w:rsidRDefault="00520C88" w:rsidP="00230AF6">
      <w:pPr>
        <w:pStyle w:val="Heading2numbered"/>
      </w:pPr>
      <w:bookmarkStart w:id="7" w:name="_Toc483905610"/>
      <w:r>
        <w:t xml:space="preserve">SOE </w:t>
      </w:r>
      <w:r w:rsidR="004C3262">
        <w:t>Framework timelines</w:t>
      </w:r>
      <w:bookmarkEnd w:id="7"/>
    </w:p>
    <w:p w:rsidR="00DC654B" w:rsidRDefault="00D64F06" w:rsidP="00230AF6">
      <w:pPr>
        <w:pStyle w:val="Heading3numbered"/>
      </w:pPr>
      <w:bookmarkStart w:id="8" w:name="_Toc483905611"/>
      <w:r>
        <w:t>The first tranche of</w:t>
      </w:r>
      <w:r w:rsidR="00520C88">
        <w:t xml:space="preserve"> SOEs</w:t>
      </w:r>
      <w:bookmarkEnd w:id="8"/>
      <w:r w:rsidR="00520C88">
        <w:t xml:space="preserve"> </w:t>
      </w:r>
    </w:p>
    <w:p w:rsidR="00520C88" w:rsidRDefault="00D64F06" w:rsidP="00DC654B">
      <w:pPr>
        <w:pStyle w:val="NormalIndent"/>
      </w:pPr>
      <w:r>
        <w:t>The first tranche of</w:t>
      </w:r>
      <w:r w:rsidR="00520C88">
        <w:t xml:space="preserve"> SOEs will cover the period 1 July 2017</w:t>
      </w:r>
      <w:r w:rsidR="00830D19">
        <w:t xml:space="preserve"> (or when signed by responsible Ministers)</w:t>
      </w:r>
      <w:r w:rsidR="00520C88">
        <w:t xml:space="preserve"> to 30 June 2019.</w:t>
      </w:r>
    </w:p>
    <w:p w:rsidR="00FD2168" w:rsidRDefault="00FD2168" w:rsidP="00DC654B">
      <w:pPr>
        <w:pStyle w:val="NormalIndent"/>
      </w:pPr>
      <w:r>
        <w:t xml:space="preserve">Where it will not be possible to issue a SOE under the SOE Framework by </w:t>
      </w:r>
      <w:r w:rsidR="00D40671">
        <w:t>30 June</w:t>
      </w:r>
      <w:r>
        <w:t xml:space="preserve"> 2017, existing Stage Two SOEs will need to be temporarily carried over or reissued.</w:t>
      </w:r>
    </w:p>
    <w:p w:rsidR="008D1097" w:rsidRDefault="00520C88" w:rsidP="004C3262">
      <w:pPr>
        <w:pStyle w:val="NormalIndent"/>
      </w:pPr>
      <w:r>
        <w:t xml:space="preserve">Under the transition to the SOE Framework, </w:t>
      </w:r>
      <w:r w:rsidR="00D64F06">
        <w:t>the first tranche of</w:t>
      </w:r>
      <w:r w:rsidR="008D1097">
        <w:t xml:space="preserve"> SOEs must be issued </w:t>
      </w:r>
      <w:r w:rsidR="00FD2168">
        <w:t xml:space="preserve">as soon as practicable after 1 July 2017 and </w:t>
      </w:r>
      <w:r w:rsidR="008D1097">
        <w:t>no later than 31 December 2017.</w:t>
      </w:r>
      <w:r>
        <w:t xml:space="preserve"> </w:t>
      </w:r>
    </w:p>
    <w:p w:rsidR="004A005B" w:rsidRDefault="004A005B" w:rsidP="004C3262">
      <w:pPr>
        <w:pStyle w:val="NormalIndent"/>
      </w:pPr>
      <w:r w:rsidRPr="004A005B">
        <w:t xml:space="preserve">For SOEs issued between 1 July 2017 and 31 December 2017, the compressed implementation timeframe </w:t>
      </w:r>
      <w:r>
        <w:t xml:space="preserve">for the SOE </w:t>
      </w:r>
      <w:r w:rsidRPr="004A005B">
        <w:t>should be reflected in the improvements and targets.</w:t>
      </w:r>
    </w:p>
    <w:p w:rsidR="006F0ACD" w:rsidRDefault="006F0ACD">
      <w:pPr>
        <w:spacing w:before="0" w:after="200"/>
        <w:rPr>
          <w:rFonts w:asciiTheme="majorHAnsi" w:eastAsiaTheme="majorEastAsia" w:hAnsiTheme="majorHAnsi" w:cstheme="majorBidi"/>
          <w:b/>
          <w:bCs/>
          <w:color w:val="0063A6" w:themeColor="accent1"/>
          <w:sz w:val="22"/>
          <w:szCs w:val="22"/>
        </w:rPr>
      </w:pPr>
      <w:r>
        <w:br w:type="page"/>
      </w:r>
    </w:p>
    <w:p w:rsidR="00DC654B" w:rsidRDefault="00D64F06" w:rsidP="00DC654B">
      <w:pPr>
        <w:pStyle w:val="Heading3numbered"/>
      </w:pPr>
      <w:bookmarkStart w:id="9" w:name="_Toc483905612"/>
      <w:r>
        <w:lastRenderedPageBreak/>
        <w:t>The second tranche of</w:t>
      </w:r>
      <w:r w:rsidR="00520C88">
        <w:t xml:space="preserve"> SOEs</w:t>
      </w:r>
      <w:bookmarkEnd w:id="9"/>
    </w:p>
    <w:p w:rsidR="00AC317D" w:rsidRDefault="00D64F06" w:rsidP="00DC654B">
      <w:pPr>
        <w:pStyle w:val="NormalIndent"/>
      </w:pPr>
      <w:r>
        <w:t>The second tranche of</w:t>
      </w:r>
      <w:r w:rsidR="00520C88">
        <w:t xml:space="preserve"> SOEs issued under the SOE Framework will cover the period 1 July 2018 to 30 June 2020.</w:t>
      </w:r>
    </w:p>
    <w:p w:rsidR="00520C88" w:rsidRDefault="00D64F06" w:rsidP="00DC654B">
      <w:pPr>
        <w:pStyle w:val="NormalIndent"/>
      </w:pPr>
      <w:r>
        <w:t>The second tranche of</w:t>
      </w:r>
      <w:r w:rsidR="00520C88">
        <w:t xml:space="preserve"> SOEs </w:t>
      </w:r>
      <w:r w:rsidR="00CB6B3E">
        <w:t>must be issued no later than</w:t>
      </w:r>
      <w:r w:rsidR="00520C88">
        <w:t xml:space="preserve"> </w:t>
      </w:r>
      <w:r>
        <w:t>30 June</w:t>
      </w:r>
      <w:r w:rsidR="00520C88">
        <w:t xml:space="preserve"> 2018. </w:t>
      </w:r>
    </w:p>
    <w:p w:rsidR="00AC317D" w:rsidRDefault="00AC317D" w:rsidP="00AC317D">
      <w:pPr>
        <w:pStyle w:val="Heading3numbered"/>
      </w:pPr>
      <w:bookmarkStart w:id="10" w:name="_Toc483905613"/>
      <w:r>
        <w:t xml:space="preserve">Summary of SOE Framework </w:t>
      </w:r>
      <w:r w:rsidR="004C3262">
        <w:t>timelines</w:t>
      </w:r>
      <w:bookmarkEnd w:id="10"/>
    </w:p>
    <w:tbl>
      <w:tblPr>
        <w:tblStyle w:val="DTFtexttableindent"/>
        <w:tblW w:w="0" w:type="auto"/>
        <w:tblLook w:val="0620" w:firstRow="1" w:lastRow="0" w:firstColumn="0" w:lastColumn="0" w:noHBand="1" w:noVBand="1"/>
      </w:tblPr>
      <w:tblGrid>
        <w:gridCol w:w="6256"/>
        <w:gridCol w:w="2063"/>
      </w:tblGrid>
      <w:tr w:rsidR="00AC317D" w:rsidRPr="004A005B" w:rsidTr="004C3262">
        <w:trPr>
          <w:cnfStyle w:val="100000000000" w:firstRow="1" w:lastRow="0" w:firstColumn="0" w:lastColumn="0" w:oddVBand="0" w:evenVBand="0" w:oddHBand="0" w:evenHBand="0" w:firstRowFirstColumn="0" w:firstRowLastColumn="0" w:lastRowFirstColumn="0" w:lastRowLastColumn="0"/>
        </w:trPr>
        <w:tc>
          <w:tcPr>
            <w:tcW w:w="6256" w:type="dxa"/>
          </w:tcPr>
          <w:p w:rsidR="00AC317D" w:rsidRPr="004A005B" w:rsidRDefault="00AC317D" w:rsidP="004C3262">
            <w:pPr>
              <w:rPr>
                <w:b w:val="0"/>
              </w:rPr>
            </w:pPr>
            <w:r w:rsidRPr="004A005B">
              <w:t>Milestone</w:t>
            </w:r>
          </w:p>
        </w:tc>
        <w:tc>
          <w:tcPr>
            <w:tcW w:w="2063" w:type="dxa"/>
          </w:tcPr>
          <w:p w:rsidR="00AC317D" w:rsidRPr="004A005B" w:rsidRDefault="00AC317D" w:rsidP="004C3262">
            <w:pPr>
              <w:rPr>
                <w:b w:val="0"/>
              </w:rPr>
            </w:pPr>
            <w:r w:rsidRPr="004A005B">
              <w:t>Date</w:t>
            </w:r>
          </w:p>
        </w:tc>
      </w:tr>
      <w:tr w:rsidR="00AC317D" w:rsidRPr="004A005B" w:rsidTr="004C3262">
        <w:tc>
          <w:tcPr>
            <w:tcW w:w="6256" w:type="dxa"/>
          </w:tcPr>
          <w:p w:rsidR="00AC317D" w:rsidRPr="004A005B" w:rsidRDefault="00AC317D" w:rsidP="004C3262">
            <w:r w:rsidRPr="004A005B">
              <w:t xml:space="preserve">Ministers nominate to the Treasurer in writing which regulators will be </w:t>
            </w:r>
            <w:r w:rsidR="00B642DB" w:rsidRPr="004A005B">
              <w:t xml:space="preserve">moved to </w:t>
            </w:r>
            <w:r w:rsidR="003F4B09" w:rsidRPr="004A005B">
              <w:t>the second tranche</w:t>
            </w:r>
            <w:r w:rsidR="00B642DB" w:rsidRPr="004A005B">
              <w:t xml:space="preserve"> </w:t>
            </w:r>
            <w:r w:rsidRPr="004A005B">
              <w:t>of the SOE Framework</w:t>
            </w:r>
          </w:p>
        </w:tc>
        <w:tc>
          <w:tcPr>
            <w:tcW w:w="2063" w:type="dxa"/>
          </w:tcPr>
          <w:p w:rsidR="00AC317D" w:rsidRPr="004A005B" w:rsidRDefault="00AC317D" w:rsidP="004C3262">
            <w:r w:rsidRPr="004A005B">
              <w:t>By 30 June 2017</w:t>
            </w:r>
          </w:p>
        </w:tc>
      </w:tr>
      <w:tr w:rsidR="00AC317D" w:rsidRPr="004A005B" w:rsidTr="004C3262">
        <w:tc>
          <w:tcPr>
            <w:tcW w:w="6256" w:type="dxa"/>
          </w:tcPr>
          <w:p w:rsidR="00AC317D" w:rsidRPr="004A005B" w:rsidRDefault="00AC317D" w:rsidP="004C3262">
            <w:r w:rsidRPr="004A005B">
              <w:t>Stage Two SOEs expire</w:t>
            </w:r>
            <w:r w:rsidR="009829D2">
              <w:t xml:space="preserve"> if not carried over</w:t>
            </w:r>
            <w:r w:rsidR="00C21BC0">
              <w:t xml:space="preserve"> or reissued</w:t>
            </w:r>
          </w:p>
        </w:tc>
        <w:tc>
          <w:tcPr>
            <w:tcW w:w="2063" w:type="dxa"/>
          </w:tcPr>
          <w:p w:rsidR="00AC317D" w:rsidRPr="004A005B" w:rsidRDefault="00AC317D" w:rsidP="004C3262">
            <w:r w:rsidRPr="004A005B">
              <w:t>30 June 2017</w:t>
            </w:r>
          </w:p>
        </w:tc>
      </w:tr>
      <w:tr w:rsidR="00AC317D" w:rsidRPr="004A005B" w:rsidTr="004C3262">
        <w:tc>
          <w:tcPr>
            <w:tcW w:w="6256" w:type="dxa"/>
          </w:tcPr>
          <w:p w:rsidR="00AC317D" w:rsidRPr="004A005B" w:rsidRDefault="00D64F06" w:rsidP="004C3262">
            <w:r w:rsidRPr="004A005B">
              <w:t>SOE Framework comes into e</w:t>
            </w:r>
            <w:r w:rsidR="00AC317D" w:rsidRPr="004A005B">
              <w:t>ffect</w:t>
            </w:r>
          </w:p>
        </w:tc>
        <w:tc>
          <w:tcPr>
            <w:tcW w:w="2063" w:type="dxa"/>
          </w:tcPr>
          <w:p w:rsidR="00AC317D" w:rsidRPr="004A005B" w:rsidRDefault="00AC317D" w:rsidP="004C3262">
            <w:r w:rsidRPr="004A005B">
              <w:t>1 July 2017</w:t>
            </w:r>
          </w:p>
        </w:tc>
      </w:tr>
      <w:tr w:rsidR="004A005B" w:rsidRPr="004A005B" w:rsidTr="004C3262">
        <w:tc>
          <w:tcPr>
            <w:tcW w:w="6256" w:type="dxa"/>
            <w:shd w:val="clear" w:color="auto" w:fill="E3EBF4" w:themeFill="accent3" w:themeFillTint="33"/>
          </w:tcPr>
          <w:p w:rsidR="004A005B" w:rsidRPr="004A005B" w:rsidRDefault="004C3262" w:rsidP="004C3262">
            <w:r w:rsidRPr="004A005B">
              <w:rPr>
                <w:b/>
              </w:rPr>
              <w:t>Transition period:</w:t>
            </w:r>
          </w:p>
        </w:tc>
        <w:tc>
          <w:tcPr>
            <w:tcW w:w="2063" w:type="dxa"/>
            <w:shd w:val="clear" w:color="auto" w:fill="E3EBF4" w:themeFill="accent3" w:themeFillTint="33"/>
          </w:tcPr>
          <w:p w:rsidR="004A005B" w:rsidRPr="004A005B" w:rsidRDefault="004A005B" w:rsidP="004C3262"/>
        </w:tc>
      </w:tr>
      <w:tr w:rsidR="004C3262" w:rsidRPr="004A005B" w:rsidTr="004C3262">
        <w:tc>
          <w:tcPr>
            <w:tcW w:w="6256" w:type="dxa"/>
            <w:shd w:val="clear" w:color="auto" w:fill="E3EBF4" w:themeFill="accent3" w:themeFillTint="33"/>
          </w:tcPr>
          <w:p w:rsidR="004C3262" w:rsidRPr="004A005B" w:rsidRDefault="004C3262" w:rsidP="001E37CA">
            <w:r w:rsidRPr="004A005B">
              <w:t xml:space="preserve">Stage Two SOEs carried over (or reissued) to cover the period 1 July 2017 </w:t>
            </w:r>
            <w:r>
              <w:t xml:space="preserve">up until no later than </w:t>
            </w:r>
            <w:r w:rsidRPr="004A005B">
              <w:t>30 June 2018</w:t>
            </w:r>
          </w:p>
        </w:tc>
        <w:tc>
          <w:tcPr>
            <w:tcW w:w="2063" w:type="dxa"/>
            <w:shd w:val="clear" w:color="auto" w:fill="E3EBF4" w:themeFill="accent3" w:themeFillTint="33"/>
          </w:tcPr>
          <w:p w:rsidR="004C3262" w:rsidRPr="004A005B" w:rsidRDefault="004C3262" w:rsidP="001E37CA">
            <w:r>
              <w:t>By 30 June 2017</w:t>
            </w:r>
          </w:p>
        </w:tc>
      </w:tr>
      <w:tr w:rsidR="004C3262" w:rsidRPr="004A005B" w:rsidTr="004C3262">
        <w:tc>
          <w:tcPr>
            <w:tcW w:w="6256" w:type="dxa"/>
            <w:shd w:val="clear" w:color="auto" w:fill="E3EBF4" w:themeFill="accent3" w:themeFillTint="33"/>
          </w:tcPr>
          <w:p w:rsidR="004C3262" w:rsidRPr="004A005B" w:rsidRDefault="004C3262" w:rsidP="004C3262">
            <w:r w:rsidRPr="004A005B">
              <w:t>The first tranche of SOEs (1 July 2017 – 30 June 2019) and regulator responses published</w:t>
            </w:r>
          </w:p>
        </w:tc>
        <w:tc>
          <w:tcPr>
            <w:tcW w:w="2063" w:type="dxa"/>
            <w:shd w:val="clear" w:color="auto" w:fill="E3EBF4" w:themeFill="accent3" w:themeFillTint="33"/>
          </w:tcPr>
          <w:p w:rsidR="004C3262" w:rsidRDefault="004C3262" w:rsidP="004C3262">
            <w:r>
              <w:t>N</w:t>
            </w:r>
            <w:r w:rsidRPr="004A005B">
              <w:t>o later than 31</w:t>
            </w:r>
            <w:r>
              <w:t> December </w:t>
            </w:r>
            <w:r w:rsidRPr="004A005B">
              <w:t>2017</w:t>
            </w:r>
          </w:p>
        </w:tc>
      </w:tr>
      <w:tr w:rsidR="004C3262" w:rsidRPr="004A005B" w:rsidTr="004C3262">
        <w:tc>
          <w:tcPr>
            <w:tcW w:w="6256" w:type="dxa"/>
          </w:tcPr>
          <w:p w:rsidR="004C3262" w:rsidRPr="004A005B" w:rsidRDefault="004C3262" w:rsidP="004C3262">
            <w:r w:rsidRPr="004A005B">
              <w:t>The second tranche of SOEs (1 July 2018 – 30 June 2020) and regulator responses published</w:t>
            </w:r>
          </w:p>
        </w:tc>
        <w:tc>
          <w:tcPr>
            <w:tcW w:w="2063" w:type="dxa"/>
          </w:tcPr>
          <w:p w:rsidR="004C3262" w:rsidRPr="004A005B" w:rsidRDefault="004C3262" w:rsidP="004C3262">
            <w:r>
              <w:t>By 30 June</w:t>
            </w:r>
            <w:r w:rsidRPr="004A005B">
              <w:t xml:space="preserve"> 2018</w:t>
            </w:r>
          </w:p>
        </w:tc>
      </w:tr>
    </w:tbl>
    <w:p w:rsidR="00AC317D" w:rsidRDefault="00AC317D" w:rsidP="004C3262">
      <w:pPr>
        <w:pStyle w:val="Spacer"/>
      </w:pPr>
    </w:p>
    <w:p w:rsidR="006F0ACD" w:rsidRDefault="006F0ACD">
      <w:pPr>
        <w:spacing w:before="0" w:after="200"/>
        <w:rPr>
          <w:rFonts w:asciiTheme="majorHAnsi" w:eastAsiaTheme="majorEastAsia" w:hAnsiTheme="majorHAnsi" w:cstheme="majorBidi"/>
          <w:b/>
          <w:bCs/>
          <w:color w:val="201547"/>
          <w:spacing w:val="-1"/>
          <w:sz w:val="36"/>
          <w:szCs w:val="28"/>
        </w:rPr>
      </w:pPr>
      <w:r>
        <w:br w:type="page"/>
      </w:r>
    </w:p>
    <w:p w:rsidR="00DC654B" w:rsidRPr="00C92338" w:rsidRDefault="00DC654B" w:rsidP="00DC654B">
      <w:pPr>
        <w:pStyle w:val="Heading1numbered"/>
        <w:ind w:left="0" w:firstLine="0"/>
      </w:pPr>
      <w:bookmarkStart w:id="11" w:name="_Toc483905614"/>
      <w:r>
        <w:lastRenderedPageBreak/>
        <w:t xml:space="preserve">Process for </w:t>
      </w:r>
      <w:r w:rsidR="00A8524F">
        <w:t>developing SOEs</w:t>
      </w:r>
      <w:bookmarkEnd w:id="11"/>
    </w:p>
    <w:p w:rsidR="00DC654B" w:rsidRDefault="00520C88" w:rsidP="00DC654B">
      <w:pPr>
        <w:pStyle w:val="Heading2numbered"/>
      </w:pPr>
      <w:bookmarkStart w:id="12" w:name="_Toc483905615"/>
      <w:r>
        <w:t>Developing SOE</w:t>
      </w:r>
      <w:r w:rsidR="00623DCF">
        <w:t>s</w:t>
      </w:r>
      <w:bookmarkEnd w:id="12"/>
    </w:p>
    <w:p w:rsidR="008D1097" w:rsidRDefault="006D6567" w:rsidP="00DC654B">
      <w:pPr>
        <w:pStyle w:val="NormalIndent"/>
      </w:pPr>
      <w:r>
        <w:t>The development of the SOE will require close collaboration between responsible Ministers</w:t>
      </w:r>
      <w:r w:rsidR="001F27F0">
        <w:t>, regulators and the</w:t>
      </w:r>
      <w:r>
        <w:t xml:space="preserve"> respective policy depar</w:t>
      </w:r>
      <w:r w:rsidR="00C27548">
        <w:t>tm</w:t>
      </w:r>
      <w:r>
        <w:t>e</w:t>
      </w:r>
      <w:r w:rsidR="00C27548">
        <w:t>nts. There is no prescribed process to follow.</w:t>
      </w:r>
    </w:p>
    <w:p w:rsidR="00AC317D" w:rsidRDefault="00AC317D" w:rsidP="00CE0B8D">
      <w:pPr>
        <w:pStyle w:val="NormalIndent"/>
      </w:pPr>
      <w:r>
        <w:t xml:space="preserve">The SOE Framework includes a recommended four step process for developing the SOE letter and the regulator response. </w:t>
      </w:r>
      <w:r w:rsidR="00CE0B8D">
        <w:t xml:space="preserve">This process is designed to make sure SOEs are supported by an evidence base that will also inform departmental evaluations. </w:t>
      </w:r>
      <w:r>
        <w:t xml:space="preserve">However, where </w:t>
      </w:r>
      <w:r w:rsidR="001F27F0">
        <w:t>the relevant M</w:t>
      </w:r>
      <w:r>
        <w:t xml:space="preserve">inister </w:t>
      </w:r>
      <w:r w:rsidR="001F27F0">
        <w:t>considers</w:t>
      </w:r>
      <w:r>
        <w:t xml:space="preserve"> that existing processes and tools provide a suitable evidence</w:t>
      </w:r>
      <w:r w:rsidR="001F27F0">
        <w:t xml:space="preserve"> base for developing a SOE, the</w:t>
      </w:r>
      <w:r>
        <w:t xml:space="preserve">se existing processes can be used in the place of the recommended steps. </w:t>
      </w:r>
    </w:p>
    <w:p w:rsidR="00CB6B3E" w:rsidRDefault="00CB6B3E" w:rsidP="00DC654B">
      <w:pPr>
        <w:pStyle w:val="NormalIndent"/>
      </w:pPr>
      <w:r>
        <w:t>DTF is available to support regulators and departments in the development of SOEs by providing advice on the consistency of draft SOEs with the SOE Framework and to suggest improvements and targets that could be considered.</w:t>
      </w:r>
    </w:p>
    <w:p w:rsidR="00CB6B3E" w:rsidRDefault="00CB6B3E" w:rsidP="00CB6B3E">
      <w:pPr>
        <w:pStyle w:val="NormalIndent"/>
      </w:pPr>
      <w:r>
        <w:t xml:space="preserve">It is recommended that responsible Ministers issue SOE letters to their business regulators </w:t>
      </w:r>
      <w:r w:rsidR="00C21BC0">
        <w:t xml:space="preserve">two months </w:t>
      </w:r>
      <w:r>
        <w:t>prior to implementation so the regulator has time to develop the regulator response.</w:t>
      </w:r>
      <w:r w:rsidRPr="00CB6B3E">
        <w:t xml:space="preserve"> </w:t>
      </w:r>
      <w:r>
        <w:t>In practice, many re</w:t>
      </w:r>
      <w:r w:rsidR="003F4B09">
        <w:t>gulators develop</w:t>
      </w:r>
      <w:r>
        <w:t xml:space="preserve"> the regulator response in parallel to the development of the SOE letter, so this is not a </w:t>
      </w:r>
      <w:r w:rsidR="003F4B09">
        <w:t>fixed</w:t>
      </w:r>
      <w:r>
        <w:t xml:space="preserve"> timeline.</w:t>
      </w:r>
    </w:p>
    <w:p w:rsidR="00CB6B3E" w:rsidRDefault="00CB6B3E" w:rsidP="00DC654B">
      <w:pPr>
        <w:pStyle w:val="NormalIndent"/>
      </w:pPr>
      <w:r>
        <w:t xml:space="preserve">There is an expectation that regulators consult with the Red Tape Commissioner, business and the broader community in developing actions to achieve the improvements and targets included in the SOE. </w:t>
      </w:r>
    </w:p>
    <w:p w:rsidR="006D6567" w:rsidRDefault="00AC317D" w:rsidP="00DC654B">
      <w:pPr>
        <w:pStyle w:val="NormalIndent"/>
      </w:pPr>
      <w:r>
        <w:t>To ensure Ministerial expectations – together with regulator-initiated activities for meeting those expectations – are clear to stakeholders:</w:t>
      </w:r>
    </w:p>
    <w:p w:rsidR="00AC317D" w:rsidRDefault="003F4B09" w:rsidP="00A8524F">
      <w:pPr>
        <w:pStyle w:val="Bulletindent"/>
      </w:pPr>
      <w:r>
        <w:t>a</w:t>
      </w:r>
      <w:r w:rsidR="00AC317D">
        <w:t xml:space="preserve"> Ministerial </w:t>
      </w:r>
      <w:r w:rsidR="00623DCF">
        <w:t xml:space="preserve">SOEs </w:t>
      </w:r>
      <w:r w:rsidR="001F27F0">
        <w:t xml:space="preserve">letter </w:t>
      </w:r>
      <w:r w:rsidR="00B642DB">
        <w:t>must be issued to the regulator;</w:t>
      </w:r>
    </w:p>
    <w:p w:rsidR="00B642DB" w:rsidRDefault="003F4B09" w:rsidP="00A8524F">
      <w:pPr>
        <w:pStyle w:val="Bulletindent"/>
      </w:pPr>
      <w:r>
        <w:t>t</w:t>
      </w:r>
      <w:r w:rsidR="00B642DB">
        <w:t xml:space="preserve">he Ministerial </w:t>
      </w:r>
      <w:r w:rsidR="00623DCF">
        <w:t xml:space="preserve">SOEs </w:t>
      </w:r>
      <w:r w:rsidR="00B642DB">
        <w:t xml:space="preserve">must be published on the regulator’s website; </w:t>
      </w:r>
    </w:p>
    <w:p w:rsidR="00B642DB" w:rsidRDefault="003F4B09" w:rsidP="00A8524F">
      <w:pPr>
        <w:pStyle w:val="Bulletindent"/>
      </w:pPr>
      <w:r>
        <w:t>t</w:t>
      </w:r>
      <w:r w:rsidR="00B642DB">
        <w:t>he regulator</w:t>
      </w:r>
      <w:r w:rsidR="00A8524F">
        <w:t xml:space="preserve"> must publish their </w:t>
      </w:r>
      <w:r w:rsidR="001F27F0">
        <w:t>r</w:t>
      </w:r>
      <w:r w:rsidR="00A8524F">
        <w:t>esponse on their website</w:t>
      </w:r>
      <w:r>
        <w:t>; and</w:t>
      </w:r>
    </w:p>
    <w:p w:rsidR="00A8524F" w:rsidRDefault="003F4B09" w:rsidP="00A8524F">
      <w:pPr>
        <w:pStyle w:val="Bulletindent"/>
      </w:pPr>
      <w:r>
        <w:t>t</w:t>
      </w:r>
      <w:r w:rsidR="00A8524F">
        <w:t xml:space="preserve">he regulator must report publicly against the improvements/targets included in the Ministerial </w:t>
      </w:r>
      <w:r w:rsidR="00623DCF">
        <w:t xml:space="preserve">SOEs </w:t>
      </w:r>
      <w:r w:rsidR="00A8524F">
        <w:t>and regulator response.</w:t>
      </w:r>
    </w:p>
    <w:p w:rsidR="00B642DB" w:rsidRDefault="00B642DB" w:rsidP="00B642DB">
      <w:pPr>
        <w:pStyle w:val="Heading2numbered"/>
      </w:pPr>
      <w:bookmarkStart w:id="13" w:name="_Toc483905616"/>
      <w:r>
        <w:t>Evaluating performance</w:t>
      </w:r>
      <w:bookmarkEnd w:id="13"/>
    </w:p>
    <w:p w:rsidR="00A8524F" w:rsidRDefault="00A8524F" w:rsidP="00B642DB">
      <w:pPr>
        <w:pStyle w:val="NormalIndent"/>
      </w:pPr>
      <w:r>
        <w:t>Having the evidence base that supports the development of the SOE and regulator response should be an important consideration for departments and regulators. The SOE Framework includes a recommended process.</w:t>
      </w:r>
    </w:p>
    <w:p w:rsidR="00EE196B" w:rsidRDefault="00EE196B" w:rsidP="00B642DB">
      <w:pPr>
        <w:pStyle w:val="NormalIndent"/>
      </w:pPr>
      <w:r>
        <w:t xml:space="preserve">DTF will develop </w:t>
      </w:r>
      <w:r w:rsidR="00623DCF">
        <w:t>g</w:t>
      </w:r>
      <w:r>
        <w:t xml:space="preserve">uidelines for preparing evaluations under the SOE Framework in consultation </w:t>
      </w:r>
      <w:r w:rsidR="001F27F0">
        <w:t>with departments and regulators in time to inform the evaluations of the first tranche.</w:t>
      </w:r>
    </w:p>
    <w:p w:rsidR="00B642DB" w:rsidRDefault="00B642DB" w:rsidP="00B642DB">
      <w:pPr>
        <w:pStyle w:val="NormalIndent"/>
      </w:pPr>
      <w:r>
        <w:t xml:space="preserve">These </w:t>
      </w:r>
      <w:r w:rsidR="00623DCF">
        <w:t>g</w:t>
      </w:r>
      <w:r>
        <w:t>uidelines will include timelines for preparing and publishing evaluations.</w:t>
      </w:r>
    </w:p>
    <w:p w:rsidR="001F27F0" w:rsidRDefault="001F27F0" w:rsidP="00B642DB">
      <w:pPr>
        <w:pStyle w:val="NormalIndent"/>
      </w:pPr>
      <w:r w:rsidRPr="00C31888">
        <w:t>Once evaluation reports have been prepared, the Commissioner for Better Regulation will review each of these evaluation reports</w:t>
      </w:r>
      <w:r w:rsidR="00D4430E">
        <w:t xml:space="preserve"> to identify areas of best practice</w:t>
      </w:r>
      <w:r w:rsidRPr="00C31888">
        <w:t>.</w:t>
      </w:r>
    </w:p>
    <w:p w:rsidR="004C3262" w:rsidRPr="00520C88" w:rsidRDefault="004C3262" w:rsidP="00B642DB">
      <w:pPr>
        <w:pStyle w:val="NormalIndent"/>
      </w:pPr>
    </w:p>
    <w:p w:rsidR="00014213" w:rsidRDefault="00014213" w:rsidP="00D2312F">
      <w:pPr>
        <w:sectPr w:rsidR="00014213"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9"/>
      <w:headerReference w:type="default" r:id="rId30"/>
      <w:footerReference w:type="even" r:id="rId31"/>
      <w:footerReference w:type="default" r:id="rId32"/>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62" w:rsidRDefault="00051362" w:rsidP="002D711A">
      <w:pPr>
        <w:spacing w:after="0" w:line="240" w:lineRule="auto"/>
      </w:pPr>
      <w:r>
        <w:separator/>
      </w:r>
    </w:p>
  </w:endnote>
  <w:endnote w:type="continuationSeparator" w:id="0">
    <w:p w:rsidR="00051362" w:rsidRDefault="0005136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6" w:rsidRDefault="00CB3976" w:rsidP="00CB3976">
    <w:pPr>
      <w:pStyle w:val="Spacer"/>
    </w:pPr>
  </w:p>
  <w:p w:rsidR="00CB3976" w:rsidRDefault="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76" w:rsidRDefault="00CB3976" w:rsidP="00CB3976">
    <w:pPr>
      <w:pStyle w:val="Spacer"/>
    </w:pPr>
  </w:p>
  <w:p w:rsidR="00750CBE" w:rsidRDefault="00750CBE" w:rsidP="00C022F9">
    <w:pPr>
      <w:pStyle w:val="Footer"/>
    </w:pPr>
    <w:r>
      <w:drawing>
        <wp:anchor distT="0" distB="0" distL="114300" distR="114300" simplePos="0" relativeHeight="251660288" behindDoc="0" locked="0" layoutInCell="1" allowOverlap="1" wp14:anchorId="2EF350DA" wp14:editId="4771775D">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96" w:rsidRDefault="008D33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4" w:rsidRDefault="00A47634" w:rsidP="00A47634">
    <w:pPr>
      <w:pStyle w:val="Spacer"/>
    </w:pPr>
  </w:p>
  <w:p w:rsidR="00A47634" w:rsidRPr="00297281" w:rsidRDefault="00A4763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614076">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4" w:rsidRPr="00CB3976" w:rsidRDefault="00A47634" w:rsidP="00CB3976">
    <w:pPr>
      <w:pStyle w:val="Spacer"/>
    </w:pPr>
  </w:p>
  <w:p w:rsidR="00A47634" w:rsidRPr="00297281" w:rsidRDefault="00A4763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36AC2">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AC" w:rsidRDefault="00C67EAC" w:rsidP="00A47634">
    <w:pPr>
      <w:pStyle w:val="Spacer"/>
    </w:pPr>
  </w:p>
  <w:p w:rsidR="00C67EAC" w:rsidRPr="00297281" w:rsidRDefault="004C3262" w:rsidP="004C3262">
    <w:pPr>
      <w:pStyle w:val="Footer"/>
      <w:jc w:val="right"/>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336AC2">
      <w:rPr>
        <w:rStyle w:val="PageNumber"/>
      </w:rPr>
      <w:t>4</w:t>
    </w:r>
    <w:r w:rsidRPr="00297281">
      <w:rPr>
        <w:rStyle w:val="PageNumber"/>
      </w:rPr>
      <w:fldChar w:fldCharType="end"/>
    </w:r>
    <w:r>
      <w:rPr>
        <w:rStyle w:val="PageNumber"/>
      </w:rPr>
      <w:tab/>
    </w:r>
    <w:r w:rsidR="00C67EAC" w:rsidRPr="00C022F9">
      <w:rPr>
        <w:b/>
        <w:noProof w:val="0"/>
        <w:color w:val="0063A6" w:themeColor="accent1"/>
      </w:rPr>
      <w:fldChar w:fldCharType="begin"/>
    </w:r>
    <w:r w:rsidR="00C67EAC" w:rsidRPr="00C022F9">
      <w:rPr>
        <w:b/>
        <w:color w:val="0063A6" w:themeColor="accent1"/>
      </w:rPr>
      <w:instrText xml:space="preserve"> StyleRef “Title” </w:instrText>
    </w:r>
    <w:r w:rsidR="00C67EAC" w:rsidRPr="00C022F9">
      <w:rPr>
        <w:b/>
        <w:noProof w:val="0"/>
        <w:color w:val="0063A6" w:themeColor="accent1"/>
      </w:rPr>
      <w:fldChar w:fldCharType="separate"/>
    </w:r>
    <w:r w:rsidR="00336AC2">
      <w:rPr>
        <w:b/>
        <w:color w:val="0063A6" w:themeColor="accent1"/>
      </w:rPr>
      <w:t xml:space="preserve">Guidelines for preparing Ministerial Statements of Expectations (SOEs) </w:t>
    </w:r>
    <w:r w:rsidR="00336AC2">
      <w:rPr>
        <w:b/>
        <w:color w:val="0063A6" w:themeColor="accent1"/>
      </w:rPr>
      <w:br/>
      <w:t>under the SOE Framework</w:t>
    </w:r>
    <w:r w:rsidR="00C67EAC" w:rsidRPr="00C022F9">
      <w:rPr>
        <w:b/>
        <w:color w:val="0063A6" w:themeColor="accent1"/>
      </w:rPr>
      <w:fldChar w:fldCharType="end"/>
    </w:r>
    <w:r w:rsidR="00C67EAC" w:rsidRPr="00C022F9">
      <w:rPr>
        <w:b/>
        <w:color w:val="0063A6" w:themeColor="accent1"/>
      </w:rPr>
      <w:t xml:space="preserve"> </w:t>
    </w:r>
    <w:r>
      <w:rPr>
        <w:b/>
        <w:color w:val="0063A6" w:themeColor="accent1"/>
      </w:rPr>
      <w:t>–</w:t>
    </w:r>
    <w:r>
      <w:rPr>
        <w:rStyle w:val="PageNumber"/>
      </w:rPr>
      <w:t xml:space="preserve"> </w:t>
    </w:r>
    <w:r w:rsidR="00C67EAC" w:rsidRPr="00C022F9">
      <w:rPr>
        <w:noProof w:val="0"/>
      </w:rPr>
      <w:fldChar w:fldCharType="begin"/>
    </w:r>
    <w:r w:rsidR="00C67EAC" w:rsidRPr="00C022F9">
      <w:instrText xml:space="preserve"> StyleRef “Subtitle” </w:instrText>
    </w:r>
    <w:r w:rsidR="00C67EAC" w:rsidRPr="00C022F9">
      <w:rPr>
        <w:noProof w:val="0"/>
      </w:rPr>
      <w:fldChar w:fldCharType="separate"/>
    </w:r>
    <w:r w:rsidR="00336AC2">
      <w:t>May 2017</w:t>
    </w:r>
    <w:r w:rsidR="00C67EAC" w:rsidRPr="00C022F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0" w:rsidRDefault="00BB59E0" w:rsidP="00165E66">
    <w:pPr>
      <w:pStyle w:val="Spacer"/>
    </w:pPr>
  </w:p>
  <w:p w:rsidR="00BB59E0" w:rsidRPr="00C022F9" w:rsidRDefault="00BB59E0"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36AC2">
      <w:rPr>
        <w:b/>
        <w:color w:val="0063A6" w:themeColor="accent1"/>
      </w:rPr>
      <w:t xml:space="preserve">Guidelines for preparing Ministerial Statements of Expectations (SOEs) </w:t>
    </w:r>
    <w:r w:rsidR="00336AC2">
      <w:rPr>
        <w:b/>
        <w:color w:val="0063A6" w:themeColor="accent1"/>
      </w:rPr>
      <w:br/>
      <w:t>under the SOE Framework</w:t>
    </w:r>
    <w:r w:rsidRPr="00C022F9">
      <w:rPr>
        <w:b/>
        <w:color w:val="0063A6" w:themeColor="accent1"/>
      </w:rPr>
      <w:fldChar w:fldCharType="end"/>
    </w:r>
    <w:r w:rsidR="00D64F06">
      <w:rPr>
        <w:b/>
        <w:color w:val="0063A6" w:themeColor="accent1"/>
      </w:rPr>
      <w:t xml:space="preserve"> </w:t>
    </w:r>
    <w:r w:rsidR="004C3262">
      <w:rPr>
        <w:b/>
        <w:color w:val="0063A6" w:themeColor="accent1"/>
      </w:rPr>
      <w:t xml:space="preserve">– </w:t>
    </w:r>
    <w:r w:rsidR="00284FA2" w:rsidRPr="00C022F9">
      <w:rPr>
        <w:noProof w:val="0"/>
      </w:rPr>
      <w:fldChar w:fldCharType="begin"/>
    </w:r>
    <w:r w:rsidR="00284FA2" w:rsidRPr="00C022F9">
      <w:instrText xml:space="preserve"> StyleRef “Subtitle” </w:instrText>
    </w:r>
    <w:r w:rsidR="00284FA2" w:rsidRPr="00C022F9">
      <w:rPr>
        <w:noProof w:val="0"/>
      </w:rPr>
      <w:fldChar w:fldCharType="separate"/>
    </w:r>
    <w:r w:rsidR="00336AC2">
      <w:t>May 2017</w:t>
    </w:r>
    <w:r w:rsidR="00284FA2"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36AC2">
      <w:rPr>
        <w:rStyle w:val="PageNumber"/>
      </w:rPr>
      <w:t>3</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0F" w:rsidRDefault="0084200F" w:rsidP="00CB3976">
    <w:pPr>
      <w:pStyle w:val="Spacer"/>
    </w:pPr>
  </w:p>
  <w:p w:rsidR="00CB3976" w:rsidRPr="00CB3976" w:rsidRDefault="00CB3976"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62" w:rsidRDefault="00051362" w:rsidP="002D711A">
      <w:pPr>
        <w:spacing w:after="0" w:line="240" w:lineRule="auto"/>
      </w:pPr>
      <w:r>
        <w:separator/>
      </w:r>
    </w:p>
  </w:footnote>
  <w:footnote w:type="continuationSeparator" w:id="0">
    <w:p w:rsidR="00051362" w:rsidRDefault="0005136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96" w:rsidRDefault="008D3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E" w:rsidRDefault="000E392D">
    <w:pPr>
      <w:pStyle w:val="Header"/>
    </w:pPr>
    <w:r>
      <w:rPr>
        <w:noProof/>
      </w:rPr>
      <w:drawing>
        <wp:anchor distT="0" distB="0" distL="114300" distR="114300" simplePos="0" relativeHeight="251656188" behindDoc="1" locked="0" layoutInCell="1" allowOverlap="1" wp14:anchorId="5BA7E281" wp14:editId="52A94C4C">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sidR="006650B5">
      <w:rPr>
        <w:noProof/>
      </w:rPr>
      <w:drawing>
        <wp:anchor distT="0" distB="0" distL="114300" distR="114300" simplePos="0" relativeHeight="251658238" behindDoc="0" locked="0" layoutInCell="1" allowOverlap="1" wp14:anchorId="43E0ECDB" wp14:editId="26EB60F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96" w:rsidRDefault="008D33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27" w:rsidRDefault="00C1145F">
    <w:pPr>
      <w:pStyle w:val="Header"/>
    </w:pPr>
    <w:r>
      <w:rPr>
        <w:noProof/>
      </w:rPr>
      <w:drawing>
        <wp:anchor distT="0" distB="0" distL="114300" distR="114300" simplePos="0" relativeHeight="251670528" behindDoc="0" locked="0" layoutInCell="1" allowOverlap="1" wp14:anchorId="66FCFF27" wp14:editId="12D5693E">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BE" w:rsidRDefault="00C1145F">
    <w:pPr>
      <w:pStyle w:val="Header"/>
    </w:pPr>
    <w:r>
      <w:rPr>
        <w:noProof/>
      </w:rPr>
      <w:drawing>
        <wp:anchor distT="0" distB="0" distL="114300" distR="114300" simplePos="0" relativeHeight="251668480" behindDoc="0" locked="0" layoutInCell="1" allowOverlap="1" wp14:anchorId="20331C7C" wp14:editId="63D873EC">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A2" w:rsidRDefault="005306A2" w:rsidP="005306A2">
    <w:pPr>
      <w:pStyle w:val="Header"/>
    </w:pPr>
    <w:r>
      <w:rPr>
        <w:noProof/>
      </w:rPr>
      <w:drawing>
        <wp:anchor distT="0" distB="0" distL="114300" distR="114300" simplePos="0" relativeHeight="251679744" behindDoc="0" locked="0" layoutInCell="1" allowOverlap="1" wp14:anchorId="21D78B7D" wp14:editId="650EEDBC">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E0" w:rsidRDefault="00BB59E0">
    <w:pPr>
      <w:pStyle w:val="Header"/>
    </w:pPr>
    <w:r>
      <w:rPr>
        <w:noProof/>
      </w:rPr>
      <w:drawing>
        <wp:anchor distT="0" distB="0" distL="114300" distR="114300" simplePos="0" relativeHeight="251674624" behindDoc="0" locked="0" layoutInCell="1" allowOverlap="1" wp14:anchorId="08C32F66" wp14:editId="42FE1753">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Default="000E392D">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sidR="000F4288">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0F" w:rsidRDefault="0084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D25818"/>
    <w:multiLevelType w:val="hybridMultilevel"/>
    <w:tmpl w:val="C820124E"/>
    <w:lvl w:ilvl="0" w:tplc="0C09000F">
      <w:start w:val="1"/>
      <w:numFmt w:val="decimal"/>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0"/>
  </w:num>
  <w:num w:numId="6">
    <w:abstractNumId w:val="2"/>
  </w:num>
  <w:num w:numId="7">
    <w:abstractNumId w:val="4"/>
  </w:num>
  <w:num w:numId="8">
    <w:abstractNumId w:val="3"/>
  </w:num>
  <w:num w:numId="9">
    <w:abstractNumId w:val="1"/>
  </w:num>
  <w:num w:numId="10">
    <w:abstractNumId w:val="3"/>
  </w:num>
  <w:num w:numId="11">
    <w:abstractNumId w:val="5"/>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trackRevisions/>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4B"/>
    <w:rsid w:val="00007820"/>
    <w:rsid w:val="00012F6F"/>
    <w:rsid w:val="00014213"/>
    <w:rsid w:val="00014B55"/>
    <w:rsid w:val="00020E3E"/>
    <w:rsid w:val="00023BF3"/>
    <w:rsid w:val="00026811"/>
    <w:rsid w:val="00036269"/>
    <w:rsid w:val="0004185E"/>
    <w:rsid w:val="00051362"/>
    <w:rsid w:val="00056988"/>
    <w:rsid w:val="00075E6C"/>
    <w:rsid w:val="00081C12"/>
    <w:rsid w:val="000B29AD"/>
    <w:rsid w:val="000B41DC"/>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96143"/>
    <w:rsid w:val="001A24FC"/>
    <w:rsid w:val="001C7BAE"/>
    <w:rsid w:val="001D5294"/>
    <w:rsid w:val="001D7491"/>
    <w:rsid w:val="001E31FA"/>
    <w:rsid w:val="001E48F9"/>
    <w:rsid w:val="001E64F6"/>
    <w:rsid w:val="001E7AEB"/>
    <w:rsid w:val="001F27F0"/>
    <w:rsid w:val="00201551"/>
    <w:rsid w:val="00204B82"/>
    <w:rsid w:val="00222BEB"/>
    <w:rsid w:val="00225E60"/>
    <w:rsid w:val="00230AF6"/>
    <w:rsid w:val="0023202C"/>
    <w:rsid w:val="002413D2"/>
    <w:rsid w:val="00245043"/>
    <w:rsid w:val="00284FA2"/>
    <w:rsid w:val="00292D36"/>
    <w:rsid w:val="00297281"/>
    <w:rsid w:val="002B03F1"/>
    <w:rsid w:val="002B5E2B"/>
    <w:rsid w:val="002B6DAA"/>
    <w:rsid w:val="002D711A"/>
    <w:rsid w:val="002D7336"/>
    <w:rsid w:val="002E3396"/>
    <w:rsid w:val="002F2953"/>
    <w:rsid w:val="0031149C"/>
    <w:rsid w:val="00336AC2"/>
    <w:rsid w:val="0036778F"/>
    <w:rsid w:val="003839DD"/>
    <w:rsid w:val="00385842"/>
    <w:rsid w:val="0038771C"/>
    <w:rsid w:val="003A3220"/>
    <w:rsid w:val="003A430B"/>
    <w:rsid w:val="003A541A"/>
    <w:rsid w:val="003A6923"/>
    <w:rsid w:val="003B305F"/>
    <w:rsid w:val="003C2C67"/>
    <w:rsid w:val="003C2D4C"/>
    <w:rsid w:val="003C3B3A"/>
    <w:rsid w:val="003C5BA4"/>
    <w:rsid w:val="003E3E26"/>
    <w:rsid w:val="003F1295"/>
    <w:rsid w:val="003F4B09"/>
    <w:rsid w:val="003F5102"/>
    <w:rsid w:val="003F5833"/>
    <w:rsid w:val="003F76FC"/>
    <w:rsid w:val="004002EB"/>
    <w:rsid w:val="00407A79"/>
    <w:rsid w:val="00422DDC"/>
    <w:rsid w:val="004231B5"/>
    <w:rsid w:val="004236C8"/>
    <w:rsid w:val="00427681"/>
    <w:rsid w:val="00433DB7"/>
    <w:rsid w:val="00453750"/>
    <w:rsid w:val="00456941"/>
    <w:rsid w:val="004573CB"/>
    <w:rsid w:val="004702EA"/>
    <w:rsid w:val="0048259C"/>
    <w:rsid w:val="00482D02"/>
    <w:rsid w:val="00490369"/>
    <w:rsid w:val="004A005B"/>
    <w:rsid w:val="004A7519"/>
    <w:rsid w:val="004C0A53"/>
    <w:rsid w:val="004C3262"/>
    <w:rsid w:val="004D01AC"/>
    <w:rsid w:val="004D3518"/>
    <w:rsid w:val="004D62D6"/>
    <w:rsid w:val="004F3F4E"/>
    <w:rsid w:val="00510167"/>
    <w:rsid w:val="00520C88"/>
    <w:rsid w:val="005306A2"/>
    <w:rsid w:val="0053416C"/>
    <w:rsid w:val="00541C2F"/>
    <w:rsid w:val="00561C15"/>
    <w:rsid w:val="00563527"/>
    <w:rsid w:val="0058124E"/>
    <w:rsid w:val="005875A3"/>
    <w:rsid w:val="005A3416"/>
    <w:rsid w:val="005B27FE"/>
    <w:rsid w:val="005B76DF"/>
    <w:rsid w:val="005B79CB"/>
    <w:rsid w:val="005E361F"/>
    <w:rsid w:val="005E4C16"/>
    <w:rsid w:val="005F61DF"/>
    <w:rsid w:val="0060163A"/>
    <w:rsid w:val="006023F9"/>
    <w:rsid w:val="00610559"/>
    <w:rsid w:val="00614076"/>
    <w:rsid w:val="00623DCF"/>
    <w:rsid w:val="00632F2E"/>
    <w:rsid w:val="006332F6"/>
    <w:rsid w:val="006413F2"/>
    <w:rsid w:val="006534B2"/>
    <w:rsid w:val="0065615D"/>
    <w:rsid w:val="00657011"/>
    <w:rsid w:val="006650B5"/>
    <w:rsid w:val="006651B1"/>
    <w:rsid w:val="00665778"/>
    <w:rsid w:val="00676E5F"/>
    <w:rsid w:val="006A3309"/>
    <w:rsid w:val="006A5B34"/>
    <w:rsid w:val="006C0D31"/>
    <w:rsid w:val="006C77A9"/>
    <w:rsid w:val="006D4720"/>
    <w:rsid w:val="006D6567"/>
    <w:rsid w:val="006E6CDF"/>
    <w:rsid w:val="006F0ACD"/>
    <w:rsid w:val="006F37F2"/>
    <w:rsid w:val="006F6693"/>
    <w:rsid w:val="00707FE8"/>
    <w:rsid w:val="00714AA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D0CF7"/>
    <w:rsid w:val="007D5F9E"/>
    <w:rsid w:val="007F1A4C"/>
    <w:rsid w:val="007F723F"/>
    <w:rsid w:val="008022C3"/>
    <w:rsid w:val="008041E6"/>
    <w:rsid w:val="008065D2"/>
    <w:rsid w:val="0082194C"/>
    <w:rsid w:val="008222FF"/>
    <w:rsid w:val="008241FF"/>
    <w:rsid w:val="00830D19"/>
    <w:rsid w:val="008411E9"/>
    <w:rsid w:val="00841617"/>
    <w:rsid w:val="0084200F"/>
    <w:rsid w:val="00843B2C"/>
    <w:rsid w:val="008668A8"/>
    <w:rsid w:val="00880AC4"/>
    <w:rsid w:val="00881974"/>
    <w:rsid w:val="00897447"/>
    <w:rsid w:val="008A4900"/>
    <w:rsid w:val="008A55FE"/>
    <w:rsid w:val="008B146D"/>
    <w:rsid w:val="008B3BA7"/>
    <w:rsid w:val="008B42AD"/>
    <w:rsid w:val="008B5666"/>
    <w:rsid w:val="008D0281"/>
    <w:rsid w:val="008D1097"/>
    <w:rsid w:val="008D3396"/>
    <w:rsid w:val="008E2348"/>
    <w:rsid w:val="008F6D45"/>
    <w:rsid w:val="00922944"/>
    <w:rsid w:val="00937A10"/>
    <w:rsid w:val="00966115"/>
    <w:rsid w:val="009829D2"/>
    <w:rsid w:val="009834C0"/>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42B7"/>
    <w:rsid w:val="009F5BBB"/>
    <w:rsid w:val="009F5C58"/>
    <w:rsid w:val="00A023A0"/>
    <w:rsid w:val="00A1562B"/>
    <w:rsid w:val="00A170F4"/>
    <w:rsid w:val="00A21408"/>
    <w:rsid w:val="00A21CFD"/>
    <w:rsid w:val="00A25B78"/>
    <w:rsid w:val="00A46BA8"/>
    <w:rsid w:val="00A47634"/>
    <w:rsid w:val="00A612FE"/>
    <w:rsid w:val="00A8524F"/>
    <w:rsid w:val="00AA26B8"/>
    <w:rsid w:val="00AC0B87"/>
    <w:rsid w:val="00AC2624"/>
    <w:rsid w:val="00AC317D"/>
    <w:rsid w:val="00AD7E4E"/>
    <w:rsid w:val="00AF4D58"/>
    <w:rsid w:val="00AF6666"/>
    <w:rsid w:val="00B056CF"/>
    <w:rsid w:val="00B642DB"/>
    <w:rsid w:val="00B81B44"/>
    <w:rsid w:val="00B9053B"/>
    <w:rsid w:val="00BB4D98"/>
    <w:rsid w:val="00BB4EBF"/>
    <w:rsid w:val="00BB59E0"/>
    <w:rsid w:val="00BC3422"/>
    <w:rsid w:val="00BC6E19"/>
    <w:rsid w:val="00BE6B08"/>
    <w:rsid w:val="00BF1520"/>
    <w:rsid w:val="00BF4F96"/>
    <w:rsid w:val="00C015B9"/>
    <w:rsid w:val="00C022F9"/>
    <w:rsid w:val="00C032EA"/>
    <w:rsid w:val="00C06EB5"/>
    <w:rsid w:val="00C1145F"/>
    <w:rsid w:val="00C11CD1"/>
    <w:rsid w:val="00C21BC0"/>
    <w:rsid w:val="00C27548"/>
    <w:rsid w:val="00C33AD3"/>
    <w:rsid w:val="00C43F06"/>
    <w:rsid w:val="00C51C01"/>
    <w:rsid w:val="00C637E1"/>
    <w:rsid w:val="00C67EAC"/>
    <w:rsid w:val="00C70862"/>
    <w:rsid w:val="00C70D50"/>
    <w:rsid w:val="00C72252"/>
    <w:rsid w:val="00C907D7"/>
    <w:rsid w:val="00C92338"/>
    <w:rsid w:val="00CB3976"/>
    <w:rsid w:val="00CB6B3E"/>
    <w:rsid w:val="00CD0307"/>
    <w:rsid w:val="00CD3D1B"/>
    <w:rsid w:val="00CE0B8D"/>
    <w:rsid w:val="00CF1691"/>
    <w:rsid w:val="00CF7E1F"/>
    <w:rsid w:val="00D02663"/>
    <w:rsid w:val="00D0633E"/>
    <w:rsid w:val="00D12E74"/>
    <w:rsid w:val="00D135B2"/>
    <w:rsid w:val="00D2312F"/>
    <w:rsid w:val="00D269C1"/>
    <w:rsid w:val="00D40671"/>
    <w:rsid w:val="00D41B2F"/>
    <w:rsid w:val="00D4430E"/>
    <w:rsid w:val="00D44953"/>
    <w:rsid w:val="00D542F3"/>
    <w:rsid w:val="00D54513"/>
    <w:rsid w:val="00D54AAE"/>
    <w:rsid w:val="00D5644B"/>
    <w:rsid w:val="00D56E25"/>
    <w:rsid w:val="00D57E89"/>
    <w:rsid w:val="00D625B2"/>
    <w:rsid w:val="00D64F06"/>
    <w:rsid w:val="00D6560D"/>
    <w:rsid w:val="00D65D77"/>
    <w:rsid w:val="00D718D7"/>
    <w:rsid w:val="00D814B7"/>
    <w:rsid w:val="00D90688"/>
    <w:rsid w:val="00D93B33"/>
    <w:rsid w:val="00DA3AAD"/>
    <w:rsid w:val="00DB312B"/>
    <w:rsid w:val="00DC5654"/>
    <w:rsid w:val="00DC654B"/>
    <w:rsid w:val="00DC658F"/>
    <w:rsid w:val="00DC674A"/>
    <w:rsid w:val="00DC7220"/>
    <w:rsid w:val="00DE60CC"/>
    <w:rsid w:val="00E049AB"/>
    <w:rsid w:val="00E26B32"/>
    <w:rsid w:val="00E407B6"/>
    <w:rsid w:val="00E41EF1"/>
    <w:rsid w:val="00E42942"/>
    <w:rsid w:val="00E65A0A"/>
    <w:rsid w:val="00E71BDF"/>
    <w:rsid w:val="00E75CCB"/>
    <w:rsid w:val="00E8245B"/>
    <w:rsid w:val="00E82C21"/>
    <w:rsid w:val="00E82F59"/>
    <w:rsid w:val="00E83CA7"/>
    <w:rsid w:val="00E92192"/>
    <w:rsid w:val="00E95A71"/>
    <w:rsid w:val="00EB7014"/>
    <w:rsid w:val="00EC5CDE"/>
    <w:rsid w:val="00ED487E"/>
    <w:rsid w:val="00EE196B"/>
    <w:rsid w:val="00EE33A1"/>
    <w:rsid w:val="00EE7A0D"/>
    <w:rsid w:val="00F0222C"/>
    <w:rsid w:val="00F12312"/>
    <w:rsid w:val="00F17CE1"/>
    <w:rsid w:val="00F2115C"/>
    <w:rsid w:val="00F22ABA"/>
    <w:rsid w:val="00F36B12"/>
    <w:rsid w:val="00F60F9F"/>
    <w:rsid w:val="00F64F08"/>
    <w:rsid w:val="00F70055"/>
    <w:rsid w:val="00F72EAF"/>
    <w:rsid w:val="00F734F5"/>
    <w:rsid w:val="00F73B5B"/>
    <w:rsid w:val="00F91F5A"/>
    <w:rsid w:val="00F966B1"/>
    <w:rsid w:val="00F97D48"/>
    <w:rsid w:val="00FA0311"/>
    <w:rsid w:val="00FA2AF2"/>
    <w:rsid w:val="00FC4269"/>
    <w:rsid w:val="00FD2168"/>
    <w:rsid w:val="00FD5B0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8D3396"/>
    <w:rPr>
      <w:sz w:val="16"/>
      <w:szCs w:val="16"/>
    </w:rPr>
  </w:style>
  <w:style w:type="paragraph" w:styleId="CommentText">
    <w:name w:val="annotation text"/>
    <w:basedOn w:val="Normal"/>
    <w:link w:val="CommentTextChar"/>
    <w:uiPriority w:val="99"/>
    <w:semiHidden/>
    <w:rsid w:val="008D3396"/>
    <w:pPr>
      <w:spacing w:line="240" w:lineRule="auto"/>
    </w:pPr>
  </w:style>
  <w:style w:type="character" w:customStyle="1" w:styleId="CommentTextChar">
    <w:name w:val="Comment Text Char"/>
    <w:basedOn w:val="DefaultParagraphFont"/>
    <w:link w:val="CommentText"/>
    <w:uiPriority w:val="99"/>
    <w:semiHidden/>
    <w:rsid w:val="008D3396"/>
    <w:rPr>
      <w:spacing w:val="2"/>
    </w:rPr>
  </w:style>
  <w:style w:type="paragraph" w:styleId="CommentSubject">
    <w:name w:val="annotation subject"/>
    <w:basedOn w:val="CommentText"/>
    <w:next w:val="CommentText"/>
    <w:link w:val="CommentSubjectChar"/>
    <w:uiPriority w:val="99"/>
    <w:semiHidden/>
    <w:rsid w:val="008D3396"/>
    <w:rPr>
      <w:b/>
      <w:bCs/>
    </w:rPr>
  </w:style>
  <w:style w:type="character" w:customStyle="1" w:styleId="CommentSubjectChar">
    <w:name w:val="Comment Subject Char"/>
    <w:basedOn w:val="CommentTextChar"/>
    <w:link w:val="CommentSubject"/>
    <w:uiPriority w:val="99"/>
    <w:semiHidden/>
    <w:rsid w:val="008D3396"/>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8D3396"/>
    <w:rPr>
      <w:sz w:val="16"/>
      <w:szCs w:val="16"/>
    </w:rPr>
  </w:style>
  <w:style w:type="paragraph" w:styleId="CommentText">
    <w:name w:val="annotation text"/>
    <w:basedOn w:val="Normal"/>
    <w:link w:val="CommentTextChar"/>
    <w:uiPriority w:val="99"/>
    <w:semiHidden/>
    <w:rsid w:val="008D3396"/>
    <w:pPr>
      <w:spacing w:line="240" w:lineRule="auto"/>
    </w:pPr>
  </w:style>
  <w:style w:type="character" w:customStyle="1" w:styleId="CommentTextChar">
    <w:name w:val="Comment Text Char"/>
    <w:basedOn w:val="DefaultParagraphFont"/>
    <w:link w:val="CommentText"/>
    <w:uiPriority w:val="99"/>
    <w:semiHidden/>
    <w:rsid w:val="008D3396"/>
    <w:rPr>
      <w:spacing w:val="2"/>
    </w:rPr>
  </w:style>
  <w:style w:type="paragraph" w:styleId="CommentSubject">
    <w:name w:val="annotation subject"/>
    <w:basedOn w:val="CommentText"/>
    <w:next w:val="CommentText"/>
    <w:link w:val="CommentSubjectChar"/>
    <w:uiPriority w:val="99"/>
    <w:semiHidden/>
    <w:rsid w:val="008D3396"/>
    <w:rPr>
      <w:b/>
      <w:bCs/>
    </w:rPr>
  </w:style>
  <w:style w:type="character" w:customStyle="1" w:styleId="CommentSubjectChar">
    <w:name w:val="Comment Subject Char"/>
    <w:basedOn w:val="CommentTextChar"/>
    <w:link w:val="CommentSubject"/>
    <w:uiPriority w:val="99"/>
    <w:semiHidden/>
    <w:rsid w:val="008D3396"/>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BCDD-3B81-44AA-9E89-7BB60A5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TotalTime>
  <Pages>10</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Bernard</dc:creator>
  <cp:lastModifiedBy>Louise Koschmann</cp:lastModifiedBy>
  <cp:revision>2</cp:revision>
  <cp:lastPrinted>2017-05-10T01:50:00Z</cp:lastPrinted>
  <dcterms:created xsi:type="dcterms:W3CDTF">2018-02-14T03:28:00Z</dcterms:created>
  <dcterms:modified xsi:type="dcterms:W3CDTF">2018-02-14T03:28:00Z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ies>
</file>