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5B0624" w:rsidRPr="00231BD3" w:rsidTr="00292A0E">
        <w:trPr>
          <w:cnfStyle w:val="100000000000" w:firstRow="1" w:lastRow="0" w:firstColumn="0" w:lastColumn="0" w:oddVBand="0" w:evenVBand="0" w:oddHBand="0" w:evenHBand="0" w:firstRowFirstColumn="0" w:firstRowLastColumn="0" w:lastRowFirstColumn="0" w:lastRowLastColumn="0"/>
        </w:trPr>
        <w:tc>
          <w:tcPr>
            <w:tcW w:w="2293" w:type="dxa"/>
          </w:tcPr>
          <w:p w:rsidR="005B0624" w:rsidRPr="00ED2F29" w:rsidRDefault="005B0624" w:rsidP="00BD7AE1">
            <w:pPr>
              <w:pStyle w:val="FRDNumber"/>
            </w:pPr>
            <w:bookmarkStart w:id="0" w:name="_GoBack"/>
            <w:bookmarkEnd w:id="0"/>
            <w:r w:rsidRPr="00ED2F29">
              <w:t xml:space="preserve">FRD </w:t>
            </w:r>
            <w:r w:rsidR="00BD7AE1" w:rsidRPr="00ED2F29">
              <w:t>120</w:t>
            </w:r>
            <w:r w:rsidR="00BD7AE1">
              <w:t>K</w:t>
            </w:r>
          </w:p>
        </w:tc>
        <w:tc>
          <w:tcPr>
            <w:tcW w:w="270" w:type="dxa"/>
          </w:tcPr>
          <w:p w:rsidR="005B0624" w:rsidRPr="00231BD3" w:rsidRDefault="005B0624" w:rsidP="009A0468"/>
        </w:tc>
        <w:tc>
          <w:tcPr>
            <w:tcW w:w="540" w:type="dxa"/>
          </w:tcPr>
          <w:p w:rsidR="005B0624" w:rsidRPr="00231BD3" w:rsidRDefault="005B0624" w:rsidP="009A0468"/>
        </w:tc>
        <w:tc>
          <w:tcPr>
            <w:tcW w:w="6134" w:type="dxa"/>
          </w:tcPr>
          <w:p w:rsidR="005B0624" w:rsidRPr="00231BD3" w:rsidRDefault="005B0624" w:rsidP="00BD7AE1">
            <w:pPr>
              <w:pStyle w:val="FRDHeader"/>
            </w:pPr>
            <w:r w:rsidRPr="00DC628F">
              <w:t xml:space="preserve">Accounting and Reporting Pronouncements Applicable to the </w:t>
            </w:r>
            <w:r w:rsidR="00BD7AE1" w:rsidRPr="00DC628F">
              <w:t>201</w:t>
            </w:r>
            <w:r w:rsidR="00BD7AE1">
              <w:t>6</w:t>
            </w:r>
            <w:r w:rsidR="00070AED">
              <w:noBreakHyphen/>
            </w:r>
            <w:r w:rsidR="00BD7AE1" w:rsidRPr="00DC628F">
              <w:t>1</w:t>
            </w:r>
            <w:r w:rsidR="00BD7AE1">
              <w:t>7</w:t>
            </w:r>
            <w:r w:rsidR="00BD7AE1" w:rsidRPr="00DC628F">
              <w:t xml:space="preserve"> </w:t>
            </w:r>
            <w:r w:rsidRPr="00DC628F">
              <w:t>Reporting Period (July</w:t>
            </w:r>
            <w:r>
              <w:t> </w:t>
            </w:r>
            <w:r w:rsidR="00BD7AE1" w:rsidRPr="00DC628F">
              <w:t>201</w:t>
            </w:r>
            <w:r w:rsidR="00BD7AE1">
              <w:t>7</w:t>
            </w:r>
            <w:r w:rsidRPr="00DC628F">
              <w:t>)</w:t>
            </w:r>
          </w:p>
        </w:tc>
      </w:tr>
      <w:tr w:rsidR="005B0624" w:rsidRPr="00E10ADB" w:rsidTr="00292A0E">
        <w:trPr>
          <w:trHeight w:hRule="exact" w:val="120"/>
        </w:trPr>
        <w:tc>
          <w:tcPr>
            <w:tcW w:w="2293" w:type="dxa"/>
          </w:tcPr>
          <w:p w:rsidR="005B0624" w:rsidRPr="008A601F" w:rsidRDefault="005B0624" w:rsidP="009A0468">
            <w:pPr>
              <w:pStyle w:val="Tabletext"/>
            </w:pPr>
          </w:p>
        </w:tc>
        <w:tc>
          <w:tcPr>
            <w:tcW w:w="270" w:type="dxa"/>
          </w:tcPr>
          <w:p w:rsidR="005B0624" w:rsidRPr="008A601F" w:rsidRDefault="005B0624" w:rsidP="009A0468">
            <w:pPr>
              <w:pStyle w:val="Normalgrey"/>
            </w:pPr>
          </w:p>
        </w:tc>
        <w:tc>
          <w:tcPr>
            <w:tcW w:w="540" w:type="dxa"/>
          </w:tcPr>
          <w:p w:rsidR="005B0624" w:rsidRPr="008A601F" w:rsidRDefault="005B0624" w:rsidP="009A0468"/>
        </w:tc>
        <w:tc>
          <w:tcPr>
            <w:tcW w:w="6134" w:type="dxa"/>
          </w:tcPr>
          <w:p w:rsidR="005B0624" w:rsidRPr="008A601F" w:rsidRDefault="005B0624" w:rsidP="009A0468"/>
        </w:tc>
      </w:tr>
      <w:tr w:rsidR="005B0624" w:rsidRPr="005828FE" w:rsidTr="00292A0E">
        <w:tc>
          <w:tcPr>
            <w:tcW w:w="2293" w:type="dxa"/>
          </w:tcPr>
          <w:p w:rsidR="005B0624" w:rsidRPr="005828FE" w:rsidRDefault="005B0624" w:rsidP="00070AED">
            <w:pPr>
              <w:pStyle w:val="Normalgrey"/>
            </w:pPr>
            <w:r w:rsidRPr="005828FE">
              <w:t>Purpose</w:t>
            </w:r>
          </w:p>
        </w:tc>
        <w:tc>
          <w:tcPr>
            <w:tcW w:w="270" w:type="dxa"/>
          </w:tcPr>
          <w:p w:rsidR="005B0624" w:rsidRPr="005828FE" w:rsidRDefault="005B0624" w:rsidP="00070AED">
            <w:pPr>
              <w:pStyle w:val="Normalgrey"/>
            </w:pPr>
          </w:p>
        </w:tc>
        <w:tc>
          <w:tcPr>
            <w:tcW w:w="540" w:type="dxa"/>
          </w:tcPr>
          <w:p w:rsidR="005B0624" w:rsidRPr="005828FE" w:rsidRDefault="005B0624" w:rsidP="00070AED">
            <w:pPr>
              <w:pStyle w:val="Normalgrey"/>
            </w:pPr>
          </w:p>
        </w:tc>
        <w:tc>
          <w:tcPr>
            <w:tcW w:w="6134" w:type="dxa"/>
          </w:tcPr>
          <w:p w:rsidR="005B0624" w:rsidRPr="005828FE" w:rsidRDefault="005B0624" w:rsidP="00D42A5F">
            <w:pPr>
              <w:pStyle w:val="Normalgrey"/>
            </w:pPr>
            <w:r w:rsidRPr="00ED2F29">
              <w:t xml:space="preserve">To advise the accounting and reporting pronouncements </w:t>
            </w:r>
            <w:r w:rsidR="00684899">
              <w:t xml:space="preserve">that are </w:t>
            </w:r>
            <w:r w:rsidRPr="00ED2F29">
              <w:t xml:space="preserve">applicable to </w:t>
            </w:r>
            <w:r w:rsidR="00684899">
              <w:t xml:space="preserve">departments and public bodies for the </w:t>
            </w:r>
            <w:r w:rsidR="00D42A5F">
              <w:t>relevant</w:t>
            </w:r>
            <w:r w:rsidRPr="00ED2F29">
              <w:t xml:space="preserve"> reporting period</w:t>
            </w:r>
            <w:r w:rsidRPr="0070341D">
              <w:t>.</w:t>
            </w:r>
          </w:p>
        </w:tc>
      </w:tr>
      <w:tr w:rsidR="005B0624" w:rsidRPr="005828FE" w:rsidTr="00292A0E">
        <w:tc>
          <w:tcPr>
            <w:tcW w:w="2293" w:type="dxa"/>
            <w:shd w:val="clear" w:color="auto" w:fill="F2F2F2"/>
          </w:tcPr>
          <w:p w:rsidR="005B0624" w:rsidRPr="005828FE" w:rsidRDefault="005B0624" w:rsidP="009A0468">
            <w:pPr>
              <w:pStyle w:val="Normalbold"/>
            </w:pPr>
            <w:r w:rsidRPr="005828FE">
              <w:t>Application</w:t>
            </w:r>
          </w:p>
        </w:tc>
        <w:tc>
          <w:tcPr>
            <w:tcW w:w="270" w:type="dxa"/>
            <w:shd w:val="clear" w:color="auto" w:fill="F2F2F2"/>
          </w:tcPr>
          <w:p w:rsidR="005B0624" w:rsidRPr="008B2A17" w:rsidRDefault="005B0624" w:rsidP="009A0468">
            <w:pPr>
              <w:pStyle w:val="Normalgrey"/>
            </w:pPr>
          </w:p>
        </w:tc>
        <w:tc>
          <w:tcPr>
            <w:tcW w:w="540" w:type="dxa"/>
            <w:shd w:val="clear" w:color="auto" w:fill="F2F2F2"/>
          </w:tcPr>
          <w:p w:rsidR="005B0624" w:rsidRPr="005828FE" w:rsidRDefault="005B0624" w:rsidP="009A0468">
            <w:pPr>
              <w:pStyle w:val="Normalgrey"/>
            </w:pPr>
          </w:p>
        </w:tc>
        <w:tc>
          <w:tcPr>
            <w:tcW w:w="6134" w:type="dxa"/>
            <w:shd w:val="clear" w:color="auto" w:fill="F2F2F2"/>
          </w:tcPr>
          <w:p w:rsidR="005B0624" w:rsidRPr="005828FE" w:rsidRDefault="005B0624" w:rsidP="009A0468">
            <w:pPr>
              <w:pStyle w:val="Normalbold"/>
            </w:pPr>
            <w:r w:rsidRPr="00ED2F29">
              <w:t xml:space="preserve">Applies to any ‘department’, or ‘public body’ as defined under section 3 of the </w:t>
            </w:r>
            <w:r w:rsidRPr="00ED2F29">
              <w:rPr>
                <w:i/>
              </w:rPr>
              <w:t>Financial Management Act 1994</w:t>
            </w:r>
            <w:r w:rsidRPr="00ED2F29">
              <w:t>.</w:t>
            </w:r>
          </w:p>
        </w:tc>
      </w:tr>
      <w:tr w:rsidR="005B0624" w:rsidRPr="005828FE" w:rsidTr="00292A0E">
        <w:tc>
          <w:tcPr>
            <w:tcW w:w="2293" w:type="dxa"/>
            <w:shd w:val="clear" w:color="auto" w:fill="F2F2F2"/>
          </w:tcPr>
          <w:p w:rsidR="005B0624" w:rsidRPr="005828FE" w:rsidRDefault="005B0624" w:rsidP="009A0468">
            <w:pPr>
              <w:pStyle w:val="Normalbold"/>
            </w:pPr>
            <w:r w:rsidRPr="005828FE">
              <w:t>Operative date</w:t>
            </w:r>
          </w:p>
        </w:tc>
        <w:tc>
          <w:tcPr>
            <w:tcW w:w="270" w:type="dxa"/>
            <w:shd w:val="clear" w:color="auto" w:fill="F2F2F2"/>
          </w:tcPr>
          <w:p w:rsidR="005B0624" w:rsidRPr="008B2A17" w:rsidRDefault="005B0624" w:rsidP="009A0468">
            <w:pPr>
              <w:pStyle w:val="Normalgrey"/>
            </w:pPr>
          </w:p>
        </w:tc>
        <w:tc>
          <w:tcPr>
            <w:tcW w:w="540" w:type="dxa"/>
            <w:shd w:val="clear" w:color="auto" w:fill="F2F2F2"/>
          </w:tcPr>
          <w:p w:rsidR="005B0624" w:rsidRPr="005828FE" w:rsidRDefault="005B0624" w:rsidP="009A0468">
            <w:pPr>
              <w:pStyle w:val="Normalgrey"/>
            </w:pPr>
          </w:p>
        </w:tc>
        <w:tc>
          <w:tcPr>
            <w:tcW w:w="6134" w:type="dxa"/>
            <w:shd w:val="clear" w:color="auto" w:fill="F2F2F2"/>
          </w:tcPr>
          <w:p w:rsidR="005B0624" w:rsidRPr="00ED2F29" w:rsidRDefault="005B0624" w:rsidP="005B0624">
            <w:pPr>
              <w:pStyle w:val="Normalbold"/>
            </w:pPr>
            <w:r w:rsidRPr="00ED2F29">
              <w:t>Annual reporting periods commencing on, or after, 1 July </w:t>
            </w:r>
            <w:r w:rsidR="00BD7AE1" w:rsidRPr="00ED2F29">
              <w:t>201</w:t>
            </w:r>
            <w:r w:rsidR="00BD7AE1">
              <w:t>6</w:t>
            </w:r>
            <w:r w:rsidRPr="00ED2F29">
              <w:t>.</w:t>
            </w:r>
          </w:p>
          <w:p w:rsidR="005B0624" w:rsidRPr="005828FE" w:rsidRDefault="005B0624" w:rsidP="00BD7AE1">
            <w:pPr>
              <w:pStyle w:val="Normalbold"/>
            </w:pPr>
            <w:r w:rsidRPr="00ED2F29">
              <w:rPr>
                <w:rFonts w:cstheme="minorHAnsi"/>
                <w:bCs/>
                <w:szCs w:val="22"/>
              </w:rPr>
              <w:t xml:space="preserve">FRD </w:t>
            </w:r>
            <w:r w:rsidR="00BD7AE1" w:rsidRPr="00ED2F29">
              <w:rPr>
                <w:rFonts w:cstheme="minorHAnsi"/>
                <w:bCs/>
                <w:szCs w:val="22"/>
              </w:rPr>
              <w:t>120</w:t>
            </w:r>
            <w:r w:rsidR="00BD7AE1">
              <w:rPr>
                <w:rFonts w:cstheme="minorHAnsi"/>
                <w:bCs/>
                <w:szCs w:val="22"/>
              </w:rPr>
              <w:t>J</w:t>
            </w:r>
            <w:r w:rsidR="00BD7AE1" w:rsidRPr="00ED2F29">
              <w:rPr>
                <w:rFonts w:cstheme="minorHAnsi"/>
                <w:bCs/>
                <w:szCs w:val="22"/>
              </w:rPr>
              <w:t xml:space="preserve"> </w:t>
            </w:r>
            <w:r w:rsidRPr="00ED2F29">
              <w:rPr>
                <w:rFonts w:cstheme="minorHAnsi"/>
                <w:bCs/>
                <w:i/>
                <w:szCs w:val="22"/>
              </w:rPr>
              <w:t xml:space="preserve">Accounting and Reporting Pronouncements Applicable to </w:t>
            </w:r>
            <w:r w:rsidR="00BD7AE1" w:rsidRPr="00ED2F29">
              <w:rPr>
                <w:rFonts w:cstheme="minorHAnsi"/>
                <w:bCs/>
                <w:i/>
                <w:szCs w:val="22"/>
              </w:rPr>
              <w:t>201</w:t>
            </w:r>
            <w:r w:rsidR="00BD7AE1">
              <w:rPr>
                <w:rFonts w:cstheme="minorHAnsi"/>
                <w:bCs/>
                <w:i/>
                <w:szCs w:val="22"/>
              </w:rPr>
              <w:t>5</w:t>
            </w:r>
            <w:r w:rsidRPr="00ED2F29">
              <w:rPr>
                <w:rFonts w:cstheme="minorHAnsi"/>
                <w:bCs/>
                <w:i/>
                <w:szCs w:val="22"/>
              </w:rPr>
              <w:t>-</w:t>
            </w:r>
            <w:r w:rsidR="00BD7AE1" w:rsidRPr="00ED2F29">
              <w:rPr>
                <w:rFonts w:cstheme="minorHAnsi"/>
                <w:bCs/>
                <w:i/>
                <w:szCs w:val="22"/>
              </w:rPr>
              <w:t>1</w:t>
            </w:r>
            <w:r w:rsidR="00BD7AE1">
              <w:rPr>
                <w:rFonts w:cstheme="minorHAnsi"/>
                <w:bCs/>
                <w:i/>
                <w:szCs w:val="22"/>
              </w:rPr>
              <w:t>6</w:t>
            </w:r>
            <w:r w:rsidR="00BD7AE1" w:rsidRPr="00ED2F29">
              <w:rPr>
                <w:rFonts w:cstheme="minorHAnsi"/>
                <w:bCs/>
                <w:i/>
                <w:szCs w:val="22"/>
              </w:rPr>
              <w:t xml:space="preserve"> </w:t>
            </w:r>
            <w:r w:rsidRPr="00ED2F29">
              <w:rPr>
                <w:rFonts w:cstheme="minorHAnsi"/>
                <w:bCs/>
                <w:i/>
                <w:szCs w:val="22"/>
              </w:rPr>
              <w:t>Reporting Period</w:t>
            </w:r>
            <w:r w:rsidRPr="00ED2F29">
              <w:rPr>
                <w:rFonts w:cstheme="minorHAnsi"/>
                <w:bCs/>
                <w:szCs w:val="22"/>
              </w:rPr>
              <w:t xml:space="preserve"> is superseded and withdrawn effective 1</w:t>
            </w:r>
            <w:r w:rsidR="00D250C2">
              <w:rPr>
                <w:rFonts w:cstheme="minorHAnsi"/>
                <w:bCs/>
                <w:szCs w:val="22"/>
              </w:rPr>
              <w:t> </w:t>
            </w:r>
            <w:r w:rsidRPr="00ED2F29">
              <w:rPr>
                <w:rFonts w:cstheme="minorHAnsi"/>
                <w:bCs/>
                <w:szCs w:val="22"/>
              </w:rPr>
              <w:t xml:space="preserve">July </w:t>
            </w:r>
            <w:r w:rsidR="00BD7AE1" w:rsidRPr="00ED2F29">
              <w:rPr>
                <w:rFonts w:cstheme="minorHAnsi"/>
                <w:bCs/>
                <w:szCs w:val="22"/>
              </w:rPr>
              <w:t>201</w:t>
            </w:r>
            <w:r w:rsidR="00BD7AE1">
              <w:rPr>
                <w:rFonts w:cstheme="minorHAnsi"/>
                <w:bCs/>
                <w:szCs w:val="22"/>
              </w:rPr>
              <w:t>6</w:t>
            </w:r>
            <w:r w:rsidRPr="00ED2F29">
              <w:rPr>
                <w:rFonts w:cstheme="minorHAnsi"/>
                <w:bCs/>
                <w:szCs w:val="22"/>
              </w:rPr>
              <w:t>.</w:t>
            </w:r>
          </w:p>
        </w:tc>
      </w:tr>
      <w:tr w:rsidR="005B0624" w:rsidRPr="005828FE" w:rsidTr="00292A0E">
        <w:tc>
          <w:tcPr>
            <w:tcW w:w="2293" w:type="dxa"/>
            <w:shd w:val="clear" w:color="auto" w:fill="F2F2F2"/>
          </w:tcPr>
          <w:p w:rsidR="005B0624" w:rsidRPr="005828FE" w:rsidRDefault="005B0624" w:rsidP="009A0468">
            <w:pPr>
              <w:pStyle w:val="Normalbold"/>
            </w:pPr>
            <w:r w:rsidRPr="005828FE">
              <w:t>Requirement</w:t>
            </w:r>
            <w:r>
              <w:t>s</w:t>
            </w:r>
          </w:p>
        </w:tc>
        <w:tc>
          <w:tcPr>
            <w:tcW w:w="270" w:type="dxa"/>
            <w:shd w:val="clear" w:color="auto" w:fill="F2F2F2"/>
          </w:tcPr>
          <w:p w:rsidR="005B0624" w:rsidRPr="008B2A17" w:rsidRDefault="005B0624" w:rsidP="009A0468">
            <w:pPr>
              <w:pStyle w:val="Normalgrey"/>
            </w:pPr>
          </w:p>
        </w:tc>
        <w:tc>
          <w:tcPr>
            <w:tcW w:w="540" w:type="dxa"/>
            <w:shd w:val="clear" w:color="auto" w:fill="F2F2F2"/>
          </w:tcPr>
          <w:p w:rsidR="005B0624" w:rsidRPr="005828FE" w:rsidRDefault="005B0624" w:rsidP="009A0468">
            <w:pPr>
              <w:pStyle w:val="Normalgrey"/>
            </w:pPr>
          </w:p>
        </w:tc>
        <w:tc>
          <w:tcPr>
            <w:tcW w:w="6134" w:type="dxa"/>
            <w:shd w:val="clear" w:color="auto" w:fill="F2F2F2"/>
          </w:tcPr>
          <w:p w:rsidR="005B0624" w:rsidRPr="005828FE" w:rsidRDefault="005B0624" w:rsidP="00BD7AE1">
            <w:pPr>
              <w:pStyle w:val="Normalbold"/>
            </w:pPr>
            <w:r w:rsidRPr="00ED2F29">
              <w:t>To apply relevant Australian accounting and reporting pronouncements as listed</w:t>
            </w:r>
            <w:r>
              <w:t xml:space="preserve"> </w:t>
            </w:r>
            <w:r w:rsidRPr="00ED2F29">
              <w:t>in Appendix 1. Each new or revised accounting standard is effective from its</w:t>
            </w:r>
            <w:r>
              <w:t xml:space="preserve"> </w:t>
            </w:r>
            <w:r w:rsidRPr="00ED2F29">
              <w:t>application date unless the Minister for Finance has directed or given written</w:t>
            </w:r>
            <w:r>
              <w:t xml:space="preserve"> </w:t>
            </w:r>
            <w:r w:rsidRPr="00ED2F29">
              <w:t xml:space="preserve">permission for early adoption as permitted under FRD 7A </w:t>
            </w:r>
            <w:r w:rsidRPr="00ED2F29">
              <w:rPr>
                <w:i/>
              </w:rPr>
              <w:t>Early Adoption of</w:t>
            </w:r>
            <w:r>
              <w:rPr>
                <w:i/>
              </w:rPr>
              <w:t xml:space="preserve"> </w:t>
            </w:r>
            <w:r w:rsidRPr="00ED2F29">
              <w:rPr>
                <w:i/>
              </w:rPr>
              <w:t>Authoritative Accounting Pronouncements</w:t>
            </w:r>
            <w:r w:rsidRPr="00ED2F29">
              <w:t>. Appendix 1 lists the conceptual</w:t>
            </w:r>
            <w:r>
              <w:t xml:space="preserve"> </w:t>
            </w:r>
            <w:r w:rsidRPr="00ED2F29">
              <w:t xml:space="preserve">framework, Australian accounting standards, </w:t>
            </w:r>
            <w:r w:rsidR="00B50FA9">
              <w:t>AASB </w:t>
            </w:r>
            <w:r w:rsidRPr="00ED2F29">
              <w:t>Interpretations, Standing</w:t>
            </w:r>
            <w:r>
              <w:t xml:space="preserve"> </w:t>
            </w:r>
            <w:r w:rsidRPr="00ED2F29">
              <w:t>Ministerial Directions and Financial Reporting Directions that are applicable to the </w:t>
            </w:r>
            <w:r w:rsidR="00BD7AE1" w:rsidRPr="00ED2F29">
              <w:t>201</w:t>
            </w:r>
            <w:r w:rsidR="00BD7AE1">
              <w:t>6</w:t>
            </w:r>
            <w:r w:rsidR="00BD7AE1" w:rsidRPr="00ED2F29">
              <w:t xml:space="preserve"> </w:t>
            </w:r>
            <w:r w:rsidRPr="00ED2F29">
              <w:t>-</w:t>
            </w:r>
            <w:r w:rsidR="00BD7AE1" w:rsidRPr="00ED2F29">
              <w:t>1</w:t>
            </w:r>
            <w:r w:rsidR="00BD7AE1">
              <w:t>7</w:t>
            </w:r>
            <w:r w:rsidR="00BD7AE1" w:rsidRPr="00ED2F29">
              <w:t xml:space="preserve"> </w:t>
            </w:r>
            <w:r w:rsidRPr="00ED2F29">
              <w:t>reporting period.</w:t>
            </w:r>
          </w:p>
        </w:tc>
      </w:tr>
      <w:tr w:rsidR="005B0624" w:rsidRPr="005828FE" w:rsidTr="00292A0E">
        <w:tc>
          <w:tcPr>
            <w:tcW w:w="2293" w:type="dxa"/>
          </w:tcPr>
          <w:p w:rsidR="005B0624" w:rsidRPr="00070AED" w:rsidRDefault="005B0624" w:rsidP="00070AED">
            <w:pPr>
              <w:pStyle w:val="Normalgrey"/>
            </w:pPr>
            <w:r w:rsidRPr="005828FE">
              <w:t>Guidance</w:t>
            </w:r>
          </w:p>
        </w:tc>
        <w:tc>
          <w:tcPr>
            <w:tcW w:w="270" w:type="dxa"/>
          </w:tcPr>
          <w:p w:rsidR="005B0624" w:rsidRPr="005828FE" w:rsidRDefault="005B0624" w:rsidP="00070AED">
            <w:pPr>
              <w:pStyle w:val="Normalgrey"/>
            </w:pPr>
          </w:p>
        </w:tc>
        <w:tc>
          <w:tcPr>
            <w:tcW w:w="540" w:type="dxa"/>
          </w:tcPr>
          <w:p w:rsidR="005B0624" w:rsidRPr="005828FE" w:rsidRDefault="005B0624" w:rsidP="00070AED">
            <w:pPr>
              <w:pStyle w:val="Normalgrey"/>
            </w:pPr>
          </w:p>
        </w:tc>
        <w:tc>
          <w:tcPr>
            <w:tcW w:w="6134" w:type="dxa"/>
          </w:tcPr>
          <w:p w:rsidR="005B0624" w:rsidRPr="00ED2F29" w:rsidRDefault="005B0624" w:rsidP="00070AED">
            <w:pPr>
              <w:pStyle w:val="Normalgrey"/>
            </w:pPr>
            <w:r w:rsidRPr="00ED2F29">
              <w:t xml:space="preserve">When an entity has not applied a new accounting standard that has been issued but is not yet effective, paragraph 30 of </w:t>
            </w:r>
            <w:r w:rsidR="00B50FA9">
              <w:t>AASB </w:t>
            </w:r>
            <w:r w:rsidRPr="00ED2F29">
              <w:t xml:space="preserve">108 </w:t>
            </w:r>
            <w:r w:rsidRPr="00ED2F29">
              <w:rPr>
                <w:i/>
                <w:lang w:eastAsia="en-AU"/>
              </w:rPr>
              <w:t>Accounting Policies, Changes in Accounting Estimates and Errors</w:t>
            </w:r>
            <w:r w:rsidRPr="00ED2F29">
              <w:rPr>
                <w:lang w:eastAsia="en-AU"/>
              </w:rPr>
              <w:t xml:space="preserve">  </w:t>
            </w:r>
            <w:r w:rsidRPr="00ED2F29">
              <w:t>requires the entity to disclose:</w:t>
            </w:r>
          </w:p>
          <w:p w:rsidR="005B0624" w:rsidRPr="00ED2F29" w:rsidRDefault="005B0624" w:rsidP="00070AED">
            <w:pPr>
              <w:pStyle w:val="Listnumgrey"/>
            </w:pPr>
            <w:r w:rsidRPr="00ED2F29">
              <w:t>this fact; and</w:t>
            </w:r>
          </w:p>
          <w:p w:rsidR="005B0624" w:rsidRPr="00ED2F29" w:rsidRDefault="005B0624" w:rsidP="00070AED">
            <w:pPr>
              <w:pStyle w:val="Listnumgrey"/>
            </w:pPr>
            <w:r w:rsidRPr="00ED2F29">
              <w:t xml:space="preserve">known or reasonably estimable information relevant to assessing the possible    impact that application of the new Australian Accounting Standard will have on the entity’s financial statements in the period of initial application. </w:t>
            </w:r>
          </w:p>
          <w:p w:rsidR="005B0624" w:rsidRPr="00ED2F29" w:rsidRDefault="00B50FA9" w:rsidP="00070AED">
            <w:pPr>
              <w:pStyle w:val="Normalgrey"/>
            </w:pPr>
            <w:r>
              <w:t>AASB </w:t>
            </w:r>
            <w:r w:rsidR="005B0624" w:rsidRPr="00ED2F29">
              <w:t>108.31 provides further guidance on this requirement.</w:t>
            </w:r>
          </w:p>
          <w:p w:rsidR="005B0624" w:rsidRPr="005828FE" w:rsidRDefault="005B0624" w:rsidP="00070AED">
            <w:pPr>
              <w:pStyle w:val="Normalgrey"/>
            </w:pPr>
            <w:r w:rsidRPr="00ED2F29">
              <w:t>Appendix 2 is provided to assist entities in</w:t>
            </w:r>
            <w:r w:rsidRPr="00ED2F29">
              <w:rPr>
                <w:lang w:eastAsia="en-AU"/>
              </w:rPr>
              <w:t xml:space="preserve"> </w:t>
            </w:r>
            <w:r w:rsidRPr="00ED2F29">
              <w:t>preparing their disclosure of issued but not yet effective Australian accounting</w:t>
            </w:r>
            <w:r w:rsidRPr="00ED2F29">
              <w:rPr>
                <w:lang w:eastAsia="en-AU"/>
              </w:rPr>
              <w:t xml:space="preserve"> </w:t>
            </w:r>
            <w:r w:rsidRPr="00ED2F29">
              <w:t>and reporting pronouncements in their ‘Summary of Significant Accounting Policies’ note of their financial reports. Entities should assess and disclose the potential impact of these pronouncements to their own financial statements based on their own circumstances.</w:t>
            </w:r>
          </w:p>
        </w:tc>
      </w:tr>
    </w:tbl>
    <w:p w:rsidR="00BB3036" w:rsidRDefault="00BB3036"/>
    <w:p w:rsidR="007D0339" w:rsidRPr="00ED2F29" w:rsidRDefault="007D0339" w:rsidP="00070AED">
      <w:pPr>
        <w:pStyle w:val="Heading1"/>
      </w:pPr>
      <w:r w:rsidRPr="00070AED">
        <w:lastRenderedPageBreak/>
        <w:t>Appendix</w:t>
      </w:r>
      <w:r w:rsidRPr="00DC628F">
        <w:t xml:space="preserve"> 1</w:t>
      </w:r>
    </w:p>
    <w:p w:rsidR="007D0339" w:rsidRPr="00ED2F29" w:rsidRDefault="00070AED" w:rsidP="00070AED">
      <w:pPr>
        <w:pStyle w:val="Heading2"/>
      </w:pPr>
      <w:r w:rsidRPr="00DC628F">
        <w:t xml:space="preserve">Currently effective </w:t>
      </w:r>
      <w:r w:rsidR="00AA0C23">
        <w:t>A</w:t>
      </w:r>
      <w:r w:rsidRPr="00DC628F">
        <w:t xml:space="preserve">ustralian accounting and reporting pronouncements </w:t>
      </w:r>
    </w:p>
    <w:tbl>
      <w:tblPr>
        <w:tblStyle w:val="DTFtexttable"/>
        <w:tblW w:w="9237" w:type="dxa"/>
        <w:tblLook w:val="0020" w:firstRow="1" w:lastRow="0" w:firstColumn="0" w:lastColumn="0" w:noHBand="0" w:noVBand="0"/>
      </w:tblPr>
      <w:tblGrid>
        <w:gridCol w:w="1227"/>
        <w:gridCol w:w="1620"/>
        <w:gridCol w:w="6390"/>
      </w:tblGrid>
      <w:tr w:rsidR="00E23BA2" w:rsidRPr="00ED2F29" w:rsidTr="001A600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070AED">
            <w:pPr>
              <w:pStyle w:val="Tableheader"/>
            </w:pPr>
            <w:r w:rsidRPr="00DC628F">
              <w:t>Framework</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0AED" w:rsidP="00070AED">
            <w:pPr>
              <w:pStyle w:val="Tableheader"/>
            </w:pPr>
            <w:r>
              <w:t>Issued</w:t>
            </w:r>
            <w:r w:rsidR="00E23BA2" w:rsidRPr="00DC628F">
              <w:t>/amended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070AED">
            <w:pPr>
              <w:pStyle w:val="Tableheader"/>
            </w:pPr>
            <w:r w:rsidRPr="00DC628F">
              <w:t xml:space="preserve">Conceptual </w:t>
            </w:r>
            <w:r w:rsidR="00070AED">
              <w:t>f</w:t>
            </w:r>
            <w:r w:rsidRPr="00DC628F">
              <w:t>ramework</w:t>
            </w:r>
            <w:r w:rsidR="00070AED">
              <w:t xml:space="preserve"> t</w:t>
            </w:r>
            <w:r w:rsidRPr="00DC628F">
              <w:t>itle</w:t>
            </w:r>
          </w:p>
        </w:tc>
      </w:tr>
      <w:tr w:rsidR="00E23BA2" w:rsidRPr="00070AED"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070AED" w:rsidRDefault="001C3199" w:rsidP="00070AED">
            <w:pPr>
              <w:pStyle w:val="Tabletext"/>
            </w:pPr>
            <w:r w:rsidRPr="00070AED">
              <w:t>CF</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070AED" w:rsidRDefault="00A70716" w:rsidP="00070AED">
            <w:pPr>
              <w:pStyle w:val="Tabletext"/>
            </w:pPr>
            <w:r w:rsidRPr="00070AED">
              <w:t>Jun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070AED" w:rsidRDefault="00E23BA2" w:rsidP="00070AED">
            <w:pPr>
              <w:pStyle w:val="Tabletext"/>
            </w:pPr>
            <w:r w:rsidRPr="00070AED">
              <w:t xml:space="preserve">Framework for the Preparation and Presentation of Financial Statements </w:t>
            </w:r>
          </w:p>
        </w:tc>
      </w:tr>
      <w:tr w:rsidR="001C3199" w:rsidRPr="00070AED"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1C3199" w:rsidRPr="00070AED" w:rsidRDefault="001C3199" w:rsidP="00070AED">
            <w:pPr>
              <w:pStyle w:val="Tabletext"/>
            </w:pPr>
            <w:r w:rsidRPr="00070AED">
              <w:t>CF 2013-1</w:t>
            </w:r>
          </w:p>
        </w:tc>
        <w:tc>
          <w:tcPr>
            <w:cnfStyle w:val="000001000000" w:firstRow="0" w:lastRow="0" w:firstColumn="0" w:lastColumn="0" w:oddVBand="0" w:evenVBand="1" w:oddHBand="0" w:evenHBand="0" w:firstRowFirstColumn="0" w:firstRowLastColumn="0" w:lastRowFirstColumn="0" w:lastRowLastColumn="0"/>
            <w:tcW w:w="1620" w:type="dxa"/>
          </w:tcPr>
          <w:p w:rsidR="001C3199" w:rsidRPr="00070AED" w:rsidRDefault="001C3199" w:rsidP="00070AED">
            <w:pPr>
              <w:pStyle w:val="Tabletext"/>
            </w:pPr>
            <w:r w:rsidRPr="00070AED">
              <w:t>Dec 2013</w:t>
            </w:r>
          </w:p>
        </w:tc>
        <w:tc>
          <w:tcPr>
            <w:cnfStyle w:val="000010000000" w:firstRow="0" w:lastRow="0" w:firstColumn="0" w:lastColumn="0" w:oddVBand="1" w:evenVBand="0" w:oddHBand="0" w:evenHBand="0" w:firstRowFirstColumn="0" w:firstRowLastColumn="0" w:lastRowFirstColumn="0" w:lastRowLastColumn="0"/>
            <w:tcW w:w="6390" w:type="dxa"/>
          </w:tcPr>
          <w:p w:rsidR="001C3199" w:rsidRPr="00070AED" w:rsidRDefault="001C3199" w:rsidP="00070AED">
            <w:pPr>
              <w:pStyle w:val="Tabletext"/>
            </w:pPr>
            <w:r w:rsidRPr="00070AED">
              <w:t>Amendments to the Australian Conceptual Framework</w:t>
            </w:r>
          </w:p>
        </w:tc>
      </w:tr>
      <w:tr w:rsidR="00E23BA2" w:rsidRPr="00070AED"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070AED" w:rsidRDefault="00E23BA2" w:rsidP="00070AED">
            <w:pPr>
              <w:pStyle w:val="Tabletext"/>
            </w:pPr>
            <w:r w:rsidRPr="00070AED">
              <w:t>SAC 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070AED" w:rsidRDefault="00E23BA2" w:rsidP="00070AED">
            <w:pPr>
              <w:pStyle w:val="Tabletext"/>
            </w:pPr>
            <w:r w:rsidRPr="00070AED">
              <w:t>Aug 1990</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070AED" w:rsidRDefault="00E23BA2" w:rsidP="00070AED">
            <w:pPr>
              <w:pStyle w:val="Tabletext"/>
            </w:pPr>
            <w:r w:rsidRPr="00070AED">
              <w:t>Definition of the Reporting Entity</w:t>
            </w:r>
          </w:p>
        </w:tc>
      </w:tr>
    </w:tbl>
    <w:p w:rsidR="00070AED" w:rsidRDefault="00070AED"/>
    <w:tbl>
      <w:tblPr>
        <w:tblStyle w:val="DTFtexttable"/>
        <w:tblW w:w="9237" w:type="dxa"/>
        <w:tblLook w:val="0420" w:firstRow="1" w:lastRow="0" w:firstColumn="0" w:lastColumn="0" w:noHBand="0" w:noVBand="1"/>
      </w:tblPr>
      <w:tblGrid>
        <w:gridCol w:w="1227"/>
        <w:gridCol w:w="1620"/>
        <w:gridCol w:w="6390"/>
      </w:tblGrid>
      <w:tr w:rsidR="00E23BA2" w:rsidRPr="00ED2F29" w:rsidTr="00D104D9">
        <w:trPr>
          <w:cnfStyle w:val="100000000000" w:firstRow="1" w:lastRow="0" w:firstColumn="0" w:lastColumn="0" w:oddVBand="0" w:evenVBand="0" w:oddHBand="0" w:evenHBand="0" w:firstRowFirstColumn="0" w:firstRowLastColumn="0" w:lastRowFirstColumn="0" w:lastRowLastColumn="0"/>
        </w:trPr>
        <w:tc>
          <w:tcPr>
            <w:tcW w:w="1227" w:type="dxa"/>
          </w:tcPr>
          <w:p w:rsidR="00E23BA2" w:rsidRPr="00ED2F29" w:rsidRDefault="00E23BA2" w:rsidP="00B31300">
            <w:r w:rsidRPr="00DC628F">
              <w:t>AASB</w:t>
            </w:r>
          </w:p>
        </w:tc>
        <w:tc>
          <w:tcPr>
            <w:tcW w:w="1620" w:type="dxa"/>
          </w:tcPr>
          <w:p w:rsidR="00E23BA2" w:rsidRPr="00ED2F29" w:rsidRDefault="00E23BA2" w:rsidP="00070AED">
            <w:r w:rsidRPr="00DC628F">
              <w:t>Issued/amended</w:t>
            </w:r>
          </w:p>
        </w:tc>
        <w:tc>
          <w:tcPr>
            <w:tcW w:w="6390" w:type="dxa"/>
          </w:tcPr>
          <w:p w:rsidR="00E23BA2" w:rsidRPr="00ED2F29" w:rsidRDefault="00E23BA2" w:rsidP="00070AED">
            <w:r w:rsidRPr="00DC628F">
              <w:t>Australian Accounting Standards Board’s Standards (AASB)</w:t>
            </w:r>
            <w:r w:rsidR="00070AED">
              <w:t xml:space="preserve"> </w:t>
            </w:r>
            <w:r w:rsidR="00070AED" w:rsidRPr="00DC628F">
              <w:t>title</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w:t>
            </w:r>
          </w:p>
        </w:tc>
        <w:tc>
          <w:tcPr>
            <w:tcW w:w="1620" w:type="dxa"/>
          </w:tcPr>
          <w:p w:rsidR="00E23BA2" w:rsidRPr="00ED2F29" w:rsidRDefault="00CD5C9B" w:rsidP="00B40846">
            <w:pPr>
              <w:pStyle w:val="Tabletext"/>
            </w:pPr>
            <w:r>
              <w:t>J</w:t>
            </w:r>
            <w:r w:rsidR="00206AD3">
              <w:t>un</w:t>
            </w:r>
            <w:r>
              <w:t xml:space="preserve"> 201</w:t>
            </w:r>
            <w:r w:rsidR="00B40846">
              <w:t>5</w:t>
            </w:r>
          </w:p>
        </w:tc>
        <w:tc>
          <w:tcPr>
            <w:tcW w:w="6390" w:type="dxa"/>
          </w:tcPr>
          <w:p w:rsidR="00E23BA2" w:rsidRPr="005430AC" w:rsidRDefault="00E23BA2" w:rsidP="00070AED">
            <w:pPr>
              <w:pStyle w:val="Tabletext"/>
              <w:rPr>
                <w:lang w:eastAsia="en-AU"/>
              </w:rPr>
            </w:pPr>
            <w:r w:rsidRPr="005430AC">
              <w:t xml:space="preserve">First-time Adoption of Australian Accounting Standards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2</w:t>
            </w:r>
          </w:p>
        </w:tc>
        <w:tc>
          <w:tcPr>
            <w:tcW w:w="1620" w:type="dxa"/>
          </w:tcPr>
          <w:p w:rsidR="00E23BA2" w:rsidRPr="00ED2F29" w:rsidRDefault="00CD5C9B" w:rsidP="00206AD3">
            <w:pPr>
              <w:pStyle w:val="Tabletext"/>
            </w:pPr>
            <w:r>
              <w:t>J</w:t>
            </w:r>
            <w:r w:rsidR="00206AD3">
              <w:t>an</w:t>
            </w:r>
            <w:r>
              <w:t xml:space="preserve"> 2015</w:t>
            </w:r>
          </w:p>
        </w:tc>
        <w:tc>
          <w:tcPr>
            <w:tcW w:w="6390" w:type="dxa"/>
          </w:tcPr>
          <w:p w:rsidR="00E23BA2" w:rsidRPr="005430AC" w:rsidRDefault="008D4491" w:rsidP="00070AED">
            <w:pPr>
              <w:pStyle w:val="Tabletext"/>
            </w:pPr>
            <w:r w:rsidRPr="005430AC">
              <w:rPr>
                <w:lang w:eastAsia="en-AU"/>
              </w:rPr>
              <w:t>Share-based Payment</w:t>
            </w:r>
            <w:r w:rsidR="00292A0E" w:rsidRPr="005430AC">
              <w:rPr>
                <w:lang w:eastAsia="en-AU"/>
              </w:rPr>
              <w:t xml:space="preserve"> </w:t>
            </w:r>
            <w:r w:rsidRPr="005430AC">
              <w:rPr>
                <w:vertAlign w:val="superscript"/>
                <w:lang w:eastAsia="en-AU"/>
              </w:rPr>
              <w:t>1</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3</w:t>
            </w:r>
          </w:p>
        </w:tc>
        <w:tc>
          <w:tcPr>
            <w:tcW w:w="1620" w:type="dxa"/>
          </w:tcPr>
          <w:p w:rsidR="00E23BA2" w:rsidRPr="00ED2F29" w:rsidRDefault="00B40846" w:rsidP="00B40846">
            <w:pPr>
              <w:pStyle w:val="Tabletext"/>
            </w:pPr>
            <w:r>
              <w:t>Jan</w:t>
            </w:r>
            <w:r w:rsidR="00CD5C9B">
              <w:t xml:space="preserve"> 2015</w:t>
            </w:r>
          </w:p>
        </w:tc>
        <w:tc>
          <w:tcPr>
            <w:tcW w:w="6390" w:type="dxa"/>
          </w:tcPr>
          <w:p w:rsidR="00E23BA2" w:rsidRPr="005430AC" w:rsidRDefault="00E23BA2" w:rsidP="008D4491">
            <w:pPr>
              <w:pStyle w:val="Tabletext"/>
              <w:rPr>
                <w:lang w:eastAsia="en-AU"/>
              </w:rPr>
            </w:pPr>
            <w:r w:rsidRPr="005430AC">
              <w:rPr>
                <w:lang w:eastAsia="en-AU"/>
              </w:rPr>
              <w:t>Business Combinations</w:t>
            </w:r>
            <w:r w:rsidR="00292A0E" w:rsidRPr="005430AC">
              <w:rPr>
                <w:lang w:eastAsia="en-AU"/>
              </w:rPr>
              <w:t xml:space="preserve"> </w:t>
            </w:r>
            <w:r w:rsidR="008D4491" w:rsidRPr="005430AC">
              <w:rPr>
                <w:vertAlign w:val="superscript"/>
                <w:lang w:eastAsia="en-AU"/>
              </w:rPr>
              <w:t>1</w:t>
            </w:r>
            <w:r w:rsidRPr="005430AC">
              <w:rPr>
                <w:lang w:eastAsia="en-AU"/>
              </w:rPr>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4</w:t>
            </w:r>
          </w:p>
        </w:tc>
        <w:tc>
          <w:tcPr>
            <w:tcW w:w="1620" w:type="dxa"/>
          </w:tcPr>
          <w:p w:rsidR="00E23BA2" w:rsidRPr="00ED2F29" w:rsidRDefault="002742C2" w:rsidP="00206AD3">
            <w:pPr>
              <w:pStyle w:val="Tabletext"/>
            </w:pPr>
            <w:r w:rsidRPr="00DC628F">
              <w:t>Dec</w:t>
            </w:r>
            <w:r w:rsidR="008B7B41" w:rsidRPr="00DC628F">
              <w:t xml:space="preserve"> 201</w:t>
            </w:r>
            <w:r w:rsidRPr="00DC628F">
              <w:t>3</w:t>
            </w:r>
          </w:p>
        </w:tc>
        <w:tc>
          <w:tcPr>
            <w:tcW w:w="6390" w:type="dxa"/>
          </w:tcPr>
          <w:p w:rsidR="00E23BA2" w:rsidRPr="005430AC" w:rsidRDefault="008D4491" w:rsidP="005430AC">
            <w:pPr>
              <w:pStyle w:val="Tabletext"/>
            </w:pPr>
            <w:r w:rsidRPr="005430AC">
              <w:rPr>
                <w:lang w:eastAsia="en-AU"/>
              </w:rPr>
              <w:t xml:space="preserve">Insurance </w:t>
            </w:r>
            <w:r w:rsidR="005430AC" w:rsidRPr="005430AC">
              <w:rPr>
                <w:lang w:eastAsia="en-AU"/>
              </w:rPr>
              <w:t>Contracts</w:t>
            </w:r>
            <w:r w:rsidR="00FC58E4">
              <w:rPr>
                <w:lang w:eastAsia="en-AU"/>
              </w:rPr>
              <w:t xml:space="preserve"> </w:t>
            </w:r>
            <w:r w:rsidR="005430AC" w:rsidRPr="005430AC">
              <w:rPr>
                <w:vertAlign w:val="superscript"/>
                <w:lang w:eastAsia="en-AU"/>
              </w:rPr>
              <w:t>1</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5</w:t>
            </w:r>
          </w:p>
        </w:tc>
        <w:tc>
          <w:tcPr>
            <w:tcW w:w="1620" w:type="dxa"/>
          </w:tcPr>
          <w:p w:rsidR="00E23BA2" w:rsidRPr="00ED2F29" w:rsidRDefault="00B40846" w:rsidP="00070AED">
            <w:pPr>
              <w:pStyle w:val="Tabletext"/>
            </w:pPr>
            <w:r>
              <w:t>Jan 2015</w:t>
            </w:r>
            <w:r w:rsidR="00E23BA2" w:rsidRPr="00DC628F">
              <w:t xml:space="preserve"> </w:t>
            </w:r>
          </w:p>
        </w:tc>
        <w:tc>
          <w:tcPr>
            <w:tcW w:w="6390" w:type="dxa"/>
          </w:tcPr>
          <w:p w:rsidR="00E23BA2" w:rsidRPr="005430AC" w:rsidRDefault="00E23BA2" w:rsidP="00070AED">
            <w:pPr>
              <w:pStyle w:val="Tabletext"/>
            </w:pPr>
            <w:r w:rsidRPr="005430AC">
              <w:rPr>
                <w:lang w:eastAsia="en-AU"/>
              </w:rPr>
              <w:t xml:space="preserve">Non-current Assets Held for Sale and Discontinued Operations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6</w:t>
            </w:r>
          </w:p>
        </w:tc>
        <w:tc>
          <w:tcPr>
            <w:tcW w:w="1620" w:type="dxa"/>
          </w:tcPr>
          <w:p w:rsidR="00E23BA2" w:rsidRPr="00ED2F29" w:rsidRDefault="00CD5C9B" w:rsidP="00070AED">
            <w:pPr>
              <w:pStyle w:val="Tabletext"/>
            </w:pPr>
            <w:r>
              <w:t>Aug 2015</w:t>
            </w:r>
          </w:p>
        </w:tc>
        <w:tc>
          <w:tcPr>
            <w:tcW w:w="6390" w:type="dxa"/>
          </w:tcPr>
          <w:p w:rsidR="00E23BA2" w:rsidRPr="005430AC" w:rsidRDefault="00E23BA2" w:rsidP="00070AED">
            <w:pPr>
              <w:pStyle w:val="Tabletext"/>
            </w:pPr>
            <w:r w:rsidRPr="005430AC">
              <w:t xml:space="preserve">Exploration for and Evaluation of Mineral Resources </w:t>
            </w:r>
            <w:r w:rsidR="008D4491" w:rsidRPr="005430AC">
              <w:rPr>
                <w:vertAlign w:val="superscript"/>
              </w:rPr>
              <w:t>1</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7</w:t>
            </w:r>
          </w:p>
        </w:tc>
        <w:tc>
          <w:tcPr>
            <w:tcW w:w="1620" w:type="dxa"/>
          </w:tcPr>
          <w:p w:rsidR="00E23BA2" w:rsidRPr="00ED2F29" w:rsidDel="00D04C62" w:rsidRDefault="00B40846" w:rsidP="00B40846">
            <w:pPr>
              <w:pStyle w:val="Tabletext"/>
            </w:pPr>
            <w:r>
              <w:t>Jan</w:t>
            </w:r>
            <w:r w:rsidR="00CD5C9B">
              <w:t xml:space="preserve"> 2015</w:t>
            </w:r>
          </w:p>
        </w:tc>
        <w:tc>
          <w:tcPr>
            <w:tcW w:w="6390" w:type="dxa"/>
          </w:tcPr>
          <w:p w:rsidR="00E23BA2" w:rsidRPr="005430AC" w:rsidRDefault="00E23BA2" w:rsidP="00070AED">
            <w:pPr>
              <w:pStyle w:val="Tabletext"/>
            </w:pPr>
            <w:r w:rsidRPr="005430AC">
              <w:t xml:space="preserve">Financial Instruments: Disclosures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8</w:t>
            </w:r>
          </w:p>
        </w:tc>
        <w:tc>
          <w:tcPr>
            <w:tcW w:w="1620" w:type="dxa"/>
          </w:tcPr>
          <w:p w:rsidR="00E23BA2" w:rsidRPr="00ED2F29" w:rsidRDefault="00CD5C9B" w:rsidP="00070AED">
            <w:pPr>
              <w:pStyle w:val="Tabletext"/>
            </w:pPr>
            <w:r>
              <w:t>Nov 2015</w:t>
            </w:r>
          </w:p>
        </w:tc>
        <w:tc>
          <w:tcPr>
            <w:tcW w:w="6390" w:type="dxa"/>
          </w:tcPr>
          <w:p w:rsidR="00E23BA2" w:rsidRPr="005430AC" w:rsidRDefault="00E23BA2" w:rsidP="00070AED">
            <w:pPr>
              <w:pStyle w:val="Tabletext"/>
              <w:rPr>
                <w:lang w:eastAsia="en-AU"/>
              </w:rPr>
            </w:pPr>
            <w:r w:rsidRPr="005430AC">
              <w:rPr>
                <w:lang w:eastAsia="en-AU"/>
              </w:rPr>
              <w:t xml:space="preserve">Operating Segments </w:t>
            </w:r>
            <w:r w:rsidR="008D4491" w:rsidRPr="005430AC">
              <w:rPr>
                <w:vertAlign w:val="superscript"/>
                <w:lang w:eastAsia="en-AU"/>
              </w:rPr>
              <w:t>1</w:t>
            </w:r>
            <w:r w:rsidRPr="005430AC">
              <w:rPr>
                <w:lang w:eastAsia="en-AU"/>
              </w:rPr>
              <w:t xml:space="preserve">  </w:t>
            </w:r>
          </w:p>
        </w:tc>
      </w:tr>
      <w:tr w:rsidR="004C4890"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4C4890" w:rsidRPr="00ED2F29" w:rsidRDefault="004C4890" w:rsidP="00070AED">
            <w:pPr>
              <w:pStyle w:val="Tabletext"/>
            </w:pPr>
            <w:r w:rsidRPr="00DC628F">
              <w:t>10</w:t>
            </w:r>
          </w:p>
        </w:tc>
        <w:tc>
          <w:tcPr>
            <w:tcW w:w="1620" w:type="dxa"/>
          </w:tcPr>
          <w:p w:rsidR="004C4890" w:rsidRPr="00ED2F29" w:rsidRDefault="00CD5C9B" w:rsidP="00070AED">
            <w:pPr>
              <w:pStyle w:val="Tabletext"/>
            </w:pPr>
            <w:r>
              <w:t>Dec 2015</w:t>
            </w:r>
          </w:p>
        </w:tc>
        <w:tc>
          <w:tcPr>
            <w:tcW w:w="6390" w:type="dxa"/>
          </w:tcPr>
          <w:p w:rsidR="004C4890" w:rsidRPr="005430AC" w:rsidRDefault="004C4890" w:rsidP="00070AED">
            <w:pPr>
              <w:pStyle w:val="Tabletext"/>
            </w:pPr>
            <w:r w:rsidRPr="005430AC">
              <w:t xml:space="preserve">Consolidated Financial Statements </w:t>
            </w:r>
          </w:p>
        </w:tc>
      </w:tr>
      <w:tr w:rsidR="004C4890"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4C4890" w:rsidRPr="00ED2F29" w:rsidRDefault="004C4890" w:rsidP="00070AED">
            <w:pPr>
              <w:pStyle w:val="Tabletext"/>
            </w:pPr>
            <w:r w:rsidRPr="00DC628F">
              <w:t>11</w:t>
            </w:r>
          </w:p>
        </w:tc>
        <w:tc>
          <w:tcPr>
            <w:tcW w:w="1620" w:type="dxa"/>
          </w:tcPr>
          <w:p w:rsidR="004C4890" w:rsidRPr="00ED2F29" w:rsidRDefault="00CD5C9B" w:rsidP="00070AED">
            <w:pPr>
              <w:pStyle w:val="Tabletext"/>
            </w:pPr>
            <w:r>
              <w:t>Jul 2015</w:t>
            </w:r>
          </w:p>
        </w:tc>
        <w:tc>
          <w:tcPr>
            <w:tcW w:w="6390" w:type="dxa"/>
          </w:tcPr>
          <w:p w:rsidR="004C4890" w:rsidRPr="00ED2F29" w:rsidRDefault="004C4890" w:rsidP="00070AED">
            <w:pPr>
              <w:pStyle w:val="Tabletext"/>
            </w:pPr>
            <w:r w:rsidRPr="00DC628F">
              <w:t>Joint Arrangements</w:t>
            </w:r>
            <w:r w:rsidR="005D2012" w:rsidRPr="00DC628F">
              <w:t xml:space="preserve"> </w:t>
            </w:r>
          </w:p>
        </w:tc>
      </w:tr>
      <w:tr w:rsidR="004C4890"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4C4890" w:rsidRPr="00ED2F29" w:rsidRDefault="004C4890" w:rsidP="00070AED">
            <w:pPr>
              <w:pStyle w:val="Tabletext"/>
            </w:pPr>
            <w:r w:rsidRPr="00DC628F">
              <w:t>12</w:t>
            </w:r>
          </w:p>
        </w:tc>
        <w:tc>
          <w:tcPr>
            <w:tcW w:w="1620" w:type="dxa"/>
          </w:tcPr>
          <w:p w:rsidR="004C4890" w:rsidRPr="00ED2F29" w:rsidRDefault="00B40846" w:rsidP="00070AED">
            <w:pPr>
              <w:pStyle w:val="Tabletext"/>
            </w:pPr>
            <w:r>
              <w:t>Aug 2015</w:t>
            </w:r>
          </w:p>
        </w:tc>
        <w:tc>
          <w:tcPr>
            <w:tcW w:w="6390" w:type="dxa"/>
          </w:tcPr>
          <w:p w:rsidR="004C4890" w:rsidRPr="00ED2F29" w:rsidRDefault="004C4890" w:rsidP="00070AED">
            <w:pPr>
              <w:pStyle w:val="Tabletext"/>
            </w:pPr>
            <w:r w:rsidRPr="00DC628F">
              <w:t>Disclosure of Interests in Other Entities</w:t>
            </w:r>
            <w:r w:rsidR="005D2012" w:rsidRPr="00DC628F">
              <w:t xml:space="preserve"> </w:t>
            </w:r>
          </w:p>
        </w:tc>
      </w:tr>
      <w:tr w:rsidR="008B7B41"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8B7B41" w:rsidRPr="0063563D" w:rsidRDefault="008B7B41" w:rsidP="00070AED">
            <w:pPr>
              <w:pStyle w:val="Tabletext"/>
            </w:pPr>
            <w:r w:rsidRPr="0063563D">
              <w:t>13</w:t>
            </w:r>
          </w:p>
        </w:tc>
        <w:tc>
          <w:tcPr>
            <w:tcW w:w="1620" w:type="dxa"/>
          </w:tcPr>
          <w:p w:rsidR="008B7B41" w:rsidRPr="0063563D" w:rsidRDefault="00B40846" w:rsidP="00B40846">
            <w:pPr>
              <w:pStyle w:val="Tabletext"/>
            </w:pPr>
            <w:r>
              <w:t>Jul</w:t>
            </w:r>
            <w:r w:rsidR="00CD5C9B">
              <w:t xml:space="preserve"> 2015</w:t>
            </w:r>
          </w:p>
        </w:tc>
        <w:tc>
          <w:tcPr>
            <w:tcW w:w="6390" w:type="dxa"/>
          </w:tcPr>
          <w:p w:rsidR="008B7B41" w:rsidRPr="0063563D" w:rsidRDefault="008B7B41" w:rsidP="00410FA3">
            <w:pPr>
              <w:pStyle w:val="Tabletext"/>
              <w:rPr>
                <w:lang w:eastAsia="en-AU"/>
              </w:rPr>
            </w:pPr>
            <w:r w:rsidRPr="00297D60">
              <w:t>Fair Value Measurement</w:t>
            </w:r>
            <w:r w:rsidR="005430AC">
              <w:t xml:space="preserve"> </w:t>
            </w:r>
            <w:r w:rsidR="00410FA3">
              <w:rPr>
                <w:vertAlign w:val="superscript"/>
              </w:rPr>
              <w:t>2</w:t>
            </w:r>
          </w:p>
        </w:tc>
      </w:tr>
      <w:tr w:rsidR="008B1839"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8B1839" w:rsidRPr="0063563D" w:rsidRDefault="008B1839" w:rsidP="00070AED">
            <w:pPr>
              <w:pStyle w:val="Tabletext"/>
            </w:pPr>
            <w:r>
              <w:t>14</w:t>
            </w:r>
          </w:p>
        </w:tc>
        <w:tc>
          <w:tcPr>
            <w:tcW w:w="1620" w:type="dxa"/>
          </w:tcPr>
          <w:p w:rsidR="008B1839" w:rsidRPr="0063563D" w:rsidDel="00CD5C9B" w:rsidRDefault="008B1839" w:rsidP="00070AED">
            <w:pPr>
              <w:pStyle w:val="Tabletext"/>
            </w:pPr>
            <w:r>
              <w:t>June 2014</w:t>
            </w:r>
          </w:p>
        </w:tc>
        <w:tc>
          <w:tcPr>
            <w:tcW w:w="6390" w:type="dxa"/>
          </w:tcPr>
          <w:p w:rsidR="008B1839" w:rsidRPr="001F419B" w:rsidRDefault="001F419B" w:rsidP="00410FA3">
            <w:pPr>
              <w:pStyle w:val="Tabletext"/>
              <w:rPr>
                <w:vertAlign w:val="superscript"/>
              </w:rPr>
            </w:pPr>
            <w:r>
              <w:t xml:space="preserve">Regulatory Deferral Accounts </w:t>
            </w:r>
            <w:r>
              <w:rPr>
                <w:vertAlign w:val="superscript"/>
              </w:rPr>
              <w:t>1</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101</w:t>
            </w:r>
          </w:p>
        </w:tc>
        <w:tc>
          <w:tcPr>
            <w:tcW w:w="1620" w:type="dxa"/>
          </w:tcPr>
          <w:p w:rsidR="00E23BA2" w:rsidRPr="00ED2F29" w:rsidRDefault="00B40846" w:rsidP="00B40846">
            <w:pPr>
              <w:pStyle w:val="Tabletext"/>
            </w:pPr>
            <w:r>
              <w:t>A</w:t>
            </w:r>
            <w:r w:rsidR="009C4E67">
              <w:t>ug</w:t>
            </w:r>
            <w:r w:rsidR="00CD5C9B">
              <w:t xml:space="preserve"> 2015</w:t>
            </w:r>
          </w:p>
        </w:tc>
        <w:tc>
          <w:tcPr>
            <w:tcW w:w="6390" w:type="dxa"/>
          </w:tcPr>
          <w:p w:rsidR="00E23BA2" w:rsidRPr="00ED2F29" w:rsidRDefault="00E23BA2" w:rsidP="00070AED">
            <w:pPr>
              <w:pStyle w:val="Tabletext"/>
              <w:rPr>
                <w:lang w:eastAsia="en-AU"/>
              </w:rPr>
            </w:pPr>
            <w:r w:rsidRPr="00DC628F">
              <w:rPr>
                <w:lang w:eastAsia="en-AU"/>
              </w:rPr>
              <w:t xml:space="preserve">Presentation of Financial Statements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102</w:t>
            </w:r>
          </w:p>
        </w:tc>
        <w:tc>
          <w:tcPr>
            <w:tcW w:w="1620" w:type="dxa"/>
          </w:tcPr>
          <w:p w:rsidR="00E23BA2" w:rsidRPr="00ED2F29" w:rsidRDefault="008B7B41" w:rsidP="00070AED">
            <w:pPr>
              <w:pStyle w:val="Tabletext"/>
            </w:pPr>
            <w:r w:rsidRPr="00DC628F">
              <w:t>Dec 201</w:t>
            </w:r>
            <w:r w:rsidR="000E65D3" w:rsidRPr="00DC628F">
              <w:t>3</w:t>
            </w:r>
          </w:p>
        </w:tc>
        <w:tc>
          <w:tcPr>
            <w:tcW w:w="6390" w:type="dxa"/>
          </w:tcPr>
          <w:p w:rsidR="00E23BA2" w:rsidRPr="00ED2F29" w:rsidRDefault="00E23BA2" w:rsidP="00070AED">
            <w:pPr>
              <w:pStyle w:val="Tabletext"/>
            </w:pPr>
            <w:r w:rsidRPr="00DC628F">
              <w:t xml:space="preserve">Inventories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107</w:t>
            </w:r>
          </w:p>
        </w:tc>
        <w:tc>
          <w:tcPr>
            <w:tcW w:w="1620" w:type="dxa"/>
          </w:tcPr>
          <w:p w:rsidR="00E23BA2" w:rsidRPr="00ED2F29" w:rsidRDefault="00B40846" w:rsidP="00B40846">
            <w:pPr>
              <w:pStyle w:val="Tabletext"/>
            </w:pPr>
            <w:r>
              <w:t>Aug 2015</w:t>
            </w:r>
          </w:p>
        </w:tc>
        <w:tc>
          <w:tcPr>
            <w:tcW w:w="6390" w:type="dxa"/>
          </w:tcPr>
          <w:p w:rsidR="00E23BA2" w:rsidRPr="00ED2F29" w:rsidRDefault="00E23BA2" w:rsidP="00070AED">
            <w:pPr>
              <w:pStyle w:val="Tabletext"/>
            </w:pPr>
            <w:r w:rsidRPr="00DC628F">
              <w:t xml:space="preserve">Statement of Cash Flows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108</w:t>
            </w:r>
          </w:p>
        </w:tc>
        <w:tc>
          <w:tcPr>
            <w:tcW w:w="1620" w:type="dxa"/>
          </w:tcPr>
          <w:p w:rsidR="00E23BA2" w:rsidRPr="00ED2F29" w:rsidRDefault="00D236E5" w:rsidP="00070AED">
            <w:pPr>
              <w:pStyle w:val="Tabletext"/>
            </w:pPr>
            <w:r>
              <w:t>Jan 2015</w:t>
            </w:r>
          </w:p>
        </w:tc>
        <w:tc>
          <w:tcPr>
            <w:tcW w:w="6390" w:type="dxa"/>
          </w:tcPr>
          <w:p w:rsidR="00E23BA2" w:rsidRPr="00ED2F29" w:rsidRDefault="00E23BA2" w:rsidP="00070AED">
            <w:pPr>
              <w:pStyle w:val="Tabletext"/>
            </w:pPr>
            <w:r w:rsidRPr="00DC628F">
              <w:t xml:space="preserve">Accounting Policies, Changes in Accounting Estimates and Errors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110</w:t>
            </w:r>
          </w:p>
        </w:tc>
        <w:tc>
          <w:tcPr>
            <w:tcW w:w="1620" w:type="dxa"/>
          </w:tcPr>
          <w:p w:rsidR="00E23BA2" w:rsidRPr="00ED2F29" w:rsidRDefault="00F33B81" w:rsidP="00070AED">
            <w:pPr>
              <w:pStyle w:val="Tabletext"/>
            </w:pPr>
            <w:r>
              <w:t>Jan 2015</w:t>
            </w:r>
          </w:p>
        </w:tc>
        <w:tc>
          <w:tcPr>
            <w:tcW w:w="6390" w:type="dxa"/>
          </w:tcPr>
          <w:p w:rsidR="00E23BA2" w:rsidRPr="00ED2F29" w:rsidRDefault="00E23BA2" w:rsidP="00070AED">
            <w:pPr>
              <w:pStyle w:val="Tabletext"/>
            </w:pPr>
            <w:r w:rsidRPr="00DC628F">
              <w:t xml:space="preserve">Events after the Reporting Period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111</w:t>
            </w:r>
          </w:p>
        </w:tc>
        <w:tc>
          <w:tcPr>
            <w:tcW w:w="1620" w:type="dxa"/>
          </w:tcPr>
          <w:p w:rsidR="00E23BA2" w:rsidRPr="00ED2F29" w:rsidRDefault="00F33B81" w:rsidP="00070AED">
            <w:pPr>
              <w:pStyle w:val="Tabletext"/>
            </w:pPr>
            <w:r>
              <w:t>Jan 2015</w:t>
            </w:r>
          </w:p>
        </w:tc>
        <w:tc>
          <w:tcPr>
            <w:tcW w:w="6390" w:type="dxa"/>
          </w:tcPr>
          <w:p w:rsidR="00E23BA2" w:rsidRPr="00ED2F29" w:rsidRDefault="00E23BA2" w:rsidP="00070AED">
            <w:pPr>
              <w:pStyle w:val="Tabletext"/>
            </w:pPr>
            <w:r w:rsidRPr="00DC628F">
              <w:t xml:space="preserve">Construction Contracts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112</w:t>
            </w:r>
          </w:p>
        </w:tc>
        <w:tc>
          <w:tcPr>
            <w:tcW w:w="1620" w:type="dxa"/>
          </w:tcPr>
          <w:p w:rsidR="00E23BA2" w:rsidRPr="00ED2F29" w:rsidRDefault="008B7B41" w:rsidP="00070AED">
            <w:pPr>
              <w:pStyle w:val="Tabletext"/>
            </w:pPr>
            <w:r w:rsidRPr="00DC628F">
              <w:t>Dec 201</w:t>
            </w:r>
            <w:r w:rsidR="000E65D3" w:rsidRPr="00DC628F">
              <w:t>3</w:t>
            </w:r>
          </w:p>
        </w:tc>
        <w:tc>
          <w:tcPr>
            <w:tcW w:w="6390" w:type="dxa"/>
          </w:tcPr>
          <w:p w:rsidR="00E23BA2" w:rsidRPr="00ED2F29" w:rsidRDefault="00E23BA2" w:rsidP="00070AED">
            <w:pPr>
              <w:pStyle w:val="Tabletext"/>
            </w:pPr>
            <w:r w:rsidRPr="00DC628F">
              <w:t xml:space="preserve">Income Taxes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116</w:t>
            </w:r>
          </w:p>
        </w:tc>
        <w:tc>
          <w:tcPr>
            <w:tcW w:w="1620" w:type="dxa"/>
          </w:tcPr>
          <w:p w:rsidR="00E23BA2" w:rsidRPr="00ED2F29" w:rsidRDefault="00B40846" w:rsidP="00B40846">
            <w:pPr>
              <w:pStyle w:val="Tabletext"/>
            </w:pPr>
            <w:r>
              <w:t>Dec</w:t>
            </w:r>
            <w:r w:rsidR="001B3EF6">
              <w:t xml:space="preserve"> 201</w:t>
            </w:r>
            <w:r>
              <w:t>4</w:t>
            </w:r>
          </w:p>
        </w:tc>
        <w:tc>
          <w:tcPr>
            <w:tcW w:w="6390" w:type="dxa"/>
          </w:tcPr>
          <w:p w:rsidR="00E23BA2" w:rsidRPr="00ED2F29" w:rsidRDefault="00E23BA2" w:rsidP="00070AED">
            <w:pPr>
              <w:pStyle w:val="Tabletext"/>
            </w:pPr>
            <w:r w:rsidRPr="00DC628F">
              <w:t xml:space="preserve">Property, Plant and Equipment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117</w:t>
            </w:r>
          </w:p>
        </w:tc>
        <w:tc>
          <w:tcPr>
            <w:tcW w:w="1620" w:type="dxa"/>
          </w:tcPr>
          <w:p w:rsidR="00E23BA2" w:rsidRPr="00ED2F29" w:rsidRDefault="001B3EF6" w:rsidP="00070AED">
            <w:pPr>
              <w:pStyle w:val="Tabletext"/>
            </w:pPr>
            <w:r>
              <w:t>Aug 2015</w:t>
            </w:r>
          </w:p>
        </w:tc>
        <w:tc>
          <w:tcPr>
            <w:tcW w:w="6390" w:type="dxa"/>
          </w:tcPr>
          <w:p w:rsidR="00E23BA2" w:rsidRPr="00ED2F29" w:rsidRDefault="00E23BA2" w:rsidP="00070AED">
            <w:pPr>
              <w:pStyle w:val="Tabletext"/>
            </w:pPr>
            <w:r w:rsidRPr="00DC628F">
              <w:t xml:space="preserve">Leases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118</w:t>
            </w:r>
          </w:p>
        </w:tc>
        <w:tc>
          <w:tcPr>
            <w:tcW w:w="1620" w:type="dxa"/>
          </w:tcPr>
          <w:p w:rsidR="00E23BA2" w:rsidRPr="00ED2F29" w:rsidRDefault="008B7B41" w:rsidP="00070AED">
            <w:pPr>
              <w:pStyle w:val="Tabletext"/>
            </w:pPr>
            <w:r w:rsidRPr="00DC628F">
              <w:t>Dec 201</w:t>
            </w:r>
            <w:r w:rsidR="000E65D3" w:rsidRPr="00DC628F">
              <w:t>3</w:t>
            </w:r>
          </w:p>
        </w:tc>
        <w:tc>
          <w:tcPr>
            <w:tcW w:w="6390" w:type="dxa"/>
          </w:tcPr>
          <w:p w:rsidR="00E23BA2" w:rsidRPr="00ED2F29" w:rsidRDefault="00E23BA2" w:rsidP="00070AED">
            <w:pPr>
              <w:pStyle w:val="Tabletext"/>
            </w:pPr>
            <w:r w:rsidRPr="00DC628F">
              <w:t xml:space="preserve">Revenue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119</w:t>
            </w:r>
          </w:p>
        </w:tc>
        <w:tc>
          <w:tcPr>
            <w:tcW w:w="1620" w:type="dxa"/>
          </w:tcPr>
          <w:p w:rsidR="00E23BA2" w:rsidRPr="00ED2F29" w:rsidRDefault="001B3EF6" w:rsidP="00070AED">
            <w:pPr>
              <w:pStyle w:val="Tabletext"/>
            </w:pPr>
            <w:r>
              <w:t>Aug 2015</w:t>
            </w:r>
          </w:p>
        </w:tc>
        <w:tc>
          <w:tcPr>
            <w:tcW w:w="6390" w:type="dxa"/>
          </w:tcPr>
          <w:p w:rsidR="00E23BA2" w:rsidRPr="00ED2F29" w:rsidRDefault="00E23BA2" w:rsidP="00070AED">
            <w:pPr>
              <w:pStyle w:val="Tabletext"/>
            </w:pPr>
            <w:r w:rsidRPr="00DC628F">
              <w:t xml:space="preserve">Employee Benefits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120</w:t>
            </w:r>
          </w:p>
        </w:tc>
        <w:tc>
          <w:tcPr>
            <w:tcW w:w="1620" w:type="dxa"/>
          </w:tcPr>
          <w:p w:rsidR="00E23BA2" w:rsidRPr="00ED2F29" w:rsidRDefault="00AC431D" w:rsidP="00070AED">
            <w:pPr>
              <w:pStyle w:val="Tabletext"/>
            </w:pPr>
            <w:r w:rsidRPr="00DC628F">
              <w:t>Dec</w:t>
            </w:r>
            <w:r w:rsidR="001F419B">
              <w:t xml:space="preserve"> </w:t>
            </w:r>
            <w:r w:rsidR="008B7B41" w:rsidRPr="00DC628F">
              <w:t>201</w:t>
            </w:r>
            <w:r w:rsidRPr="00DC628F">
              <w:t>3</w:t>
            </w:r>
          </w:p>
        </w:tc>
        <w:tc>
          <w:tcPr>
            <w:tcW w:w="6390" w:type="dxa"/>
          </w:tcPr>
          <w:p w:rsidR="00E23BA2" w:rsidRPr="00ED2F29" w:rsidRDefault="00E23BA2" w:rsidP="001F419B">
            <w:pPr>
              <w:pStyle w:val="Tabletext"/>
            </w:pPr>
            <w:r w:rsidRPr="00DC628F">
              <w:t xml:space="preserve">Accounting for Government Grants and Disclosure of Government </w:t>
            </w:r>
            <w:r w:rsidRPr="00C5289A">
              <w:t xml:space="preserve">Assistance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121</w:t>
            </w:r>
          </w:p>
        </w:tc>
        <w:tc>
          <w:tcPr>
            <w:tcW w:w="1620" w:type="dxa"/>
          </w:tcPr>
          <w:p w:rsidR="00E23BA2" w:rsidRPr="00ED2F29" w:rsidRDefault="007730EC" w:rsidP="007730EC">
            <w:pPr>
              <w:pStyle w:val="Tabletext"/>
            </w:pPr>
            <w:r>
              <w:t>Jan</w:t>
            </w:r>
            <w:r w:rsidR="001B3EF6">
              <w:t xml:space="preserve"> 2015</w:t>
            </w:r>
          </w:p>
        </w:tc>
        <w:tc>
          <w:tcPr>
            <w:tcW w:w="6390" w:type="dxa"/>
          </w:tcPr>
          <w:p w:rsidR="00E23BA2" w:rsidRPr="00ED2F29" w:rsidRDefault="00E23BA2" w:rsidP="00070AED">
            <w:pPr>
              <w:pStyle w:val="Tabletext"/>
            </w:pPr>
            <w:r w:rsidRPr="00DC628F">
              <w:t xml:space="preserve">The Effects of Changes in Foreign Exchange Rates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123</w:t>
            </w:r>
          </w:p>
        </w:tc>
        <w:tc>
          <w:tcPr>
            <w:tcW w:w="1620" w:type="dxa"/>
          </w:tcPr>
          <w:p w:rsidR="00E23BA2" w:rsidRPr="00ED2F29" w:rsidRDefault="00D82B77" w:rsidP="00070AED">
            <w:pPr>
              <w:pStyle w:val="Tabletext"/>
            </w:pPr>
            <w:r>
              <w:t>Jan 2015</w:t>
            </w:r>
          </w:p>
        </w:tc>
        <w:tc>
          <w:tcPr>
            <w:tcW w:w="6390" w:type="dxa"/>
          </w:tcPr>
          <w:p w:rsidR="00E23BA2" w:rsidRPr="00ED2F29" w:rsidRDefault="00E23BA2" w:rsidP="00070AED">
            <w:pPr>
              <w:pStyle w:val="Tabletext"/>
            </w:pPr>
            <w:r w:rsidRPr="00DC628F">
              <w:t xml:space="preserve">Borrowing Costs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124</w:t>
            </w:r>
          </w:p>
        </w:tc>
        <w:tc>
          <w:tcPr>
            <w:tcW w:w="1620" w:type="dxa"/>
          </w:tcPr>
          <w:p w:rsidR="00E23BA2" w:rsidRPr="00ED2F29" w:rsidRDefault="0001416F" w:rsidP="00070AED">
            <w:pPr>
              <w:pStyle w:val="Tabletext"/>
            </w:pPr>
            <w:r>
              <w:t>J</w:t>
            </w:r>
            <w:r w:rsidR="003518C7">
              <w:t>ul</w:t>
            </w:r>
            <w:r>
              <w:t xml:space="preserve"> 2015</w:t>
            </w:r>
          </w:p>
        </w:tc>
        <w:tc>
          <w:tcPr>
            <w:tcW w:w="6390" w:type="dxa"/>
          </w:tcPr>
          <w:p w:rsidR="00E23BA2" w:rsidRPr="00ED2F29" w:rsidRDefault="00E23BA2" w:rsidP="005430AC">
            <w:pPr>
              <w:pStyle w:val="Tabletext"/>
            </w:pPr>
            <w:r w:rsidRPr="00DC628F">
              <w:t>Related Party Disclosures</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127</w:t>
            </w:r>
          </w:p>
        </w:tc>
        <w:tc>
          <w:tcPr>
            <w:tcW w:w="1620" w:type="dxa"/>
          </w:tcPr>
          <w:p w:rsidR="00E23BA2" w:rsidRPr="00ED2F29" w:rsidRDefault="0001416F" w:rsidP="00070AED">
            <w:pPr>
              <w:pStyle w:val="Tabletext"/>
            </w:pPr>
            <w:r>
              <w:t>Aug 2015</w:t>
            </w:r>
          </w:p>
        </w:tc>
        <w:tc>
          <w:tcPr>
            <w:tcW w:w="6390" w:type="dxa"/>
          </w:tcPr>
          <w:p w:rsidR="00E23BA2" w:rsidRPr="00ED2F29" w:rsidRDefault="00E23BA2" w:rsidP="00070AED">
            <w:pPr>
              <w:pStyle w:val="Tabletext"/>
            </w:pPr>
            <w:r w:rsidRPr="00DC628F">
              <w:t>Separate Financial Statements</w:t>
            </w:r>
            <w:r w:rsidR="004C4890" w:rsidRPr="00DC628F">
              <w:t xml:space="preserve"> </w:t>
            </w:r>
            <w:r w:rsidRPr="00DC628F">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lastRenderedPageBreak/>
              <w:t>128</w:t>
            </w:r>
          </w:p>
        </w:tc>
        <w:tc>
          <w:tcPr>
            <w:tcW w:w="1620" w:type="dxa"/>
          </w:tcPr>
          <w:p w:rsidR="00E23BA2" w:rsidRPr="00ED2F29" w:rsidRDefault="0001416F" w:rsidP="00070AED">
            <w:pPr>
              <w:pStyle w:val="Tabletext"/>
            </w:pPr>
            <w:r>
              <w:t>Dec 2015</w:t>
            </w:r>
          </w:p>
        </w:tc>
        <w:tc>
          <w:tcPr>
            <w:tcW w:w="6390" w:type="dxa"/>
          </w:tcPr>
          <w:p w:rsidR="00E23BA2" w:rsidRPr="00ED2F29" w:rsidRDefault="00E23BA2" w:rsidP="00070AED">
            <w:pPr>
              <w:pStyle w:val="Tabletext"/>
            </w:pPr>
            <w:r w:rsidRPr="00DC628F">
              <w:t>Investments in Associate</w:t>
            </w:r>
            <w:r w:rsidR="004C4890" w:rsidRPr="00DC628F">
              <w:t xml:space="preserve"> and Joint Ventures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129</w:t>
            </w:r>
          </w:p>
        </w:tc>
        <w:tc>
          <w:tcPr>
            <w:tcW w:w="1620" w:type="dxa"/>
          </w:tcPr>
          <w:p w:rsidR="00E23BA2" w:rsidRPr="00ED2F29" w:rsidRDefault="00C14439" w:rsidP="00070AED">
            <w:pPr>
              <w:pStyle w:val="Tabletext"/>
            </w:pPr>
            <w:r>
              <w:t>Aug 2015</w:t>
            </w:r>
          </w:p>
        </w:tc>
        <w:tc>
          <w:tcPr>
            <w:tcW w:w="6390" w:type="dxa"/>
          </w:tcPr>
          <w:p w:rsidR="00E23BA2" w:rsidRPr="00ED2F29" w:rsidRDefault="00E23BA2" w:rsidP="00070AED">
            <w:pPr>
              <w:pStyle w:val="Tabletext"/>
            </w:pPr>
            <w:r w:rsidRPr="00DC628F">
              <w:t xml:space="preserve">Financial Reporting in Hyperinflationary Economies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132</w:t>
            </w:r>
          </w:p>
        </w:tc>
        <w:tc>
          <w:tcPr>
            <w:tcW w:w="1620" w:type="dxa"/>
          </w:tcPr>
          <w:p w:rsidR="00E23BA2" w:rsidRPr="00ED2F29" w:rsidRDefault="009B6197" w:rsidP="00070AED">
            <w:pPr>
              <w:pStyle w:val="Tabletext"/>
            </w:pPr>
            <w:r w:rsidRPr="00DC628F">
              <w:t>Dec 201</w:t>
            </w:r>
            <w:r w:rsidR="00A777B4" w:rsidRPr="00DC628F">
              <w:t>3</w:t>
            </w:r>
          </w:p>
        </w:tc>
        <w:tc>
          <w:tcPr>
            <w:tcW w:w="6390" w:type="dxa"/>
          </w:tcPr>
          <w:p w:rsidR="00E23BA2" w:rsidRPr="00ED2F29" w:rsidRDefault="00E23BA2" w:rsidP="00070AED">
            <w:pPr>
              <w:pStyle w:val="Tabletext"/>
            </w:pPr>
            <w:r w:rsidRPr="00DC628F">
              <w:t xml:space="preserve">Financial Instruments: Presentation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Height w:val="186"/>
        </w:trPr>
        <w:tc>
          <w:tcPr>
            <w:tcW w:w="1227" w:type="dxa"/>
          </w:tcPr>
          <w:p w:rsidR="00E23BA2" w:rsidRPr="00ED2F29" w:rsidRDefault="00E23BA2" w:rsidP="00070AED">
            <w:pPr>
              <w:pStyle w:val="Tabletext"/>
            </w:pPr>
            <w:r w:rsidRPr="00ED2F29">
              <w:t>133</w:t>
            </w:r>
          </w:p>
        </w:tc>
        <w:tc>
          <w:tcPr>
            <w:tcW w:w="1620" w:type="dxa"/>
          </w:tcPr>
          <w:p w:rsidR="00E23BA2" w:rsidRPr="00ED2F29" w:rsidRDefault="00C14439" w:rsidP="00070AED">
            <w:pPr>
              <w:pStyle w:val="Tabletext"/>
            </w:pPr>
            <w:r>
              <w:t>Nov 2015</w:t>
            </w:r>
          </w:p>
        </w:tc>
        <w:tc>
          <w:tcPr>
            <w:tcW w:w="6390" w:type="dxa"/>
          </w:tcPr>
          <w:p w:rsidR="00E23BA2" w:rsidRPr="00C5289A" w:rsidRDefault="00E23BA2" w:rsidP="005430AC">
            <w:pPr>
              <w:pStyle w:val="Tabletext"/>
            </w:pPr>
            <w:r w:rsidRPr="00C5289A">
              <w:t xml:space="preserve">Earnings per Share </w:t>
            </w:r>
            <w:r w:rsidR="005430AC" w:rsidRPr="00C5289A">
              <w:rPr>
                <w:vertAlign w:val="superscript"/>
              </w:rPr>
              <w:t>1</w:t>
            </w:r>
            <w:r w:rsidR="005430AC" w:rsidRPr="00C5289A">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Height w:val="302"/>
        </w:trPr>
        <w:tc>
          <w:tcPr>
            <w:tcW w:w="1227" w:type="dxa"/>
          </w:tcPr>
          <w:p w:rsidR="00E23BA2" w:rsidRPr="00DC628F" w:rsidRDefault="00E23BA2" w:rsidP="00070AED">
            <w:pPr>
              <w:pStyle w:val="Tabletext"/>
            </w:pPr>
            <w:r w:rsidRPr="00ED2F29">
              <w:t>134</w:t>
            </w:r>
          </w:p>
        </w:tc>
        <w:tc>
          <w:tcPr>
            <w:tcW w:w="1620" w:type="dxa"/>
          </w:tcPr>
          <w:p w:rsidR="00E23BA2" w:rsidRPr="00ED2F29" w:rsidRDefault="00143BA7" w:rsidP="00143BA7">
            <w:pPr>
              <w:pStyle w:val="Tabletext"/>
            </w:pPr>
            <w:r>
              <w:t>Jan</w:t>
            </w:r>
            <w:r w:rsidR="00C14439">
              <w:t xml:space="preserve"> 2015</w:t>
            </w:r>
          </w:p>
        </w:tc>
        <w:tc>
          <w:tcPr>
            <w:tcW w:w="6390" w:type="dxa"/>
          </w:tcPr>
          <w:p w:rsidR="00E23BA2" w:rsidRPr="00C5289A" w:rsidRDefault="00E23BA2" w:rsidP="00070AED">
            <w:pPr>
              <w:pStyle w:val="Tabletext"/>
            </w:pPr>
            <w:r w:rsidRPr="00C5289A">
              <w:t xml:space="preserve">Interim Financial Reporting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Height w:val="227"/>
        </w:trPr>
        <w:tc>
          <w:tcPr>
            <w:tcW w:w="1227" w:type="dxa"/>
          </w:tcPr>
          <w:p w:rsidR="00E23BA2" w:rsidRPr="00ED2F29" w:rsidRDefault="00E23BA2" w:rsidP="00070AED">
            <w:pPr>
              <w:pStyle w:val="Tabletext"/>
            </w:pPr>
            <w:r w:rsidRPr="00ED2F29">
              <w:t>136</w:t>
            </w:r>
          </w:p>
        </w:tc>
        <w:tc>
          <w:tcPr>
            <w:tcW w:w="1620" w:type="dxa"/>
          </w:tcPr>
          <w:p w:rsidR="00E23BA2" w:rsidRPr="00ED2F29" w:rsidRDefault="00143BA7" w:rsidP="00143BA7">
            <w:pPr>
              <w:pStyle w:val="Tabletext"/>
            </w:pPr>
            <w:r>
              <w:t>Dec 2014</w:t>
            </w:r>
          </w:p>
        </w:tc>
        <w:tc>
          <w:tcPr>
            <w:tcW w:w="6390" w:type="dxa"/>
          </w:tcPr>
          <w:p w:rsidR="00E23BA2" w:rsidRPr="00ED2F29" w:rsidRDefault="00E23BA2" w:rsidP="00070AED">
            <w:pPr>
              <w:pStyle w:val="Tabletext"/>
            </w:pPr>
            <w:r w:rsidRPr="00ED2F29">
              <w:t xml:space="preserve">Impairment of Assets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Height w:val="99"/>
        </w:trPr>
        <w:tc>
          <w:tcPr>
            <w:tcW w:w="1227" w:type="dxa"/>
          </w:tcPr>
          <w:p w:rsidR="00E23BA2" w:rsidRPr="00ED2F29" w:rsidRDefault="00E23BA2" w:rsidP="00070AED">
            <w:pPr>
              <w:pStyle w:val="Tabletext"/>
            </w:pPr>
            <w:r w:rsidRPr="00ED2F29">
              <w:t>137</w:t>
            </w:r>
          </w:p>
        </w:tc>
        <w:tc>
          <w:tcPr>
            <w:tcW w:w="1620" w:type="dxa"/>
          </w:tcPr>
          <w:p w:rsidR="00E23BA2" w:rsidRPr="00ED2F29" w:rsidRDefault="00143BA7" w:rsidP="00143BA7">
            <w:pPr>
              <w:pStyle w:val="Tabletext"/>
            </w:pPr>
            <w:r>
              <w:t>Jan</w:t>
            </w:r>
            <w:r w:rsidR="00C14439">
              <w:t xml:space="preserve"> 2015</w:t>
            </w:r>
          </w:p>
        </w:tc>
        <w:tc>
          <w:tcPr>
            <w:tcW w:w="6390" w:type="dxa"/>
          </w:tcPr>
          <w:p w:rsidR="00E23BA2" w:rsidRPr="00ED2F29" w:rsidRDefault="00E23BA2" w:rsidP="00070AED">
            <w:pPr>
              <w:pStyle w:val="Tabletext"/>
            </w:pPr>
            <w:r w:rsidRPr="00ED2F29">
              <w:t xml:space="preserve">Provisions, Contingent Liabilities and Contingent Assets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DC628F" w:rsidRDefault="00E23BA2" w:rsidP="00070AED">
            <w:pPr>
              <w:pStyle w:val="Tabletext"/>
            </w:pPr>
            <w:r w:rsidRPr="00ED2F29">
              <w:t>138</w:t>
            </w:r>
          </w:p>
        </w:tc>
        <w:tc>
          <w:tcPr>
            <w:tcW w:w="1620" w:type="dxa"/>
          </w:tcPr>
          <w:p w:rsidR="00E23BA2" w:rsidRPr="00ED2F29" w:rsidRDefault="00143BA7" w:rsidP="00143BA7">
            <w:pPr>
              <w:pStyle w:val="Tabletext"/>
            </w:pPr>
            <w:r>
              <w:t>Aug 2014</w:t>
            </w:r>
          </w:p>
        </w:tc>
        <w:tc>
          <w:tcPr>
            <w:tcW w:w="6390" w:type="dxa"/>
          </w:tcPr>
          <w:p w:rsidR="00E23BA2" w:rsidRPr="00ED2F29" w:rsidRDefault="00E23BA2" w:rsidP="00070AED">
            <w:pPr>
              <w:pStyle w:val="Tabletext"/>
            </w:pPr>
            <w:r w:rsidRPr="00ED2F29">
              <w:t xml:space="preserve">Intangible Assets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ED2F29">
              <w:t>139</w:t>
            </w:r>
          </w:p>
        </w:tc>
        <w:tc>
          <w:tcPr>
            <w:tcW w:w="1620" w:type="dxa"/>
          </w:tcPr>
          <w:p w:rsidR="00E23BA2" w:rsidRPr="00ED2F29" w:rsidRDefault="00A777B4" w:rsidP="00070AED">
            <w:pPr>
              <w:pStyle w:val="Tabletext"/>
            </w:pPr>
            <w:r w:rsidRPr="00ED2F29">
              <w:t xml:space="preserve">Jun </w:t>
            </w:r>
            <w:r w:rsidR="009B6197" w:rsidRPr="00ED2F29">
              <w:t>201</w:t>
            </w:r>
            <w:r w:rsidRPr="00ED2F29">
              <w:t>4</w:t>
            </w:r>
          </w:p>
        </w:tc>
        <w:tc>
          <w:tcPr>
            <w:tcW w:w="6390" w:type="dxa"/>
          </w:tcPr>
          <w:p w:rsidR="00E23BA2" w:rsidRPr="00ED2F29" w:rsidRDefault="00E23BA2" w:rsidP="00070AED">
            <w:pPr>
              <w:pStyle w:val="Tabletext"/>
            </w:pPr>
            <w:r w:rsidRPr="00ED2F29">
              <w:t xml:space="preserve">Financial Instruments: Recognition and Measurement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ED2F29">
              <w:t>140</w:t>
            </w:r>
          </w:p>
        </w:tc>
        <w:tc>
          <w:tcPr>
            <w:tcW w:w="1620" w:type="dxa"/>
          </w:tcPr>
          <w:p w:rsidR="00226CE8" w:rsidRPr="00ED2F29" w:rsidRDefault="00143BA7" w:rsidP="00143BA7">
            <w:pPr>
              <w:pStyle w:val="Tabletext"/>
            </w:pPr>
            <w:r>
              <w:t>Jan</w:t>
            </w:r>
            <w:r w:rsidR="00226CE8">
              <w:t xml:space="preserve"> 2015</w:t>
            </w:r>
          </w:p>
        </w:tc>
        <w:tc>
          <w:tcPr>
            <w:tcW w:w="6390" w:type="dxa"/>
          </w:tcPr>
          <w:p w:rsidR="00E23BA2" w:rsidRPr="00ED2F29" w:rsidRDefault="00E23BA2" w:rsidP="00070AED">
            <w:pPr>
              <w:pStyle w:val="Tabletext"/>
            </w:pPr>
            <w:r w:rsidRPr="00ED2F29">
              <w:t xml:space="preserve">Investment Property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ED2F29">
              <w:t>141</w:t>
            </w:r>
          </w:p>
        </w:tc>
        <w:tc>
          <w:tcPr>
            <w:tcW w:w="1620" w:type="dxa"/>
          </w:tcPr>
          <w:p w:rsidR="00E23BA2" w:rsidRPr="00ED2F29" w:rsidRDefault="00226CE8" w:rsidP="00070AED">
            <w:pPr>
              <w:pStyle w:val="Tabletext"/>
            </w:pPr>
            <w:r>
              <w:t>Aug 2015</w:t>
            </w:r>
          </w:p>
        </w:tc>
        <w:tc>
          <w:tcPr>
            <w:tcW w:w="6390" w:type="dxa"/>
          </w:tcPr>
          <w:p w:rsidR="00E23BA2" w:rsidRPr="005430AC" w:rsidRDefault="00E23BA2" w:rsidP="00070AED">
            <w:pPr>
              <w:pStyle w:val="Tabletext"/>
            </w:pPr>
            <w:r w:rsidRPr="005430AC">
              <w:t xml:space="preserve">Agriculture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1004</w:t>
            </w:r>
          </w:p>
        </w:tc>
        <w:tc>
          <w:tcPr>
            <w:tcW w:w="1620" w:type="dxa"/>
          </w:tcPr>
          <w:p w:rsidR="00E23BA2" w:rsidRPr="00ED2F29" w:rsidRDefault="00E9239F" w:rsidP="00B31300">
            <w:pPr>
              <w:pStyle w:val="Tabletext"/>
            </w:pPr>
            <w:r>
              <w:t>Jan 2015</w:t>
            </w:r>
          </w:p>
        </w:tc>
        <w:tc>
          <w:tcPr>
            <w:tcW w:w="6390" w:type="dxa"/>
          </w:tcPr>
          <w:p w:rsidR="00E23BA2" w:rsidRPr="005430AC" w:rsidRDefault="00E23BA2" w:rsidP="00B31300">
            <w:pPr>
              <w:pStyle w:val="Tabletext"/>
            </w:pPr>
            <w:r w:rsidRPr="005430AC">
              <w:t xml:space="preserve">Contributions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1023</w:t>
            </w:r>
          </w:p>
        </w:tc>
        <w:tc>
          <w:tcPr>
            <w:tcW w:w="1620" w:type="dxa"/>
          </w:tcPr>
          <w:p w:rsidR="00E23BA2" w:rsidRPr="00ED2F29" w:rsidRDefault="009B6197" w:rsidP="00B31300">
            <w:pPr>
              <w:pStyle w:val="Tabletext"/>
            </w:pPr>
            <w:r w:rsidRPr="00ED2F29">
              <w:t>Dec 201</w:t>
            </w:r>
            <w:r w:rsidR="00775D4D" w:rsidRPr="00ED2F29">
              <w:t>3</w:t>
            </w:r>
          </w:p>
        </w:tc>
        <w:tc>
          <w:tcPr>
            <w:tcW w:w="6390" w:type="dxa"/>
          </w:tcPr>
          <w:p w:rsidR="00E23BA2" w:rsidRPr="005430AC" w:rsidRDefault="00E23BA2" w:rsidP="005430AC">
            <w:pPr>
              <w:pStyle w:val="Tabletext"/>
              <w:rPr>
                <w:i/>
              </w:rPr>
            </w:pPr>
            <w:r w:rsidRPr="005430AC">
              <w:t xml:space="preserve">General Insurance Contracts </w:t>
            </w:r>
            <w:r w:rsidR="005430AC" w:rsidRPr="005430AC">
              <w:rPr>
                <w:vertAlign w:val="superscript"/>
              </w:rPr>
              <w:t>1</w:t>
            </w:r>
            <w:r w:rsidR="005430AC" w:rsidRPr="005430AC">
              <w:t xml:space="preserv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1038</w:t>
            </w:r>
          </w:p>
        </w:tc>
        <w:tc>
          <w:tcPr>
            <w:tcW w:w="1620" w:type="dxa"/>
          </w:tcPr>
          <w:p w:rsidR="00E23BA2" w:rsidRPr="00ED2F29" w:rsidRDefault="00775D4D" w:rsidP="00B31300">
            <w:pPr>
              <w:pStyle w:val="Tabletext"/>
            </w:pPr>
            <w:r w:rsidRPr="00ED2F29">
              <w:t xml:space="preserve">Dec </w:t>
            </w:r>
            <w:r w:rsidR="009B6197" w:rsidRPr="00ED2F29">
              <w:t>2013</w:t>
            </w:r>
          </w:p>
        </w:tc>
        <w:tc>
          <w:tcPr>
            <w:tcW w:w="6390" w:type="dxa"/>
          </w:tcPr>
          <w:p w:rsidR="00E23BA2" w:rsidRPr="005430AC" w:rsidRDefault="00E23BA2" w:rsidP="00B31300">
            <w:pPr>
              <w:pStyle w:val="Tabletext"/>
            </w:pPr>
            <w:r w:rsidRPr="005430AC">
              <w:t xml:space="preserve">Life Insurance Contracts </w:t>
            </w:r>
            <w:r w:rsidR="008D4491" w:rsidRPr="005430AC">
              <w:rPr>
                <w:vertAlign w:val="superscript"/>
              </w:rPr>
              <w:t>1</w:t>
            </w:r>
            <w:r w:rsidRPr="005430AC">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1039</w:t>
            </w:r>
          </w:p>
        </w:tc>
        <w:tc>
          <w:tcPr>
            <w:tcW w:w="1620" w:type="dxa"/>
          </w:tcPr>
          <w:p w:rsidR="00E23BA2" w:rsidRPr="00ED2F29" w:rsidRDefault="009346C1" w:rsidP="00B31300">
            <w:pPr>
              <w:pStyle w:val="Tabletext"/>
            </w:pPr>
            <w:r>
              <w:t>Jan 2015</w:t>
            </w:r>
          </w:p>
        </w:tc>
        <w:tc>
          <w:tcPr>
            <w:tcW w:w="6390" w:type="dxa"/>
          </w:tcPr>
          <w:p w:rsidR="00E23BA2" w:rsidRPr="005430AC" w:rsidRDefault="00E23BA2" w:rsidP="00B31300">
            <w:pPr>
              <w:pStyle w:val="Tabletext"/>
            </w:pPr>
            <w:r w:rsidRPr="005430AC">
              <w:t xml:space="preserve">Concise Financial Reports </w:t>
            </w:r>
            <w:r w:rsidR="008D4491" w:rsidRPr="005430AC">
              <w:rPr>
                <w:vertAlign w:val="superscript"/>
              </w:rPr>
              <w:t>1</w:t>
            </w:r>
            <w:r w:rsidRPr="005430AC">
              <w:t xml:space="preserv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1048</w:t>
            </w:r>
          </w:p>
        </w:tc>
        <w:tc>
          <w:tcPr>
            <w:tcW w:w="1620" w:type="dxa"/>
          </w:tcPr>
          <w:p w:rsidR="00E23BA2" w:rsidRPr="00ED2F29" w:rsidRDefault="009346C1" w:rsidP="009B6197">
            <w:pPr>
              <w:pStyle w:val="Tabletext"/>
            </w:pPr>
            <w:r>
              <w:t>Aug 2015</w:t>
            </w:r>
          </w:p>
        </w:tc>
        <w:tc>
          <w:tcPr>
            <w:tcW w:w="6390" w:type="dxa"/>
          </w:tcPr>
          <w:p w:rsidR="00E23BA2" w:rsidRPr="005430AC" w:rsidRDefault="00E23BA2" w:rsidP="00B31300">
            <w:pPr>
              <w:pStyle w:val="Tabletext"/>
            </w:pPr>
            <w:r w:rsidRPr="005430AC">
              <w:t>Interpretation of Standards</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1049</w:t>
            </w:r>
          </w:p>
        </w:tc>
        <w:tc>
          <w:tcPr>
            <w:tcW w:w="1620" w:type="dxa"/>
          </w:tcPr>
          <w:p w:rsidR="00E23BA2" w:rsidRPr="00ED2F29" w:rsidRDefault="00410FA3" w:rsidP="00B31300">
            <w:pPr>
              <w:pStyle w:val="Tabletext"/>
            </w:pPr>
            <w:r>
              <w:t>Mar 2015</w:t>
            </w:r>
          </w:p>
        </w:tc>
        <w:tc>
          <w:tcPr>
            <w:tcW w:w="6390" w:type="dxa"/>
          </w:tcPr>
          <w:p w:rsidR="00E23BA2" w:rsidRPr="005430AC" w:rsidRDefault="00E23BA2" w:rsidP="00B31300">
            <w:pPr>
              <w:pStyle w:val="Tabletext"/>
            </w:pPr>
            <w:r w:rsidRPr="005430AC">
              <w:t xml:space="preserve">Whole of Government and General Government Sector Financial Reporting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1050</w:t>
            </w:r>
          </w:p>
        </w:tc>
        <w:tc>
          <w:tcPr>
            <w:tcW w:w="1620" w:type="dxa"/>
          </w:tcPr>
          <w:p w:rsidR="00E23BA2" w:rsidRPr="00ED2F29" w:rsidRDefault="00775D4D" w:rsidP="00B31300">
            <w:pPr>
              <w:pStyle w:val="Tabletext"/>
            </w:pPr>
            <w:r w:rsidRPr="00ED2F29">
              <w:t xml:space="preserve">Dec </w:t>
            </w:r>
            <w:r w:rsidR="0060463C" w:rsidRPr="00ED2F29">
              <w:t>201</w:t>
            </w:r>
            <w:r w:rsidRPr="00ED2F29">
              <w:t>3</w:t>
            </w:r>
          </w:p>
        </w:tc>
        <w:tc>
          <w:tcPr>
            <w:tcW w:w="6390" w:type="dxa"/>
          </w:tcPr>
          <w:p w:rsidR="00E23BA2" w:rsidRPr="005430AC" w:rsidRDefault="00E23BA2" w:rsidP="00B31300">
            <w:pPr>
              <w:pStyle w:val="Tabletext"/>
            </w:pPr>
            <w:r w:rsidRPr="005430AC">
              <w:t xml:space="preserve">Administered Items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1051</w:t>
            </w:r>
          </w:p>
        </w:tc>
        <w:tc>
          <w:tcPr>
            <w:tcW w:w="1620" w:type="dxa"/>
          </w:tcPr>
          <w:p w:rsidR="00E23BA2" w:rsidRPr="00ED2F29" w:rsidRDefault="00E23BA2" w:rsidP="00B31300">
            <w:pPr>
              <w:pStyle w:val="Tabletext"/>
            </w:pPr>
            <w:r w:rsidRPr="00ED2F29">
              <w:t>Dec 20</w:t>
            </w:r>
            <w:r w:rsidR="00775D4D" w:rsidRPr="00ED2F29">
              <w:t>13</w:t>
            </w:r>
          </w:p>
        </w:tc>
        <w:tc>
          <w:tcPr>
            <w:tcW w:w="6390" w:type="dxa"/>
          </w:tcPr>
          <w:p w:rsidR="00E23BA2" w:rsidRPr="005430AC" w:rsidRDefault="00E23BA2" w:rsidP="00B31300">
            <w:pPr>
              <w:pStyle w:val="Tabletext"/>
            </w:pPr>
            <w:r w:rsidRPr="005430AC">
              <w:t>Land Under Roads</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1052</w:t>
            </w:r>
          </w:p>
        </w:tc>
        <w:tc>
          <w:tcPr>
            <w:tcW w:w="1620" w:type="dxa"/>
          </w:tcPr>
          <w:p w:rsidR="00E23BA2" w:rsidRPr="00ED2F29" w:rsidRDefault="008830D0" w:rsidP="00B31300">
            <w:pPr>
              <w:pStyle w:val="Tabletext"/>
            </w:pPr>
            <w:r w:rsidRPr="00ED2F29">
              <w:t>Jun 201</w:t>
            </w:r>
            <w:r w:rsidR="00775D4D" w:rsidRPr="00ED2F29">
              <w:t>4</w:t>
            </w:r>
          </w:p>
        </w:tc>
        <w:tc>
          <w:tcPr>
            <w:tcW w:w="6390" w:type="dxa"/>
          </w:tcPr>
          <w:p w:rsidR="00E23BA2" w:rsidRPr="005430AC" w:rsidRDefault="00E23BA2" w:rsidP="00B31300">
            <w:pPr>
              <w:pStyle w:val="Tabletext"/>
            </w:pPr>
            <w:r w:rsidRPr="005430AC">
              <w:t>Disaggregated Disclosures</w:t>
            </w:r>
          </w:p>
        </w:tc>
      </w:tr>
      <w:tr w:rsidR="008830D0"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8830D0" w:rsidRPr="00ED2F29" w:rsidRDefault="008830D0" w:rsidP="00B31300">
            <w:pPr>
              <w:pStyle w:val="Tabletext"/>
            </w:pPr>
            <w:r w:rsidRPr="00ED2F29">
              <w:t>1053</w:t>
            </w:r>
          </w:p>
        </w:tc>
        <w:tc>
          <w:tcPr>
            <w:tcW w:w="1620" w:type="dxa"/>
          </w:tcPr>
          <w:p w:rsidR="008830D0" w:rsidRPr="00ED2F29" w:rsidDel="008830D0" w:rsidRDefault="009346C1" w:rsidP="00B31300">
            <w:pPr>
              <w:pStyle w:val="Tabletext"/>
            </w:pPr>
            <w:r>
              <w:t>Jan 2015</w:t>
            </w:r>
          </w:p>
        </w:tc>
        <w:tc>
          <w:tcPr>
            <w:tcW w:w="6390" w:type="dxa"/>
          </w:tcPr>
          <w:p w:rsidR="008830D0" w:rsidRPr="005430AC" w:rsidRDefault="008830D0" w:rsidP="00B31300">
            <w:pPr>
              <w:pStyle w:val="Tabletext"/>
            </w:pPr>
            <w:r w:rsidRPr="005430AC">
              <w:t>Application of Tiers of Australian Accounting Standards</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1054</w:t>
            </w:r>
          </w:p>
        </w:tc>
        <w:tc>
          <w:tcPr>
            <w:tcW w:w="1620" w:type="dxa"/>
          </w:tcPr>
          <w:p w:rsidR="00E23BA2" w:rsidRPr="00ED2F29" w:rsidRDefault="009346C1" w:rsidP="00B31300">
            <w:pPr>
              <w:pStyle w:val="Tabletext"/>
            </w:pPr>
            <w:r>
              <w:t>Jan 2015</w:t>
            </w:r>
          </w:p>
        </w:tc>
        <w:tc>
          <w:tcPr>
            <w:tcW w:w="6390" w:type="dxa"/>
          </w:tcPr>
          <w:p w:rsidR="00E23BA2" w:rsidRPr="005430AC" w:rsidRDefault="00E23BA2" w:rsidP="00B31300">
            <w:pPr>
              <w:pStyle w:val="Tabletext"/>
            </w:pPr>
            <w:r w:rsidRPr="005430AC">
              <w:t xml:space="preserve">Australian Additional Disclosures </w:t>
            </w:r>
          </w:p>
        </w:tc>
      </w:tr>
      <w:tr w:rsidR="00775D4D"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775D4D" w:rsidRPr="00ED2F29" w:rsidRDefault="00775D4D" w:rsidP="00B31300">
            <w:pPr>
              <w:pStyle w:val="Tabletext"/>
            </w:pPr>
            <w:r w:rsidRPr="00ED2F29">
              <w:t>1055</w:t>
            </w:r>
          </w:p>
        </w:tc>
        <w:tc>
          <w:tcPr>
            <w:tcW w:w="1620" w:type="dxa"/>
          </w:tcPr>
          <w:p w:rsidR="00775D4D" w:rsidRPr="00ED2F29" w:rsidRDefault="00775D4D" w:rsidP="00B31300">
            <w:pPr>
              <w:pStyle w:val="Tabletext"/>
            </w:pPr>
            <w:r w:rsidRPr="00ED2F29">
              <w:t>Dec 2013</w:t>
            </w:r>
          </w:p>
        </w:tc>
        <w:tc>
          <w:tcPr>
            <w:tcW w:w="6390" w:type="dxa"/>
          </w:tcPr>
          <w:p w:rsidR="00775D4D" w:rsidRPr="005430AC" w:rsidRDefault="00775D4D" w:rsidP="00B31300">
            <w:pPr>
              <w:pStyle w:val="Tabletext"/>
            </w:pPr>
            <w:r w:rsidRPr="005430AC">
              <w:t>Budgetary Reporting</w:t>
            </w:r>
          </w:p>
        </w:tc>
      </w:tr>
      <w:tr w:rsidR="005818CB"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5818CB" w:rsidRPr="00ED2F29" w:rsidRDefault="005818CB" w:rsidP="00B31300">
            <w:pPr>
              <w:pStyle w:val="Tabletext"/>
            </w:pPr>
            <w:r>
              <w:t>1056</w:t>
            </w:r>
          </w:p>
        </w:tc>
        <w:tc>
          <w:tcPr>
            <w:tcW w:w="1620" w:type="dxa"/>
          </w:tcPr>
          <w:p w:rsidR="005818CB" w:rsidRPr="00ED2F29" w:rsidRDefault="003518C7" w:rsidP="00B31300">
            <w:pPr>
              <w:pStyle w:val="Tabletext"/>
            </w:pPr>
            <w:r>
              <w:t>Jun</w:t>
            </w:r>
            <w:r w:rsidR="005818CB">
              <w:t xml:space="preserve"> 2014</w:t>
            </w:r>
          </w:p>
        </w:tc>
        <w:tc>
          <w:tcPr>
            <w:tcW w:w="6390" w:type="dxa"/>
          </w:tcPr>
          <w:p w:rsidR="005818CB" w:rsidRPr="000E4379" w:rsidRDefault="005818CB" w:rsidP="00B31300">
            <w:pPr>
              <w:pStyle w:val="Tabletext"/>
              <w:rPr>
                <w:vertAlign w:val="superscript"/>
              </w:rPr>
            </w:pPr>
            <w:r>
              <w:t xml:space="preserve">Superannuation entities </w:t>
            </w:r>
            <w:r w:rsidR="000E4379">
              <w:rPr>
                <w:vertAlign w:val="superscript"/>
              </w:rPr>
              <w:t>1</w:t>
            </w:r>
          </w:p>
        </w:tc>
      </w:tr>
      <w:tr w:rsidR="004D6B8D"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4D6B8D" w:rsidRDefault="004D6B8D" w:rsidP="00B31300">
            <w:pPr>
              <w:pStyle w:val="Tabletext"/>
            </w:pPr>
            <w:r>
              <w:t>1057</w:t>
            </w:r>
          </w:p>
        </w:tc>
        <w:tc>
          <w:tcPr>
            <w:tcW w:w="1620" w:type="dxa"/>
          </w:tcPr>
          <w:p w:rsidR="004D6B8D" w:rsidRDefault="004D6B8D" w:rsidP="00B31300">
            <w:pPr>
              <w:pStyle w:val="Tabletext"/>
            </w:pPr>
            <w:r>
              <w:t>Nov 2015</w:t>
            </w:r>
          </w:p>
        </w:tc>
        <w:tc>
          <w:tcPr>
            <w:tcW w:w="6390" w:type="dxa"/>
          </w:tcPr>
          <w:p w:rsidR="004D6B8D" w:rsidRDefault="004D6B8D" w:rsidP="00B31300">
            <w:pPr>
              <w:pStyle w:val="Tabletext"/>
            </w:pPr>
            <w:r>
              <w:t xml:space="preserve">Application of Australian Accounting Standards </w:t>
            </w:r>
          </w:p>
        </w:tc>
      </w:tr>
    </w:tbl>
    <w:p w:rsidR="003C7F57" w:rsidRPr="00ED2F29" w:rsidRDefault="003C7F57" w:rsidP="008D4491">
      <w:pPr>
        <w:pStyle w:val="NoteNormal"/>
      </w:pPr>
      <w:r w:rsidRPr="00DC628F">
        <w:t>Notes:</w:t>
      </w:r>
    </w:p>
    <w:p w:rsidR="003C7F57" w:rsidRPr="005430AC" w:rsidRDefault="008D4491" w:rsidP="008D4491">
      <w:pPr>
        <w:pStyle w:val="NoteNormal"/>
      </w:pPr>
      <w:r w:rsidRPr="005430AC">
        <w:t xml:space="preserve">1. </w:t>
      </w:r>
      <w:r w:rsidR="003C7F57" w:rsidRPr="005430AC">
        <w:t xml:space="preserve">This Standard may not be relevant to </w:t>
      </w:r>
      <w:r w:rsidR="000E4379">
        <w:t xml:space="preserve">all </w:t>
      </w:r>
      <w:r w:rsidR="003C7F57" w:rsidRPr="005430AC">
        <w:t>Victorian public sector entities</w:t>
      </w:r>
      <w:r w:rsidR="005430AC" w:rsidRPr="005430AC">
        <w:t>.</w:t>
      </w:r>
    </w:p>
    <w:p w:rsidR="007A3569" w:rsidRDefault="00410FA3" w:rsidP="00292A0E">
      <w:pPr>
        <w:pStyle w:val="NoteNormal"/>
      </w:pPr>
      <w:r>
        <w:t>2</w:t>
      </w:r>
      <w:r w:rsidR="00292A0E" w:rsidRPr="00292A0E">
        <w:t>.</w:t>
      </w:r>
      <w:r w:rsidR="007A3569">
        <w:t xml:space="preserve"> </w:t>
      </w:r>
      <w:r w:rsidR="00756519" w:rsidRPr="000F5565">
        <w:t xml:space="preserve">Amending standard </w:t>
      </w:r>
      <w:r w:rsidR="00EE27B5">
        <w:t xml:space="preserve">AASB </w:t>
      </w:r>
      <w:r w:rsidR="00756519" w:rsidRPr="000F5565">
        <w:t xml:space="preserve">2015-7 </w:t>
      </w:r>
      <w:r w:rsidR="00756519" w:rsidRPr="000F5565">
        <w:rPr>
          <w:i/>
        </w:rPr>
        <w:t>Amendments to Australian Accounting Standards – Fair Value Disclosures of Not-for-Profit Public Sector Entities</w:t>
      </w:r>
      <w:r w:rsidR="00756519" w:rsidRPr="000F5565">
        <w:t xml:space="preserve">, which is operative from 1 July 2016 provides an exemption for not-for-profit public sector entities from certain fair value disclosures. Please note that the State early adopted </w:t>
      </w:r>
      <w:r w:rsidR="00EE27B5">
        <w:t>AASB </w:t>
      </w:r>
      <w:r w:rsidR="00756519" w:rsidRPr="000F5565">
        <w:t xml:space="preserve">2015-7 in the 2014-15 reporting </w:t>
      </w:r>
      <w:r w:rsidR="00756519" w:rsidRPr="00292A0E">
        <w:t>period</w:t>
      </w:r>
      <w:r w:rsidR="00756519" w:rsidRPr="000F5565">
        <w:t xml:space="preserve"> and gave not-for-profit entities the option to early adopt this amending standard last year. As a result, all not-for-profit entities must now comply with this amending standards for the current financial year.</w:t>
      </w:r>
    </w:p>
    <w:p w:rsidR="00E23BA2" w:rsidRPr="00ED2F29" w:rsidRDefault="00E23BA2" w:rsidP="000E6117">
      <w:r w:rsidRPr="00DC628F">
        <w:br w:type="page"/>
      </w:r>
    </w:p>
    <w:tbl>
      <w:tblPr>
        <w:tblStyle w:val="DTFtexttable"/>
        <w:tblW w:w="9237" w:type="dxa"/>
        <w:tblLook w:val="0020" w:firstRow="1" w:lastRow="0" w:firstColumn="0" w:lastColumn="0" w:noHBand="0" w:noVBand="0"/>
      </w:tblPr>
      <w:tblGrid>
        <w:gridCol w:w="1227"/>
        <w:gridCol w:w="1620"/>
        <w:gridCol w:w="6390"/>
      </w:tblGrid>
      <w:tr w:rsidR="00E23BA2" w:rsidRPr="00ED2F29" w:rsidTr="001A6002">
        <w:trPr>
          <w:cnfStyle w:val="100000000000" w:firstRow="1" w:lastRow="0" w:firstColumn="0" w:lastColumn="0" w:oddVBand="0" w:evenVBand="0" w:oddHBand="0"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r w:rsidRPr="00DC628F">
              <w:lastRenderedPageBreak/>
              <w:t>AI</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1A6002" w:rsidP="001A6002">
            <w:r>
              <w:t>Issued</w:t>
            </w:r>
            <w:r w:rsidR="00E23BA2" w:rsidRPr="00DC628F">
              <w:t>/amended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r w:rsidRPr="00DC628F">
              <w:t xml:space="preserve">Australian Accounting Standards Board (AASB) Interpretations </w:t>
            </w:r>
            <w:r w:rsidRPr="00DC628F">
              <w:br/>
              <w:t>Title</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518C7" w:rsidP="001A6002">
            <w:pPr>
              <w:pStyle w:val="Tabletext"/>
            </w:pPr>
            <w:r>
              <w:t>Jul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Changes in Existing Decommissioning, Restoration and Similar Liabilities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B4E7A" w:rsidP="001A6002">
            <w:pPr>
              <w:pStyle w:val="Tabletext"/>
            </w:pPr>
            <w:r w:rsidRPr="00ED2F29">
              <w:t>Dec</w:t>
            </w:r>
            <w:r w:rsidR="006E0D3A" w:rsidRPr="00ED2F29">
              <w:t xml:space="preserve"> </w:t>
            </w:r>
            <w:r w:rsidR="00737B79"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Members’ Shares in Co-operative Entities and Similar Instruments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518C7"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Determining whether an Arrangement contains a Lease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7B79" w:rsidP="001A6002">
            <w:pPr>
              <w:pStyle w:val="Tabletext"/>
            </w:pPr>
            <w:r w:rsidRPr="00ED2F29">
              <w:t>Dec 201</w:t>
            </w:r>
            <w:r w:rsidR="003B4E7A"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Rights to Interests arising from Decommissioning, Restoration and Environmental Rehabilitation Funds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6</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12970"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Liabilities arising from Participating in a Specific Market – Waste Electrical and Electronic Equipment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12970"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Applying the Restatement Approach under </w:t>
            </w:r>
            <w:r w:rsidR="00B50FA9">
              <w:t>AASB </w:t>
            </w:r>
            <w:r w:rsidRPr="00ED2F29">
              <w:t xml:space="preserve">129 </w:t>
            </w:r>
            <w:r w:rsidRPr="00ED2F29">
              <w:rPr>
                <w:i/>
              </w:rPr>
              <w:t>Financial Reporting in Hyperinflationary Economies</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7B79" w:rsidP="001A6002">
            <w:pPr>
              <w:pStyle w:val="Tabletext"/>
            </w:pPr>
            <w:r w:rsidRPr="00ED2F29">
              <w:t>Dec 201</w:t>
            </w:r>
            <w:r w:rsidR="003B4E7A"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Reassessment of Embedded Derivatives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B4E7A" w:rsidP="001A6002">
            <w:pPr>
              <w:pStyle w:val="Tabletext"/>
            </w:pPr>
            <w:r w:rsidRPr="00ED2F29">
              <w:t xml:space="preserve">Dec </w:t>
            </w:r>
            <w:r w:rsidR="00E23BA2" w:rsidRPr="00ED2F29">
              <w:t>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Interim Financial Reporting and Impairment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7B79" w:rsidP="001A6002">
            <w:pPr>
              <w:pStyle w:val="Tabletext"/>
            </w:pPr>
            <w:r w:rsidRPr="00ED2F29">
              <w:t>Dec 201</w:t>
            </w:r>
            <w:r w:rsidR="003B4E7A"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Service Concession Arrangements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B4E7A" w:rsidP="001A6002">
            <w:pPr>
              <w:pStyle w:val="Tabletext"/>
            </w:pPr>
            <w:r w:rsidRPr="00ED2F29">
              <w:t xml:space="preserve">Dec </w:t>
            </w:r>
            <w:r w:rsidR="00737B79"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Customer Loyalty Programmes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46816"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B50FA9" w:rsidP="00B31300">
            <w:pPr>
              <w:pStyle w:val="Tabletext"/>
            </w:pPr>
            <w:r>
              <w:t>AASB </w:t>
            </w:r>
            <w:r w:rsidR="00E23BA2" w:rsidRPr="00ED2F29">
              <w:t xml:space="preserve">119 – The Limit on a Defined Benefit Asset, Minimum Funding Requirements and their Interaction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5C7B9D" w:rsidP="001A6002">
            <w:pPr>
              <w:pStyle w:val="Tabletext"/>
            </w:pPr>
            <w:r w:rsidRPr="00ED2F29">
              <w:t>Dec</w:t>
            </w:r>
            <w:r w:rsidR="006E0D3A" w:rsidRPr="00ED2F29">
              <w:t xml:space="preserve"> </w:t>
            </w:r>
            <w:r w:rsidR="00737B79"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Agreements for the Construction of Real Estate</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16</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 xml:space="preserve">Dec </w:t>
            </w:r>
            <w:r w:rsidR="00737B79" w:rsidRPr="00ED2F29">
              <w:t>201</w:t>
            </w:r>
            <w:r w:rsidR="005C7B9D"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Hedges of a Net Investment in a Foreign Operation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46816"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Distributions of Non-cash Assets to Owners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18</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5C7B9D" w:rsidP="001A6002">
            <w:pPr>
              <w:pStyle w:val="Tabletext"/>
            </w:pPr>
            <w:r w:rsidRPr="00ED2F29">
              <w:t xml:space="preserve">Dec </w:t>
            </w:r>
            <w:r w:rsidR="00E23BA2" w:rsidRPr="00ED2F29">
              <w:t>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Transfers of Assets from Customers </w:t>
            </w:r>
            <w:r w:rsidR="008D4491" w:rsidRPr="008D4491">
              <w:rPr>
                <w:vertAlign w:val="superscript"/>
              </w:rPr>
              <w:t>1</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5C7B9D" w:rsidP="001A6002">
            <w:pPr>
              <w:pStyle w:val="Tabletext"/>
            </w:pPr>
            <w:r w:rsidRPr="00ED2F29">
              <w:t xml:space="preserve">Dec </w:t>
            </w:r>
            <w:r w:rsidR="00CB2FF2"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Extinguishing Financial Liabilities with Equity Instruments</w:t>
            </w:r>
          </w:p>
        </w:tc>
      </w:tr>
      <w:tr w:rsidR="00CB2FF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CB2FF2" w:rsidRPr="00ED2F29" w:rsidRDefault="00CB2FF2" w:rsidP="001A6002">
            <w:pPr>
              <w:pStyle w:val="Tabletext"/>
            </w:pPr>
            <w:r w:rsidRPr="00ED2F29">
              <w:t>20</w:t>
            </w:r>
          </w:p>
        </w:tc>
        <w:tc>
          <w:tcPr>
            <w:cnfStyle w:val="000001000000" w:firstRow="0" w:lastRow="0" w:firstColumn="0" w:lastColumn="0" w:oddVBand="0" w:evenVBand="1" w:oddHBand="0" w:evenHBand="0" w:firstRowFirstColumn="0" w:firstRowLastColumn="0" w:lastRowFirstColumn="0" w:lastRowLastColumn="0"/>
            <w:tcW w:w="1620" w:type="dxa"/>
          </w:tcPr>
          <w:p w:rsidR="00CB2FF2" w:rsidRPr="00ED2F29" w:rsidDel="00CB2FF2" w:rsidRDefault="00544968"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CB2FF2" w:rsidRPr="00ED2F29" w:rsidRDefault="00CB2FF2" w:rsidP="00B31300">
            <w:pPr>
              <w:pStyle w:val="Tabletext"/>
            </w:pPr>
            <w:r w:rsidRPr="00ED2F29">
              <w:t>Stripping Costs in the Production Phase of a Surface Mine</w:t>
            </w:r>
            <w:r w:rsidR="00C42852">
              <w:t xml:space="preserve"> </w:t>
            </w:r>
            <w:r w:rsidR="008D4491" w:rsidRPr="008D4491">
              <w:rPr>
                <w:vertAlign w:val="superscript"/>
              </w:rPr>
              <w:t>1</w:t>
            </w:r>
          </w:p>
        </w:tc>
      </w:tr>
      <w:tr w:rsidR="00E75DB4"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75DB4" w:rsidRPr="00ED2F29" w:rsidRDefault="00E75DB4" w:rsidP="001A6002">
            <w:pPr>
              <w:pStyle w:val="Tabletext"/>
            </w:pPr>
            <w:r w:rsidRPr="00ED2F29">
              <w:t>21</w:t>
            </w:r>
          </w:p>
        </w:tc>
        <w:tc>
          <w:tcPr>
            <w:cnfStyle w:val="000001000000" w:firstRow="0" w:lastRow="0" w:firstColumn="0" w:lastColumn="0" w:oddVBand="0" w:evenVBand="1" w:oddHBand="0" w:evenHBand="0" w:firstRowFirstColumn="0" w:firstRowLastColumn="0" w:lastRowFirstColumn="0" w:lastRowLastColumn="0"/>
            <w:tcW w:w="1620" w:type="dxa"/>
          </w:tcPr>
          <w:p w:rsidR="00E75DB4" w:rsidRPr="00ED2F29" w:rsidDel="005C7B9D" w:rsidRDefault="00544968"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75DB4" w:rsidRPr="00ED2F29" w:rsidRDefault="00E75DB4" w:rsidP="00B31300">
            <w:pPr>
              <w:pStyle w:val="Tabletext"/>
            </w:pPr>
            <w:r w:rsidRPr="00ED2F29">
              <w:t>Levies</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Dec</w:t>
            </w:r>
            <w:r w:rsidR="00E23BA2" w:rsidRPr="00ED2F29">
              <w:t xml:space="preserve"> 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Introduction of the Euro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110</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Government Assistance – No Specific Relation to Operating Activities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115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Operating Leases – Incentives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Income Taxes – Changes in the Tax Status of an Entity or its Shareholders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Dec</w:t>
            </w:r>
            <w:r w:rsidR="00CB2FF2" w:rsidRPr="00ED2F29">
              <w:t xml:space="preserve"> 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Evaluating the Substance of Transactions Involving the Legal Form of a Lease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Service Concession Arrangements: Disclosures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131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 xml:space="preserve">Dec </w:t>
            </w:r>
            <w:r w:rsidR="0033032A"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Revenue – Barter Transactions Involving Advertising Services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132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 xml:space="preserve">Dec </w:t>
            </w:r>
            <w:r w:rsidR="007968F9"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Intangible Assets – Web Site Costs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1003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 xml:space="preserve">Dec </w:t>
            </w:r>
            <w:r w:rsidR="00E23BA2" w:rsidRPr="00ED2F29">
              <w:t>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Australian Petroleum Resource Rent Tax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1019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The Superannuation Contributions Surcharge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1030</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Dec</w:t>
            </w:r>
            <w:r w:rsidR="00E23BA2" w:rsidRPr="00ED2F29">
              <w:t xml:space="preserve"> 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Depreciation of Long-Lived Physical Assets: Condition-Based Depreciation and Related Methods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1031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Accounting for the Goods and Services Tax (GST)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1038</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Contributions by Owners Made to Wholly-Owned Public Sector Entities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1042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Dec</w:t>
            </w:r>
            <w:r w:rsidR="00E23BA2" w:rsidRPr="00ED2F29">
              <w:t xml:space="preserve"> 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Subscriber Acquisition Costs in the Telecommunications Industry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1047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F9400E">
            <w:pPr>
              <w:pStyle w:val="Tabletext"/>
            </w:pPr>
            <w:r w:rsidRPr="00ED2F29">
              <w:t xml:space="preserve">Professional Indemnity Claims Liabilities in Medical Defence Organisations </w:t>
            </w:r>
            <w:r w:rsidR="00F9400E">
              <w:rPr>
                <w:vertAlign w:val="superscript"/>
              </w:rPr>
              <w:t>1</w:t>
            </w:r>
            <w:r w:rsidR="00F9400E"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1052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Dec</w:t>
            </w:r>
            <w:r w:rsidR="00E871F5" w:rsidRPr="00ED2F29">
              <w:t xml:space="preserve"> 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Tax Consolidation Accounting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1055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Accounting for Road Earthworks </w:t>
            </w:r>
          </w:p>
        </w:tc>
      </w:tr>
    </w:tbl>
    <w:p w:rsidR="004F6B49" w:rsidRPr="00ED2F29" w:rsidRDefault="004F6B49" w:rsidP="000E6117">
      <w:pPr>
        <w:pStyle w:val="NoteNormal"/>
        <w:keepNext w:val="0"/>
      </w:pPr>
      <w:r w:rsidRPr="00DC628F">
        <w:t>Notes:</w:t>
      </w:r>
    </w:p>
    <w:p w:rsidR="004F6B49" w:rsidRPr="00ED2F29" w:rsidRDefault="008D4491" w:rsidP="000E6117">
      <w:pPr>
        <w:pStyle w:val="NoteNormal"/>
        <w:keepNext w:val="0"/>
      </w:pPr>
      <w:r w:rsidRPr="00F9400E">
        <w:t>1.</w:t>
      </w:r>
      <w:r w:rsidR="000E6117" w:rsidRPr="00F9400E">
        <w:t xml:space="preserve"> </w:t>
      </w:r>
      <w:r w:rsidR="004F6B49" w:rsidRPr="00F9400E">
        <w:t>This Interpretation may not be relevant to Victorian public sector entities</w:t>
      </w:r>
      <w:r w:rsidR="00F9400E" w:rsidRPr="00F9400E">
        <w:t>.</w:t>
      </w:r>
    </w:p>
    <w:p w:rsidR="00C554BA" w:rsidRPr="00ED2F29" w:rsidRDefault="00C554BA" w:rsidP="000E6117">
      <w:pPr>
        <w:pStyle w:val="NoteNormal"/>
        <w:keepNext w:val="0"/>
      </w:pPr>
    </w:p>
    <w:tbl>
      <w:tblPr>
        <w:tblStyle w:val="DTFtexttable"/>
        <w:tblW w:w="9237" w:type="dxa"/>
        <w:tblLook w:val="0020" w:firstRow="1" w:lastRow="0" w:firstColumn="0" w:lastColumn="0" w:noHBand="0" w:noVBand="0"/>
      </w:tblPr>
      <w:tblGrid>
        <w:gridCol w:w="1227"/>
        <w:gridCol w:w="1620"/>
        <w:gridCol w:w="6390"/>
      </w:tblGrid>
      <w:tr w:rsidR="00E23BA2" w:rsidRPr="00ED2F29" w:rsidTr="007B76D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r w:rsidRPr="00DC628F">
              <w:t>SD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B76D6" w:rsidP="007B76D6">
            <w:r>
              <w:t>Issued</w:t>
            </w:r>
            <w:r w:rsidR="00E23BA2" w:rsidRPr="00DC628F">
              <w:t>/amended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7B76D6">
            <w:r w:rsidRPr="00DC628F">
              <w:t>Standing Directions of the Minister for Finance</w:t>
            </w:r>
            <w:r w:rsidR="007B76D6">
              <w:t xml:space="preserve"> </w:t>
            </w:r>
            <w:r w:rsidR="007B76D6" w:rsidRPr="00DC628F">
              <w:t>title</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C27BFD">
            <w:pPr>
              <w:pStyle w:val="Tabletext"/>
              <w:tabs>
                <w:tab w:val="left" w:pos="1377"/>
              </w:tabs>
            </w:pPr>
            <w:r>
              <w:t xml:space="preserve">Purpose and application </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B31300">
            <w:pPr>
              <w:pStyle w:val="Tabletext"/>
            </w:pPr>
            <w:r>
              <w:t xml:space="preserve">Roles and responsibilities </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B31300">
            <w:pPr>
              <w:pStyle w:val="Tabletext"/>
            </w:pPr>
            <w:r>
              <w:t xml:space="preserve">Governance </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B31300">
            <w:pPr>
              <w:pStyle w:val="Tabletext"/>
            </w:pPr>
            <w:r>
              <w:t xml:space="preserve">Delivering services </w:t>
            </w:r>
          </w:p>
        </w:tc>
      </w:tr>
      <w:tr w:rsidR="00C27BFD"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C27BFD" w:rsidRPr="00ED2F29" w:rsidRDefault="00C27BFD" w:rsidP="00B31300">
            <w:pPr>
              <w:pStyle w:val="Tabletext"/>
            </w:pPr>
            <w:r>
              <w:t>5</w:t>
            </w:r>
          </w:p>
        </w:tc>
        <w:tc>
          <w:tcPr>
            <w:cnfStyle w:val="000001000000" w:firstRow="0" w:lastRow="0" w:firstColumn="0" w:lastColumn="0" w:oddVBand="0" w:evenVBand="1" w:oddHBand="0" w:evenHBand="0" w:firstRowFirstColumn="0" w:firstRowLastColumn="0" w:lastRowFirstColumn="0" w:lastRowLastColumn="0"/>
            <w:tcW w:w="1620" w:type="dxa"/>
          </w:tcPr>
          <w:p w:rsidR="00C27BFD"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C27BFD" w:rsidRPr="00ED2F29" w:rsidDel="00C27BFD" w:rsidRDefault="00C27BFD" w:rsidP="00B31300">
            <w:pPr>
              <w:pStyle w:val="Tabletext"/>
            </w:pPr>
            <w:r>
              <w:t xml:space="preserve">Compliance and reporting </w:t>
            </w:r>
          </w:p>
        </w:tc>
      </w:tr>
    </w:tbl>
    <w:p w:rsidR="007B76D6" w:rsidRDefault="007B76D6"/>
    <w:tbl>
      <w:tblPr>
        <w:tblStyle w:val="DTFtexttable"/>
        <w:tblW w:w="9237" w:type="dxa"/>
        <w:tblLook w:val="0020" w:firstRow="1" w:lastRow="0" w:firstColumn="0" w:lastColumn="0" w:noHBand="0" w:noVBand="0"/>
      </w:tblPr>
      <w:tblGrid>
        <w:gridCol w:w="1227"/>
        <w:gridCol w:w="1620"/>
        <w:gridCol w:w="6390"/>
      </w:tblGrid>
      <w:tr w:rsidR="00E23BA2" w:rsidRPr="00ED2F29" w:rsidTr="007B76D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r w:rsidRPr="00DC628F">
              <w:t>FRD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7B76D6">
            <w:r w:rsidRPr="00DC628F">
              <w:t>Issued/amended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7B76D6">
            <w:r w:rsidRPr="00DC628F">
              <w:t>Financial Reporting Directions issued by the Minister for Finance</w:t>
            </w:r>
            <w:r w:rsidR="007B76D6">
              <w:t xml:space="preserve"> </w:t>
            </w:r>
            <w:r w:rsidR="007B76D6" w:rsidRPr="00DC628F">
              <w:t>title</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3A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Accounting for dividends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8A5C9E" w:rsidP="00AE7F9F">
            <w:pPr>
              <w:pStyle w:val="Tabletext"/>
            </w:pPr>
            <w:r w:rsidRPr="00ED2F29">
              <w:t>7</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Jan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Early adoption of authoritative accounting pronouncements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8A5C9E" w:rsidP="00AE7F9F">
            <w:pPr>
              <w:pStyle w:val="Tabletext"/>
            </w:pPr>
            <w:r w:rsidRPr="00ED2F29">
              <w:t>8</w:t>
            </w:r>
            <w:r>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Jan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Consistency of budget and departmental reporting</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9</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Departmental disclosure of administered assets and liabilities by activity</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BC33EC" w:rsidP="00B31300">
            <w:pPr>
              <w:pStyle w:val="Tabletext"/>
            </w:pPr>
            <w:r>
              <w:t>10</w:t>
            </w:r>
            <w:r w:rsidR="008A5C9E">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Jan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 index</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w:t>
            </w:r>
            <w:r w:rsidR="00DB5308" w:rsidRPr="00ED2F29">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B5308" w:rsidP="00DB5308">
            <w:pPr>
              <w:pStyle w:val="Tabletext"/>
            </w:pPr>
            <w:r w:rsidRPr="00ED2F29">
              <w:t>Jun 2013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B5308">
            <w:pPr>
              <w:pStyle w:val="Tabletext"/>
            </w:pPr>
            <w:r w:rsidRPr="00ED2F29">
              <w:t xml:space="preserve">Disclosure of ex-gratia </w:t>
            </w:r>
            <w:r w:rsidR="00DB5308" w:rsidRPr="00ED2F29">
              <w:t>expenses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8A5C9E" w:rsidP="00AE7F9F">
            <w:pPr>
              <w:pStyle w:val="Tabletext"/>
            </w:pPr>
            <w:r w:rsidRPr="00ED2F29">
              <w:t>12</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 of major contracts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 of Parliamentary appropriations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Disclosures in annual reports by public sector superannuation schemes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15</w:t>
            </w:r>
            <w:r>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Executive officer disclosures in the Report of Operations by departments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17</w:t>
            </w:r>
            <w:r w:rsidR="00651710" w:rsidRPr="00ED2F29">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51710" w:rsidP="00B31300">
            <w:pPr>
              <w:pStyle w:val="Tabletext"/>
            </w:pPr>
            <w:r w:rsidRPr="00ED2F29">
              <w:t>May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651710" w:rsidP="00B31300">
            <w:pPr>
              <w:pStyle w:val="Tabletext"/>
            </w:pPr>
            <w:r w:rsidRPr="00ED2F29">
              <w:t>Wage Inflation and Discount Rates for Employee Benefits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20A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Accounting for State motor vehicle lease arrangements prior 1 February 2004</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21</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25793D">
            <w:pPr>
              <w:pStyle w:val="Tabletext"/>
            </w:pPr>
            <w:r w:rsidRPr="00ED2F29">
              <w:t>Disclosures of responsible persons</w:t>
            </w:r>
            <w:r w:rsidR="0025793D">
              <w:t xml:space="preserve"> and</w:t>
            </w:r>
            <w:r w:rsidR="0025793D" w:rsidRPr="00ED2F29">
              <w:t xml:space="preserve"> </w:t>
            </w:r>
            <w:r w:rsidRPr="00ED2F29">
              <w:t>executive officers in the financial report</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22</w:t>
            </w:r>
            <w:r>
              <w:t>H</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Standard disclosures in the Report of Operations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24C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Feb 2008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Reporting of office-based environmental data by government entities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25</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Nov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25793D" w:rsidP="00B31300">
            <w:pPr>
              <w:pStyle w:val="Tabletext"/>
            </w:pPr>
            <w:r>
              <w:t xml:space="preserve">Local Jobs First - </w:t>
            </w:r>
            <w:r w:rsidR="00651710" w:rsidRPr="00ED2F29">
              <w:t>Victorian Industry Participation Policy Disclosures in the Report of Operations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26</w:t>
            </w:r>
            <w:r w:rsidR="0025793D">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Accounting for </w:t>
            </w:r>
            <w:r w:rsidR="008D5906" w:rsidRPr="00ED2F29">
              <w:t>Vic</w:t>
            </w:r>
            <w:r w:rsidR="009451A4" w:rsidRPr="00ED2F29">
              <w:t>-</w:t>
            </w:r>
            <w:r w:rsidR="008D5906" w:rsidRPr="00ED2F29">
              <w:t>Fleet</w:t>
            </w:r>
            <w:r w:rsidRPr="00ED2F29">
              <w:t xml:space="preserve"> motor vehicle lease arrangements on or after 1 February 2004</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27</w:t>
            </w:r>
            <w:r w:rsidR="00651710" w:rsidRPr="00ED2F29">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51710" w:rsidP="00B31300">
            <w:pPr>
              <w:pStyle w:val="Tabletext"/>
            </w:pPr>
            <w:r w:rsidRPr="00ED2F29">
              <w:t>May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Presentation and reporting of performance information</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29</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Workforce data disclosures in the Report of Operations – public service employees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30</w:t>
            </w:r>
            <w:r>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pPr>
              <w:pStyle w:val="Tabletext"/>
            </w:pPr>
            <w:r w:rsidRPr="00ED2F29">
              <w:t xml:space="preserve">Standard requirements for the </w:t>
            </w:r>
            <w:r w:rsidR="00C66F69" w:rsidRPr="00ED2F29">
              <w:t>publication</w:t>
            </w:r>
            <w:r w:rsidRPr="00ED2F29">
              <w:t xml:space="preserve"> of annual reports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CA3779" w:rsidP="00B31300">
            <w:pPr>
              <w:pStyle w:val="Tabletext"/>
            </w:pPr>
            <w:r>
              <w:t>100</w:t>
            </w:r>
            <w:r w:rsidR="0027419D">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7419D"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Financial Reporting Directions – Framework</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090191" w:rsidRDefault="00E23BA2" w:rsidP="00B31300">
            <w:pPr>
              <w:pStyle w:val="Tabletext"/>
            </w:pPr>
            <w:r w:rsidRPr="00090191">
              <w:t>102</w:t>
            </w:r>
            <w:r w:rsidR="0025793D">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090191" w:rsidRDefault="0025793D" w:rsidP="00B31300">
            <w:pPr>
              <w:pStyle w:val="Tabletext"/>
            </w:pPr>
            <w:r>
              <w:t>Jul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090191" w:rsidRDefault="00E23BA2" w:rsidP="00B31300">
            <w:pPr>
              <w:pStyle w:val="Tabletext"/>
            </w:pPr>
            <w:r w:rsidRPr="00090191">
              <w:t>Inventories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103</w:t>
            </w:r>
            <w:r w:rsidR="00BD0475" w:rsidRPr="00ED2F29">
              <w:t>F</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F73B18" w:rsidP="00B31300">
            <w:pPr>
              <w:pStyle w:val="Tabletext"/>
            </w:pPr>
            <w:r w:rsidRPr="00ED2F29">
              <w:t>Jun 201</w:t>
            </w:r>
            <w:r w:rsidR="00BD0475" w:rsidRPr="00ED2F29">
              <w:t>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470737">
            <w:pPr>
              <w:pStyle w:val="Tabletext"/>
            </w:pPr>
            <w:r w:rsidRPr="00ED2F29">
              <w:t>Non-</w:t>
            </w:r>
            <w:r w:rsidR="00470737" w:rsidRPr="00ED2F29">
              <w:t>financial</w:t>
            </w:r>
            <w:r w:rsidRPr="00ED2F29">
              <w:t xml:space="preserve"> physical assets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A63B64">
            <w:pPr>
              <w:pStyle w:val="Tabletext"/>
            </w:pPr>
            <w:r w:rsidRPr="00ED2F29">
              <w:t>105</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A63B64"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Borrowing costs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9A3091" w:rsidP="00B31300">
            <w:pPr>
              <w:pStyle w:val="Tabletext"/>
            </w:pPr>
            <w:r>
              <w:t>106</w:t>
            </w:r>
            <w:r w:rsidR="00756A2C">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Impairment of assets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756A2C">
            <w:pPr>
              <w:pStyle w:val="Tabletext"/>
            </w:pPr>
            <w:r w:rsidRPr="00ED2F29">
              <w:t>107</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12DB">
            <w:pPr>
              <w:pStyle w:val="Tabletext"/>
            </w:pPr>
            <w:r w:rsidRPr="00ED2F29">
              <w:t xml:space="preserve">Jun </w:t>
            </w:r>
            <w:r w:rsidR="00756A2C" w:rsidRPr="00ED2F29">
              <w:t>201</w:t>
            </w:r>
            <w:r w:rsidR="00756A2C">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Investment properties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1C6B9F" w:rsidP="001C6B9F">
            <w:pPr>
              <w:pStyle w:val="Tabletext"/>
            </w:pPr>
            <w:r w:rsidRPr="00ED2F29">
              <w:t>108</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1C6B9F"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Classification of entities as for-profit</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9A3091" w:rsidP="00B31300">
            <w:pPr>
              <w:pStyle w:val="Tabletext"/>
            </w:pPr>
            <w:r>
              <w:t>109</w:t>
            </w:r>
            <w:r w:rsidR="00756A2C">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Intangible assets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9A3091" w:rsidP="00B31300">
            <w:pPr>
              <w:pStyle w:val="Tabletext"/>
            </w:pPr>
            <w:r>
              <w:t>110A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Cash flow statements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112</w:t>
            </w:r>
            <w:r w:rsidR="007E40C3" w:rsidRPr="00ED2F29">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E40C3" w:rsidP="00B31300">
            <w:pPr>
              <w:pStyle w:val="Tabletext"/>
            </w:pPr>
            <w:r w:rsidRPr="00ED2F29">
              <w:t>May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Defined benefit superannuation obligations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113</w:t>
            </w:r>
            <w:r w:rsidR="00EA2675" w:rsidRPr="00ED2F29">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DC628F" w:rsidRDefault="000F4426">
            <w:pPr>
              <w:pStyle w:val="Tabletext"/>
            </w:pPr>
            <w:r w:rsidRPr="00ED2F29">
              <w:t>Jun</w:t>
            </w:r>
            <w:r w:rsidR="00047674" w:rsidRPr="00ED2F29">
              <w:t xml:space="preserve"> </w:t>
            </w:r>
            <w:r w:rsidR="00E23BA2" w:rsidRPr="00ED2F29">
              <w:t>20</w:t>
            </w:r>
            <w:r w:rsidR="00047674" w:rsidRPr="00ED2F29">
              <w:t>1</w:t>
            </w:r>
            <w:r w:rsidR="00E23BA2" w:rsidRPr="00ED2F29">
              <w:t>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pPr>
              <w:pStyle w:val="Tabletext"/>
            </w:pPr>
            <w:r w:rsidRPr="00ED2F29">
              <w:t xml:space="preserve">Investments in subsidiaries, joint </w:t>
            </w:r>
            <w:r w:rsidR="00D121F6" w:rsidRPr="00ED2F29">
              <w:t>ventures</w:t>
            </w:r>
            <w:r w:rsidRPr="00ED2F29">
              <w:t xml:space="preserve"> and associates</w:t>
            </w:r>
            <w:r w:rsidR="00D121F6" w:rsidRPr="00ED2F29">
              <w:t xml:space="preserve"> in separate financial statements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756A2C">
            <w:pPr>
              <w:pStyle w:val="Tabletext"/>
            </w:pPr>
            <w:r w:rsidRPr="00ED2F29">
              <w:t>114</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pPr>
              <w:pStyle w:val="Tabletext"/>
            </w:pPr>
            <w:r w:rsidRPr="00ED2F29">
              <w:t xml:space="preserve">Jun </w:t>
            </w:r>
            <w:r w:rsidR="00756A2C" w:rsidRPr="00ED2F29">
              <w:t>20</w:t>
            </w:r>
            <w:r w:rsidR="00756A2C">
              <w:t>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Financial instruments – general government entities and public non-financial corporations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4960BC" w:rsidP="00B31300">
            <w:pPr>
              <w:pStyle w:val="Tabletext"/>
            </w:pPr>
            <w:r>
              <w:t>116A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pPr>
              <w:pStyle w:val="Tabletext"/>
            </w:pPr>
            <w:r w:rsidRPr="00ED2F29">
              <w:t xml:space="preserve">Jun </w:t>
            </w:r>
            <w:r w:rsidR="00756A2C" w:rsidRPr="00ED2F29">
              <w:t>20</w:t>
            </w:r>
            <w:r w:rsidR="00756A2C">
              <w:t>1</w:t>
            </w:r>
            <w:r w:rsidR="00756A2C" w:rsidRPr="00ED2F29">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Financial instruments – public financial corporations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4960BC" w:rsidP="00B31300">
            <w:pPr>
              <w:pStyle w:val="Tabletext"/>
            </w:pPr>
            <w:r>
              <w:t>117A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pPr>
              <w:pStyle w:val="Tabletext"/>
            </w:pPr>
            <w:r w:rsidRPr="00ED2F29">
              <w:t xml:space="preserve">Jun </w:t>
            </w:r>
            <w:r w:rsidR="00756A2C" w:rsidRPr="00ED2F29">
              <w:t>20</w:t>
            </w:r>
            <w:r w:rsidR="00756A2C">
              <w:t>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Contributions of existing non-financial assets to third parties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756A2C">
            <w:pPr>
              <w:pStyle w:val="Tabletext"/>
            </w:pPr>
            <w:r w:rsidRPr="00ED2F29">
              <w:t>118</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Land under declared roads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119A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E40C3" w:rsidP="00B31300">
            <w:pPr>
              <w:pStyle w:val="Tabletext"/>
            </w:pPr>
            <w:r w:rsidRPr="00ED2F29">
              <w:t>Aug</w:t>
            </w:r>
            <w:r w:rsidR="00E23BA2" w:rsidRPr="00ED2F29">
              <w:t xml:space="preserve"> 2013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Transfers through contributed capital</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4D6149" w:rsidP="004D6149">
            <w:pPr>
              <w:pStyle w:val="Tabletext"/>
            </w:pPr>
            <w:r w:rsidRPr="00ED2F29">
              <w:t>120</w:t>
            </w:r>
            <w:r>
              <w:t>K</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12DB" w:rsidP="004D6149">
            <w:pPr>
              <w:pStyle w:val="Tabletext"/>
            </w:pPr>
            <w:r w:rsidRPr="00ED2F29">
              <w:t>Ju</w:t>
            </w:r>
            <w:r w:rsidR="00BD0475" w:rsidRPr="00ED2F29">
              <w:t>ly</w:t>
            </w:r>
            <w:r w:rsidRPr="00ED2F29">
              <w:t xml:space="preserve"> </w:t>
            </w:r>
            <w:r w:rsidR="004D6149" w:rsidRPr="00ED2F29">
              <w:t>201</w:t>
            </w:r>
            <w:r w:rsidR="004D6149">
              <w:t>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4D6149">
            <w:pPr>
              <w:pStyle w:val="Tabletext"/>
            </w:pPr>
            <w:r w:rsidRPr="00ED2F29">
              <w:t>Accounting and reporting pronouncements applicable to</w:t>
            </w:r>
            <w:r w:rsidR="00FD5A05">
              <w:t xml:space="preserve"> the</w:t>
            </w:r>
            <w:r w:rsidRPr="00ED2F29">
              <w:t xml:space="preserve"> </w:t>
            </w:r>
            <w:r w:rsidR="004D6149" w:rsidRPr="00ED2F29">
              <w:t>201</w:t>
            </w:r>
            <w:r w:rsidR="004D6149">
              <w:t>6</w:t>
            </w:r>
            <w:r w:rsidRPr="00ED2F29">
              <w:t>-</w:t>
            </w:r>
            <w:r w:rsidR="004D6149" w:rsidRPr="00ED2F29">
              <w:t>1</w:t>
            </w:r>
            <w:r w:rsidR="004D6149">
              <w:t>7</w:t>
            </w:r>
            <w:r w:rsidR="004D6149" w:rsidRPr="00ED2F29">
              <w:t xml:space="preserve"> </w:t>
            </w:r>
            <w:r w:rsidRPr="00ED2F29">
              <w:t>reporting period</w:t>
            </w:r>
          </w:p>
        </w:tc>
      </w:tr>
    </w:tbl>
    <w:p w:rsidR="009E18CC" w:rsidRPr="00ED2F29" w:rsidRDefault="009E18CC" w:rsidP="003925B4">
      <w:pPr>
        <w:pStyle w:val="Normalgrey"/>
      </w:pPr>
    </w:p>
    <w:p w:rsidR="009E18CC" w:rsidRPr="00ED2F29" w:rsidRDefault="009E18CC" w:rsidP="009D7B71">
      <w:pPr>
        <w:pStyle w:val="Normalgrey"/>
        <w:rPr>
          <w:rFonts w:eastAsia="Times New Roman"/>
          <w:b/>
          <w:bCs/>
          <w:kern w:val="32"/>
          <w:sz w:val="28"/>
          <w:vertAlign w:val="superscript"/>
        </w:rPr>
      </w:pPr>
      <w:r w:rsidRPr="00DC628F">
        <w:rPr>
          <w:vertAlign w:val="superscript"/>
        </w:rPr>
        <w:br w:type="page"/>
      </w:r>
    </w:p>
    <w:p w:rsidR="00B2130A" w:rsidRPr="00ED2F29" w:rsidRDefault="00B2130A" w:rsidP="00B2130A">
      <w:pPr>
        <w:pStyle w:val="Heading1"/>
      </w:pPr>
      <w:r w:rsidRPr="00DC628F">
        <w:t>Appendix 2</w:t>
      </w:r>
    </w:p>
    <w:p w:rsidR="000868CC" w:rsidRPr="00ED2F29" w:rsidRDefault="007B76D6" w:rsidP="007B76D6">
      <w:pPr>
        <w:pStyle w:val="Heading2"/>
      </w:pPr>
      <w:r w:rsidRPr="00DC628F">
        <w:t>Issued but not yet effective Australian accounting and reporting pronouncements</w:t>
      </w:r>
    </w:p>
    <w:p w:rsidR="00E23BA2" w:rsidRDefault="00E23BA2" w:rsidP="00DC628F">
      <w:pPr>
        <w:spacing w:before="0" w:after="0"/>
      </w:pPr>
      <w:r w:rsidRPr="00ED2F29">
        <w:t xml:space="preserve">The table </w:t>
      </w:r>
      <w:r w:rsidR="00865DD0" w:rsidRPr="00ED2F29">
        <w:t>below</w:t>
      </w:r>
      <w:r w:rsidRPr="00ED2F29">
        <w:t xml:space="preserve"> is provided to assist entities in updating their disclosure </w:t>
      </w:r>
      <w:r w:rsidR="00865DD0" w:rsidRPr="00ED2F29">
        <w:t xml:space="preserve">in relation to </w:t>
      </w:r>
      <w:r w:rsidR="00D2167B" w:rsidRPr="00ED2F29">
        <w:t xml:space="preserve">the </w:t>
      </w:r>
      <w:r w:rsidR="00865DD0" w:rsidRPr="00ED2F29">
        <w:t xml:space="preserve">Australian accounting standards that are issued but not yet effective </w:t>
      </w:r>
      <w:r w:rsidR="00D2167B" w:rsidRPr="00ED2F29">
        <w:t xml:space="preserve">for </w:t>
      </w:r>
      <w:r w:rsidR="00A41268" w:rsidRPr="00ED2F29">
        <w:t>201</w:t>
      </w:r>
      <w:r w:rsidR="00A41268">
        <w:t>6</w:t>
      </w:r>
      <w:r w:rsidR="00D2167B" w:rsidRPr="00ED2F29">
        <w:t>-</w:t>
      </w:r>
      <w:r w:rsidR="00A41268" w:rsidRPr="00ED2F29">
        <w:t>1</w:t>
      </w:r>
      <w:r w:rsidR="00A41268">
        <w:t>7</w:t>
      </w:r>
      <w:r w:rsidR="00A41268" w:rsidRPr="00ED2F29">
        <w:t xml:space="preserve"> </w:t>
      </w:r>
      <w:r w:rsidR="00D2167B" w:rsidRPr="00ED2F29">
        <w:t>in accordance with</w:t>
      </w:r>
      <w:r w:rsidR="00865DD0" w:rsidRPr="00ED2F29">
        <w:t xml:space="preserve"> paragraph 30 of </w:t>
      </w:r>
      <w:r w:rsidR="00B50FA9">
        <w:t>AASB </w:t>
      </w:r>
      <w:r w:rsidR="00865DD0" w:rsidRPr="00ED2F29">
        <w:t>108. This disclosure should be included</w:t>
      </w:r>
      <w:r w:rsidR="00865DD0" w:rsidRPr="00ED2F29" w:rsidDel="00865DD0">
        <w:t xml:space="preserve"> </w:t>
      </w:r>
      <w:r w:rsidRPr="00ED2F29">
        <w:t>in the</w:t>
      </w:r>
      <w:r w:rsidR="00865DD0" w:rsidRPr="00ED2F29">
        <w:t xml:space="preserve"> </w:t>
      </w:r>
      <w:r w:rsidRPr="00DC628F">
        <w:rPr>
          <w:i/>
        </w:rPr>
        <w:t>Summary of Significant Accounting Policies</w:t>
      </w:r>
      <w:r w:rsidRPr="00ED2F29">
        <w:t xml:space="preserve"> note of </w:t>
      </w:r>
      <w:r w:rsidR="003B13EA" w:rsidRPr="00ED2F29">
        <w:t xml:space="preserve">entities’ </w:t>
      </w:r>
      <w:r w:rsidRPr="00ED2F29">
        <w:t>financial reports.</w:t>
      </w:r>
      <w:r w:rsidR="00865DD0" w:rsidRPr="00ED2F29">
        <w:t xml:space="preserve"> Entities are expected to review the relevance of the proposed disclosure based on their own circumstances. </w:t>
      </w:r>
    </w:p>
    <w:p w:rsidR="003B0D16" w:rsidRPr="00ED2F29" w:rsidRDefault="003B0D16" w:rsidP="00DC628F">
      <w:pPr>
        <w:spacing w:before="0" w:after="0"/>
      </w:pPr>
    </w:p>
    <w:tbl>
      <w:tblPr>
        <w:tblStyle w:val="DTFtexttable"/>
        <w:tblW w:w="9327" w:type="dxa"/>
        <w:tblLayout w:type="fixed"/>
        <w:tblLook w:val="0020" w:firstRow="1" w:lastRow="0" w:firstColumn="0" w:lastColumn="0" w:noHBand="0" w:noVBand="0"/>
      </w:tblPr>
      <w:tblGrid>
        <w:gridCol w:w="2217"/>
        <w:gridCol w:w="2970"/>
        <w:gridCol w:w="1676"/>
        <w:gridCol w:w="2464"/>
      </w:tblGrid>
      <w:tr w:rsidR="00E23BA2" w:rsidRPr="00ED2F29" w:rsidTr="00B50FA9">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217" w:type="dxa"/>
          </w:tcPr>
          <w:p w:rsidR="00E23BA2" w:rsidRPr="00ED2F29" w:rsidRDefault="00E23BA2" w:rsidP="00B50FA9">
            <w:pPr>
              <w:pStyle w:val="Tabletext"/>
            </w:pPr>
            <w:r w:rsidRPr="00544877">
              <w:t>Standard/Interpretation</w:t>
            </w:r>
            <w:r w:rsidR="00B50FA9">
              <w:t xml:space="preserve"> </w:t>
            </w:r>
            <w:r w:rsidR="008D4491" w:rsidRPr="008D4491">
              <w:rPr>
                <w:vertAlign w:val="superscript"/>
              </w:rPr>
              <w:t>1</w:t>
            </w:r>
          </w:p>
        </w:tc>
        <w:tc>
          <w:tcPr>
            <w:cnfStyle w:val="000001000000" w:firstRow="0" w:lastRow="0" w:firstColumn="0" w:lastColumn="0" w:oddVBand="0" w:evenVBand="1" w:oddHBand="0" w:evenHBand="0" w:firstRowFirstColumn="0" w:firstRowLastColumn="0" w:lastRowFirstColumn="0" w:lastRowLastColumn="0"/>
            <w:tcW w:w="2970" w:type="dxa"/>
          </w:tcPr>
          <w:p w:rsidR="00E23BA2" w:rsidRPr="00ED2F29" w:rsidRDefault="00E23BA2" w:rsidP="00B50FA9">
            <w:pPr>
              <w:pStyle w:val="Tabletext"/>
            </w:pPr>
            <w:r w:rsidRPr="00DC628F">
              <w:t>Summary</w:t>
            </w:r>
          </w:p>
        </w:tc>
        <w:tc>
          <w:tcPr>
            <w:cnfStyle w:val="000010000000" w:firstRow="0" w:lastRow="0" w:firstColumn="0" w:lastColumn="0" w:oddVBand="1" w:evenVBand="0" w:oddHBand="0" w:evenHBand="0" w:firstRowFirstColumn="0" w:firstRowLastColumn="0" w:lastRowFirstColumn="0" w:lastRowLastColumn="0"/>
            <w:tcW w:w="1676" w:type="dxa"/>
          </w:tcPr>
          <w:p w:rsidR="00E23BA2" w:rsidRPr="00ED2F29" w:rsidRDefault="00E23BA2" w:rsidP="00B50FA9">
            <w:pPr>
              <w:pStyle w:val="Tabletext"/>
            </w:pPr>
            <w:r w:rsidRPr="00DC628F">
              <w:t>Applicable for annual reporting periods beginning on</w:t>
            </w:r>
          </w:p>
        </w:tc>
        <w:tc>
          <w:tcPr>
            <w:cnfStyle w:val="000001000000" w:firstRow="0" w:lastRow="0" w:firstColumn="0" w:lastColumn="0" w:oddVBand="0" w:evenVBand="1" w:oddHBand="0" w:evenHBand="0" w:firstRowFirstColumn="0" w:firstRowLastColumn="0" w:lastRowFirstColumn="0" w:lastRowLastColumn="0"/>
            <w:tcW w:w="2464" w:type="dxa"/>
          </w:tcPr>
          <w:p w:rsidR="00E23BA2" w:rsidRPr="00ED2F29" w:rsidRDefault="00E23BA2" w:rsidP="00B50FA9">
            <w:pPr>
              <w:pStyle w:val="Tabletext"/>
            </w:pPr>
            <w:r w:rsidRPr="00DC628F">
              <w:t>Impact on public sector entity financial statements</w:t>
            </w:r>
          </w:p>
        </w:tc>
      </w:tr>
      <w:tr w:rsidR="00E23BA2" w:rsidRPr="00ED2F29" w:rsidTr="00B50F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E23BA2" w:rsidRPr="00ED2F29" w:rsidRDefault="00B50FA9" w:rsidP="00B50FA9">
            <w:pPr>
              <w:pStyle w:val="Tabletext"/>
            </w:pPr>
            <w:r>
              <w:t>AASB </w:t>
            </w:r>
            <w:r w:rsidR="00E23BA2" w:rsidRPr="00DC628F">
              <w:t xml:space="preserve">9 </w:t>
            </w:r>
            <w:r w:rsidR="00E23BA2" w:rsidRPr="00DC628F">
              <w:rPr>
                <w:i/>
              </w:rPr>
              <w:t xml:space="preserve">Financial </w:t>
            </w:r>
            <w:r w:rsidR="005C3FA5" w:rsidRPr="00DC628F">
              <w:rPr>
                <w:i/>
              </w:rPr>
              <w:t>I</w:t>
            </w:r>
            <w:r w:rsidR="00E23BA2" w:rsidRPr="00DC628F">
              <w:rPr>
                <w:i/>
              </w:rPr>
              <w:t>nstruments</w:t>
            </w:r>
          </w:p>
        </w:tc>
        <w:tc>
          <w:tcPr>
            <w:cnfStyle w:val="000001000000" w:firstRow="0" w:lastRow="0" w:firstColumn="0" w:lastColumn="0" w:oddVBand="0" w:evenVBand="1" w:oddHBand="0" w:evenHBand="0" w:firstRowFirstColumn="0" w:firstRowLastColumn="0" w:lastRowFirstColumn="0" w:lastRowLastColumn="0"/>
            <w:tcW w:w="2970" w:type="dxa"/>
          </w:tcPr>
          <w:p w:rsidR="00E23BA2" w:rsidRPr="00ED2F29" w:rsidRDefault="00E23BA2" w:rsidP="00B50FA9">
            <w:pPr>
              <w:pStyle w:val="Tabletext"/>
            </w:pPr>
            <w:r w:rsidRPr="00DC628F">
              <w:t>Th</w:t>
            </w:r>
            <w:r w:rsidR="00522A8D" w:rsidRPr="00DC628F">
              <w:t>e</w:t>
            </w:r>
            <w:r w:rsidRPr="00DC628F">
              <w:t xml:space="preserve"> </w:t>
            </w:r>
            <w:r w:rsidR="004346B8" w:rsidRPr="00DC628F">
              <w:t xml:space="preserve">key changes include the simplified requirements for the classification and measurement of financial assets, a new hedging accounting model and a revised impairment loss model to recognise impairment losses </w:t>
            </w:r>
            <w:r w:rsidR="004346B8" w:rsidRPr="00B50FA9">
              <w:t>earlier</w:t>
            </w:r>
            <w:r w:rsidR="004346B8" w:rsidRPr="00DC628F">
              <w:t>, as opposed to the current approach that recognises impairment only when incurred.</w:t>
            </w:r>
          </w:p>
        </w:tc>
        <w:tc>
          <w:tcPr>
            <w:cnfStyle w:val="000010000000" w:firstRow="0" w:lastRow="0" w:firstColumn="0" w:lastColumn="0" w:oddVBand="1" w:evenVBand="0" w:oddHBand="0" w:evenHBand="0" w:firstRowFirstColumn="0" w:firstRowLastColumn="0" w:lastRowFirstColumn="0" w:lastRowLastColumn="0"/>
            <w:tcW w:w="1676" w:type="dxa"/>
          </w:tcPr>
          <w:p w:rsidR="00E23BA2" w:rsidRPr="00ED2F29" w:rsidRDefault="00E23BA2" w:rsidP="00B50FA9">
            <w:pPr>
              <w:pStyle w:val="Tabletext"/>
            </w:pPr>
            <w:r w:rsidRPr="00DC628F">
              <w:t xml:space="preserve">1 Jan </w:t>
            </w:r>
            <w:r w:rsidR="00900ACF" w:rsidRPr="00DC628F">
              <w:t>201</w:t>
            </w:r>
            <w:r w:rsidR="001623D1" w:rsidRPr="00DC628F">
              <w:t>8</w:t>
            </w:r>
          </w:p>
        </w:tc>
        <w:tc>
          <w:tcPr>
            <w:cnfStyle w:val="000001000000" w:firstRow="0" w:lastRow="0" w:firstColumn="0" w:lastColumn="0" w:oddVBand="0" w:evenVBand="1" w:oddHBand="0" w:evenHBand="0" w:firstRowFirstColumn="0" w:firstRowLastColumn="0" w:lastRowFirstColumn="0" w:lastRowLastColumn="0"/>
            <w:tcW w:w="2464" w:type="dxa"/>
          </w:tcPr>
          <w:p w:rsidR="00A15728" w:rsidRDefault="00A15728" w:rsidP="00A15728">
            <w:pPr>
              <w:pStyle w:val="Tabletext"/>
            </w:pPr>
            <w:r>
              <w:t xml:space="preserve">The assessment has identified that the amendments are likely to result in earlier recognition of impairment losses and at more regular intervals. </w:t>
            </w:r>
          </w:p>
          <w:p w:rsidR="0032427D" w:rsidRPr="00DC628F" w:rsidRDefault="0032427D" w:rsidP="00D76C99">
            <w:pPr>
              <w:pStyle w:val="Tabletext"/>
            </w:pPr>
            <w:r w:rsidRPr="00A15728">
              <w:t xml:space="preserve">While </w:t>
            </w:r>
            <w:r w:rsidR="00C62809">
              <w:t>there will be no</w:t>
            </w:r>
            <w:r w:rsidR="007312DB" w:rsidRPr="00A15728">
              <w:t xml:space="preserve"> </w:t>
            </w:r>
            <w:r w:rsidR="00C62809">
              <w:t>significant</w:t>
            </w:r>
            <w:r w:rsidR="00C62809" w:rsidRPr="00A15728">
              <w:t xml:space="preserve"> </w:t>
            </w:r>
            <w:r w:rsidR="007312DB" w:rsidRPr="00A15728">
              <w:t>impact</w:t>
            </w:r>
            <w:r w:rsidRPr="00A15728">
              <w:t xml:space="preserve"> </w:t>
            </w:r>
            <w:r w:rsidR="007312DB" w:rsidRPr="00A15728">
              <w:t xml:space="preserve">arising from </w:t>
            </w:r>
            <w:r w:rsidR="00B50FA9" w:rsidRPr="00A15728">
              <w:t>AASB </w:t>
            </w:r>
            <w:r w:rsidR="007312DB" w:rsidRPr="00A15728">
              <w:t xml:space="preserve">9, </w:t>
            </w:r>
            <w:r w:rsidR="00C62809">
              <w:t xml:space="preserve">there will be a change </w:t>
            </w:r>
            <w:r w:rsidR="00D76C99">
              <w:t>to</w:t>
            </w:r>
            <w:r w:rsidR="00C62809">
              <w:t xml:space="preserve"> the way financial instruments are disclosed</w:t>
            </w:r>
            <w:r w:rsidRPr="00A15728">
              <w:t>.</w:t>
            </w:r>
            <w:r w:rsidRPr="00DC628F">
              <w:t xml:space="preserve"> </w:t>
            </w:r>
          </w:p>
        </w:tc>
      </w:tr>
      <w:tr w:rsidR="003A673C" w:rsidRPr="00ED2F29" w:rsidTr="00B50F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3A673C" w:rsidRPr="008F766B" w:rsidRDefault="00C5289A" w:rsidP="00C5289A">
            <w:pPr>
              <w:pStyle w:val="Tabletext"/>
            </w:pPr>
            <w:r>
              <w:t xml:space="preserve">AASB </w:t>
            </w:r>
            <w:r w:rsidR="007112A4">
              <w:t xml:space="preserve">2010-7 </w:t>
            </w:r>
            <w:r w:rsidR="007112A4" w:rsidRPr="00B50FA9">
              <w:rPr>
                <w:i/>
              </w:rPr>
              <w:t xml:space="preserve">Amendments to Australian Accounting Standards arising from </w:t>
            </w:r>
            <w:r>
              <w:rPr>
                <w:i/>
              </w:rPr>
              <w:t>AASB </w:t>
            </w:r>
            <w:r w:rsidR="007112A4" w:rsidRPr="00B50FA9">
              <w:rPr>
                <w:i/>
              </w:rPr>
              <w:t>9</w:t>
            </w:r>
            <w:r w:rsidR="007112A4">
              <w:t xml:space="preserve"> (December 2010)</w:t>
            </w:r>
          </w:p>
        </w:tc>
        <w:tc>
          <w:tcPr>
            <w:cnfStyle w:val="000001000000" w:firstRow="0" w:lastRow="0" w:firstColumn="0" w:lastColumn="0" w:oddVBand="0" w:evenVBand="1" w:oddHBand="0" w:evenHBand="0" w:firstRowFirstColumn="0" w:firstRowLastColumn="0" w:lastRowFirstColumn="0" w:lastRowLastColumn="0"/>
            <w:tcW w:w="2970" w:type="dxa"/>
          </w:tcPr>
          <w:p w:rsidR="003A673C" w:rsidRDefault="007112A4" w:rsidP="00B50FA9">
            <w:pPr>
              <w:pStyle w:val="Tabletext"/>
            </w:pPr>
            <w:r>
              <w:t xml:space="preserve">The requirements for classifying and measuring financial liabilities were added to </w:t>
            </w:r>
            <w:r w:rsidR="00C5289A">
              <w:t>AASB</w:t>
            </w:r>
            <w:r w:rsidR="00B50FA9">
              <w:t> </w:t>
            </w:r>
            <w:r>
              <w:t>9. The existing requirements for the classification of financial liabilities and the a</w:t>
            </w:r>
            <w:r w:rsidR="00BF44A1">
              <w:t>bility</w:t>
            </w:r>
            <w:r w:rsidR="0033380E">
              <w:t xml:space="preserve"> to use the fair value option have been retained. However, where the fair value option is used for financial liabilities the change in fair value is accounted for as follows:</w:t>
            </w:r>
          </w:p>
          <w:p w:rsidR="0033380E" w:rsidRDefault="0033380E" w:rsidP="00B50FA9">
            <w:pPr>
              <w:pStyle w:val="Tablebullet"/>
            </w:pPr>
            <w:r>
              <w:t>The change in fair value attributable to changes in credit risk is presented in other comprehensive income (OCI</w:t>
            </w:r>
            <w:r w:rsidR="003146DB">
              <w:t>)</w:t>
            </w:r>
            <w:r w:rsidR="00A07D62">
              <w:t xml:space="preserve">; and </w:t>
            </w:r>
          </w:p>
          <w:p w:rsidR="00A07D62" w:rsidRPr="00DC628F" w:rsidRDefault="00A07D62" w:rsidP="00B50FA9">
            <w:pPr>
              <w:pStyle w:val="Tablebullet"/>
            </w:pPr>
            <w:r>
              <w:t xml:space="preserve">Other fair value changes are presented in profit and loss. If this approach creates or enlarges an accounting mismatch in the profit or loss, the effect of the changes in credit risk are also presented in profit or loss. </w:t>
            </w:r>
          </w:p>
        </w:tc>
        <w:tc>
          <w:tcPr>
            <w:cnfStyle w:val="000010000000" w:firstRow="0" w:lastRow="0" w:firstColumn="0" w:lastColumn="0" w:oddVBand="1" w:evenVBand="0" w:oddHBand="0" w:evenHBand="0" w:firstRowFirstColumn="0" w:firstRowLastColumn="0" w:lastRowFirstColumn="0" w:lastRowLastColumn="0"/>
            <w:tcW w:w="1676" w:type="dxa"/>
          </w:tcPr>
          <w:p w:rsidR="003A673C" w:rsidRPr="00DC628F" w:rsidRDefault="007112A4"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2464" w:type="dxa"/>
          </w:tcPr>
          <w:p w:rsidR="00A15728" w:rsidRPr="00A15728" w:rsidRDefault="00A15728" w:rsidP="00A15728">
            <w:pPr>
              <w:pStyle w:val="Tabletext"/>
            </w:pPr>
            <w:r w:rsidRPr="00A15728">
              <w:t xml:space="preserve">The assessment has identified that the financial impact of available for sale (AFS) assets will now be reported through other comprehensive income (OCI) and no longer recycled to the profit and loss. </w:t>
            </w:r>
          </w:p>
          <w:p w:rsidR="003361D0" w:rsidRDefault="003361D0" w:rsidP="00B50FA9">
            <w:pPr>
              <w:pStyle w:val="Tabletext"/>
            </w:pPr>
            <w:r>
              <w:t xml:space="preserve">Changes in own credit risk in respect of liabilities designated at fair value through profit and loss </w:t>
            </w:r>
            <w:r w:rsidR="0017759E">
              <w:t>wil</w:t>
            </w:r>
            <w:r>
              <w:t xml:space="preserve">l now be presented within </w:t>
            </w:r>
            <w:r w:rsidRPr="00DC628F">
              <w:t>other comprehensive income (OCI</w:t>
            </w:r>
            <w:r>
              <w:t xml:space="preserve">). </w:t>
            </w:r>
          </w:p>
          <w:p w:rsidR="00C1708D" w:rsidRDefault="00C1708D" w:rsidP="00B50FA9">
            <w:pPr>
              <w:pStyle w:val="Tabletext"/>
            </w:pPr>
            <w:r>
              <w:t xml:space="preserve">Hedge accounting will be more closely aligned with common risk management practices making it easier to have an effective hedge. </w:t>
            </w:r>
          </w:p>
          <w:p w:rsidR="00C1708D" w:rsidRPr="00DC628F" w:rsidRDefault="00C1708D" w:rsidP="00B50FA9">
            <w:pPr>
              <w:pStyle w:val="Tabletext"/>
            </w:pPr>
            <w:r>
              <w:t xml:space="preserve">For entities with significant lending activities, an overhaul of related systems and processes </w:t>
            </w:r>
            <w:r w:rsidR="006F04B8">
              <w:t>may</w:t>
            </w:r>
            <w:r>
              <w:t xml:space="preserve"> be needed.  </w:t>
            </w:r>
          </w:p>
        </w:tc>
      </w:tr>
      <w:tr w:rsidR="00516BFC" w:rsidRPr="00ED2F29" w:rsidTr="00B50F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516BFC" w:rsidRPr="0084374D" w:rsidRDefault="00315D10" w:rsidP="00B50FA9">
            <w:pPr>
              <w:pStyle w:val="Tabletext"/>
            </w:pPr>
            <w:r w:rsidRPr="0084374D">
              <w:t>AASB</w:t>
            </w:r>
            <w:r w:rsidR="00B50FA9" w:rsidRPr="0084374D">
              <w:t> </w:t>
            </w:r>
            <w:r w:rsidR="005B5291" w:rsidRPr="0084374D">
              <w:t xml:space="preserve">2014-1 </w:t>
            </w:r>
            <w:r w:rsidR="005B5291" w:rsidRPr="0084374D">
              <w:rPr>
                <w:i/>
              </w:rPr>
              <w:t>Amendments to Australian Accounting Standards [Part E Financial Instruments]</w:t>
            </w:r>
            <w:r w:rsidR="005B5291" w:rsidRPr="0084374D">
              <w:t xml:space="preserve">  </w:t>
            </w:r>
          </w:p>
        </w:tc>
        <w:tc>
          <w:tcPr>
            <w:cnfStyle w:val="000001000000" w:firstRow="0" w:lastRow="0" w:firstColumn="0" w:lastColumn="0" w:oddVBand="0" w:evenVBand="1" w:oddHBand="0" w:evenHBand="0" w:firstRowFirstColumn="0" w:firstRowLastColumn="0" w:lastRowFirstColumn="0" w:lastRowLastColumn="0"/>
            <w:tcW w:w="2970" w:type="dxa"/>
          </w:tcPr>
          <w:p w:rsidR="00315D10" w:rsidRDefault="005B5291" w:rsidP="00315D10">
            <w:pPr>
              <w:pStyle w:val="Tabletext"/>
            </w:pPr>
            <w:r>
              <w:t>Amends various AASs to reflect the AASB’s decision to defer the mandatory application date of</w:t>
            </w:r>
            <w:r w:rsidR="00B50FA9">
              <w:t> </w:t>
            </w:r>
          </w:p>
          <w:p w:rsidR="00516BFC" w:rsidRDefault="00315D10" w:rsidP="00315D10">
            <w:pPr>
              <w:pStyle w:val="Tabletext"/>
            </w:pPr>
            <w:r>
              <w:t xml:space="preserve">AASB </w:t>
            </w:r>
            <w:r w:rsidR="005B5291">
              <w:t xml:space="preserve">9 to annual reporting periods beginning on or after 1 January 2018 as a consequence of Chapter 6 Hedge Accounting, and to amend reduced disclosure requirements. </w:t>
            </w:r>
          </w:p>
        </w:tc>
        <w:tc>
          <w:tcPr>
            <w:cnfStyle w:val="000010000000" w:firstRow="0" w:lastRow="0" w:firstColumn="0" w:lastColumn="0" w:oddVBand="1" w:evenVBand="0" w:oddHBand="0" w:evenHBand="0" w:firstRowFirstColumn="0" w:firstRowLastColumn="0" w:lastRowFirstColumn="0" w:lastRowLastColumn="0"/>
            <w:tcW w:w="1676" w:type="dxa"/>
          </w:tcPr>
          <w:p w:rsidR="00516BFC" w:rsidRDefault="005B5291"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2464" w:type="dxa"/>
          </w:tcPr>
          <w:p w:rsidR="00516BFC" w:rsidRPr="00DC628F" w:rsidRDefault="005B5291" w:rsidP="00315D10">
            <w:pPr>
              <w:pStyle w:val="Tabletext"/>
            </w:pPr>
            <w:r>
              <w:t xml:space="preserve">This amending standard will defer the application period of </w:t>
            </w:r>
            <w:r w:rsidR="00315D10">
              <w:t xml:space="preserve">AASB </w:t>
            </w:r>
            <w:r>
              <w:t xml:space="preserve">9 to the 2018-19 reporting period in accordance with the transition requirements. </w:t>
            </w:r>
          </w:p>
        </w:tc>
      </w:tr>
      <w:tr w:rsidR="000A6DF2" w:rsidRPr="00ED2F29" w:rsidTr="00B50F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0A6DF2" w:rsidRPr="0084374D" w:rsidRDefault="00315D10" w:rsidP="00315D10">
            <w:pPr>
              <w:pStyle w:val="Tabletext"/>
            </w:pPr>
            <w:r w:rsidRPr="0084374D">
              <w:t xml:space="preserve">AASB </w:t>
            </w:r>
            <w:r w:rsidR="000A6DF2" w:rsidRPr="0084374D">
              <w:t xml:space="preserve">2014-7 </w:t>
            </w:r>
            <w:r w:rsidR="000A6DF2" w:rsidRPr="0084374D">
              <w:rPr>
                <w:i/>
              </w:rPr>
              <w:t xml:space="preserve">Amendments to Australian Accounting Standards arising from </w:t>
            </w:r>
            <w:r w:rsidRPr="0084374D">
              <w:rPr>
                <w:i/>
              </w:rPr>
              <w:t xml:space="preserve">AASB </w:t>
            </w:r>
            <w:r w:rsidR="000A6DF2" w:rsidRPr="0084374D">
              <w:rPr>
                <w:i/>
              </w:rPr>
              <w:t>9</w:t>
            </w:r>
          </w:p>
        </w:tc>
        <w:tc>
          <w:tcPr>
            <w:cnfStyle w:val="000001000000" w:firstRow="0" w:lastRow="0" w:firstColumn="0" w:lastColumn="0" w:oddVBand="0" w:evenVBand="1" w:oddHBand="0" w:evenHBand="0" w:firstRowFirstColumn="0" w:firstRowLastColumn="0" w:lastRowFirstColumn="0" w:lastRowLastColumn="0"/>
            <w:tcW w:w="2970" w:type="dxa"/>
          </w:tcPr>
          <w:p w:rsidR="000A6DF2" w:rsidRDefault="004E2AC9" w:rsidP="00315D10">
            <w:pPr>
              <w:pStyle w:val="Tabletext"/>
            </w:pPr>
            <w:r>
              <w:t xml:space="preserve">Amends various AASs to incorporate the consequential amendments arising from the issuance of </w:t>
            </w:r>
            <w:r w:rsidR="00315D10">
              <w:t xml:space="preserve">AASB </w:t>
            </w:r>
            <w:r>
              <w:t xml:space="preserve">9. </w:t>
            </w:r>
          </w:p>
        </w:tc>
        <w:tc>
          <w:tcPr>
            <w:cnfStyle w:val="000010000000" w:firstRow="0" w:lastRow="0" w:firstColumn="0" w:lastColumn="0" w:oddVBand="1" w:evenVBand="0" w:oddHBand="0" w:evenHBand="0" w:firstRowFirstColumn="0" w:firstRowLastColumn="0" w:lastRowFirstColumn="0" w:lastRowLastColumn="0"/>
            <w:tcW w:w="1676" w:type="dxa"/>
          </w:tcPr>
          <w:p w:rsidR="000A6DF2" w:rsidRDefault="004E2AC9"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2464" w:type="dxa"/>
          </w:tcPr>
          <w:p w:rsidR="000A6DF2" w:rsidRDefault="00932868" w:rsidP="00B50FA9">
            <w:pPr>
              <w:pStyle w:val="Tabletext"/>
            </w:pPr>
            <w:r>
              <w:t xml:space="preserve">The assessment has indicated that there will be no significant impact for the public sector. </w:t>
            </w:r>
          </w:p>
        </w:tc>
      </w:tr>
      <w:tr w:rsidR="001623D1" w:rsidRPr="00ED2F29" w:rsidTr="003436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1623D1" w:rsidRPr="0084374D" w:rsidRDefault="00B50FA9" w:rsidP="00B50FA9">
            <w:pPr>
              <w:pStyle w:val="Tabletext"/>
            </w:pPr>
            <w:r w:rsidRPr="0084374D">
              <w:t>AASB </w:t>
            </w:r>
            <w:r w:rsidR="001623D1" w:rsidRPr="0084374D">
              <w:t xml:space="preserve">15 </w:t>
            </w:r>
            <w:r w:rsidR="001623D1" w:rsidRPr="0084374D">
              <w:rPr>
                <w:i/>
              </w:rPr>
              <w:t>Revenue from Contracts with Customers</w:t>
            </w:r>
          </w:p>
        </w:tc>
        <w:tc>
          <w:tcPr>
            <w:cnfStyle w:val="000001000000" w:firstRow="0" w:lastRow="0" w:firstColumn="0" w:lastColumn="0" w:oddVBand="0" w:evenVBand="1" w:oddHBand="0" w:evenHBand="0" w:firstRowFirstColumn="0" w:firstRowLastColumn="0" w:lastRowFirstColumn="0" w:lastRowLastColumn="0"/>
            <w:tcW w:w="2970" w:type="dxa"/>
          </w:tcPr>
          <w:p w:rsidR="001623D1" w:rsidRPr="00ED2F29" w:rsidRDefault="001623D1" w:rsidP="00B50FA9">
            <w:pPr>
              <w:pStyle w:val="Tabletext"/>
            </w:pPr>
            <w:r w:rsidRPr="00DC628F">
              <w:t xml:space="preserve">The core principle of </w:t>
            </w:r>
            <w:r w:rsidR="00B50FA9">
              <w:t>AASB </w:t>
            </w:r>
            <w:r w:rsidRPr="00DC628F">
              <w:t>15 requires an entity to recognise revenue when the entity satisfies a performance obligation by transferring a promised good or service to a customer.</w:t>
            </w:r>
          </w:p>
        </w:tc>
        <w:tc>
          <w:tcPr>
            <w:cnfStyle w:val="000010000000" w:firstRow="0" w:lastRow="0" w:firstColumn="0" w:lastColumn="0" w:oddVBand="1" w:evenVBand="0" w:oddHBand="0" w:evenHBand="0" w:firstRowFirstColumn="0" w:firstRowLastColumn="0" w:lastRowFirstColumn="0" w:lastRowLastColumn="0"/>
            <w:tcW w:w="1676" w:type="dxa"/>
          </w:tcPr>
          <w:p w:rsidR="005A69CE" w:rsidRPr="00DC628F" w:rsidRDefault="001623D1" w:rsidP="00B50FA9">
            <w:pPr>
              <w:pStyle w:val="Tabletext"/>
            </w:pPr>
            <w:r w:rsidRPr="00DC628F">
              <w:t xml:space="preserve">1 Jan </w:t>
            </w:r>
            <w:r w:rsidR="00DE444E" w:rsidRPr="00DC628F">
              <w:t>201</w:t>
            </w:r>
            <w:r w:rsidR="00DE444E">
              <w:t>8</w:t>
            </w:r>
          </w:p>
        </w:tc>
        <w:tc>
          <w:tcPr>
            <w:cnfStyle w:val="000001000000" w:firstRow="0" w:lastRow="0" w:firstColumn="0" w:lastColumn="0" w:oddVBand="0" w:evenVBand="1" w:oddHBand="0" w:evenHBand="0" w:firstRowFirstColumn="0" w:firstRowLastColumn="0" w:lastRowFirstColumn="0" w:lastRowLastColumn="0"/>
            <w:tcW w:w="2464" w:type="dxa"/>
          </w:tcPr>
          <w:p w:rsidR="001623D1" w:rsidRPr="00DC628F" w:rsidRDefault="0000267D" w:rsidP="00B50FA9">
            <w:pPr>
              <w:pStyle w:val="Tabletext"/>
            </w:pPr>
            <w:r w:rsidRPr="00DC628F">
              <w:t xml:space="preserve">The changes in revenue recognition requirements in </w:t>
            </w:r>
            <w:r w:rsidR="00B50FA9">
              <w:t>AASB </w:t>
            </w:r>
            <w:r w:rsidRPr="00DC628F">
              <w:t xml:space="preserve">15 may </w:t>
            </w:r>
            <w:r w:rsidR="00FF72AC" w:rsidRPr="00DC628F">
              <w:t>result in</w:t>
            </w:r>
            <w:r w:rsidRPr="00DC628F">
              <w:t xml:space="preserve"> changes to the timing and amount of revenue recorded in the financial statements</w:t>
            </w:r>
            <w:r w:rsidR="004346B8" w:rsidRPr="00DC628F">
              <w:t>. The Standard will also require</w:t>
            </w:r>
            <w:r w:rsidRPr="00DC628F">
              <w:t xml:space="preserve"> </w:t>
            </w:r>
            <w:r w:rsidR="00EF7570" w:rsidRPr="00DC628F">
              <w:t xml:space="preserve">additional </w:t>
            </w:r>
            <w:r w:rsidRPr="00DC628F">
              <w:t>disclosures</w:t>
            </w:r>
            <w:r w:rsidR="004346B8" w:rsidRPr="00DC628F">
              <w:t xml:space="preserve"> on</w:t>
            </w:r>
            <w:r w:rsidR="00EF7570" w:rsidRPr="00DC628F">
              <w:t xml:space="preserve"> service revenue and contract modifications.</w:t>
            </w:r>
            <w:r w:rsidR="00FF72AC" w:rsidRPr="00DC628F">
              <w:t xml:space="preserve"> </w:t>
            </w:r>
          </w:p>
        </w:tc>
      </w:tr>
      <w:tr w:rsidR="004B26C7" w:rsidRPr="00ED2F29" w:rsidTr="0034368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4B26C7" w:rsidRPr="0084374D" w:rsidRDefault="00375DAA" w:rsidP="00375DAA">
            <w:pPr>
              <w:pStyle w:val="Tabletext"/>
            </w:pPr>
            <w:r w:rsidRPr="0084374D">
              <w:t xml:space="preserve">AASB </w:t>
            </w:r>
            <w:r w:rsidR="004B26C7" w:rsidRPr="0084374D">
              <w:t xml:space="preserve">2014-5 </w:t>
            </w:r>
            <w:r w:rsidR="004B26C7" w:rsidRPr="0084374D">
              <w:rPr>
                <w:i/>
              </w:rPr>
              <w:t xml:space="preserve">Amendments to Australian Accounting Standards arising from </w:t>
            </w:r>
            <w:r w:rsidRPr="0084374D">
              <w:rPr>
                <w:i/>
              </w:rPr>
              <w:t xml:space="preserve">AASB </w:t>
            </w:r>
            <w:r w:rsidR="004B26C7" w:rsidRPr="0084374D">
              <w:rPr>
                <w:i/>
              </w:rPr>
              <w:t>15</w:t>
            </w:r>
          </w:p>
        </w:tc>
        <w:tc>
          <w:tcPr>
            <w:cnfStyle w:val="000001000000" w:firstRow="0" w:lastRow="0" w:firstColumn="0" w:lastColumn="0" w:oddVBand="0" w:evenVBand="1" w:oddHBand="0" w:evenHBand="0" w:firstRowFirstColumn="0" w:firstRowLastColumn="0" w:lastRowFirstColumn="0" w:lastRowLastColumn="0"/>
            <w:tcW w:w="2970" w:type="dxa"/>
          </w:tcPr>
          <w:p w:rsidR="004B26C7" w:rsidRDefault="004B26C7" w:rsidP="00B50FA9">
            <w:pPr>
              <w:pStyle w:val="Tabletext"/>
            </w:pPr>
            <w:r w:rsidRPr="00F45036">
              <w:t>Amends the measurement of trade receivables and the recognition of dividends.</w:t>
            </w:r>
          </w:p>
          <w:p w:rsidR="00F45036" w:rsidRPr="00F45036" w:rsidRDefault="00F45036" w:rsidP="00F45036">
            <w:pPr>
              <w:pStyle w:val="Tabletext"/>
            </w:pPr>
            <w:r>
              <w:t>T</w:t>
            </w:r>
            <w:r w:rsidRPr="00F45036">
              <w:t xml:space="preserve">rade receivables, that do not have a significant financing component, </w:t>
            </w:r>
            <w:r>
              <w:t xml:space="preserve">are </w:t>
            </w:r>
            <w:r w:rsidRPr="00F45036">
              <w:t xml:space="preserve">to be measured at their transaction price, at initial recognition. </w:t>
            </w:r>
          </w:p>
          <w:p w:rsidR="00F45036" w:rsidRPr="00F45036" w:rsidRDefault="00F45036" w:rsidP="00F45036">
            <w:pPr>
              <w:pStyle w:val="Tabletext"/>
            </w:pPr>
            <w:r w:rsidRPr="00F45036">
              <w:t>Dividends are recognised in the profit and loss only when:</w:t>
            </w:r>
          </w:p>
          <w:p w:rsidR="00F45036" w:rsidRPr="00F45036" w:rsidRDefault="00F45036" w:rsidP="00F45036">
            <w:pPr>
              <w:pStyle w:val="Tablebullet"/>
            </w:pPr>
            <w:r w:rsidRPr="00F45036">
              <w:t xml:space="preserve">the entity’s right to receive payment of the dividend is established; </w:t>
            </w:r>
          </w:p>
          <w:p w:rsidR="00F45036" w:rsidRPr="00F45036" w:rsidRDefault="00F45036" w:rsidP="00F45036">
            <w:pPr>
              <w:pStyle w:val="Tablebullet"/>
            </w:pPr>
            <w:r w:rsidRPr="00F45036">
              <w:t xml:space="preserve">it is probable that the economic benefits associated with the dividend will flow to the entity; and </w:t>
            </w:r>
          </w:p>
          <w:p w:rsidR="00F45036" w:rsidRPr="00F45036" w:rsidRDefault="00F45036" w:rsidP="00F45036">
            <w:pPr>
              <w:pStyle w:val="Tablebullet"/>
            </w:pPr>
            <w:r w:rsidRPr="00F45036">
              <w:t>the amount can be measured reliably.</w:t>
            </w:r>
          </w:p>
        </w:tc>
        <w:tc>
          <w:tcPr>
            <w:cnfStyle w:val="000010000000" w:firstRow="0" w:lastRow="0" w:firstColumn="0" w:lastColumn="0" w:oddVBand="1" w:evenVBand="0" w:oddHBand="0" w:evenHBand="0" w:firstRowFirstColumn="0" w:firstRowLastColumn="0" w:lastRowFirstColumn="0" w:lastRowLastColumn="0"/>
            <w:tcW w:w="1676" w:type="dxa"/>
          </w:tcPr>
          <w:p w:rsidR="004B26C7" w:rsidRPr="00F45036" w:rsidRDefault="004B26C7" w:rsidP="00375DAA">
            <w:pPr>
              <w:pStyle w:val="Tabletext"/>
            </w:pPr>
            <w:r w:rsidRPr="00F45036">
              <w:t xml:space="preserve">1 Jan 2017, except amendments to </w:t>
            </w:r>
            <w:r w:rsidR="00375DAA">
              <w:t>AASB</w:t>
            </w:r>
            <w:r w:rsidR="00375DAA" w:rsidRPr="00F45036">
              <w:t> </w:t>
            </w:r>
            <w:r w:rsidR="00C1708D" w:rsidRPr="00F45036">
              <w:t xml:space="preserve">9 </w:t>
            </w:r>
            <w:r w:rsidRPr="00F45036">
              <w:t xml:space="preserve">(Dec 2009) and </w:t>
            </w:r>
            <w:r w:rsidR="00375DAA">
              <w:t>AASB</w:t>
            </w:r>
            <w:r w:rsidR="00375DAA" w:rsidRPr="00F45036">
              <w:t> </w:t>
            </w:r>
            <w:r w:rsidRPr="00F45036">
              <w:t>9 (Dec 2010) apply from 1</w:t>
            </w:r>
            <w:r w:rsidR="00B50FA9" w:rsidRPr="00F45036">
              <w:t> </w:t>
            </w:r>
            <w:r w:rsidRPr="00F45036">
              <w:t>Jan 2018</w:t>
            </w:r>
          </w:p>
        </w:tc>
        <w:tc>
          <w:tcPr>
            <w:cnfStyle w:val="000001000000" w:firstRow="0" w:lastRow="0" w:firstColumn="0" w:lastColumn="0" w:oddVBand="0" w:evenVBand="1" w:oddHBand="0" w:evenHBand="0" w:firstRowFirstColumn="0" w:firstRowLastColumn="0" w:lastRowFirstColumn="0" w:lastRowLastColumn="0"/>
            <w:tcW w:w="2464" w:type="dxa"/>
          </w:tcPr>
          <w:p w:rsidR="00960216" w:rsidRPr="00F45036" w:rsidRDefault="00C55834" w:rsidP="00F45036">
            <w:pPr>
              <w:pStyle w:val="Tabletext"/>
            </w:pPr>
            <w:r>
              <w:t>The assessment has indicated that there will be no significant impact for the public sector.</w:t>
            </w:r>
          </w:p>
        </w:tc>
      </w:tr>
      <w:tr w:rsidR="003378EC" w:rsidRPr="00ED2F29" w:rsidTr="003436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shd w:val="clear" w:color="auto" w:fill="auto"/>
          </w:tcPr>
          <w:p w:rsidR="003378EC" w:rsidRPr="0084374D" w:rsidRDefault="00375DAA" w:rsidP="00375DAA">
            <w:pPr>
              <w:pStyle w:val="Tabletext"/>
            </w:pPr>
            <w:r w:rsidRPr="0084374D">
              <w:t>AASB </w:t>
            </w:r>
            <w:r w:rsidR="003378EC" w:rsidRPr="0084374D">
              <w:t xml:space="preserve">2015-8 </w:t>
            </w:r>
            <w:r w:rsidR="003378EC" w:rsidRPr="0084374D">
              <w:rPr>
                <w:i/>
              </w:rPr>
              <w:t xml:space="preserve">Amendments to Australian Accounting Standards – Effective Date of </w:t>
            </w:r>
            <w:r w:rsidRPr="0084374D">
              <w:rPr>
                <w:i/>
              </w:rPr>
              <w:t>AASB </w:t>
            </w:r>
            <w:r w:rsidR="003378EC" w:rsidRPr="0084374D">
              <w:rPr>
                <w:i/>
              </w:rPr>
              <w:t>15</w:t>
            </w:r>
          </w:p>
        </w:tc>
        <w:tc>
          <w:tcPr>
            <w:cnfStyle w:val="000001000000" w:firstRow="0" w:lastRow="0" w:firstColumn="0" w:lastColumn="0" w:oddVBand="0" w:evenVBand="1" w:oddHBand="0" w:evenHBand="0" w:firstRowFirstColumn="0" w:firstRowLastColumn="0" w:lastRowFirstColumn="0" w:lastRowLastColumn="0"/>
            <w:tcW w:w="2970" w:type="dxa"/>
            <w:shd w:val="clear" w:color="auto" w:fill="auto"/>
          </w:tcPr>
          <w:p w:rsidR="003378EC" w:rsidRPr="00DC628F" w:rsidRDefault="00441614" w:rsidP="00375DAA">
            <w:pPr>
              <w:pStyle w:val="Tabletext"/>
            </w:pPr>
            <w:r>
              <w:t xml:space="preserve">This Standard defers the mandatory effective date of </w:t>
            </w:r>
            <w:r w:rsidR="00375DAA">
              <w:t>AASB </w:t>
            </w:r>
            <w:r w:rsidR="00B12F38">
              <w:t>15 from 1 </w:t>
            </w:r>
            <w:r>
              <w:t>January 2017 to 1 January 2018.</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auto"/>
          </w:tcPr>
          <w:p w:rsidR="003378EC" w:rsidRPr="00DC628F" w:rsidRDefault="003378EC"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2464" w:type="dxa"/>
            <w:shd w:val="clear" w:color="auto" w:fill="auto"/>
          </w:tcPr>
          <w:p w:rsidR="003378EC" w:rsidRPr="00DC628F" w:rsidRDefault="003378EC" w:rsidP="00375DAA">
            <w:pPr>
              <w:pStyle w:val="Tabletext"/>
            </w:pPr>
            <w:r>
              <w:t xml:space="preserve">This amending standard will defer the application period of </w:t>
            </w:r>
            <w:r w:rsidR="00375DAA">
              <w:t>AASB </w:t>
            </w:r>
            <w:r>
              <w:t xml:space="preserve">15 </w:t>
            </w:r>
            <w:r w:rsidR="00D5167F">
              <w:t xml:space="preserve">for for-profit entities </w:t>
            </w:r>
            <w:r>
              <w:t xml:space="preserve">to the 2018-19 reporting period in accordance with the transition requirements. </w:t>
            </w:r>
          </w:p>
        </w:tc>
      </w:tr>
      <w:tr w:rsidR="001F2566" w:rsidRPr="00ED2F29" w:rsidTr="0034368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1F2566" w:rsidRPr="0084374D" w:rsidRDefault="00375DAA" w:rsidP="00375DAA">
            <w:pPr>
              <w:pStyle w:val="Tabletext"/>
            </w:pPr>
            <w:r w:rsidRPr="0084374D">
              <w:t xml:space="preserve">AASB </w:t>
            </w:r>
            <w:r w:rsidR="001F2566" w:rsidRPr="0084374D">
              <w:t xml:space="preserve">2016-3 </w:t>
            </w:r>
            <w:r w:rsidR="001F2566" w:rsidRPr="0084374D">
              <w:rPr>
                <w:i/>
              </w:rPr>
              <w:t xml:space="preserve">Amendments to Australian Accounting Standards – Clarifications to </w:t>
            </w:r>
            <w:r w:rsidRPr="0084374D">
              <w:rPr>
                <w:i/>
              </w:rPr>
              <w:t xml:space="preserve">AASB </w:t>
            </w:r>
            <w:r w:rsidR="001F2566" w:rsidRPr="0084374D">
              <w:rPr>
                <w:i/>
              </w:rPr>
              <w:t>15</w:t>
            </w:r>
          </w:p>
        </w:tc>
        <w:tc>
          <w:tcPr>
            <w:cnfStyle w:val="000001000000" w:firstRow="0" w:lastRow="0" w:firstColumn="0" w:lastColumn="0" w:oddVBand="0" w:evenVBand="1" w:oddHBand="0" w:evenHBand="0" w:firstRowFirstColumn="0" w:firstRowLastColumn="0" w:lastRowFirstColumn="0" w:lastRowLastColumn="0"/>
            <w:tcW w:w="2970" w:type="dxa"/>
          </w:tcPr>
          <w:p w:rsidR="001F2566" w:rsidRDefault="00B0750C" w:rsidP="00B50FA9">
            <w:pPr>
              <w:pStyle w:val="Tabletext"/>
            </w:pPr>
            <w:r>
              <w:t xml:space="preserve">This Standard amends </w:t>
            </w:r>
            <w:r w:rsidR="00375DAA">
              <w:t>AASB </w:t>
            </w:r>
            <w:r>
              <w:t xml:space="preserve">15 to clarify the requirements on identifying performance obligations, principal versus agent considerations and the timing of recognising revenue from granting a licence.  </w:t>
            </w:r>
            <w:r w:rsidR="00572DDD">
              <w:t xml:space="preserve">The amendments require: </w:t>
            </w:r>
          </w:p>
          <w:p w:rsidR="00C55834" w:rsidRDefault="00CA0839" w:rsidP="00CA0839">
            <w:pPr>
              <w:pStyle w:val="Tablebullet"/>
            </w:pPr>
            <w:r>
              <w:t>A</w:t>
            </w:r>
            <w:r w:rsidR="00C55834">
              <w:t xml:space="preserve"> promise to transfer to a customer a good or service that is ‘distinct’ </w:t>
            </w:r>
            <w:r w:rsidR="00572DDD">
              <w:t>to be recognised as</w:t>
            </w:r>
            <w:r w:rsidR="00C55834">
              <w:t xml:space="preserve"> a separate performance obligation</w:t>
            </w:r>
            <w:r w:rsidR="00572DDD">
              <w:t xml:space="preserve">; </w:t>
            </w:r>
          </w:p>
          <w:p w:rsidR="00C55834" w:rsidRDefault="00CA0839" w:rsidP="00CA0839">
            <w:pPr>
              <w:pStyle w:val="Tablebullet"/>
            </w:pPr>
            <w:r>
              <w:t>F</w:t>
            </w:r>
            <w:r w:rsidR="00C55834">
              <w:t>or items purchased online, the entity is a principal if it obtains control of the good or service prior t</w:t>
            </w:r>
            <w:r w:rsidR="00572DDD">
              <w:t xml:space="preserve">o transferring to the customer; and </w:t>
            </w:r>
          </w:p>
          <w:p w:rsidR="00C55834" w:rsidRDefault="00C55834" w:rsidP="00692FBE">
            <w:pPr>
              <w:pStyle w:val="Tablebullet"/>
            </w:pPr>
            <w:r>
              <w:t xml:space="preserve">For licences identified as being distinct from other goods or services in a contract, entities </w:t>
            </w:r>
            <w:r w:rsidR="00692FBE">
              <w:t>need</w:t>
            </w:r>
            <w:r>
              <w:t xml:space="preserve"> to determine whether the licence transfer</w:t>
            </w:r>
            <w:r w:rsidR="00572DDD">
              <w:t>s</w:t>
            </w:r>
            <w:r>
              <w:t xml:space="preserve"> to the customer over time (right to use) or at a point in time (right to access).</w:t>
            </w:r>
          </w:p>
        </w:tc>
        <w:tc>
          <w:tcPr>
            <w:cnfStyle w:val="000010000000" w:firstRow="0" w:lastRow="0" w:firstColumn="0" w:lastColumn="0" w:oddVBand="1" w:evenVBand="0" w:oddHBand="0" w:evenHBand="0" w:firstRowFirstColumn="0" w:firstRowLastColumn="0" w:lastRowFirstColumn="0" w:lastRowLastColumn="0"/>
            <w:tcW w:w="1676" w:type="dxa"/>
          </w:tcPr>
          <w:p w:rsidR="001F2566" w:rsidRDefault="00B0750C"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2464" w:type="dxa"/>
          </w:tcPr>
          <w:p w:rsidR="00DD40D2" w:rsidRDefault="00C55834" w:rsidP="00E41E30">
            <w:pPr>
              <w:pStyle w:val="Tabletext"/>
            </w:pPr>
            <w:r>
              <w:t xml:space="preserve">The assessment has indicated that there will be no significant impact for the public </w:t>
            </w:r>
            <w:r w:rsidR="00CA0839">
              <w:t xml:space="preserve">sector, other than the impact identified </w:t>
            </w:r>
            <w:r w:rsidR="00E41E30">
              <w:t xml:space="preserve">for </w:t>
            </w:r>
            <w:r w:rsidR="00CA0839">
              <w:t>AASB 15</w:t>
            </w:r>
            <w:r w:rsidR="00E41E30">
              <w:t xml:space="preserve"> above</w:t>
            </w:r>
            <w:r w:rsidR="00CA0839">
              <w:t xml:space="preserve">. </w:t>
            </w:r>
          </w:p>
        </w:tc>
      </w:tr>
      <w:tr w:rsidR="00343688" w:rsidRPr="00ED2F29" w:rsidTr="003436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shd w:val="clear" w:color="auto" w:fill="auto"/>
          </w:tcPr>
          <w:p w:rsidR="00343688" w:rsidRPr="0084374D" w:rsidRDefault="00343688" w:rsidP="00375DAA">
            <w:pPr>
              <w:pStyle w:val="Tabletext"/>
              <w:rPr>
                <w:i/>
              </w:rPr>
            </w:pPr>
            <w:r w:rsidRPr="0084374D">
              <w:t xml:space="preserve">AASB 2016-7 </w:t>
            </w:r>
            <w:r w:rsidRPr="0084374D">
              <w:rPr>
                <w:i/>
              </w:rPr>
              <w:t>Amendments to Australian Accounting Standards – Deferral of AASB 15 for Not-for-Profit Entities</w:t>
            </w:r>
          </w:p>
        </w:tc>
        <w:tc>
          <w:tcPr>
            <w:cnfStyle w:val="000001000000" w:firstRow="0" w:lastRow="0" w:firstColumn="0" w:lastColumn="0" w:oddVBand="0" w:evenVBand="1" w:oddHBand="0" w:evenHBand="0" w:firstRowFirstColumn="0" w:firstRowLastColumn="0" w:lastRowFirstColumn="0" w:lastRowLastColumn="0"/>
            <w:tcW w:w="2970" w:type="dxa"/>
            <w:shd w:val="clear" w:color="auto" w:fill="auto"/>
          </w:tcPr>
          <w:p w:rsidR="00343688" w:rsidRDefault="00343688" w:rsidP="00B50FA9">
            <w:pPr>
              <w:pStyle w:val="Tabletext"/>
            </w:pPr>
            <w:r>
              <w:t>This Standard defers the mandatory effective date of AASB 15 for not-for-profit entities from 1 January 2018 to 1 January 2019.</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auto"/>
          </w:tcPr>
          <w:p w:rsidR="00343688" w:rsidRDefault="00343688" w:rsidP="00B50FA9">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2464" w:type="dxa"/>
            <w:shd w:val="clear" w:color="auto" w:fill="auto"/>
          </w:tcPr>
          <w:p w:rsidR="00343688" w:rsidRDefault="00343688" w:rsidP="00B369A9">
            <w:pPr>
              <w:pStyle w:val="Tabletext"/>
            </w:pPr>
            <w:r>
              <w:t>This amending standard will defer the application period of AASB 15 for not-f</w:t>
            </w:r>
            <w:r w:rsidR="00B369A9">
              <w:t>or-profit entities to the 2019-20</w:t>
            </w:r>
            <w:r>
              <w:t xml:space="preserve"> reporting period.</w:t>
            </w:r>
          </w:p>
        </w:tc>
      </w:tr>
      <w:tr w:rsidR="004344EE" w:rsidRPr="00ED2F29" w:rsidTr="004344E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4344EE" w:rsidRPr="0084374D" w:rsidRDefault="004344EE" w:rsidP="00375DAA">
            <w:pPr>
              <w:pStyle w:val="Tabletext"/>
            </w:pPr>
            <w:r w:rsidRPr="0084374D">
              <w:t xml:space="preserve">AASB 2016-8 </w:t>
            </w:r>
            <w:r w:rsidRPr="0084374D">
              <w:rPr>
                <w:i/>
              </w:rPr>
              <w:t>Amendments to Australian Accounting Standards – Australian Implementation Guidance for Not-for-Profit Entities</w:t>
            </w:r>
          </w:p>
        </w:tc>
        <w:tc>
          <w:tcPr>
            <w:cnfStyle w:val="000001000000" w:firstRow="0" w:lastRow="0" w:firstColumn="0" w:lastColumn="0" w:oddVBand="0" w:evenVBand="1" w:oddHBand="0" w:evenHBand="0" w:firstRowFirstColumn="0" w:firstRowLastColumn="0" w:lastRowFirstColumn="0" w:lastRowLastColumn="0"/>
            <w:tcW w:w="2970" w:type="dxa"/>
          </w:tcPr>
          <w:p w:rsidR="00077396" w:rsidRDefault="004344EE" w:rsidP="00B50FA9">
            <w:pPr>
              <w:pStyle w:val="Tabletext"/>
            </w:pPr>
            <w:r>
              <w:t>This Standard amends AASB 9 and AASB 15 to include requirements to assist not-for-profit entities in applying the respective standards to particular transactions and events.</w:t>
            </w:r>
            <w:r w:rsidR="00500C49">
              <w:t xml:space="preserve"> </w:t>
            </w:r>
            <w:r w:rsidR="00AD67EF">
              <w:t>The amendments</w:t>
            </w:r>
            <w:r w:rsidR="00077396">
              <w:t xml:space="preserve">: </w:t>
            </w:r>
          </w:p>
          <w:p w:rsidR="00A10525" w:rsidRDefault="00AD67EF" w:rsidP="00500C49">
            <w:pPr>
              <w:pStyle w:val="Tablebullet"/>
            </w:pPr>
            <w:r>
              <w:t xml:space="preserve">require </w:t>
            </w:r>
            <w:r w:rsidR="00A10525">
              <w:t xml:space="preserve">non-contractual receivables arising from statutory requirements (i.e. taxes, rates and fines) to be </w:t>
            </w:r>
            <w:r w:rsidR="00500C49">
              <w:t xml:space="preserve">initially measured and recognised in accordance with AASB 9 as if those receivables are financial instruments; and </w:t>
            </w:r>
          </w:p>
          <w:p w:rsidR="003E725F" w:rsidRDefault="00AD67EF" w:rsidP="00C42518">
            <w:pPr>
              <w:pStyle w:val="Tablebullet"/>
            </w:pPr>
            <w:r>
              <w:t>clarif</w:t>
            </w:r>
            <w:r w:rsidR="00045382">
              <w:t>ies</w:t>
            </w:r>
            <w:r>
              <w:t xml:space="preserve"> </w:t>
            </w:r>
            <w:r w:rsidR="00A6595B">
              <w:t xml:space="preserve">circumstances </w:t>
            </w:r>
            <w:r>
              <w:t xml:space="preserve">when a contract </w:t>
            </w:r>
            <w:r w:rsidR="00C42518">
              <w:t xml:space="preserve">with a customer </w:t>
            </w:r>
            <w:r>
              <w:t>is with</w:t>
            </w:r>
            <w:r w:rsidR="00045382">
              <w:t>in the scope of AASB 15</w:t>
            </w:r>
            <w:r>
              <w:rPr>
                <w:i/>
              </w:rPr>
              <w:t xml:space="preserve">. </w:t>
            </w:r>
          </w:p>
        </w:tc>
        <w:tc>
          <w:tcPr>
            <w:cnfStyle w:val="000010000000" w:firstRow="0" w:lastRow="0" w:firstColumn="0" w:lastColumn="0" w:oddVBand="1" w:evenVBand="0" w:oddHBand="0" w:evenHBand="0" w:firstRowFirstColumn="0" w:firstRowLastColumn="0" w:lastRowFirstColumn="0" w:lastRowLastColumn="0"/>
            <w:tcW w:w="1676" w:type="dxa"/>
          </w:tcPr>
          <w:p w:rsidR="004344EE" w:rsidRDefault="004344EE" w:rsidP="00B50FA9">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2464" w:type="dxa"/>
          </w:tcPr>
          <w:p w:rsidR="004344EE" w:rsidRDefault="00C9595F" w:rsidP="00E41E30">
            <w:pPr>
              <w:pStyle w:val="Tabletext"/>
            </w:pPr>
            <w:r w:rsidRPr="0027682F">
              <w:t xml:space="preserve">The assessment has indicated that there will be no significant impact for the public sector, other than the impacts identified </w:t>
            </w:r>
            <w:r w:rsidR="00E41E30">
              <w:t>for</w:t>
            </w:r>
            <w:r w:rsidRPr="0027682F">
              <w:t xml:space="preserve"> AASB 9 and AASB 15</w:t>
            </w:r>
            <w:r w:rsidR="00E41E30">
              <w:t xml:space="preserve"> above</w:t>
            </w:r>
            <w:r w:rsidRPr="0027682F">
              <w:t>.</w:t>
            </w:r>
          </w:p>
        </w:tc>
      </w:tr>
      <w:tr w:rsidR="003378EC" w:rsidRPr="00ED2F29" w:rsidTr="00130F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shd w:val="clear" w:color="auto" w:fill="auto"/>
          </w:tcPr>
          <w:p w:rsidR="003378EC" w:rsidRPr="0084374D" w:rsidRDefault="00375DAA" w:rsidP="00B50FA9">
            <w:pPr>
              <w:pStyle w:val="Tabletext"/>
            </w:pPr>
            <w:r w:rsidRPr="0084374D">
              <w:t xml:space="preserve">AASB </w:t>
            </w:r>
            <w:r w:rsidR="003378EC" w:rsidRPr="0084374D">
              <w:t xml:space="preserve">16 </w:t>
            </w:r>
            <w:r w:rsidR="003378EC" w:rsidRPr="0084374D">
              <w:rPr>
                <w:i/>
              </w:rPr>
              <w:t>Leases</w:t>
            </w:r>
          </w:p>
        </w:tc>
        <w:tc>
          <w:tcPr>
            <w:cnfStyle w:val="000001000000" w:firstRow="0" w:lastRow="0" w:firstColumn="0" w:lastColumn="0" w:oddVBand="0" w:evenVBand="1" w:oddHBand="0" w:evenHBand="0" w:firstRowFirstColumn="0" w:firstRowLastColumn="0" w:lastRowFirstColumn="0" w:lastRowLastColumn="0"/>
            <w:tcW w:w="2970" w:type="dxa"/>
            <w:shd w:val="clear" w:color="auto" w:fill="auto"/>
          </w:tcPr>
          <w:p w:rsidR="003378EC" w:rsidRDefault="003378EC" w:rsidP="00375DAA">
            <w:pPr>
              <w:pStyle w:val="Tabletext"/>
            </w:pPr>
            <w:r>
              <w:t xml:space="preserve">The key changes introduced by </w:t>
            </w:r>
            <w:r w:rsidR="00375DAA">
              <w:t xml:space="preserve">AASB </w:t>
            </w:r>
            <w:r>
              <w:t>16 include the recognition of most operating leases (which are current not recognised) on balance sheet.</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auto"/>
          </w:tcPr>
          <w:p w:rsidR="003378EC" w:rsidRDefault="00287214" w:rsidP="00B50FA9">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2464" w:type="dxa"/>
            <w:shd w:val="clear" w:color="auto" w:fill="auto"/>
          </w:tcPr>
          <w:p w:rsidR="003378EC" w:rsidRPr="008F45F0" w:rsidRDefault="003378EC" w:rsidP="00B50FA9">
            <w:pPr>
              <w:pStyle w:val="Tabletext"/>
            </w:pPr>
            <w:r w:rsidRPr="008F45F0">
              <w:t xml:space="preserve">The assessment has indicated that as most operating leases will come on balance sheet, recognition of </w:t>
            </w:r>
            <w:r w:rsidR="00E41E30">
              <w:t>the right-of-use</w:t>
            </w:r>
            <w:r w:rsidR="00E41E30" w:rsidRPr="008F45F0">
              <w:t xml:space="preserve"> </w:t>
            </w:r>
            <w:r w:rsidRPr="008F45F0">
              <w:t xml:space="preserve">assets and lease liabilities will cause net debt to increase. </w:t>
            </w:r>
          </w:p>
          <w:p w:rsidR="008F45F0" w:rsidRPr="008F766B" w:rsidRDefault="00E41E30" w:rsidP="00B50FA9">
            <w:pPr>
              <w:pStyle w:val="Tabletext"/>
            </w:pPr>
            <w:r>
              <w:t xml:space="preserve">Rather than </w:t>
            </w:r>
            <w:r w:rsidR="005F0D36">
              <w:t xml:space="preserve">expensing </w:t>
            </w:r>
            <w:r>
              <w:t>the lease payments, d</w:t>
            </w:r>
            <w:r w:rsidRPr="008F45F0">
              <w:t xml:space="preserve">epreciation </w:t>
            </w:r>
            <w:r w:rsidR="008F45F0" w:rsidRPr="008F766B">
              <w:t xml:space="preserve">of </w:t>
            </w:r>
            <w:r>
              <w:t>right-of-use</w:t>
            </w:r>
            <w:r w:rsidR="008F45F0" w:rsidRPr="008F766B">
              <w:t xml:space="preserve"> assets and interest on lease liabilities will be recognised in the income statement with marginal impact on the operating surplus.</w:t>
            </w:r>
          </w:p>
          <w:p w:rsidR="00E11379" w:rsidRPr="00DC628F" w:rsidRDefault="00E11379" w:rsidP="00B50FA9">
            <w:pPr>
              <w:pStyle w:val="Tabletext"/>
            </w:pPr>
            <w:r>
              <w:t xml:space="preserve">No change for lessors. </w:t>
            </w:r>
          </w:p>
        </w:tc>
      </w:tr>
      <w:tr w:rsidR="00131EB9" w:rsidRPr="00ED2F29" w:rsidTr="00B50F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131EB9" w:rsidRPr="0084374D" w:rsidRDefault="009D4C2D" w:rsidP="00B50FA9">
            <w:pPr>
              <w:pStyle w:val="Tabletext"/>
              <w:rPr>
                <w:i/>
              </w:rPr>
            </w:pPr>
            <w:r w:rsidRPr="0084374D">
              <w:t xml:space="preserve">AASB 2016-4 </w:t>
            </w:r>
            <w:r w:rsidRPr="0084374D">
              <w:rPr>
                <w:i/>
              </w:rPr>
              <w:t xml:space="preserve">Amendments to Australian Accounting Standards – Recoverable Amount of Non-Cash-Generating Specialised Assets of Not-for-Profit Entities </w:t>
            </w:r>
          </w:p>
        </w:tc>
        <w:tc>
          <w:tcPr>
            <w:cnfStyle w:val="000001000000" w:firstRow="0" w:lastRow="0" w:firstColumn="0" w:lastColumn="0" w:oddVBand="0" w:evenVBand="1" w:oddHBand="0" w:evenHBand="0" w:firstRowFirstColumn="0" w:firstRowLastColumn="0" w:lastRowFirstColumn="0" w:lastRowLastColumn="0"/>
            <w:tcW w:w="2970" w:type="dxa"/>
          </w:tcPr>
          <w:p w:rsidR="0008071D" w:rsidRPr="00131EB9" w:rsidRDefault="00804318" w:rsidP="00ED6422">
            <w:pPr>
              <w:pStyle w:val="Tabletext"/>
            </w:pPr>
            <w:r>
              <w:t xml:space="preserve">The </w:t>
            </w:r>
            <w:r w:rsidR="00A86D94">
              <w:t>standard amends</w:t>
            </w:r>
            <w:r w:rsidR="00131EB9">
              <w:t xml:space="preserve"> </w:t>
            </w:r>
            <w:r w:rsidR="00ED6422">
              <w:t>AASB </w:t>
            </w:r>
            <w:r w:rsidR="00131EB9">
              <w:t xml:space="preserve">136 </w:t>
            </w:r>
            <w:r w:rsidR="00131EB9">
              <w:rPr>
                <w:i/>
              </w:rPr>
              <w:t>Impairment of Assets</w:t>
            </w:r>
            <w:r w:rsidR="00131EB9">
              <w:t xml:space="preserve"> </w:t>
            </w:r>
            <w:r w:rsidR="00A86D94">
              <w:t xml:space="preserve">to </w:t>
            </w:r>
            <w:r w:rsidR="00131EB9">
              <w:t>remove</w:t>
            </w:r>
            <w:r w:rsidR="009D4C2D">
              <w:t xml:space="preserve"> references</w:t>
            </w:r>
            <w:r w:rsidR="00131EB9">
              <w:t xml:space="preserve"> to using depreciated replacement cost (DRC) as a measure of value in use for not-for-profit entities. </w:t>
            </w:r>
          </w:p>
        </w:tc>
        <w:tc>
          <w:tcPr>
            <w:cnfStyle w:val="000010000000" w:firstRow="0" w:lastRow="0" w:firstColumn="0" w:lastColumn="0" w:oddVBand="1" w:evenVBand="0" w:oddHBand="0" w:evenHBand="0" w:firstRowFirstColumn="0" w:firstRowLastColumn="0" w:lastRowFirstColumn="0" w:lastRowLastColumn="0"/>
            <w:tcW w:w="1676" w:type="dxa"/>
          </w:tcPr>
          <w:p w:rsidR="00131EB9" w:rsidRPr="00DC628F" w:rsidRDefault="004902C5" w:rsidP="0006294A">
            <w:pPr>
              <w:pStyle w:val="Tabletext"/>
            </w:pPr>
            <w:r>
              <w:t>1</w:t>
            </w:r>
            <w:r w:rsidR="00B50FA9">
              <w:t> </w:t>
            </w:r>
            <w:r w:rsidR="0006294A">
              <w:t>Jan 2017</w:t>
            </w:r>
          </w:p>
        </w:tc>
        <w:tc>
          <w:tcPr>
            <w:cnfStyle w:val="000001000000" w:firstRow="0" w:lastRow="0" w:firstColumn="0" w:lastColumn="0" w:oddVBand="0" w:evenVBand="1" w:oddHBand="0" w:evenHBand="0" w:firstRowFirstColumn="0" w:firstRowLastColumn="0" w:lastRowFirstColumn="0" w:lastRowLastColumn="0"/>
            <w:tcW w:w="2464" w:type="dxa"/>
          </w:tcPr>
          <w:p w:rsidR="00131EB9" w:rsidRPr="001560C8" w:rsidRDefault="00793BB2" w:rsidP="00637F4D">
            <w:pPr>
              <w:pStyle w:val="Tabletext"/>
            </w:pPr>
            <w:r w:rsidRPr="00B540BA">
              <w:t>T</w:t>
            </w:r>
            <w:r w:rsidR="00F10C50" w:rsidRPr="00B540BA">
              <w:t xml:space="preserve">he assessment has indicated that </w:t>
            </w:r>
            <w:r w:rsidR="00523126">
              <w:t>there is minimal</w:t>
            </w:r>
            <w:r w:rsidR="00B17BB2" w:rsidRPr="00B540BA">
              <w:t xml:space="preserve"> impact</w:t>
            </w:r>
            <w:r w:rsidR="001560C8">
              <w:t xml:space="preserve">. </w:t>
            </w:r>
            <w:r w:rsidR="00B17BB2" w:rsidRPr="00B540BA">
              <w:t xml:space="preserve">Given the </w:t>
            </w:r>
            <w:r w:rsidR="00CA1016" w:rsidRPr="00B540BA">
              <w:t>specialised nature and restrictions of public sector assets</w:t>
            </w:r>
            <w:r w:rsidR="001560C8">
              <w:t>,</w:t>
            </w:r>
            <w:r w:rsidR="00CA1016" w:rsidRPr="00B540BA">
              <w:t xml:space="preserve"> the existing use is presumed to be the </w:t>
            </w:r>
            <w:r w:rsidR="001560C8">
              <w:t>highest and best use (HBU)</w:t>
            </w:r>
            <w:r w:rsidR="00637F4D">
              <w:t>,</w:t>
            </w:r>
            <w:r w:rsidR="00CA1016" w:rsidRPr="00B540BA">
              <w:t xml:space="preserve"> hence </w:t>
            </w:r>
            <w:r w:rsidR="001560C8">
              <w:t>current replacement cost</w:t>
            </w:r>
            <w:r w:rsidR="00CA1016" w:rsidRPr="00B540BA">
              <w:t xml:space="preserve"> under </w:t>
            </w:r>
            <w:r w:rsidR="00ED6422">
              <w:t>AASB </w:t>
            </w:r>
            <w:r w:rsidR="00CA1016" w:rsidRPr="00B540BA">
              <w:t xml:space="preserve">13 </w:t>
            </w:r>
            <w:r w:rsidR="00DD3C8D">
              <w:rPr>
                <w:i/>
              </w:rPr>
              <w:t xml:space="preserve">Fair Value Measurement </w:t>
            </w:r>
            <w:r w:rsidR="00CA1016" w:rsidRPr="00B540BA">
              <w:t xml:space="preserve">is </w:t>
            </w:r>
            <w:r w:rsidR="00637F4D">
              <w:t>the same as</w:t>
            </w:r>
            <w:r w:rsidR="00CA1016" w:rsidRPr="00B540BA">
              <w:t xml:space="preserve"> the </w:t>
            </w:r>
            <w:r w:rsidR="001560C8">
              <w:t xml:space="preserve">depreciated replacement cost concept under </w:t>
            </w:r>
            <w:r w:rsidR="00ED6422">
              <w:t>AASB </w:t>
            </w:r>
            <w:r w:rsidR="001560C8">
              <w:t>136</w:t>
            </w:r>
            <w:r w:rsidR="00CA1016" w:rsidRPr="00B540BA">
              <w:t>.</w:t>
            </w:r>
            <w:r w:rsidR="00CA1016">
              <w:t xml:space="preserve"> </w:t>
            </w:r>
          </w:p>
        </w:tc>
      </w:tr>
      <w:tr w:rsidR="00D27425" w:rsidRPr="00ED2F29" w:rsidTr="00B50F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D27425" w:rsidRPr="0084374D" w:rsidRDefault="00D27425" w:rsidP="00B50FA9">
            <w:pPr>
              <w:pStyle w:val="Tabletext"/>
              <w:rPr>
                <w:i/>
              </w:rPr>
            </w:pPr>
            <w:r w:rsidRPr="0084374D">
              <w:t xml:space="preserve">AASB 1058 </w:t>
            </w:r>
            <w:r w:rsidRPr="0084374D">
              <w:rPr>
                <w:i/>
              </w:rPr>
              <w:t>Income of Not-for-Profit Entities</w:t>
            </w:r>
          </w:p>
        </w:tc>
        <w:tc>
          <w:tcPr>
            <w:cnfStyle w:val="000001000000" w:firstRow="0" w:lastRow="0" w:firstColumn="0" w:lastColumn="0" w:oddVBand="0" w:evenVBand="1" w:oddHBand="0" w:evenHBand="0" w:firstRowFirstColumn="0" w:firstRowLastColumn="0" w:lastRowFirstColumn="0" w:lastRowLastColumn="0"/>
            <w:tcW w:w="2970" w:type="dxa"/>
          </w:tcPr>
          <w:p w:rsidR="0054454D" w:rsidRDefault="00D27425" w:rsidP="0054454D">
            <w:pPr>
              <w:pStyle w:val="Tabletext"/>
            </w:pPr>
            <w:r>
              <w:t xml:space="preserve">This standard replaces AASB 1004 </w:t>
            </w:r>
            <w:r>
              <w:rPr>
                <w:i/>
              </w:rPr>
              <w:t>Contributions</w:t>
            </w:r>
            <w:r>
              <w:t xml:space="preserve"> and establishes </w:t>
            </w:r>
            <w:r w:rsidR="0054454D">
              <w:t xml:space="preserve">revenue recognition </w:t>
            </w:r>
            <w:r>
              <w:t xml:space="preserve">principles for transactions </w:t>
            </w:r>
            <w:r w:rsidR="0054454D">
              <w:t xml:space="preserve">where the consideration to acquire an asset is significantly less than fair value to enable to not-for-profit entity to further its objectives. </w:t>
            </w:r>
          </w:p>
          <w:p w:rsidR="00D27425" w:rsidRPr="00D27425" w:rsidRDefault="00D27425" w:rsidP="0054454D">
            <w:pPr>
              <w:pStyle w:val="Tabletext"/>
            </w:pPr>
          </w:p>
        </w:tc>
        <w:tc>
          <w:tcPr>
            <w:cnfStyle w:val="000010000000" w:firstRow="0" w:lastRow="0" w:firstColumn="0" w:lastColumn="0" w:oddVBand="1" w:evenVBand="0" w:oddHBand="0" w:evenHBand="0" w:firstRowFirstColumn="0" w:firstRowLastColumn="0" w:lastRowFirstColumn="0" w:lastRowLastColumn="0"/>
            <w:tcW w:w="1676" w:type="dxa"/>
          </w:tcPr>
          <w:p w:rsidR="00D27425" w:rsidRDefault="00D27425" w:rsidP="0006294A">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2464" w:type="dxa"/>
          </w:tcPr>
          <w:p w:rsidR="0054454D" w:rsidRPr="00B540BA" w:rsidRDefault="0054454D" w:rsidP="006343EF">
            <w:pPr>
              <w:pStyle w:val="Tabletext"/>
            </w:pPr>
            <w:r>
              <w:t xml:space="preserve">The assessment has indicated that revenue from capital grants that are provided under an enforceable agreement that have sufficiently specific obligations, will now be deferred and recognised as performance obligations are satisfied. </w:t>
            </w:r>
            <w:r w:rsidR="000B028C">
              <w:t>A</w:t>
            </w:r>
            <w:r w:rsidR="006343EF">
              <w:t xml:space="preserve">s a result, </w:t>
            </w:r>
            <w:r w:rsidR="000B028C">
              <w:t>the timing recognition of revenue</w:t>
            </w:r>
            <w:r w:rsidR="006343EF">
              <w:t xml:space="preserve"> will change</w:t>
            </w:r>
            <w:r w:rsidR="000B028C">
              <w:t xml:space="preserve">. </w:t>
            </w:r>
          </w:p>
        </w:tc>
      </w:tr>
    </w:tbl>
    <w:p w:rsidR="00E23BA2" w:rsidRPr="00ED2F29" w:rsidRDefault="00E23BA2" w:rsidP="00B50FA9">
      <w:r w:rsidRPr="00DC628F">
        <w:t xml:space="preserve">In addition to the new standards </w:t>
      </w:r>
      <w:r w:rsidR="000B7F00" w:rsidRPr="00DC628F">
        <w:t xml:space="preserve">and amendments </w:t>
      </w:r>
      <w:r w:rsidRPr="00DC628F">
        <w:t xml:space="preserve">above, the </w:t>
      </w:r>
      <w:r w:rsidR="00B50FA9">
        <w:t>AASB </w:t>
      </w:r>
      <w:r w:rsidRPr="00DC628F">
        <w:t xml:space="preserve">has issued a list of </w:t>
      </w:r>
      <w:r w:rsidR="00117DCD" w:rsidRPr="00DC628F">
        <w:t xml:space="preserve">other </w:t>
      </w:r>
      <w:r w:rsidRPr="00DC628F">
        <w:t xml:space="preserve">amending standards that are not effective for the </w:t>
      </w:r>
      <w:r w:rsidR="00657CC9" w:rsidRPr="00DC628F">
        <w:t>201</w:t>
      </w:r>
      <w:r w:rsidR="00657CC9">
        <w:t>6</w:t>
      </w:r>
      <w:r w:rsidRPr="00DC628F">
        <w:t>-</w:t>
      </w:r>
      <w:r w:rsidR="00657CC9" w:rsidRPr="00DC628F">
        <w:t>1</w:t>
      </w:r>
      <w:r w:rsidR="00657CC9">
        <w:t>7</w:t>
      </w:r>
      <w:r w:rsidR="00657CC9" w:rsidRPr="00DC628F">
        <w:t xml:space="preserve"> </w:t>
      </w:r>
      <w:r w:rsidRPr="00DC628F">
        <w:t xml:space="preserve">reporting period (as listed below). In general, these amending standards include editorial and references changes that are expected to have insignificant impacts on public sector reporting. </w:t>
      </w:r>
    </w:p>
    <w:p w:rsidR="00B04E2A" w:rsidRPr="000808F6" w:rsidRDefault="00317446" w:rsidP="000B1825">
      <w:pPr>
        <w:pStyle w:val="Bullet1"/>
      </w:pPr>
      <w:r w:rsidRPr="000808F6">
        <w:t>AASB </w:t>
      </w:r>
      <w:r w:rsidR="006D208B" w:rsidRPr="000808F6">
        <w:t xml:space="preserve">2016-1 </w:t>
      </w:r>
      <w:r w:rsidR="006D208B" w:rsidRPr="000808F6">
        <w:rPr>
          <w:i/>
        </w:rPr>
        <w:t>Amendments to Australian Accounting Standards – Recognition of Deferred Tax Assets for Unrealised Losses</w:t>
      </w:r>
      <w:r w:rsidR="006D208B" w:rsidRPr="000808F6">
        <w:t xml:space="preserve"> [</w:t>
      </w:r>
      <w:r w:rsidRPr="000808F6">
        <w:t>AASB </w:t>
      </w:r>
      <w:r w:rsidR="006D208B" w:rsidRPr="000808F6">
        <w:t xml:space="preserve">112] </w:t>
      </w:r>
    </w:p>
    <w:p w:rsidR="00B04E2A" w:rsidRPr="000808F6" w:rsidRDefault="00317446" w:rsidP="000B1825">
      <w:pPr>
        <w:pStyle w:val="Bullet1"/>
      </w:pPr>
      <w:r w:rsidRPr="000808F6">
        <w:t>AASB </w:t>
      </w:r>
      <w:r w:rsidR="00B04E2A" w:rsidRPr="000808F6">
        <w:t xml:space="preserve">2016-2 </w:t>
      </w:r>
      <w:r w:rsidR="00B04E2A" w:rsidRPr="000808F6">
        <w:rPr>
          <w:i/>
        </w:rPr>
        <w:t xml:space="preserve">Amendments to Australian Accounting Standards – Disclosure Initiative: Amendments to </w:t>
      </w:r>
      <w:r w:rsidRPr="000808F6">
        <w:rPr>
          <w:i/>
        </w:rPr>
        <w:t xml:space="preserve">AASB </w:t>
      </w:r>
      <w:r w:rsidR="00B04E2A" w:rsidRPr="000808F6">
        <w:rPr>
          <w:i/>
        </w:rPr>
        <w:t>107</w:t>
      </w:r>
    </w:p>
    <w:p w:rsidR="00466906" w:rsidRPr="000808F6" w:rsidRDefault="00466906" w:rsidP="000B1825">
      <w:pPr>
        <w:pStyle w:val="Bullet1"/>
      </w:pPr>
      <w:r w:rsidRPr="000808F6">
        <w:t xml:space="preserve">AASB 2016-5 </w:t>
      </w:r>
      <w:r w:rsidRPr="000808F6">
        <w:rPr>
          <w:i/>
        </w:rPr>
        <w:t>Amendments to Australian Accounting Standards – Classification and Measurements of Share-based Payment Transactions</w:t>
      </w:r>
    </w:p>
    <w:p w:rsidR="00466906" w:rsidRPr="000808F6" w:rsidRDefault="00466906" w:rsidP="000B1825">
      <w:pPr>
        <w:pStyle w:val="Bullet1"/>
      </w:pPr>
      <w:r w:rsidRPr="000808F6">
        <w:t xml:space="preserve">AASB 2016-6 </w:t>
      </w:r>
      <w:r w:rsidRPr="000808F6">
        <w:rPr>
          <w:i/>
        </w:rPr>
        <w:t>Amendments to Australian Accounting Standards – Applying AASB 9 Financial Instruments with AASB 4 Insurance Contracts</w:t>
      </w:r>
    </w:p>
    <w:p w:rsidR="00466906" w:rsidRPr="000808F6" w:rsidRDefault="00466906" w:rsidP="000B1825">
      <w:pPr>
        <w:pStyle w:val="Bullet1"/>
      </w:pPr>
      <w:r w:rsidRPr="000808F6">
        <w:t xml:space="preserve">AASB 2017-1 </w:t>
      </w:r>
      <w:r w:rsidRPr="000808F6">
        <w:rPr>
          <w:i/>
        </w:rPr>
        <w:t xml:space="preserve">Amendments to Australian Accounting Standards – Transfers of Investment Property, Annual Improvements 2014-16 Cycle and Other Amendments </w:t>
      </w:r>
    </w:p>
    <w:p w:rsidR="00466906" w:rsidRPr="000808F6" w:rsidRDefault="00466906" w:rsidP="000B1825">
      <w:pPr>
        <w:pStyle w:val="Bullet1"/>
      </w:pPr>
      <w:r w:rsidRPr="000808F6">
        <w:t xml:space="preserve">AASB 2017-2 </w:t>
      </w:r>
      <w:r w:rsidRPr="000808F6">
        <w:rPr>
          <w:i/>
        </w:rPr>
        <w:t>Amendments to Australian Accounting Standards – Further Annual Impr</w:t>
      </w:r>
      <w:r w:rsidR="00974C09" w:rsidRPr="000808F6">
        <w:rPr>
          <w:i/>
        </w:rPr>
        <w:t>ovements 2014-16 Cycle</w:t>
      </w:r>
    </w:p>
    <w:p w:rsidR="00B04E2A" w:rsidRDefault="00B04E2A" w:rsidP="00DC628F">
      <w:pPr>
        <w:pStyle w:val="Bullet1"/>
        <w:numPr>
          <w:ilvl w:val="0"/>
          <w:numId w:val="0"/>
        </w:numPr>
        <w:rPr>
          <w:color w:val="6E6E64"/>
        </w:rPr>
      </w:pPr>
    </w:p>
    <w:p w:rsidR="00B146FE" w:rsidRDefault="00B146FE" w:rsidP="000B1825">
      <w:pPr>
        <w:pStyle w:val="NoteNormal"/>
      </w:pPr>
      <w:r w:rsidRPr="00DC628F">
        <w:t>Note</w:t>
      </w:r>
      <w:r w:rsidR="008D4491">
        <w:t>s</w:t>
      </w:r>
      <w:r w:rsidRPr="00DC628F">
        <w:t>:</w:t>
      </w:r>
    </w:p>
    <w:p w:rsidR="000808F6" w:rsidRPr="00DC628F" w:rsidRDefault="00544877" w:rsidP="000808F6">
      <w:pPr>
        <w:pStyle w:val="NoteNormal"/>
        <w:numPr>
          <w:ilvl w:val="0"/>
          <w:numId w:val="32"/>
        </w:numPr>
      </w:pPr>
      <w:r>
        <w:t xml:space="preserve">For the current year, given the number of consequential amendments to </w:t>
      </w:r>
      <w:r w:rsidR="00EE69D6">
        <w:t>AASB </w:t>
      </w:r>
      <w:r>
        <w:t xml:space="preserve">9 </w:t>
      </w:r>
      <w:r w:rsidR="00793682">
        <w:rPr>
          <w:i/>
        </w:rPr>
        <w:t xml:space="preserve">Financial Instruments </w:t>
      </w:r>
      <w:r>
        <w:t xml:space="preserve">and </w:t>
      </w:r>
      <w:r w:rsidR="00EE69D6">
        <w:t>AASB </w:t>
      </w:r>
      <w:r>
        <w:t>15</w:t>
      </w:r>
      <w:r w:rsidR="00793682">
        <w:t xml:space="preserve"> </w:t>
      </w:r>
      <w:r w:rsidR="00793682">
        <w:rPr>
          <w:i/>
        </w:rPr>
        <w:t>Revenue from Contracts with Customers</w:t>
      </w:r>
      <w:r>
        <w:t xml:space="preserve">, the standards/interpretations have been grouped </w:t>
      </w:r>
      <w:r w:rsidR="00C52EC4">
        <w:t>together</w:t>
      </w:r>
      <w:r>
        <w:t xml:space="preserve"> to provide a more </w:t>
      </w:r>
      <w:r w:rsidR="00C52EC4">
        <w:t>relevant</w:t>
      </w:r>
      <w:r>
        <w:t xml:space="preserve"> </w:t>
      </w:r>
      <w:r w:rsidR="00C90E08">
        <w:t xml:space="preserve">view of </w:t>
      </w:r>
      <w:r w:rsidR="00E735F1">
        <w:t xml:space="preserve">the </w:t>
      </w:r>
      <w:r w:rsidR="00C52EC4">
        <w:t>upcoming changes</w:t>
      </w:r>
      <w:r w:rsidR="00E735F1">
        <w:t xml:space="preserve">. </w:t>
      </w:r>
    </w:p>
    <w:p w:rsidR="00B146FE" w:rsidRPr="00DC628F" w:rsidRDefault="00B146FE" w:rsidP="006E1F03">
      <w:pPr>
        <w:pStyle w:val="NoteNormal"/>
      </w:pPr>
    </w:p>
    <w:sectPr w:rsidR="00B146FE" w:rsidRPr="00DC628F" w:rsidSect="000E6117">
      <w:headerReference w:type="default" r:id="rId9"/>
      <w:footerReference w:type="even" r:id="rId10"/>
      <w:footerReference w:type="default" r:id="rId11"/>
      <w:footerReference w:type="first" r:id="rId12"/>
      <w:type w:val="continuous"/>
      <w:pgSz w:w="11906" w:h="16838" w:code="9"/>
      <w:pgMar w:top="1800" w:right="1440" w:bottom="1260"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77" w:rsidRDefault="00E21877" w:rsidP="0083306E">
      <w:r>
        <w:separator/>
      </w:r>
    </w:p>
  </w:endnote>
  <w:endnote w:type="continuationSeparator" w:id="0">
    <w:p w:rsidR="00E21877" w:rsidRDefault="00E21877" w:rsidP="0083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urich LtCn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BFBFBF"/>
      </w:tblBorders>
      <w:tblLayout w:type="fixed"/>
      <w:tblCellMar>
        <w:left w:w="57" w:type="dxa"/>
        <w:right w:w="57" w:type="dxa"/>
      </w:tblCellMar>
      <w:tblLook w:val="0600" w:firstRow="0" w:lastRow="0" w:firstColumn="0" w:lastColumn="0" w:noHBand="1" w:noVBand="1"/>
    </w:tblPr>
    <w:tblGrid>
      <w:gridCol w:w="1501"/>
      <w:gridCol w:w="6263"/>
      <w:gridCol w:w="1376"/>
    </w:tblGrid>
    <w:tr w:rsidR="00752A98" w:rsidRPr="000832B2" w:rsidTr="008B7B41">
      <w:trPr>
        <w:cantSplit/>
      </w:trPr>
      <w:tc>
        <w:tcPr>
          <w:tcW w:w="1614" w:type="dxa"/>
          <w:shd w:val="clear" w:color="auto" w:fill="auto"/>
          <w:vAlign w:val="bottom"/>
        </w:tcPr>
        <w:p w:rsidR="00752A98" w:rsidRDefault="00752A98" w:rsidP="00E24F9C">
          <w:pPr>
            <w:pStyle w:val="Footer"/>
          </w:pPr>
          <w:r>
            <w:drawing>
              <wp:inline distT="0" distB="0" distL="0" distR="0" wp14:anchorId="5D6D5D93" wp14:editId="47ABB734">
                <wp:extent cx="895350" cy="495300"/>
                <wp:effectExtent l="0" t="0" r="0" b="0"/>
                <wp:docPr id="3" name="Picture 3"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tab/>
            <w:t xml:space="preserve"> </w:t>
          </w:r>
        </w:p>
      </w:tc>
      <w:tc>
        <w:tcPr>
          <w:tcW w:w="6768" w:type="dxa"/>
          <w:shd w:val="clear" w:color="auto" w:fill="auto"/>
          <w:vAlign w:val="bottom"/>
        </w:tcPr>
        <w:p w:rsidR="00752A98" w:rsidRPr="00E24F9C" w:rsidRDefault="008A0586" w:rsidP="00E24F9C">
          <w:pPr>
            <w:pStyle w:val="Footer"/>
          </w:pPr>
          <w:fldSimple w:instr=" STYLEREF  &quot;FRD Number&quot;  \* MERGEFORMAT ">
            <w:r w:rsidR="00042733">
              <w:t>FRD 120J120K</w:t>
            </w:r>
          </w:fldSimple>
        </w:p>
        <w:p w:rsidR="00752A98" w:rsidRPr="00E24F9C" w:rsidRDefault="008A0586" w:rsidP="00E24F9C">
          <w:pPr>
            <w:pStyle w:val="FooterFRDtitle"/>
          </w:pPr>
          <w:fldSimple w:instr=" STYLEREF  &quot;FRD Header&quot;  \* MERGEFORMAT ">
            <w:r w:rsidR="00042733">
              <w:t>Accounting and Reporting Pronouncements Applicable to the 20152016-16 17 Reporting Period (July 20162017)</w:t>
            </w:r>
          </w:fldSimple>
        </w:p>
      </w:tc>
      <w:tc>
        <w:tcPr>
          <w:tcW w:w="1478" w:type="dxa"/>
          <w:shd w:val="clear" w:color="auto" w:fill="auto"/>
          <w:vAlign w:val="bottom"/>
        </w:tcPr>
        <w:p w:rsidR="00752A98" w:rsidRPr="00E24F9C" w:rsidRDefault="00752A98" w:rsidP="00E24F9C">
          <w:pPr>
            <w:pStyle w:val="Footer"/>
            <w:rPr>
              <w:rStyle w:val="PageNumber"/>
            </w:rPr>
          </w:pPr>
          <w:r w:rsidRPr="00E24F9C">
            <w:rPr>
              <w:rStyle w:val="PageNumber"/>
            </w:rPr>
            <w:t xml:space="preserve">Page </w:t>
          </w:r>
          <w:r w:rsidRPr="00E24F9C">
            <w:rPr>
              <w:rStyle w:val="PageNumber"/>
            </w:rPr>
            <w:fldChar w:fldCharType="begin"/>
          </w:r>
          <w:r w:rsidRPr="00E24F9C">
            <w:rPr>
              <w:rStyle w:val="PageNumber"/>
            </w:rPr>
            <w:instrText xml:space="preserve"> PAGE </w:instrText>
          </w:r>
          <w:r w:rsidRPr="00E24F9C">
            <w:rPr>
              <w:rStyle w:val="PageNumber"/>
            </w:rPr>
            <w:fldChar w:fldCharType="separate"/>
          </w:r>
          <w:r>
            <w:rPr>
              <w:rStyle w:val="PageNumber"/>
            </w:rPr>
            <w:t>2</w:t>
          </w:r>
          <w:r w:rsidRPr="00E24F9C">
            <w:rPr>
              <w:rStyle w:val="PageNumber"/>
            </w:rPr>
            <w:fldChar w:fldCharType="end"/>
          </w:r>
          <w:r w:rsidRPr="00E24F9C">
            <w:rPr>
              <w:rStyle w:val="PageNumber"/>
            </w:rPr>
            <w:t xml:space="preserve"> of </w:t>
          </w:r>
          <w:r w:rsidRPr="00E24F9C">
            <w:rPr>
              <w:rStyle w:val="PageNumber"/>
            </w:rPr>
            <w:fldChar w:fldCharType="begin"/>
          </w:r>
          <w:r w:rsidRPr="00E24F9C">
            <w:rPr>
              <w:rStyle w:val="PageNumber"/>
            </w:rPr>
            <w:instrText xml:space="preserve"> NUMPAGES  </w:instrText>
          </w:r>
          <w:r w:rsidRPr="00E24F9C">
            <w:rPr>
              <w:rStyle w:val="PageNumber"/>
            </w:rPr>
            <w:fldChar w:fldCharType="separate"/>
          </w:r>
          <w:r w:rsidR="00042733">
            <w:rPr>
              <w:rStyle w:val="PageNumber"/>
            </w:rPr>
            <w:t>13</w:t>
          </w:r>
          <w:r w:rsidRPr="00E24F9C">
            <w:rPr>
              <w:rStyle w:val="PageNumber"/>
            </w:rPr>
            <w:fldChar w:fldCharType="end"/>
          </w:r>
        </w:p>
      </w:tc>
    </w:tr>
  </w:tbl>
  <w:p w:rsidR="00752A98" w:rsidRDefault="00752A98" w:rsidP="00E2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8" w:rsidRDefault="00752A98" w:rsidP="00897C09">
    <w:pPr>
      <w:pStyle w:val="Spacer"/>
    </w:pPr>
  </w:p>
  <w:p w:rsidR="00752A98" w:rsidRPr="008E1BB5" w:rsidRDefault="00752A98" w:rsidP="00897C09">
    <w:pPr>
      <w:pStyle w:val="Footer"/>
      <w:spacing w:before="0"/>
      <w:rPr>
        <w:sz w:val="16"/>
      </w:rPr>
    </w:pPr>
    <w:r w:rsidRPr="008E1BB5">
      <w:rPr>
        <w:b/>
        <w:noProof w:val="0"/>
        <w:sz w:val="16"/>
      </w:rPr>
      <w:fldChar w:fldCharType="begin"/>
    </w:r>
    <w:r w:rsidRPr="008E1BB5">
      <w:rPr>
        <w:b/>
        <w:sz w:val="16"/>
      </w:rPr>
      <w:instrText xml:space="preserve"> StyleRef “FRD number” </w:instrText>
    </w:r>
    <w:r w:rsidRPr="008E1BB5">
      <w:rPr>
        <w:b/>
        <w:noProof w:val="0"/>
        <w:sz w:val="16"/>
      </w:rPr>
      <w:fldChar w:fldCharType="separate"/>
    </w:r>
    <w:r w:rsidR="00D065FE">
      <w:rPr>
        <w:b/>
        <w:sz w:val="16"/>
      </w:rPr>
      <w:t>FRD 120K</w:t>
    </w:r>
    <w:r w:rsidRPr="008E1BB5">
      <w:rPr>
        <w:b/>
        <w:sz w:val="16"/>
      </w:rPr>
      <w:fldChar w:fldCharType="end"/>
    </w:r>
    <w:r w:rsidRPr="008E1BB5">
      <w:rPr>
        <w:b/>
        <w:sz w:val="16"/>
      </w:rPr>
      <w:t xml:space="preserve"> </w:t>
    </w:r>
    <w:r w:rsidRPr="008E1BB5">
      <w:rPr>
        <w:sz w:val="16"/>
      </w:rPr>
      <w:fldChar w:fldCharType="begin"/>
    </w:r>
    <w:r w:rsidRPr="008E1BB5">
      <w:rPr>
        <w:sz w:val="16"/>
      </w:rPr>
      <w:instrText xml:space="preserve"> StyleRef “FRD Header” </w:instrText>
    </w:r>
    <w:r w:rsidRPr="008E1BB5">
      <w:rPr>
        <w:sz w:val="16"/>
      </w:rPr>
      <w:fldChar w:fldCharType="separate"/>
    </w:r>
    <w:r w:rsidR="00D065FE">
      <w:rPr>
        <w:sz w:val="16"/>
      </w:rPr>
      <w:t>Accounting and Reporting Pronouncements Applicable to the 2016-17 Reporting Period (July 2017)</w:t>
    </w:r>
    <w:r w:rsidRPr="008E1BB5">
      <w:rPr>
        <w:sz w:val="16"/>
      </w:rPr>
      <w:fldChar w:fldCharType="end"/>
    </w:r>
    <w:r w:rsidRPr="008E1BB5">
      <w:rPr>
        <w:sz w:val="16"/>
      </w:rPr>
      <w:tab/>
      <w:t xml:space="preserve">Page </w:t>
    </w:r>
    <w:r w:rsidRPr="008E1BB5">
      <w:rPr>
        <w:rStyle w:val="PageNumber"/>
        <w:sz w:val="16"/>
      </w:rPr>
      <w:fldChar w:fldCharType="begin"/>
    </w:r>
    <w:r w:rsidRPr="008E1BB5">
      <w:rPr>
        <w:rStyle w:val="PageNumber"/>
        <w:sz w:val="16"/>
      </w:rPr>
      <w:instrText xml:space="preserve"> Page </w:instrText>
    </w:r>
    <w:r w:rsidRPr="008E1BB5">
      <w:rPr>
        <w:rStyle w:val="PageNumber"/>
        <w:sz w:val="16"/>
      </w:rPr>
      <w:fldChar w:fldCharType="separate"/>
    </w:r>
    <w:r w:rsidR="00D065FE">
      <w:rPr>
        <w:rStyle w:val="PageNumber"/>
        <w:sz w:val="16"/>
      </w:rPr>
      <w:t>2</w:t>
    </w:r>
    <w:r w:rsidRPr="008E1BB5">
      <w:rPr>
        <w:rStyle w:val="PageNumbe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1501"/>
      <w:gridCol w:w="6263"/>
      <w:gridCol w:w="1376"/>
    </w:tblGrid>
    <w:tr w:rsidR="00752A98" w:rsidRPr="000832B2" w:rsidTr="00743D1A">
      <w:trPr>
        <w:cantSplit/>
      </w:trPr>
      <w:tc>
        <w:tcPr>
          <w:tcW w:w="1614" w:type="dxa"/>
          <w:shd w:val="clear" w:color="auto" w:fill="auto"/>
          <w:vAlign w:val="bottom"/>
        </w:tcPr>
        <w:p w:rsidR="00752A98" w:rsidRDefault="00752A98" w:rsidP="00427F19">
          <w:pPr>
            <w:pStyle w:val="Footer"/>
            <w:jc w:val="center"/>
          </w:pPr>
          <w:r w:rsidRPr="00DC628F">
            <w:drawing>
              <wp:inline distT="0" distB="0" distL="0" distR="0" wp14:anchorId="19281E55" wp14:editId="332067B4">
                <wp:extent cx="871891" cy="4953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891" cy="495300"/>
                        </a:xfrm>
                        <a:prstGeom prst="rect">
                          <a:avLst/>
                        </a:prstGeom>
                        <a:noFill/>
                        <a:ln>
                          <a:noFill/>
                        </a:ln>
                      </pic:spPr>
                    </pic:pic>
                  </a:graphicData>
                </a:graphic>
              </wp:inline>
            </w:drawing>
          </w:r>
          <w:r>
            <w:tab/>
            <w:t xml:space="preserve"> </w:t>
          </w:r>
        </w:p>
      </w:tc>
      <w:tc>
        <w:tcPr>
          <w:tcW w:w="6768" w:type="dxa"/>
          <w:shd w:val="clear" w:color="auto" w:fill="auto"/>
          <w:vAlign w:val="bottom"/>
        </w:tcPr>
        <w:p w:rsidR="00752A98" w:rsidRPr="00B14600" w:rsidRDefault="00752A98" w:rsidP="002C657C">
          <w:pPr>
            <w:pStyle w:val="Footer"/>
          </w:pPr>
          <w:r>
            <w:t xml:space="preserve">FRD 120I Accounting and Reporting Pronouncements Applicable to the 2015-16 Reporting Period (July 2016) </w:t>
          </w:r>
        </w:p>
      </w:tc>
      <w:tc>
        <w:tcPr>
          <w:tcW w:w="1478" w:type="dxa"/>
          <w:shd w:val="clear" w:color="auto" w:fill="auto"/>
          <w:vAlign w:val="bottom"/>
        </w:tcPr>
        <w:p w:rsidR="00752A98" w:rsidRPr="00743D1A" w:rsidRDefault="00752A98" w:rsidP="00E24F9C">
          <w:pPr>
            <w:pStyle w:val="Footer"/>
            <w:rPr>
              <w:rStyle w:val="PageNumber"/>
            </w:rPr>
          </w:pPr>
          <w:r w:rsidRPr="00743D1A">
            <w:rPr>
              <w:rStyle w:val="PageNumber"/>
            </w:rPr>
            <w:t xml:space="preserve">Page </w:t>
          </w:r>
          <w:r w:rsidRPr="00743D1A">
            <w:rPr>
              <w:rStyle w:val="PageNumber"/>
            </w:rPr>
            <w:fldChar w:fldCharType="begin"/>
          </w:r>
          <w:r w:rsidRPr="00743D1A">
            <w:rPr>
              <w:rStyle w:val="PageNumber"/>
            </w:rPr>
            <w:instrText xml:space="preserve"> PAGE </w:instrText>
          </w:r>
          <w:r w:rsidRPr="00743D1A">
            <w:rPr>
              <w:rStyle w:val="PageNumber"/>
            </w:rPr>
            <w:fldChar w:fldCharType="separate"/>
          </w:r>
          <w:r>
            <w:rPr>
              <w:rStyle w:val="PageNumber"/>
            </w:rPr>
            <w:t>1</w:t>
          </w:r>
          <w:r w:rsidRPr="00743D1A">
            <w:rPr>
              <w:rStyle w:val="PageNumber"/>
            </w:rPr>
            <w:fldChar w:fldCharType="end"/>
          </w:r>
          <w:r w:rsidRPr="00743D1A">
            <w:rPr>
              <w:rStyle w:val="PageNumber"/>
            </w:rPr>
            <w:t xml:space="preserve"> of </w:t>
          </w:r>
          <w:r w:rsidRPr="00743D1A">
            <w:rPr>
              <w:rStyle w:val="PageNumber"/>
            </w:rPr>
            <w:fldChar w:fldCharType="begin"/>
          </w:r>
          <w:r w:rsidRPr="00743D1A">
            <w:rPr>
              <w:rStyle w:val="PageNumber"/>
            </w:rPr>
            <w:instrText xml:space="preserve"> NUMPAGES  </w:instrText>
          </w:r>
          <w:r w:rsidRPr="00743D1A">
            <w:rPr>
              <w:rStyle w:val="PageNumber"/>
            </w:rPr>
            <w:fldChar w:fldCharType="separate"/>
          </w:r>
          <w:r w:rsidR="00042733">
            <w:rPr>
              <w:rStyle w:val="PageNumber"/>
            </w:rPr>
            <w:t>13</w:t>
          </w:r>
          <w:r w:rsidRPr="00743D1A">
            <w:rPr>
              <w:rStyle w:val="PageNumber"/>
            </w:rPr>
            <w:fldChar w:fldCharType="end"/>
          </w:r>
        </w:p>
      </w:tc>
    </w:tr>
  </w:tbl>
  <w:p w:rsidR="00752A98" w:rsidRDefault="00752A98" w:rsidP="0083306E">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77" w:rsidRDefault="00E21877" w:rsidP="0083306E">
      <w:r>
        <w:separator/>
      </w:r>
    </w:p>
  </w:footnote>
  <w:footnote w:type="continuationSeparator" w:id="0">
    <w:p w:rsidR="00E21877" w:rsidRDefault="00E21877" w:rsidP="0083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8" w:rsidRPr="0041689E" w:rsidRDefault="00752A98" w:rsidP="00897C09">
    <w:pPr>
      <w:pStyle w:val="Header"/>
      <w:tabs>
        <w:tab w:val="clear" w:pos="9026"/>
      </w:tabs>
      <w:ind w:right="-694"/>
      <w:jc w:val="right"/>
    </w:pPr>
    <w:r>
      <w:rPr>
        <w:noProof/>
      </w:rPr>
      <w:drawing>
        <wp:inline distT="0" distB="0" distL="0" distR="0" wp14:anchorId="0B397C27" wp14:editId="375C9938">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752A98" w:rsidRDefault="00752A98" w:rsidP="00897C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70B"/>
    <w:multiLevelType w:val="hybridMultilevel"/>
    <w:tmpl w:val="B64C146C"/>
    <w:lvl w:ilvl="0" w:tplc="F5765A1C">
      <w:start w:val="1"/>
      <w:numFmt w:val="bullet"/>
      <w:lvlText w:val="•"/>
      <w:lvlJc w:val="left"/>
      <w:pPr>
        <w:tabs>
          <w:tab w:val="num" w:pos="720"/>
        </w:tabs>
        <w:ind w:left="720" w:hanging="360"/>
      </w:pPr>
      <w:rPr>
        <w:rFonts w:ascii="Arial" w:hAnsi="Arial" w:hint="default"/>
      </w:rPr>
    </w:lvl>
    <w:lvl w:ilvl="1" w:tplc="42B0CDFE" w:tentative="1">
      <w:start w:val="1"/>
      <w:numFmt w:val="bullet"/>
      <w:lvlText w:val="•"/>
      <w:lvlJc w:val="left"/>
      <w:pPr>
        <w:tabs>
          <w:tab w:val="num" w:pos="1440"/>
        </w:tabs>
        <w:ind w:left="1440" w:hanging="360"/>
      </w:pPr>
      <w:rPr>
        <w:rFonts w:ascii="Arial" w:hAnsi="Arial" w:hint="default"/>
      </w:rPr>
    </w:lvl>
    <w:lvl w:ilvl="2" w:tplc="04104D44" w:tentative="1">
      <w:start w:val="1"/>
      <w:numFmt w:val="bullet"/>
      <w:lvlText w:val="•"/>
      <w:lvlJc w:val="left"/>
      <w:pPr>
        <w:tabs>
          <w:tab w:val="num" w:pos="2160"/>
        </w:tabs>
        <w:ind w:left="2160" w:hanging="360"/>
      </w:pPr>
      <w:rPr>
        <w:rFonts w:ascii="Arial" w:hAnsi="Arial" w:hint="default"/>
      </w:rPr>
    </w:lvl>
    <w:lvl w:ilvl="3" w:tplc="C224515C" w:tentative="1">
      <w:start w:val="1"/>
      <w:numFmt w:val="bullet"/>
      <w:lvlText w:val="•"/>
      <w:lvlJc w:val="left"/>
      <w:pPr>
        <w:tabs>
          <w:tab w:val="num" w:pos="2880"/>
        </w:tabs>
        <w:ind w:left="2880" w:hanging="360"/>
      </w:pPr>
      <w:rPr>
        <w:rFonts w:ascii="Arial" w:hAnsi="Arial" w:hint="default"/>
      </w:rPr>
    </w:lvl>
    <w:lvl w:ilvl="4" w:tplc="B8EA9634" w:tentative="1">
      <w:start w:val="1"/>
      <w:numFmt w:val="bullet"/>
      <w:lvlText w:val="•"/>
      <w:lvlJc w:val="left"/>
      <w:pPr>
        <w:tabs>
          <w:tab w:val="num" w:pos="3600"/>
        </w:tabs>
        <w:ind w:left="3600" w:hanging="360"/>
      </w:pPr>
      <w:rPr>
        <w:rFonts w:ascii="Arial" w:hAnsi="Arial" w:hint="default"/>
      </w:rPr>
    </w:lvl>
    <w:lvl w:ilvl="5" w:tplc="BA90A54C" w:tentative="1">
      <w:start w:val="1"/>
      <w:numFmt w:val="bullet"/>
      <w:lvlText w:val="•"/>
      <w:lvlJc w:val="left"/>
      <w:pPr>
        <w:tabs>
          <w:tab w:val="num" w:pos="4320"/>
        </w:tabs>
        <w:ind w:left="4320" w:hanging="360"/>
      </w:pPr>
      <w:rPr>
        <w:rFonts w:ascii="Arial" w:hAnsi="Arial" w:hint="default"/>
      </w:rPr>
    </w:lvl>
    <w:lvl w:ilvl="6" w:tplc="0810A8F0" w:tentative="1">
      <w:start w:val="1"/>
      <w:numFmt w:val="bullet"/>
      <w:lvlText w:val="•"/>
      <w:lvlJc w:val="left"/>
      <w:pPr>
        <w:tabs>
          <w:tab w:val="num" w:pos="5040"/>
        </w:tabs>
        <w:ind w:left="5040" w:hanging="360"/>
      </w:pPr>
      <w:rPr>
        <w:rFonts w:ascii="Arial" w:hAnsi="Arial" w:hint="default"/>
      </w:rPr>
    </w:lvl>
    <w:lvl w:ilvl="7" w:tplc="99CA65A6" w:tentative="1">
      <w:start w:val="1"/>
      <w:numFmt w:val="bullet"/>
      <w:lvlText w:val="•"/>
      <w:lvlJc w:val="left"/>
      <w:pPr>
        <w:tabs>
          <w:tab w:val="num" w:pos="5760"/>
        </w:tabs>
        <w:ind w:left="5760" w:hanging="360"/>
      </w:pPr>
      <w:rPr>
        <w:rFonts w:ascii="Arial" w:hAnsi="Arial" w:hint="default"/>
      </w:rPr>
    </w:lvl>
    <w:lvl w:ilvl="8" w:tplc="305E1686" w:tentative="1">
      <w:start w:val="1"/>
      <w:numFmt w:val="bullet"/>
      <w:lvlText w:val="•"/>
      <w:lvlJc w:val="left"/>
      <w:pPr>
        <w:tabs>
          <w:tab w:val="num" w:pos="6480"/>
        </w:tabs>
        <w:ind w:left="6480" w:hanging="360"/>
      </w:pPr>
      <w:rPr>
        <w:rFonts w:ascii="Arial" w:hAnsi="Arial" w:hint="default"/>
      </w:rPr>
    </w:lvl>
  </w:abstractNum>
  <w:abstractNum w:abstractNumId="1">
    <w:nsid w:val="04DA46CF"/>
    <w:multiLevelType w:val="hybridMultilevel"/>
    <w:tmpl w:val="6DEC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104F2"/>
    <w:multiLevelType w:val="hybridMultilevel"/>
    <w:tmpl w:val="C9AE999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3">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E97FA0"/>
    <w:multiLevelType w:val="hybridMultilevel"/>
    <w:tmpl w:val="5322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A311C2"/>
    <w:multiLevelType w:val="hybridMultilevel"/>
    <w:tmpl w:val="C76C2E3C"/>
    <w:lvl w:ilvl="0" w:tplc="FB0C9626">
      <w:start w:val="1"/>
      <w:numFmt w:val="bullet"/>
      <w:lvlText w:val="-"/>
      <w:lvlJc w:val="left"/>
      <w:pPr>
        <w:ind w:left="720" w:hanging="360"/>
      </w:pPr>
      <w:rPr>
        <w:rFonts w:ascii="Symbol" w:hAnsi="Symbol" w:hint="default"/>
        <w:b w:val="0"/>
        <w:i w:val="0"/>
        <w:color w:val="595959"/>
        <w:sz w:val="20"/>
        <w:szCs w:val="20"/>
      </w:rPr>
    </w:lvl>
    <w:lvl w:ilvl="1" w:tplc="6BBC829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34624471"/>
    <w:multiLevelType w:val="hybridMultilevel"/>
    <w:tmpl w:val="D390CC90"/>
    <w:lvl w:ilvl="0" w:tplc="25C8D7F4">
      <w:start w:val="1"/>
      <w:numFmt w:val="bullet"/>
      <w:lvlText w:val=""/>
      <w:lvlJc w:val="left"/>
      <w:pPr>
        <w:ind w:left="502" w:hanging="360"/>
      </w:pPr>
      <w:rPr>
        <w:rFonts w:ascii="Symbol" w:hAnsi="Symbol" w:hint="default"/>
        <w:sz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nsid w:val="35177232"/>
    <w:multiLevelType w:val="hybridMultilevel"/>
    <w:tmpl w:val="52561050"/>
    <w:lvl w:ilvl="0" w:tplc="394EC6D8">
      <w:start w:val="1"/>
      <w:numFmt w:val="bullet"/>
      <w:lvlText w:val="•"/>
      <w:lvlJc w:val="left"/>
      <w:pPr>
        <w:tabs>
          <w:tab w:val="num" w:pos="720"/>
        </w:tabs>
        <w:ind w:left="720" w:hanging="360"/>
      </w:pPr>
      <w:rPr>
        <w:rFonts w:ascii="Arial" w:hAnsi="Arial" w:hint="default"/>
      </w:rPr>
    </w:lvl>
    <w:lvl w:ilvl="1" w:tplc="D80285BE" w:tentative="1">
      <w:start w:val="1"/>
      <w:numFmt w:val="bullet"/>
      <w:lvlText w:val="•"/>
      <w:lvlJc w:val="left"/>
      <w:pPr>
        <w:tabs>
          <w:tab w:val="num" w:pos="1440"/>
        </w:tabs>
        <w:ind w:left="1440" w:hanging="360"/>
      </w:pPr>
      <w:rPr>
        <w:rFonts w:ascii="Arial" w:hAnsi="Arial" w:hint="default"/>
      </w:rPr>
    </w:lvl>
    <w:lvl w:ilvl="2" w:tplc="69D8F7E0" w:tentative="1">
      <w:start w:val="1"/>
      <w:numFmt w:val="bullet"/>
      <w:lvlText w:val="•"/>
      <w:lvlJc w:val="left"/>
      <w:pPr>
        <w:tabs>
          <w:tab w:val="num" w:pos="2160"/>
        </w:tabs>
        <w:ind w:left="2160" w:hanging="360"/>
      </w:pPr>
      <w:rPr>
        <w:rFonts w:ascii="Arial" w:hAnsi="Arial" w:hint="default"/>
      </w:rPr>
    </w:lvl>
    <w:lvl w:ilvl="3" w:tplc="D2745EFC" w:tentative="1">
      <w:start w:val="1"/>
      <w:numFmt w:val="bullet"/>
      <w:lvlText w:val="•"/>
      <w:lvlJc w:val="left"/>
      <w:pPr>
        <w:tabs>
          <w:tab w:val="num" w:pos="2880"/>
        </w:tabs>
        <w:ind w:left="2880" w:hanging="360"/>
      </w:pPr>
      <w:rPr>
        <w:rFonts w:ascii="Arial" w:hAnsi="Arial" w:hint="default"/>
      </w:rPr>
    </w:lvl>
    <w:lvl w:ilvl="4" w:tplc="494C6842" w:tentative="1">
      <w:start w:val="1"/>
      <w:numFmt w:val="bullet"/>
      <w:lvlText w:val="•"/>
      <w:lvlJc w:val="left"/>
      <w:pPr>
        <w:tabs>
          <w:tab w:val="num" w:pos="3600"/>
        </w:tabs>
        <w:ind w:left="3600" w:hanging="360"/>
      </w:pPr>
      <w:rPr>
        <w:rFonts w:ascii="Arial" w:hAnsi="Arial" w:hint="default"/>
      </w:rPr>
    </w:lvl>
    <w:lvl w:ilvl="5" w:tplc="0C74FEF4" w:tentative="1">
      <w:start w:val="1"/>
      <w:numFmt w:val="bullet"/>
      <w:lvlText w:val="•"/>
      <w:lvlJc w:val="left"/>
      <w:pPr>
        <w:tabs>
          <w:tab w:val="num" w:pos="4320"/>
        </w:tabs>
        <w:ind w:left="4320" w:hanging="360"/>
      </w:pPr>
      <w:rPr>
        <w:rFonts w:ascii="Arial" w:hAnsi="Arial" w:hint="default"/>
      </w:rPr>
    </w:lvl>
    <w:lvl w:ilvl="6" w:tplc="68AAC126" w:tentative="1">
      <w:start w:val="1"/>
      <w:numFmt w:val="bullet"/>
      <w:lvlText w:val="•"/>
      <w:lvlJc w:val="left"/>
      <w:pPr>
        <w:tabs>
          <w:tab w:val="num" w:pos="5040"/>
        </w:tabs>
        <w:ind w:left="5040" w:hanging="360"/>
      </w:pPr>
      <w:rPr>
        <w:rFonts w:ascii="Arial" w:hAnsi="Arial" w:hint="default"/>
      </w:rPr>
    </w:lvl>
    <w:lvl w:ilvl="7" w:tplc="66F688A4" w:tentative="1">
      <w:start w:val="1"/>
      <w:numFmt w:val="bullet"/>
      <w:lvlText w:val="•"/>
      <w:lvlJc w:val="left"/>
      <w:pPr>
        <w:tabs>
          <w:tab w:val="num" w:pos="5760"/>
        </w:tabs>
        <w:ind w:left="5760" w:hanging="360"/>
      </w:pPr>
      <w:rPr>
        <w:rFonts w:ascii="Arial" w:hAnsi="Arial" w:hint="default"/>
      </w:rPr>
    </w:lvl>
    <w:lvl w:ilvl="8" w:tplc="A0E4C36E" w:tentative="1">
      <w:start w:val="1"/>
      <w:numFmt w:val="bullet"/>
      <w:lvlText w:val="•"/>
      <w:lvlJc w:val="left"/>
      <w:pPr>
        <w:tabs>
          <w:tab w:val="num" w:pos="6480"/>
        </w:tabs>
        <w:ind w:left="6480" w:hanging="360"/>
      </w:pPr>
      <w:rPr>
        <w:rFonts w:ascii="Arial" w:hAnsi="Arial" w:hint="default"/>
      </w:rPr>
    </w:lvl>
  </w:abstractNum>
  <w:abstractNum w:abstractNumId="11">
    <w:nsid w:val="38165F28"/>
    <w:multiLevelType w:val="multilevel"/>
    <w:tmpl w:val="83609738"/>
    <w:lvl w:ilvl="0">
      <w:start w:val="1"/>
      <w:numFmt w:val="bullet"/>
      <w:lvlText w:val=""/>
      <w:lvlJc w:val="left"/>
      <w:pPr>
        <w:tabs>
          <w:tab w:val="num" w:pos="502"/>
        </w:tabs>
        <w:ind w:left="502" w:hanging="360"/>
      </w:pPr>
      <w:rPr>
        <w:rFonts w:ascii="Symbol" w:hAnsi="Symbol" w:hint="default"/>
        <w:sz w:val="16"/>
        <w:szCs w:val="16"/>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41E410FB"/>
    <w:multiLevelType w:val="hybridMultilevel"/>
    <w:tmpl w:val="22FEDA16"/>
    <w:lvl w:ilvl="0" w:tplc="2E8E5710">
      <w:start w:val="1"/>
      <w:numFmt w:val="bullet"/>
      <w:lvlText w:val="—"/>
      <w:lvlJc w:val="left"/>
      <w:pPr>
        <w:tabs>
          <w:tab w:val="num" w:pos="720"/>
        </w:tabs>
        <w:ind w:left="720" w:hanging="360"/>
      </w:pPr>
      <w:rPr>
        <w:rFonts w:ascii="Calibri" w:hAnsi="Calibri"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32B19C2"/>
    <w:multiLevelType w:val="hybridMultilevel"/>
    <w:tmpl w:val="CF3498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695180"/>
    <w:multiLevelType w:val="multilevel"/>
    <w:tmpl w:val="5E22C0F8"/>
    <w:numStyleLink w:val="Bullet"/>
  </w:abstractNum>
  <w:abstractNum w:abstractNumId="17">
    <w:nsid w:val="4CFA655F"/>
    <w:multiLevelType w:val="hybridMultilevel"/>
    <w:tmpl w:val="7C7634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FC550F8"/>
    <w:multiLevelType w:val="hybridMultilevel"/>
    <w:tmpl w:val="EAF2D782"/>
    <w:lvl w:ilvl="0" w:tplc="576C2E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0978C1"/>
    <w:multiLevelType w:val="hybridMultilevel"/>
    <w:tmpl w:val="8552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203816"/>
    <w:multiLevelType w:val="hybridMultilevel"/>
    <w:tmpl w:val="DA580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E416C6"/>
    <w:multiLevelType w:val="hybridMultilevel"/>
    <w:tmpl w:val="E3607128"/>
    <w:lvl w:ilvl="0" w:tplc="8110DB24">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7F360D"/>
    <w:multiLevelType w:val="hybridMultilevel"/>
    <w:tmpl w:val="97B20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62D5F72"/>
    <w:multiLevelType w:val="hybridMultilevel"/>
    <w:tmpl w:val="C0C0243C"/>
    <w:lvl w:ilvl="0" w:tplc="71C2B736">
      <w:start w:val="1"/>
      <w:numFmt w:val="bullet"/>
      <w:lvlText w:val=""/>
      <w:lvlJc w:val="left"/>
      <w:pPr>
        <w:tabs>
          <w:tab w:val="num" w:pos="360"/>
        </w:tabs>
        <w:ind w:left="360" w:hanging="360"/>
      </w:pPr>
      <w:rPr>
        <w:rFonts w:ascii="Symbol" w:hAnsi="Symbol" w:cs="Symbol" w:hint="default"/>
        <w:color w:val="auto"/>
        <w:sz w:val="20"/>
        <w:szCs w:val="20"/>
      </w:rPr>
    </w:lvl>
    <w:lvl w:ilvl="1" w:tplc="0C090003">
      <w:start w:val="1"/>
      <w:numFmt w:val="bullet"/>
      <w:lvlText w:val=""/>
      <w:lvlJc w:val="left"/>
      <w:pPr>
        <w:tabs>
          <w:tab w:val="num" w:pos="1866"/>
        </w:tabs>
        <w:ind w:left="1866" w:hanging="360"/>
      </w:pPr>
      <w:rPr>
        <w:rFonts w:ascii="Symbol" w:hAnsi="Symbol" w:cs="Symbol" w:hint="default"/>
        <w:sz w:val="16"/>
        <w:szCs w:val="16"/>
      </w:rPr>
    </w:lvl>
    <w:lvl w:ilvl="2" w:tplc="0C090005">
      <w:start w:val="1"/>
      <w:numFmt w:val="bullet"/>
      <w:lvlText w:val=""/>
      <w:lvlJc w:val="left"/>
      <w:pPr>
        <w:tabs>
          <w:tab w:val="num" w:pos="2586"/>
        </w:tabs>
        <w:ind w:left="2586" w:hanging="360"/>
      </w:pPr>
      <w:rPr>
        <w:rFonts w:ascii="Wingdings" w:hAnsi="Wingdings" w:cs="Wingdings" w:hint="default"/>
      </w:rPr>
    </w:lvl>
    <w:lvl w:ilvl="3" w:tplc="0C090001">
      <w:start w:val="1"/>
      <w:numFmt w:val="bullet"/>
      <w:lvlText w:val=""/>
      <w:lvlJc w:val="left"/>
      <w:pPr>
        <w:tabs>
          <w:tab w:val="num" w:pos="3306"/>
        </w:tabs>
        <w:ind w:left="3306" w:hanging="360"/>
      </w:pPr>
      <w:rPr>
        <w:rFonts w:ascii="Symbol" w:hAnsi="Symbol" w:cs="Symbol" w:hint="default"/>
      </w:rPr>
    </w:lvl>
    <w:lvl w:ilvl="4" w:tplc="0C090003">
      <w:start w:val="1"/>
      <w:numFmt w:val="bullet"/>
      <w:lvlText w:val="o"/>
      <w:lvlJc w:val="left"/>
      <w:pPr>
        <w:tabs>
          <w:tab w:val="num" w:pos="4026"/>
        </w:tabs>
        <w:ind w:left="4026" w:hanging="360"/>
      </w:pPr>
      <w:rPr>
        <w:rFonts w:ascii="Courier New" w:hAnsi="Courier New" w:cs="Courier New" w:hint="default"/>
      </w:rPr>
    </w:lvl>
    <w:lvl w:ilvl="5" w:tplc="0C090005">
      <w:start w:val="1"/>
      <w:numFmt w:val="bullet"/>
      <w:lvlText w:val=""/>
      <w:lvlJc w:val="left"/>
      <w:pPr>
        <w:tabs>
          <w:tab w:val="num" w:pos="4746"/>
        </w:tabs>
        <w:ind w:left="4746" w:hanging="360"/>
      </w:pPr>
      <w:rPr>
        <w:rFonts w:ascii="Wingdings" w:hAnsi="Wingdings" w:cs="Wingdings" w:hint="default"/>
      </w:rPr>
    </w:lvl>
    <w:lvl w:ilvl="6" w:tplc="0C090001">
      <w:start w:val="1"/>
      <w:numFmt w:val="bullet"/>
      <w:lvlText w:val=""/>
      <w:lvlJc w:val="left"/>
      <w:pPr>
        <w:tabs>
          <w:tab w:val="num" w:pos="5466"/>
        </w:tabs>
        <w:ind w:left="5466" w:hanging="360"/>
      </w:pPr>
      <w:rPr>
        <w:rFonts w:ascii="Symbol" w:hAnsi="Symbol" w:cs="Symbol" w:hint="default"/>
      </w:rPr>
    </w:lvl>
    <w:lvl w:ilvl="7" w:tplc="0C090003">
      <w:start w:val="1"/>
      <w:numFmt w:val="bullet"/>
      <w:lvlText w:val="o"/>
      <w:lvlJc w:val="left"/>
      <w:pPr>
        <w:tabs>
          <w:tab w:val="num" w:pos="6186"/>
        </w:tabs>
        <w:ind w:left="6186" w:hanging="360"/>
      </w:pPr>
      <w:rPr>
        <w:rFonts w:ascii="Courier New" w:hAnsi="Courier New" w:cs="Courier New" w:hint="default"/>
      </w:rPr>
    </w:lvl>
    <w:lvl w:ilvl="8" w:tplc="0C090005">
      <w:start w:val="1"/>
      <w:numFmt w:val="bullet"/>
      <w:lvlText w:val=""/>
      <w:lvlJc w:val="left"/>
      <w:pPr>
        <w:tabs>
          <w:tab w:val="num" w:pos="6906"/>
        </w:tabs>
        <w:ind w:left="6906" w:hanging="360"/>
      </w:pPr>
      <w:rPr>
        <w:rFonts w:ascii="Wingdings" w:hAnsi="Wingdings" w:cs="Wingdings" w:hint="default"/>
      </w:rPr>
    </w:lvl>
  </w:abstractNum>
  <w:abstractNum w:abstractNumId="25">
    <w:nsid w:val="7BB937C5"/>
    <w:multiLevelType w:val="hybridMultilevel"/>
    <w:tmpl w:val="9DC41180"/>
    <w:lvl w:ilvl="0" w:tplc="797AB4A8">
      <w:numFmt w:val="bullet"/>
      <w:lvlText w:val=""/>
      <w:lvlJc w:val="left"/>
      <w:pPr>
        <w:tabs>
          <w:tab w:val="num" w:pos="360"/>
        </w:tabs>
        <w:ind w:left="360" w:hanging="360"/>
      </w:pPr>
      <w:rPr>
        <w:rFonts w:ascii="Symbol" w:eastAsia="Zurich LtCn BT" w:hAnsi="Symbol" w:cs="Zurich LtCn BT"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1"/>
  </w:num>
  <w:num w:numId="2">
    <w:abstractNumId w:val="7"/>
  </w:num>
  <w:num w:numId="3">
    <w:abstractNumId w:val="3"/>
  </w:num>
  <w:num w:numId="4">
    <w:abstractNumId w:val="18"/>
  </w:num>
  <w:num w:numId="5">
    <w:abstractNumId w:val="4"/>
  </w:num>
  <w:num w:numId="6">
    <w:abstractNumId w:val="25"/>
  </w:num>
  <w:num w:numId="7">
    <w:abstractNumId w:val="1"/>
  </w:num>
  <w:num w:numId="8">
    <w:abstractNumId w:val="2"/>
  </w:num>
  <w:num w:numId="9">
    <w:abstractNumId w:val="19"/>
  </w:num>
  <w:num w:numId="10">
    <w:abstractNumId w:val="9"/>
  </w:num>
  <w:num w:numId="11">
    <w:abstractNumId w:val="24"/>
  </w:num>
  <w:num w:numId="12">
    <w:abstractNumId w:val="12"/>
  </w:num>
  <w:num w:numId="13">
    <w:abstractNumId w:val="24"/>
  </w:num>
  <w:num w:numId="14">
    <w:abstractNumId w:val="17"/>
  </w:num>
  <w:num w:numId="15">
    <w:abstractNumId w:val="11"/>
  </w:num>
  <w:num w:numId="16">
    <w:abstractNumId w:val="21"/>
  </w:num>
  <w:num w:numId="17">
    <w:abstractNumId w:val="20"/>
  </w:num>
  <w:num w:numId="18">
    <w:abstractNumId w:val="0"/>
  </w:num>
  <w:num w:numId="19">
    <w:abstractNumId w:val="10"/>
  </w:num>
  <w:num w:numId="20">
    <w:abstractNumId w:val="13"/>
  </w:num>
  <w:num w:numId="21">
    <w:abstractNumId w:val="6"/>
  </w:num>
  <w:num w:numId="22">
    <w:abstractNumId w:val="14"/>
  </w:num>
  <w:num w:numId="23">
    <w:abstractNumId w:val="27"/>
  </w:num>
  <w:num w:numId="24">
    <w:abstractNumId w:val="5"/>
  </w:num>
  <w:num w:numId="25">
    <w:abstractNumId w:val="15"/>
  </w:num>
  <w:num w:numId="26">
    <w:abstractNumId w:val="26"/>
  </w:num>
  <w:num w:numId="27">
    <w:abstractNumId w:val="23"/>
  </w:num>
  <w:num w:numId="28">
    <w:abstractNumId w:val="2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2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52"/>
    <w:rsid w:val="0000267D"/>
    <w:rsid w:val="000026D2"/>
    <w:rsid w:val="00004277"/>
    <w:rsid w:val="00005E14"/>
    <w:rsid w:val="000120A6"/>
    <w:rsid w:val="0001416F"/>
    <w:rsid w:val="000174C0"/>
    <w:rsid w:val="00021515"/>
    <w:rsid w:val="00021B40"/>
    <w:rsid w:val="00022FCB"/>
    <w:rsid w:val="00023AA3"/>
    <w:rsid w:val="0003209F"/>
    <w:rsid w:val="00040AE0"/>
    <w:rsid w:val="00042733"/>
    <w:rsid w:val="00042E41"/>
    <w:rsid w:val="000435F3"/>
    <w:rsid w:val="00045382"/>
    <w:rsid w:val="00047674"/>
    <w:rsid w:val="00052248"/>
    <w:rsid w:val="00056001"/>
    <w:rsid w:val="0005797B"/>
    <w:rsid w:val="0006294A"/>
    <w:rsid w:val="0006448D"/>
    <w:rsid w:val="00066AAA"/>
    <w:rsid w:val="00070AED"/>
    <w:rsid w:val="000724A0"/>
    <w:rsid w:val="00072793"/>
    <w:rsid w:val="00072958"/>
    <w:rsid w:val="0007342D"/>
    <w:rsid w:val="00073D3C"/>
    <w:rsid w:val="00075E60"/>
    <w:rsid w:val="000761C6"/>
    <w:rsid w:val="00076637"/>
    <w:rsid w:val="00077396"/>
    <w:rsid w:val="0008071D"/>
    <w:rsid w:val="000808F6"/>
    <w:rsid w:val="000832B2"/>
    <w:rsid w:val="000837F7"/>
    <w:rsid w:val="000842C8"/>
    <w:rsid w:val="000868CC"/>
    <w:rsid w:val="00090191"/>
    <w:rsid w:val="000A2A26"/>
    <w:rsid w:val="000A2C2D"/>
    <w:rsid w:val="000A303E"/>
    <w:rsid w:val="000A30E8"/>
    <w:rsid w:val="000A3E7A"/>
    <w:rsid w:val="000A6DF2"/>
    <w:rsid w:val="000A7211"/>
    <w:rsid w:val="000B028C"/>
    <w:rsid w:val="000B1825"/>
    <w:rsid w:val="000B2DF6"/>
    <w:rsid w:val="000B2E77"/>
    <w:rsid w:val="000B7F00"/>
    <w:rsid w:val="000C31C6"/>
    <w:rsid w:val="000C504F"/>
    <w:rsid w:val="000C7249"/>
    <w:rsid w:val="000D029B"/>
    <w:rsid w:val="000D0307"/>
    <w:rsid w:val="000D0DEC"/>
    <w:rsid w:val="000D62BB"/>
    <w:rsid w:val="000E20B4"/>
    <w:rsid w:val="000E4379"/>
    <w:rsid w:val="000E4C78"/>
    <w:rsid w:val="000E57FC"/>
    <w:rsid w:val="000E6117"/>
    <w:rsid w:val="000E65D3"/>
    <w:rsid w:val="000F3960"/>
    <w:rsid w:val="000F421A"/>
    <w:rsid w:val="000F4426"/>
    <w:rsid w:val="000F4C8E"/>
    <w:rsid w:val="000F5565"/>
    <w:rsid w:val="001037BE"/>
    <w:rsid w:val="001059BC"/>
    <w:rsid w:val="00112D37"/>
    <w:rsid w:val="00113F85"/>
    <w:rsid w:val="00117DCD"/>
    <w:rsid w:val="001246F9"/>
    <w:rsid w:val="00125B14"/>
    <w:rsid w:val="00126296"/>
    <w:rsid w:val="001269B3"/>
    <w:rsid w:val="00130F1B"/>
    <w:rsid w:val="00131EB9"/>
    <w:rsid w:val="0013709E"/>
    <w:rsid w:val="001401D9"/>
    <w:rsid w:val="00142D1D"/>
    <w:rsid w:val="00143BA7"/>
    <w:rsid w:val="00151E47"/>
    <w:rsid w:val="001537C0"/>
    <w:rsid w:val="001560C8"/>
    <w:rsid w:val="00157A44"/>
    <w:rsid w:val="001606A5"/>
    <w:rsid w:val="001623D1"/>
    <w:rsid w:val="00163488"/>
    <w:rsid w:val="001678A0"/>
    <w:rsid w:val="001701E7"/>
    <w:rsid w:val="00171627"/>
    <w:rsid w:val="00171A74"/>
    <w:rsid w:val="00174EF5"/>
    <w:rsid w:val="0017759E"/>
    <w:rsid w:val="001776DD"/>
    <w:rsid w:val="0017776B"/>
    <w:rsid w:val="00181401"/>
    <w:rsid w:val="001837A1"/>
    <w:rsid w:val="00184630"/>
    <w:rsid w:val="00194BAE"/>
    <w:rsid w:val="001A29AE"/>
    <w:rsid w:val="001A6002"/>
    <w:rsid w:val="001A7FE1"/>
    <w:rsid w:val="001B0670"/>
    <w:rsid w:val="001B1C19"/>
    <w:rsid w:val="001B3698"/>
    <w:rsid w:val="001B3EF6"/>
    <w:rsid w:val="001B64CE"/>
    <w:rsid w:val="001C106B"/>
    <w:rsid w:val="001C1BE3"/>
    <w:rsid w:val="001C304E"/>
    <w:rsid w:val="001C3199"/>
    <w:rsid w:val="001C51C6"/>
    <w:rsid w:val="001C6B9F"/>
    <w:rsid w:val="001D75A1"/>
    <w:rsid w:val="001E4B39"/>
    <w:rsid w:val="001E4CCC"/>
    <w:rsid w:val="001E7509"/>
    <w:rsid w:val="001F2566"/>
    <w:rsid w:val="001F419B"/>
    <w:rsid w:val="001F672B"/>
    <w:rsid w:val="00204CF7"/>
    <w:rsid w:val="00206AD3"/>
    <w:rsid w:val="00210C07"/>
    <w:rsid w:val="00221346"/>
    <w:rsid w:val="00222840"/>
    <w:rsid w:val="00222D44"/>
    <w:rsid w:val="002253CD"/>
    <w:rsid w:val="002268A4"/>
    <w:rsid w:val="00226CE8"/>
    <w:rsid w:val="0023341A"/>
    <w:rsid w:val="00235579"/>
    <w:rsid w:val="00242CCD"/>
    <w:rsid w:val="00243652"/>
    <w:rsid w:val="00243CA6"/>
    <w:rsid w:val="0024429C"/>
    <w:rsid w:val="00244D3E"/>
    <w:rsid w:val="00245F9E"/>
    <w:rsid w:val="00250182"/>
    <w:rsid w:val="0025793D"/>
    <w:rsid w:val="00260658"/>
    <w:rsid w:val="00261A74"/>
    <w:rsid w:val="00262CA0"/>
    <w:rsid w:val="00264E9B"/>
    <w:rsid w:val="0026515C"/>
    <w:rsid w:val="00265BBE"/>
    <w:rsid w:val="002673CC"/>
    <w:rsid w:val="002704A1"/>
    <w:rsid w:val="0027200F"/>
    <w:rsid w:val="002721B2"/>
    <w:rsid w:val="002738C0"/>
    <w:rsid w:val="0027419D"/>
    <w:rsid w:val="002742C2"/>
    <w:rsid w:val="0027682F"/>
    <w:rsid w:val="00282BF2"/>
    <w:rsid w:val="002853E0"/>
    <w:rsid w:val="00285CF5"/>
    <w:rsid w:val="00287214"/>
    <w:rsid w:val="00291FF7"/>
    <w:rsid w:val="00292A0E"/>
    <w:rsid w:val="00294010"/>
    <w:rsid w:val="00294712"/>
    <w:rsid w:val="00297D60"/>
    <w:rsid w:val="002A3701"/>
    <w:rsid w:val="002B2010"/>
    <w:rsid w:val="002B228E"/>
    <w:rsid w:val="002B4409"/>
    <w:rsid w:val="002B4960"/>
    <w:rsid w:val="002B77BF"/>
    <w:rsid w:val="002C03ED"/>
    <w:rsid w:val="002C4EAC"/>
    <w:rsid w:val="002C657C"/>
    <w:rsid w:val="002D0056"/>
    <w:rsid w:val="002D134D"/>
    <w:rsid w:val="002D434C"/>
    <w:rsid w:val="002D4934"/>
    <w:rsid w:val="002D4D5D"/>
    <w:rsid w:val="002D68CB"/>
    <w:rsid w:val="002E030F"/>
    <w:rsid w:val="002E3368"/>
    <w:rsid w:val="002E50A4"/>
    <w:rsid w:val="00306623"/>
    <w:rsid w:val="003070AC"/>
    <w:rsid w:val="0031333C"/>
    <w:rsid w:val="003146DB"/>
    <w:rsid w:val="00314D28"/>
    <w:rsid w:val="00315368"/>
    <w:rsid w:val="00315738"/>
    <w:rsid w:val="00315D10"/>
    <w:rsid w:val="0031604C"/>
    <w:rsid w:val="003160B7"/>
    <w:rsid w:val="0031666F"/>
    <w:rsid w:val="00316EEC"/>
    <w:rsid w:val="003170AD"/>
    <w:rsid w:val="00317313"/>
    <w:rsid w:val="00317446"/>
    <w:rsid w:val="00323027"/>
    <w:rsid w:val="003235D9"/>
    <w:rsid w:val="0032427D"/>
    <w:rsid w:val="00326984"/>
    <w:rsid w:val="00326F37"/>
    <w:rsid w:val="0033032A"/>
    <w:rsid w:val="0033380E"/>
    <w:rsid w:val="00334BAB"/>
    <w:rsid w:val="00334FAB"/>
    <w:rsid w:val="003361D0"/>
    <w:rsid w:val="0033755B"/>
    <w:rsid w:val="003378EC"/>
    <w:rsid w:val="003428EA"/>
    <w:rsid w:val="00343688"/>
    <w:rsid w:val="003456C6"/>
    <w:rsid w:val="00346816"/>
    <w:rsid w:val="003500D3"/>
    <w:rsid w:val="003518C7"/>
    <w:rsid w:val="00352656"/>
    <w:rsid w:val="0035482D"/>
    <w:rsid w:val="0035567D"/>
    <w:rsid w:val="00357A00"/>
    <w:rsid w:val="00361517"/>
    <w:rsid w:val="003622FC"/>
    <w:rsid w:val="003636AA"/>
    <w:rsid w:val="003660A7"/>
    <w:rsid w:val="00375DAA"/>
    <w:rsid w:val="00376925"/>
    <w:rsid w:val="00380162"/>
    <w:rsid w:val="00381C90"/>
    <w:rsid w:val="003826C1"/>
    <w:rsid w:val="00384676"/>
    <w:rsid w:val="00385AB0"/>
    <w:rsid w:val="00386623"/>
    <w:rsid w:val="00386706"/>
    <w:rsid w:val="00392552"/>
    <w:rsid w:val="003925B4"/>
    <w:rsid w:val="00397099"/>
    <w:rsid w:val="003A1EF9"/>
    <w:rsid w:val="003A5174"/>
    <w:rsid w:val="003A673C"/>
    <w:rsid w:val="003A739C"/>
    <w:rsid w:val="003B0D16"/>
    <w:rsid w:val="003B13EA"/>
    <w:rsid w:val="003B306F"/>
    <w:rsid w:val="003B4E7A"/>
    <w:rsid w:val="003C5DD9"/>
    <w:rsid w:val="003C5E9F"/>
    <w:rsid w:val="003C666F"/>
    <w:rsid w:val="003C7F57"/>
    <w:rsid w:val="003D0E4B"/>
    <w:rsid w:val="003D3E4F"/>
    <w:rsid w:val="003D649D"/>
    <w:rsid w:val="003D6A14"/>
    <w:rsid w:val="003D712F"/>
    <w:rsid w:val="003D71BD"/>
    <w:rsid w:val="003D749F"/>
    <w:rsid w:val="003E0BF4"/>
    <w:rsid w:val="003E11BE"/>
    <w:rsid w:val="003E3AB0"/>
    <w:rsid w:val="003E4315"/>
    <w:rsid w:val="003E4AE5"/>
    <w:rsid w:val="003E5EDD"/>
    <w:rsid w:val="003E725F"/>
    <w:rsid w:val="003E77C8"/>
    <w:rsid w:val="003E7C33"/>
    <w:rsid w:val="003F03F7"/>
    <w:rsid w:val="003F1B81"/>
    <w:rsid w:val="003F1D7E"/>
    <w:rsid w:val="003F4DF4"/>
    <w:rsid w:val="003F57B6"/>
    <w:rsid w:val="003F638E"/>
    <w:rsid w:val="003F6B9B"/>
    <w:rsid w:val="00400D1F"/>
    <w:rsid w:val="00401676"/>
    <w:rsid w:val="004073C9"/>
    <w:rsid w:val="00407781"/>
    <w:rsid w:val="00410E84"/>
    <w:rsid w:val="00410FA3"/>
    <w:rsid w:val="00412CD3"/>
    <w:rsid w:val="0041467E"/>
    <w:rsid w:val="00414FBF"/>
    <w:rsid w:val="00421642"/>
    <w:rsid w:val="00422AA3"/>
    <w:rsid w:val="00423E90"/>
    <w:rsid w:val="0042408B"/>
    <w:rsid w:val="00424DB7"/>
    <w:rsid w:val="00427E01"/>
    <w:rsid w:val="00427F19"/>
    <w:rsid w:val="00432CB6"/>
    <w:rsid w:val="004344EE"/>
    <w:rsid w:val="004346B8"/>
    <w:rsid w:val="0043769F"/>
    <w:rsid w:val="004402D5"/>
    <w:rsid w:val="00441456"/>
    <w:rsid w:val="00441614"/>
    <w:rsid w:val="004430E3"/>
    <w:rsid w:val="004466BD"/>
    <w:rsid w:val="00447392"/>
    <w:rsid w:val="00452368"/>
    <w:rsid w:val="004534CD"/>
    <w:rsid w:val="0045754B"/>
    <w:rsid w:val="0046055D"/>
    <w:rsid w:val="00463A3A"/>
    <w:rsid w:val="00466906"/>
    <w:rsid w:val="004679C7"/>
    <w:rsid w:val="00470737"/>
    <w:rsid w:val="004719C6"/>
    <w:rsid w:val="00472918"/>
    <w:rsid w:val="004731BF"/>
    <w:rsid w:val="0047622C"/>
    <w:rsid w:val="00476276"/>
    <w:rsid w:val="00476ADB"/>
    <w:rsid w:val="004902C5"/>
    <w:rsid w:val="00491740"/>
    <w:rsid w:val="004959A4"/>
    <w:rsid w:val="004960BC"/>
    <w:rsid w:val="0049696B"/>
    <w:rsid w:val="00497A77"/>
    <w:rsid w:val="004A1826"/>
    <w:rsid w:val="004A5BC1"/>
    <w:rsid w:val="004B20A8"/>
    <w:rsid w:val="004B26C7"/>
    <w:rsid w:val="004B7EB8"/>
    <w:rsid w:val="004C0D1B"/>
    <w:rsid w:val="004C4890"/>
    <w:rsid w:val="004C5372"/>
    <w:rsid w:val="004D0647"/>
    <w:rsid w:val="004D6149"/>
    <w:rsid w:val="004D6AC5"/>
    <w:rsid w:val="004D6B8D"/>
    <w:rsid w:val="004E169F"/>
    <w:rsid w:val="004E19C7"/>
    <w:rsid w:val="004E2AC9"/>
    <w:rsid w:val="004E3796"/>
    <w:rsid w:val="004F3EFA"/>
    <w:rsid w:val="004F5D85"/>
    <w:rsid w:val="004F6B49"/>
    <w:rsid w:val="004F6CE5"/>
    <w:rsid w:val="00500C49"/>
    <w:rsid w:val="00506E19"/>
    <w:rsid w:val="0051162B"/>
    <w:rsid w:val="00515796"/>
    <w:rsid w:val="00516BFC"/>
    <w:rsid w:val="0052061D"/>
    <w:rsid w:val="00522A8D"/>
    <w:rsid w:val="00523126"/>
    <w:rsid w:val="00525ED9"/>
    <w:rsid w:val="005265A3"/>
    <w:rsid w:val="00535196"/>
    <w:rsid w:val="00535801"/>
    <w:rsid w:val="005420FF"/>
    <w:rsid w:val="005425E7"/>
    <w:rsid w:val="00542680"/>
    <w:rsid w:val="005430AC"/>
    <w:rsid w:val="0054454D"/>
    <w:rsid w:val="00544877"/>
    <w:rsid w:val="00544968"/>
    <w:rsid w:val="00545B3E"/>
    <w:rsid w:val="00546FE0"/>
    <w:rsid w:val="00551C45"/>
    <w:rsid w:val="005541C1"/>
    <w:rsid w:val="00555833"/>
    <w:rsid w:val="00557889"/>
    <w:rsid w:val="00567175"/>
    <w:rsid w:val="0057051C"/>
    <w:rsid w:val="00572DDD"/>
    <w:rsid w:val="005742F2"/>
    <w:rsid w:val="00577F66"/>
    <w:rsid w:val="00580013"/>
    <w:rsid w:val="005818CB"/>
    <w:rsid w:val="00581FE6"/>
    <w:rsid w:val="00591590"/>
    <w:rsid w:val="00591B13"/>
    <w:rsid w:val="0059460F"/>
    <w:rsid w:val="00595CC0"/>
    <w:rsid w:val="00596AF6"/>
    <w:rsid w:val="005A082A"/>
    <w:rsid w:val="005A0EEA"/>
    <w:rsid w:val="005A1291"/>
    <w:rsid w:val="005A24BA"/>
    <w:rsid w:val="005A2C83"/>
    <w:rsid w:val="005A69CE"/>
    <w:rsid w:val="005B0624"/>
    <w:rsid w:val="005B2CA0"/>
    <w:rsid w:val="005B46E8"/>
    <w:rsid w:val="005B5291"/>
    <w:rsid w:val="005C05BD"/>
    <w:rsid w:val="005C1882"/>
    <w:rsid w:val="005C2257"/>
    <w:rsid w:val="005C2333"/>
    <w:rsid w:val="005C3A46"/>
    <w:rsid w:val="005C3FA5"/>
    <w:rsid w:val="005C6C2C"/>
    <w:rsid w:val="005C7B9D"/>
    <w:rsid w:val="005D0150"/>
    <w:rsid w:val="005D0BF5"/>
    <w:rsid w:val="005D1BD8"/>
    <w:rsid w:val="005D2012"/>
    <w:rsid w:val="005D20DC"/>
    <w:rsid w:val="005D6D84"/>
    <w:rsid w:val="005D717C"/>
    <w:rsid w:val="005D7C94"/>
    <w:rsid w:val="005E204D"/>
    <w:rsid w:val="005E7BF3"/>
    <w:rsid w:val="005F0D36"/>
    <w:rsid w:val="005F400F"/>
    <w:rsid w:val="005F73A9"/>
    <w:rsid w:val="006004F3"/>
    <w:rsid w:val="006009D7"/>
    <w:rsid w:val="00601571"/>
    <w:rsid w:val="0060463C"/>
    <w:rsid w:val="00606740"/>
    <w:rsid w:val="00612457"/>
    <w:rsid w:val="00612970"/>
    <w:rsid w:val="00612C8F"/>
    <w:rsid w:val="00612F74"/>
    <w:rsid w:val="0062100D"/>
    <w:rsid w:val="006343EF"/>
    <w:rsid w:val="0063534A"/>
    <w:rsid w:val="0063563D"/>
    <w:rsid w:val="00637791"/>
    <w:rsid w:val="00637F4D"/>
    <w:rsid w:val="00641D73"/>
    <w:rsid w:val="006452DC"/>
    <w:rsid w:val="0064607E"/>
    <w:rsid w:val="00651710"/>
    <w:rsid w:val="00656290"/>
    <w:rsid w:val="00657CC9"/>
    <w:rsid w:val="006606F6"/>
    <w:rsid w:val="00662E52"/>
    <w:rsid w:val="00663408"/>
    <w:rsid w:val="0066369D"/>
    <w:rsid w:val="00666013"/>
    <w:rsid w:val="00670623"/>
    <w:rsid w:val="00670F6D"/>
    <w:rsid w:val="00673F4D"/>
    <w:rsid w:val="00674114"/>
    <w:rsid w:val="006764AE"/>
    <w:rsid w:val="00684899"/>
    <w:rsid w:val="00686BBF"/>
    <w:rsid w:val="00690077"/>
    <w:rsid w:val="00690F29"/>
    <w:rsid w:val="00691AAA"/>
    <w:rsid w:val="00692FBE"/>
    <w:rsid w:val="0069538C"/>
    <w:rsid w:val="006A077C"/>
    <w:rsid w:val="006A3810"/>
    <w:rsid w:val="006A3ACA"/>
    <w:rsid w:val="006A4536"/>
    <w:rsid w:val="006A77C5"/>
    <w:rsid w:val="006A7AF0"/>
    <w:rsid w:val="006B184C"/>
    <w:rsid w:val="006C2459"/>
    <w:rsid w:val="006D208B"/>
    <w:rsid w:val="006E0D3A"/>
    <w:rsid w:val="006E1069"/>
    <w:rsid w:val="006E17AD"/>
    <w:rsid w:val="006E1D69"/>
    <w:rsid w:val="006E1F03"/>
    <w:rsid w:val="006E304E"/>
    <w:rsid w:val="006E58D5"/>
    <w:rsid w:val="006F04B8"/>
    <w:rsid w:val="006F0817"/>
    <w:rsid w:val="006F2CFD"/>
    <w:rsid w:val="006F5D3B"/>
    <w:rsid w:val="006F7733"/>
    <w:rsid w:val="0070341D"/>
    <w:rsid w:val="007038FC"/>
    <w:rsid w:val="00705116"/>
    <w:rsid w:val="00706975"/>
    <w:rsid w:val="00707B84"/>
    <w:rsid w:val="00710FA4"/>
    <w:rsid w:val="007112A4"/>
    <w:rsid w:val="00712D85"/>
    <w:rsid w:val="00713B73"/>
    <w:rsid w:val="00715A18"/>
    <w:rsid w:val="00727259"/>
    <w:rsid w:val="007312DB"/>
    <w:rsid w:val="007329D6"/>
    <w:rsid w:val="007337B4"/>
    <w:rsid w:val="00737B79"/>
    <w:rsid w:val="007420A4"/>
    <w:rsid w:val="00743788"/>
    <w:rsid w:val="00743D1A"/>
    <w:rsid w:val="00744731"/>
    <w:rsid w:val="00746436"/>
    <w:rsid w:val="00746F14"/>
    <w:rsid w:val="00752A98"/>
    <w:rsid w:val="00755913"/>
    <w:rsid w:val="00756519"/>
    <w:rsid w:val="00756A2C"/>
    <w:rsid w:val="00761598"/>
    <w:rsid w:val="00767F87"/>
    <w:rsid w:val="007702D5"/>
    <w:rsid w:val="007730EC"/>
    <w:rsid w:val="00775D4D"/>
    <w:rsid w:val="007769D9"/>
    <w:rsid w:val="00780343"/>
    <w:rsid w:val="00783982"/>
    <w:rsid w:val="007842D0"/>
    <w:rsid w:val="007853D3"/>
    <w:rsid w:val="0079139D"/>
    <w:rsid w:val="00793682"/>
    <w:rsid w:val="00793BB2"/>
    <w:rsid w:val="007968F9"/>
    <w:rsid w:val="00797DF0"/>
    <w:rsid w:val="007A3569"/>
    <w:rsid w:val="007A5270"/>
    <w:rsid w:val="007A7BAC"/>
    <w:rsid w:val="007A7E70"/>
    <w:rsid w:val="007B339A"/>
    <w:rsid w:val="007B76B6"/>
    <w:rsid w:val="007B76D6"/>
    <w:rsid w:val="007C2D4D"/>
    <w:rsid w:val="007C4F63"/>
    <w:rsid w:val="007C6860"/>
    <w:rsid w:val="007C69C3"/>
    <w:rsid w:val="007D0339"/>
    <w:rsid w:val="007D06E3"/>
    <w:rsid w:val="007D2373"/>
    <w:rsid w:val="007D7068"/>
    <w:rsid w:val="007E0A8D"/>
    <w:rsid w:val="007E114A"/>
    <w:rsid w:val="007E40C3"/>
    <w:rsid w:val="007E5A44"/>
    <w:rsid w:val="007E5CEB"/>
    <w:rsid w:val="007E745C"/>
    <w:rsid w:val="007F1000"/>
    <w:rsid w:val="007F15FE"/>
    <w:rsid w:val="007F1642"/>
    <w:rsid w:val="007F5E15"/>
    <w:rsid w:val="00802C06"/>
    <w:rsid w:val="00804318"/>
    <w:rsid w:val="00807437"/>
    <w:rsid w:val="00807618"/>
    <w:rsid w:val="008105D9"/>
    <w:rsid w:val="00810651"/>
    <w:rsid w:val="008111AC"/>
    <w:rsid w:val="0082056B"/>
    <w:rsid w:val="00822545"/>
    <w:rsid w:val="00822CF3"/>
    <w:rsid w:val="00832A62"/>
    <w:rsid w:val="0083306E"/>
    <w:rsid w:val="00835692"/>
    <w:rsid w:val="0084048D"/>
    <w:rsid w:val="00840586"/>
    <w:rsid w:val="00840598"/>
    <w:rsid w:val="00842003"/>
    <w:rsid w:val="0084293F"/>
    <w:rsid w:val="0084374D"/>
    <w:rsid w:val="008446A6"/>
    <w:rsid w:val="00844FA8"/>
    <w:rsid w:val="00846159"/>
    <w:rsid w:val="008549A8"/>
    <w:rsid w:val="00856A9A"/>
    <w:rsid w:val="0086353F"/>
    <w:rsid w:val="008647DB"/>
    <w:rsid w:val="00865687"/>
    <w:rsid w:val="00865DD0"/>
    <w:rsid w:val="00871ABF"/>
    <w:rsid w:val="00873596"/>
    <w:rsid w:val="00874C23"/>
    <w:rsid w:val="00880D34"/>
    <w:rsid w:val="00881B07"/>
    <w:rsid w:val="008830D0"/>
    <w:rsid w:val="00895802"/>
    <w:rsid w:val="008976CD"/>
    <w:rsid w:val="00897C09"/>
    <w:rsid w:val="008A0586"/>
    <w:rsid w:val="008A1309"/>
    <w:rsid w:val="008A5C9E"/>
    <w:rsid w:val="008A6647"/>
    <w:rsid w:val="008B1839"/>
    <w:rsid w:val="008B2852"/>
    <w:rsid w:val="008B2D37"/>
    <w:rsid w:val="008B55FD"/>
    <w:rsid w:val="008B7B41"/>
    <w:rsid w:val="008C1799"/>
    <w:rsid w:val="008D1453"/>
    <w:rsid w:val="008D41C5"/>
    <w:rsid w:val="008D4351"/>
    <w:rsid w:val="008D4491"/>
    <w:rsid w:val="008D4515"/>
    <w:rsid w:val="008D505C"/>
    <w:rsid w:val="008D5086"/>
    <w:rsid w:val="008D557E"/>
    <w:rsid w:val="008D5906"/>
    <w:rsid w:val="008D71DD"/>
    <w:rsid w:val="008E1BB5"/>
    <w:rsid w:val="008E1CEA"/>
    <w:rsid w:val="008E231D"/>
    <w:rsid w:val="008E49C4"/>
    <w:rsid w:val="008E59E0"/>
    <w:rsid w:val="008E6F6A"/>
    <w:rsid w:val="008E797B"/>
    <w:rsid w:val="008F2979"/>
    <w:rsid w:val="008F365B"/>
    <w:rsid w:val="008F45F0"/>
    <w:rsid w:val="008F4EA7"/>
    <w:rsid w:val="008F766B"/>
    <w:rsid w:val="00900086"/>
    <w:rsid w:val="00900A98"/>
    <w:rsid w:val="00900ACF"/>
    <w:rsid w:val="009011AD"/>
    <w:rsid w:val="009118A7"/>
    <w:rsid w:val="00912F42"/>
    <w:rsid w:val="00922DC6"/>
    <w:rsid w:val="00923762"/>
    <w:rsid w:val="009238EA"/>
    <w:rsid w:val="0092418F"/>
    <w:rsid w:val="0092573B"/>
    <w:rsid w:val="0092697B"/>
    <w:rsid w:val="00927126"/>
    <w:rsid w:val="00927A71"/>
    <w:rsid w:val="00932868"/>
    <w:rsid w:val="00934036"/>
    <w:rsid w:val="009346C1"/>
    <w:rsid w:val="00937328"/>
    <w:rsid w:val="00942B48"/>
    <w:rsid w:val="00943FF9"/>
    <w:rsid w:val="009451A4"/>
    <w:rsid w:val="009453AC"/>
    <w:rsid w:val="009458BA"/>
    <w:rsid w:val="00947CC5"/>
    <w:rsid w:val="009541DB"/>
    <w:rsid w:val="00955EA3"/>
    <w:rsid w:val="00956D6D"/>
    <w:rsid w:val="00957B28"/>
    <w:rsid w:val="00960216"/>
    <w:rsid w:val="009614E7"/>
    <w:rsid w:val="00964647"/>
    <w:rsid w:val="00966CC9"/>
    <w:rsid w:val="00970896"/>
    <w:rsid w:val="00971F4D"/>
    <w:rsid w:val="00973B45"/>
    <w:rsid w:val="00974C09"/>
    <w:rsid w:val="00975915"/>
    <w:rsid w:val="009764FD"/>
    <w:rsid w:val="00980289"/>
    <w:rsid w:val="00981244"/>
    <w:rsid w:val="00981928"/>
    <w:rsid w:val="0098368D"/>
    <w:rsid w:val="009837B7"/>
    <w:rsid w:val="00986616"/>
    <w:rsid w:val="009910CA"/>
    <w:rsid w:val="0099135B"/>
    <w:rsid w:val="0099230B"/>
    <w:rsid w:val="00992714"/>
    <w:rsid w:val="00996989"/>
    <w:rsid w:val="00996DD0"/>
    <w:rsid w:val="0099777B"/>
    <w:rsid w:val="009A0468"/>
    <w:rsid w:val="009A3091"/>
    <w:rsid w:val="009A5458"/>
    <w:rsid w:val="009A5655"/>
    <w:rsid w:val="009B2B9E"/>
    <w:rsid w:val="009B5728"/>
    <w:rsid w:val="009B6197"/>
    <w:rsid w:val="009C07C5"/>
    <w:rsid w:val="009C4E67"/>
    <w:rsid w:val="009D132C"/>
    <w:rsid w:val="009D3127"/>
    <w:rsid w:val="009D4AC8"/>
    <w:rsid w:val="009D4C2D"/>
    <w:rsid w:val="009D5D3C"/>
    <w:rsid w:val="009D6F27"/>
    <w:rsid w:val="009D7B71"/>
    <w:rsid w:val="009E18CC"/>
    <w:rsid w:val="009E3518"/>
    <w:rsid w:val="009E4D42"/>
    <w:rsid w:val="009E666A"/>
    <w:rsid w:val="009E6FBA"/>
    <w:rsid w:val="009F1FB0"/>
    <w:rsid w:val="009F4A30"/>
    <w:rsid w:val="009F57B4"/>
    <w:rsid w:val="009F76CE"/>
    <w:rsid w:val="00A00AAA"/>
    <w:rsid w:val="00A02386"/>
    <w:rsid w:val="00A036C9"/>
    <w:rsid w:val="00A03753"/>
    <w:rsid w:val="00A03D99"/>
    <w:rsid w:val="00A07D62"/>
    <w:rsid w:val="00A10310"/>
    <w:rsid w:val="00A103D1"/>
    <w:rsid w:val="00A10525"/>
    <w:rsid w:val="00A11DAE"/>
    <w:rsid w:val="00A13F8A"/>
    <w:rsid w:val="00A15728"/>
    <w:rsid w:val="00A167F5"/>
    <w:rsid w:val="00A17B2C"/>
    <w:rsid w:val="00A20482"/>
    <w:rsid w:val="00A24443"/>
    <w:rsid w:val="00A24C50"/>
    <w:rsid w:val="00A25D69"/>
    <w:rsid w:val="00A27553"/>
    <w:rsid w:val="00A27C4C"/>
    <w:rsid w:val="00A30D4F"/>
    <w:rsid w:val="00A315B1"/>
    <w:rsid w:val="00A369F6"/>
    <w:rsid w:val="00A3724C"/>
    <w:rsid w:val="00A41268"/>
    <w:rsid w:val="00A47789"/>
    <w:rsid w:val="00A52690"/>
    <w:rsid w:val="00A540A7"/>
    <w:rsid w:val="00A545F6"/>
    <w:rsid w:val="00A54E39"/>
    <w:rsid w:val="00A6372A"/>
    <w:rsid w:val="00A63780"/>
    <w:rsid w:val="00A63B64"/>
    <w:rsid w:val="00A64AD0"/>
    <w:rsid w:val="00A6595B"/>
    <w:rsid w:val="00A65B9A"/>
    <w:rsid w:val="00A70716"/>
    <w:rsid w:val="00A75AF3"/>
    <w:rsid w:val="00A777B4"/>
    <w:rsid w:val="00A8067F"/>
    <w:rsid w:val="00A8264F"/>
    <w:rsid w:val="00A82E59"/>
    <w:rsid w:val="00A85F06"/>
    <w:rsid w:val="00A86D94"/>
    <w:rsid w:val="00A8719C"/>
    <w:rsid w:val="00A8795D"/>
    <w:rsid w:val="00A936E4"/>
    <w:rsid w:val="00A96DC8"/>
    <w:rsid w:val="00AA0C23"/>
    <w:rsid w:val="00AA7C62"/>
    <w:rsid w:val="00AB01AB"/>
    <w:rsid w:val="00AB3639"/>
    <w:rsid w:val="00AC0497"/>
    <w:rsid w:val="00AC431D"/>
    <w:rsid w:val="00AC6708"/>
    <w:rsid w:val="00AC7BA0"/>
    <w:rsid w:val="00AC7F95"/>
    <w:rsid w:val="00AD5567"/>
    <w:rsid w:val="00AD67EF"/>
    <w:rsid w:val="00AD6B07"/>
    <w:rsid w:val="00AE0118"/>
    <w:rsid w:val="00AE6F78"/>
    <w:rsid w:val="00AE7C98"/>
    <w:rsid w:val="00AE7F9F"/>
    <w:rsid w:val="00AF0DAF"/>
    <w:rsid w:val="00AF231B"/>
    <w:rsid w:val="00AF4A4E"/>
    <w:rsid w:val="00B0143C"/>
    <w:rsid w:val="00B01C71"/>
    <w:rsid w:val="00B04E2A"/>
    <w:rsid w:val="00B05EE7"/>
    <w:rsid w:val="00B0750C"/>
    <w:rsid w:val="00B12F38"/>
    <w:rsid w:val="00B1380E"/>
    <w:rsid w:val="00B14600"/>
    <w:rsid w:val="00B146FE"/>
    <w:rsid w:val="00B1567E"/>
    <w:rsid w:val="00B17083"/>
    <w:rsid w:val="00B17BB2"/>
    <w:rsid w:val="00B2034B"/>
    <w:rsid w:val="00B2130A"/>
    <w:rsid w:val="00B227E4"/>
    <w:rsid w:val="00B263EF"/>
    <w:rsid w:val="00B31300"/>
    <w:rsid w:val="00B3254F"/>
    <w:rsid w:val="00B3259A"/>
    <w:rsid w:val="00B3678D"/>
    <w:rsid w:val="00B369A9"/>
    <w:rsid w:val="00B400A9"/>
    <w:rsid w:val="00B40846"/>
    <w:rsid w:val="00B426C3"/>
    <w:rsid w:val="00B4306D"/>
    <w:rsid w:val="00B47ECA"/>
    <w:rsid w:val="00B50FA9"/>
    <w:rsid w:val="00B540BA"/>
    <w:rsid w:val="00B55C55"/>
    <w:rsid w:val="00B57FE3"/>
    <w:rsid w:val="00B6565A"/>
    <w:rsid w:val="00B66EE0"/>
    <w:rsid w:val="00B81E62"/>
    <w:rsid w:val="00B9127A"/>
    <w:rsid w:val="00B93A9E"/>
    <w:rsid w:val="00B949EC"/>
    <w:rsid w:val="00B94E69"/>
    <w:rsid w:val="00BA3F91"/>
    <w:rsid w:val="00BA6C5F"/>
    <w:rsid w:val="00BA70BF"/>
    <w:rsid w:val="00BA7971"/>
    <w:rsid w:val="00BB3036"/>
    <w:rsid w:val="00BB73C7"/>
    <w:rsid w:val="00BB7B23"/>
    <w:rsid w:val="00BC33EC"/>
    <w:rsid w:val="00BC4322"/>
    <w:rsid w:val="00BC46D0"/>
    <w:rsid w:val="00BC471B"/>
    <w:rsid w:val="00BD0475"/>
    <w:rsid w:val="00BD0D68"/>
    <w:rsid w:val="00BD7AE1"/>
    <w:rsid w:val="00BE16EF"/>
    <w:rsid w:val="00BE1FFA"/>
    <w:rsid w:val="00BE3632"/>
    <w:rsid w:val="00BE37AD"/>
    <w:rsid w:val="00BE4313"/>
    <w:rsid w:val="00BE5552"/>
    <w:rsid w:val="00BE7E15"/>
    <w:rsid w:val="00BF44A1"/>
    <w:rsid w:val="00BF76BF"/>
    <w:rsid w:val="00C01172"/>
    <w:rsid w:val="00C02272"/>
    <w:rsid w:val="00C02D46"/>
    <w:rsid w:val="00C051BB"/>
    <w:rsid w:val="00C101A9"/>
    <w:rsid w:val="00C1329C"/>
    <w:rsid w:val="00C14439"/>
    <w:rsid w:val="00C14598"/>
    <w:rsid w:val="00C152B6"/>
    <w:rsid w:val="00C1708D"/>
    <w:rsid w:val="00C23169"/>
    <w:rsid w:val="00C252EA"/>
    <w:rsid w:val="00C27BFD"/>
    <w:rsid w:val="00C30EA7"/>
    <w:rsid w:val="00C36045"/>
    <w:rsid w:val="00C364E3"/>
    <w:rsid w:val="00C42436"/>
    <w:rsid w:val="00C42518"/>
    <w:rsid w:val="00C42852"/>
    <w:rsid w:val="00C438C5"/>
    <w:rsid w:val="00C5289A"/>
    <w:rsid w:val="00C52EC4"/>
    <w:rsid w:val="00C54B34"/>
    <w:rsid w:val="00C554BA"/>
    <w:rsid w:val="00C55834"/>
    <w:rsid w:val="00C57052"/>
    <w:rsid w:val="00C61173"/>
    <w:rsid w:val="00C62809"/>
    <w:rsid w:val="00C62AD5"/>
    <w:rsid w:val="00C66F69"/>
    <w:rsid w:val="00C701DF"/>
    <w:rsid w:val="00C70BFF"/>
    <w:rsid w:val="00C72956"/>
    <w:rsid w:val="00C74755"/>
    <w:rsid w:val="00C80978"/>
    <w:rsid w:val="00C822A9"/>
    <w:rsid w:val="00C84B31"/>
    <w:rsid w:val="00C84D24"/>
    <w:rsid w:val="00C863FB"/>
    <w:rsid w:val="00C90E08"/>
    <w:rsid w:val="00C912C9"/>
    <w:rsid w:val="00C915D9"/>
    <w:rsid w:val="00C92100"/>
    <w:rsid w:val="00C951FB"/>
    <w:rsid w:val="00C9595F"/>
    <w:rsid w:val="00CA0839"/>
    <w:rsid w:val="00CA1016"/>
    <w:rsid w:val="00CA1566"/>
    <w:rsid w:val="00CA1773"/>
    <w:rsid w:val="00CA3779"/>
    <w:rsid w:val="00CA4500"/>
    <w:rsid w:val="00CA63EC"/>
    <w:rsid w:val="00CB24D0"/>
    <w:rsid w:val="00CB2575"/>
    <w:rsid w:val="00CB2FF2"/>
    <w:rsid w:val="00CB6D08"/>
    <w:rsid w:val="00CB7207"/>
    <w:rsid w:val="00CC00AC"/>
    <w:rsid w:val="00CC1049"/>
    <w:rsid w:val="00CC1DA1"/>
    <w:rsid w:val="00CC3604"/>
    <w:rsid w:val="00CD0385"/>
    <w:rsid w:val="00CD2140"/>
    <w:rsid w:val="00CD27BB"/>
    <w:rsid w:val="00CD3A65"/>
    <w:rsid w:val="00CD5C9B"/>
    <w:rsid w:val="00CE2FF3"/>
    <w:rsid w:val="00CE4418"/>
    <w:rsid w:val="00CE5CCF"/>
    <w:rsid w:val="00CE6BF4"/>
    <w:rsid w:val="00CF35FB"/>
    <w:rsid w:val="00CF5F8F"/>
    <w:rsid w:val="00CF7C90"/>
    <w:rsid w:val="00D01EEF"/>
    <w:rsid w:val="00D03E83"/>
    <w:rsid w:val="00D04874"/>
    <w:rsid w:val="00D05926"/>
    <w:rsid w:val="00D065FE"/>
    <w:rsid w:val="00D06E4E"/>
    <w:rsid w:val="00D07E78"/>
    <w:rsid w:val="00D104D9"/>
    <w:rsid w:val="00D1214C"/>
    <w:rsid w:val="00D121F6"/>
    <w:rsid w:val="00D134D3"/>
    <w:rsid w:val="00D141CD"/>
    <w:rsid w:val="00D15793"/>
    <w:rsid w:val="00D2167B"/>
    <w:rsid w:val="00D22BF9"/>
    <w:rsid w:val="00D236E5"/>
    <w:rsid w:val="00D250C2"/>
    <w:rsid w:val="00D26187"/>
    <w:rsid w:val="00D26D1F"/>
    <w:rsid w:val="00D27425"/>
    <w:rsid w:val="00D27A3C"/>
    <w:rsid w:val="00D30184"/>
    <w:rsid w:val="00D30DA6"/>
    <w:rsid w:val="00D317D3"/>
    <w:rsid w:val="00D37047"/>
    <w:rsid w:val="00D376A2"/>
    <w:rsid w:val="00D40AE1"/>
    <w:rsid w:val="00D418BA"/>
    <w:rsid w:val="00D42A5F"/>
    <w:rsid w:val="00D4351A"/>
    <w:rsid w:val="00D4404D"/>
    <w:rsid w:val="00D46DA4"/>
    <w:rsid w:val="00D5167F"/>
    <w:rsid w:val="00D63F8D"/>
    <w:rsid w:val="00D640B7"/>
    <w:rsid w:val="00D70A3F"/>
    <w:rsid w:val="00D73AE4"/>
    <w:rsid w:val="00D76C99"/>
    <w:rsid w:val="00D77C04"/>
    <w:rsid w:val="00D82A1F"/>
    <w:rsid w:val="00D82B77"/>
    <w:rsid w:val="00D87D81"/>
    <w:rsid w:val="00D91F94"/>
    <w:rsid w:val="00D94708"/>
    <w:rsid w:val="00D968AA"/>
    <w:rsid w:val="00DA107F"/>
    <w:rsid w:val="00DA12A4"/>
    <w:rsid w:val="00DA363B"/>
    <w:rsid w:val="00DA3FA1"/>
    <w:rsid w:val="00DA6A11"/>
    <w:rsid w:val="00DB2287"/>
    <w:rsid w:val="00DB3762"/>
    <w:rsid w:val="00DB395C"/>
    <w:rsid w:val="00DB5308"/>
    <w:rsid w:val="00DB65CA"/>
    <w:rsid w:val="00DC0581"/>
    <w:rsid w:val="00DC0880"/>
    <w:rsid w:val="00DC10F6"/>
    <w:rsid w:val="00DC1E5F"/>
    <w:rsid w:val="00DC2FBB"/>
    <w:rsid w:val="00DC384A"/>
    <w:rsid w:val="00DC57A0"/>
    <w:rsid w:val="00DC5AF1"/>
    <w:rsid w:val="00DC6086"/>
    <w:rsid w:val="00DC628F"/>
    <w:rsid w:val="00DC7834"/>
    <w:rsid w:val="00DD152D"/>
    <w:rsid w:val="00DD1AD2"/>
    <w:rsid w:val="00DD1D40"/>
    <w:rsid w:val="00DD3C8D"/>
    <w:rsid w:val="00DD40D2"/>
    <w:rsid w:val="00DE0740"/>
    <w:rsid w:val="00DE0942"/>
    <w:rsid w:val="00DE357C"/>
    <w:rsid w:val="00DE444E"/>
    <w:rsid w:val="00DE4885"/>
    <w:rsid w:val="00DE4A95"/>
    <w:rsid w:val="00DE5331"/>
    <w:rsid w:val="00DE6CA7"/>
    <w:rsid w:val="00DF0B4F"/>
    <w:rsid w:val="00DF2605"/>
    <w:rsid w:val="00DF26B1"/>
    <w:rsid w:val="00DF6A3E"/>
    <w:rsid w:val="00E01552"/>
    <w:rsid w:val="00E03DDA"/>
    <w:rsid w:val="00E05D12"/>
    <w:rsid w:val="00E10ADB"/>
    <w:rsid w:val="00E11379"/>
    <w:rsid w:val="00E2009B"/>
    <w:rsid w:val="00E21877"/>
    <w:rsid w:val="00E2344D"/>
    <w:rsid w:val="00E23BA2"/>
    <w:rsid w:val="00E24F9C"/>
    <w:rsid w:val="00E253C7"/>
    <w:rsid w:val="00E25BDA"/>
    <w:rsid w:val="00E25F37"/>
    <w:rsid w:val="00E30946"/>
    <w:rsid w:val="00E31B9A"/>
    <w:rsid w:val="00E34F67"/>
    <w:rsid w:val="00E36738"/>
    <w:rsid w:val="00E41E30"/>
    <w:rsid w:val="00E43EFA"/>
    <w:rsid w:val="00E46148"/>
    <w:rsid w:val="00E51C2F"/>
    <w:rsid w:val="00E5726E"/>
    <w:rsid w:val="00E61EAD"/>
    <w:rsid w:val="00E62EFF"/>
    <w:rsid w:val="00E653C3"/>
    <w:rsid w:val="00E735F1"/>
    <w:rsid w:val="00E73D01"/>
    <w:rsid w:val="00E74E16"/>
    <w:rsid w:val="00E75DB4"/>
    <w:rsid w:val="00E82ACD"/>
    <w:rsid w:val="00E84308"/>
    <w:rsid w:val="00E848EB"/>
    <w:rsid w:val="00E86279"/>
    <w:rsid w:val="00E8680B"/>
    <w:rsid w:val="00E86ED4"/>
    <w:rsid w:val="00E871F5"/>
    <w:rsid w:val="00E90F16"/>
    <w:rsid w:val="00E9239F"/>
    <w:rsid w:val="00E944D2"/>
    <w:rsid w:val="00E957A8"/>
    <w:rsid w:val="00E958AE"/>
    <w:rsid w:val="00E9760C"/>
    <w:rsid w:val="00EA0407"/>
    <w:rsid w:val="00EA0773"/>
    <w:rsid w:val="00EA2675"/>
    <w:rsid w:val="00EA773E"/>
    <w:rsid w:val="00EB1CE4"/>
    <w:rsid w:val="00EB38BC"/>
    <w:rsid w:val="00EB5572"/>
    <w:rsid w:val="00EB79AC"/>
    <w:rsid w:val="00EC0C34"/>
    <w:rsid w:val="00EC176E"/>
    <w:rsid w:val="00EC1933"/>
    <w:rsid w:val="00EC4685"/>
    <w:rsid w:val="00EC5E28"/>
    <w:rsid w:val="00EC648C"/>
    <w:rsid w:val="00EC7409"/>
    <w:rsid w:val="00ED2F29"/>
    <w:rsid w:val="00ED42AB"/>
    <w:rsid w:val="00ED6422"/>
    <w:rsid w:val="00EE25B1"/>
    <w:rsid w:val="00EE27B3"/>
    <w:rsid w:val="00EE27B5"/>
    <w:rsid w:val="00EE41BC"/>
    <w:rsid w:val="00EE69D6"/>
    <w:rsid w:val="00EF532D"/>
    <w:rsid w:val="00EF7570"/>
    <w:rsid w:val="00F015C7"/>
    <w:rsid w:val="00F02319"/>
    <w:rsid w:val="00F04223"/>
    <w:rsid w:val="00F0582F"/>
    <w:rsid w:val="00F10C50"/>
    <w:rsid w:val="00F155C6"/>
    <w:rsid w:val="00F16B70"/>
    <w:rsid w:val="00F22EB4"/>
    <w:rsid w:val="00F25DA3"/>
    <w:rsid w:val="00F318DF"/>
    <w:rsid w:val="00F326D3"/>
    <w:rsid w:val="00F33412"/>
    <w:rsid w:val="00F33B81"/>
    <w:rsid w:val="00F34C41"/>
    <w:rsid w:val="00F37C7D"/>
    <w:rsid w:val="00F400D1"/>
    <w:rsid w:val="00F4139B"/>
    <w:rsid w:val="00F45036"/>
    <w:rsid w:val="00F47733"/>
    <w:rsid w:val="00F478C3"/>
    <w:rsid w:val="00F50920"/>
    <w:rsid w:val="00F54287"/>
    <w:rsid w:val="00F5442C"/>
    <w:rsid w:val="00F54489"/>
    <w:rsid w:val="00F56172"/>
    <w:rsid w:val="00F67AE1"/>
    <w:rsid w:val="00F70E94"/>
    <w:rsid w:val="00F73B18"/>
    <w:rsid w:val="00F755C5"/>
    <w:rsid w:val="00F81B36"/>
    <w:rsid w:val="00F8224B"/>
    <w:rsid w:val="00F82787"/>
    <w:rsid w:val="00F90871"/>
    <w:rsid w:val="00F913C5"/>
    <w:rsid w:val="00F920B3"/>
    <w:rsid w:val="00F92396"/>
    <w:rsid w:val="00F93023"/>
    <w:rsid w:val="00F9400E"/>
    <w:rsid w:val="00F94CD0"/>
    <w:rsid w:val="00F96407"/>
    <w:rsid w:val="00FA02BE"/>
    <w:rsid w:val="00FA21F3"/>
    <w:rsid w:val="00FA3C02"/>
    <w:rsid w:val="00FA50A2"/>
    <w:rsid w:val="00FB26E5"/>
    <w:rsid w:val="00FB47F3"/>
    <w:rsid w:val="00FB4C65"/>
    <w:rsid w:val="00FC13B0"/>
    <w:rsid w:val="00FC58E4"/>
    <w:rsid w:val="00FD069C"/>
    <w:rsid w:val="00FD1B40"/>
    <w:rsid w:val="00FD5A05"/>
    <w:rsid w:val="00FD7E5B"/>
    <w:rsid w:val="00FE1182"/>
    <w:rsid w:val="00FE13B2"/>
    <w:rsid w:val="00FE15C9"/>
    <w:rsid w:val="00FE443D"/>
    <w:rsid w:val="00FE4478"/>
    <w:rsid w:val="00FE51E7"/>
    <w:rsid w:val="00FF16FB"/>
    <w:rsid w:val="00FF3CF8"/>
    <w:rsid w:val="00FF3F9E"/>
    <w:rsid w:val="00FF7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0" w:unhideWhenUsed="1" w:qFormat="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unhideWhenUsed="1"/>
    <w:lsdException w:name="header" w:unhideWhenUsed="1"/>
    <w:lsdException w:name="footer" w:uiPriority="24" w:unhideWhenUsed="1"/>
    <w:lsdException w:name="caption" w:unhideWhenUsed="1" w:qFormat="1"/>
    <w:lsdException w:name="table of figures" w:uiPriority="0"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49"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iPriority="19"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iPriority="19" w:unhideWhenUsed="1"/>
    <w:lsdException w:name="List Bullet 3" w:uiPriority="19"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Default Paragraph Font" w:uiPriority="1" w:unhideWhenUsed="1"/>
    <w:lsdException w:name="Body Text" w:uiPriority="4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174EF5"/>
    <w:pPr>
      <w:spacing w:before="160" w:after="100" w:line="276" w:lineRule="auto"/>
    </w:pPr>
    <w:rPr>
      <w:rFonts w:asciiTheme="minorHAnsi" w:eastAsiaTheme="minorEastAsia" w:hAnsiTheme="minorHAnsi" w:cstheme="minorBidi"/>
      <w:spacing w:val="2"/>
      <w:sz w:val="18"/>
    </w:rPr>
  </w:style>
  <w:style w:type="paragraph" w:styleId="Heading1">
    <w:name w:val="heading 1"/>
    <w:next w:val="Normal"/>
    <w:link w:val="Heading1Char"/>
    <w:uiPriority w:val="99"/>
    <w:rsid w:val="00F22EB4"/>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F22EB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22EB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22EB4"/>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EB4"/>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F22EB4"/>
    <w:rPr>
      <w:rFonts w:asciiTheme="majorHAnsi" w:eastAsiaTheme="majorEastAsia" w:hAnsiTheme="majorHAnsi" w:cstheme="majorBidi"/>
      <w:b/>
      <w:bCs/>
      <w:color w:val="7F7F7F" w:themeColor="text1" w:themeTint="80"/>
      <w:spacing w:val="2"/>
      <w:sz w:val="28"/>
      <w:szCs w:val="26"/>
    </w:rPr>
  </w:style>
  <w:style w:type="character" w:customStyle="1" w:styleId="Heading3Char">
    <w:name w:val="Heading 3 Char"/>
    <w:basedOn w:val="DefaultParagraphFont"/>
    <w:link w:val="Heading3"/>
    <w:semiHidden/>
    <w:rsid w:val="00174EF5"/>
    <w:rPr>
      <w:rFonts w:asciiTheme="majorHAnsi" w:eastAsiaTheme="majorEastAsia" w:hAnsiTheme="majorHAnsi" w:cstheme="majorBidi"/>
      <w:b/>
      <w:bCs/>
      <w:color w:val="4F81BD" w:themeColor="accent1"/>
      <w:spacing w:val="2"/>
      <w:sz w:val="22"/>
      <w:szCs w:val="22"/>
    </w:rPr>
  </w:style>
  <w:style w:type="character" w:customStyle="1" w:styleId="Heading4Char">
    <w:name w:val="Heading 4 Char"/>
    <w:basedOn w:val="DefaultParagraphFont"/>
    <w:link w:val="Heading4"/>
    <w:semiHidden/>
    <w:rsid w:val="00F22EB4"/>
    <w:rPr>
      <w:rFonts w:asciiTheme="majorHAnsi" w:eastAsiaTheme="majorEastAsia" w:hAnsiTheme="majorHAnsi" w:cstheme="majorBidi"/>
      <w:b/>
      <w:bCs/>
      <w:iCs/>
      <w:color w:val="53565A"/>
      <w:spacing w:val="2"/>
      <w:sz w:val="18"/>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styleId="Header">
    <w:name w:val="header"/>
    <w:basedOn w:val="Normal"/>
    <w:link w:val="HeaderChar"/>
    <w:uiPriority w:val="99"/>
    <w:rsid w:val="00F2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B4"/>
    <w:rPr>
      <w:rFonts w:asciiTheme="minorHAnsi" w:eastAsiaTheme="minorEastAsia" w:hAnsiTheme="minorHAnsi" w:cstheme="minorBidi"/>
      <w:spacing w:val="2"/>
      <w:sz w:val="18"/>
    </w:rPr>
  </w:style>
  <w:style w:type="paragraph" w:styleId="Footer">
    <w:name w:val="footer"/>
    <w:basedOn w:val="Normal"/>
    <w:link w:val="FooterChar"/>
    <w:uiPriority w:val="24"/>
    <w:rsid w:val="00F22EB4"/>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22EB4"/>
    <w:rPr>
      <w:rFonts w:asciiTheme="minorHAnsi" w:eastAsiaTheme="minorEastAsia" w:hAnsiTheme="minorHAnsi" w:cstheme="minorBidi"/>
      <w:noProof/>
      <w:spacing w:val="2"/>
      <w:sz w:val="18"/>
      <w:szCs w:val="18"/>
    </w:rPr>
  </w:style>
  <w:style w:type="table" w:styleId="TableGrid">
    <w:name w:val="Table Grid"/>
    <w:basedOn w:val="TableNormal"/>
    <w:uiPriority w:val="59"/>
    <w:locked/>
    <w:rsid w:val="009A0468"/>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E6117"/>
    <w:pPr>
      <w:spacing w:before="50" w:after="50" w:line="264" w:lineRule="auto"/>
    </w:pPr>
    <w:rPr>
      <w:sz w:val="17"/>
    </w:rPr>
  </w:style>
  <w:style w:type="paragraph" w:customStyle="1" w:styleId="FRDHeader">
    <w:name w:val="FRD Header"/>
    <w:basedOn w:val="Normal"/>
    <w:semiHidden/>
    <w:rsid w:val="00F22EB4"/>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F22EB4"/>
    <w:rPr>
      <w:b w:val="0"/>
      <w:color w:val="000000" w:themeColor="text1"/>
    </w:rPr>
  </w:style>
  <w:style w:type="paragraph" w:customStyle="1" w:styleId="Bullet1">
    <w:name w:val="Bullet 1"/>
    <w:uiPriority w:val="2"/>
    <w:qFormat/>
    <w:rsid w:val="00F22EB4"/>
    <w:pPr>
      <w:numPr>
        <w:numId w:val="22"/>
      </w:numPr>
      <w:spacing w:before="160"/>
      <w:contextualSpacing/>
    </w:pPr>
    <w:rPr>
      <w:rFonts w:asciiTheme="minorHAnsi" w:eastAsia="Times New Roman" w:hAnsiTheme="minorHAnsi" w:cs="Calibri"/>
      <w:spacing w:val="2"/>
      <w:sz w:val="18"/>
    </w:rPr>
  </w:style>
  <w:style w:type="paragraph" w:customStyle="1" w:styleId="Bullet2">
    <w:name w:val="Bullet 2"/>
    <w:basedOn w:val="Bullet1"/>
    <w:uiPriority w:val="2"/>
    <w:qFormat/>
    <w:rsid w:val="00F22EB4"/>
    <w:pPr>
      <w:numPr>
        <w:ilvl w:val="1"/>
      </w:numPr>
      <w:spacing w:before="0"/>
    </w:pPr>
  </w:style>
  <w:style w:type="paragraph" w:customStyle="1" w:styleId="FRDNumber">
    <w:name w:val="FRD Number"/>
    <w:basedOn w:val="FRDHeader"/>
    <w:semiHidden/>
    <w:rsid w:val="00F22EB4"/>
  </w:style>
  <w:style w:type="paragraph" w:styleId="BalloonText">
    <w:name w:val="Balloon Text"/>
    <w:basedOn w:val="Normal"/>
    <w:link w:val="BalloonTextChar"/>
    <w:uiPriority w:val="99"/>
    <w:semiHidden/>
    <w:rsid w:val="00F2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B4"/>
    <w:rPr>
      <w:rFonts w:ascii="Tahoma" w:eastAsiaTheme="minorEastAsia" w:hAnsi="Tahoma" w:cs="Tahoma"/>
      <w:spacing w:val="2"/>
      <w:sz w:val="16"/>
      <w:szCs w:val="16"/>
    </w:rPr>
  </w:style>
  <w:style w:type="paragraph" w:customStyle="1" w:styleId="Bullet2grey">
    <w:name w:val="Bullet 2 grey"/>
    <w:basedOn w:val="Bullet2"/>
    <w:uiPriority w:val="3"/>
    <w:qFormat/>
    <w:rsid w:val="00F22EB4"/>
    <w:rPr>
      <w:color w:val="4D4D4D"/>
      <w:szCs w:val="21"/>
      <w:lang w:eastAsia="en-US"/>
    </w:rPr>
  </w:style>
  <w:style w:type="paragraph" w:styleId="NormalIndent">
    <w:name w:val="Normal Indent"/>
    <w:basedOn w:val="Normal"/>
    <w:qFormat/>
    <w:rsid w:val="00F22EB4"/>
    <w:pPr>
      <w:spacing w:line="252" w:lineRule="auto"/>
      <w:ind w:left="288"/>
    </w:pPr>
  </w:style>
  <w:style w:type="paragraph" w:customStyle="1" w:styleId="Spacer">
    <w:name w:val="Spacer"/>
    <w:basedOn w:val="Normal"/>
    <w:uiPriority w:val="13"/>
    <w:qFormat/>
    <w:rsid w:val="00F22EB4"/>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qFormat/>
    <w:rsid w:val="00F22EB4"/>
    <w:pPr>
      <w:spacing w:line="264" w:lineRule="auto"/>
    </w:pPr>
    <w:rPr>
      <w:rFonts w:eastAsiaTheme="minorHAnsi"/>
      <w:color w:val="4D4D4D"/>
      <w:szCs w:val="18"/>
      <w:lang w:eastAsia="en-US"/>
    </w:rPr>
  </w:style>
  <w:style w:type="paragraph" w:customStyle="1" w:styleId="NormalIndentgrey">
    <w:name w:val="Normal Indent grey"/>
    <w:basedOn w:val="NormalIndent"/>
    <w:qFormat/>
    <w:rsid w:val="00F22EB4"/>
    <w:rPr>
      <w:color w:val="4D4D4D"/>
      <w:szCs w:val="21"/>
    </w:rPr>
  </w:style>
  <w:style w:type="paragraph" w:customStyle="1" w:styleId="Bullet1grey">
    <w:name w:val="Bullet 1 grey"/>
    <w:basedOn w:val="Bullet1"/>
    <w:uiPriority w:val="3"/>
    <w:qFormat/>
    <w:rsid w:val="00F22EB4"/>
    <w:rPr>
      <w:color w:val="4D4D4D"/>
      <w:szCs w:val="18"/>
      <w:lang w:eastAsia="en-US"/>
    </w:rPr>
  </w:style>
  <w:style w:type="character" w:styleId="CommentReference">
    <w:name w:val="annotation reference"/>
    <w:basedOn w:val="DefaultParagraphFont"/>
    <w:uiPriority w:val="99"/>
    <w:semiHidden/>
    <w:unhideWhenUsed/>
    <w:rsid w:val="00927A71"/>
    <w:rPr>
      <w:sz w:val="16"/>
      <w:szCs w:val="16"/>
    </w:rPr>
  </w:style>
  <w:style w:type="paragraph" w:styleId="CommentText">
    <w:name w:val="annotation text"/>
    <w:basedOn w:val="Normal"/>
    <w:link w:val="CommentTextChar"/>
    <w:uiPriority w:val="99"/>
    <w:semiHidden/>
    <w:unhideWhenUsed/>
    <w:rsid w:val="00927A71"/>
    <w:rPr>
      <w:sz w:val="20"/>
    </w:rPr>
  </w:style>
  <w:style w:type="character" w:customStyle="1" w:styleId="CommentTextChar">
    <w:name w:val="Comment Text Char"/>
    <w:basedOn w:val="DefaultParagraphFont"/>
    <w:link w:val="CommentText"/>
    <w:uiPriority w:val="99"/>
    <w:semiHidden/>
    <w:rsid w:val="00927A71"/>
    <w:rPr>
      <w:lang w:eastAsia="en-US"/>
    </w:rPr>
  </w:style>
  <w:style w:type="paragraph" w:styleId="CommentSubject">
    <w:name w:val="annotation subject"/>
    <w:basedOn w:val="CommentText"/>
    <w:next w:val="CommentText"/>
    <w:link w:val="CommentSubjectChar"/>
    <w:uiPriority w:val="99"/>
    <w:semiHidden/>
    <w:unhideWhenUsed/>
    <w:rsid w:val="00927A71"/>
    <w:rPr>
      <w:b/>
      <w:bCs/>
    </w:rPr>
  </w:style>
  <w:style w:type="character" w:customStyle="1" w:styleId="CommentSubjectChar">
    <w:name w:val="Comment Subject Char"/>
    <w:basedOn w:val="CommentTextChar"/>
    <w:link w:val="CommentSubject"/>
    <w:uiPriority w:val="99"/>
    <w:semiHidden/>
    <w:rsid w:val="00927A71"/>
    <w:rPr>
      <w:b/>
      <w:bCs/>
      <w:lang w:eastAsia="en-US"/>
    </w:rPr>
  </w:style>
  <w:style w:type="paragraph" w:styleId="Revision">
    <w:name w:val="Revision"/>
    <w:hidden/>
    <w:uiPriority w:val="99"/>
    <w:semiHidden/>
    <w:rsid w:val="009E6FBA"/>
    <w:rPr>
      <w:sz w:val="22"/>
      <w:szCs w:val="21"/>
      <w:lang w:eastAsia="en-US"/>
    </w:rPr>
  </w:style>
  <w:style w:type="table" w:styleId="LightShading">
    <w:name w:val="Light Shading"/>
    <w:basedOn w:val="TableNormal"/>
    <w:uiPriority w:val="60"/>
    <w:rsid w:val="00F22EB4"/>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22EB4"/>
    <w:pPr>
      <w:tabs>
        <w:tab w:val="right" w:leader="dot" w:pos="9000"/>
      </w:tabs>
      <w:ind w:right="432"/>
    </w:pPr>
    <w:rPr>
      <w:sz w:val="24"/>
      <w:szCs w:val="24"/>
    </w:rPr>
  </w:style>
  <w:style w:type="paragraph" w:styleId="TOC2">
    <w:name w:val="toc 2"/>
    <w:next w:val="Normal"/>
    <w:uiPriority w:val="39"/>
    <w:rsid w:val="00F22EB4"/>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F22EB4"/>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22EB4"/>
    <w:pPr>
      <w:spacing w:after="60" w:line="240" w:lineRule="auto"/>
    </w:pPr>
    <w:rPr>
      <w:sz w:val="16"/>
    </w:rPr>
  </w:style>
  <w:style w:type="paragraph" w:styleId="Index2">
    <w:name w:val="index 2"/>
    <w:basedOn w:val="Normal"/>
    <w:next w:val="Normal"/>
    <w:uiPriority w:val="99"/>
    <w:semiHidden/>
    <w:rsid w:val="00F22EB4"/>
    <w:pPr>
      <w:spacing w:after="0" w:line="240" w:lineRule="auto"/>
      <w:ind w:left="216"/>
    </w:pPr>
    <w:rPr>
      <w:sz w:val="16"/>
      <w:szCs w:val="16"/>
    </w:rPr>
  </w:style>
  <w:style w:type="character" w:styleId="Hyperlink">
    <w:name w:val="Hyperlink"/>
    <w:basedOn w:val="DefaultParagraphFont"/>
    <w:uiPriority w:val="99"/>
    <w:rsid w:val="00174EF5"/>
    <w:rPr>
      <w:color w:val="4D4D4D"/>
      <w:u w:val="none"/>
    </w:rPr>
  </w:style>
  <w:style w:type="paragraph" w:customStyle="1" w:styleId="Bulletindent">
    <w:name w:val="Bullet indent"/>
    <w:basedOn w:val="Bullet2"/>
    <w:uiPriority w:val="7"/>
    <w:qFormat/>
    <w:rsid w:val="00F22EB4"/>
    <w:pPr>
      <w:numPr>
        <w:ilvl w:val="2"/>
      </w:numPr>
    </w:pPr>
  </w:style>
  <w:style w:type="paragraph" w:customStyle="1" w:styleId="Heading1numbered">
    <w:name w:val="Heading 1 numbered"/>
    <w:basedOn w:val="Heading1"/>
    <w:next w:val="NormalIndent"/>
    <w:uiPriority w:val="4"/>
    <w:semiHidden/>
    <w:qFormat/>
    <w:rsid w:val="00F22EB4"/>
  </w:style>
  <w:style w:type="paragraph" w:customStyle="1" w:styleId="Heading2numbered">
    <w:name w:val="Heading 2 numbered"/>
    <w:basedOn w:val="Heading2"/>
    <w:next w:val="NormalIndent"/>
    <w:uiPriority w:val="4"/>
    <w:semiHidden/>
    <w:qFormat/>
    <w:rsid w:val="00F22EB4"/>
  </w:style>
  <w:style w:type="paragraph" w:customStyle="1" w:styleId="Heading3numbered">
    <w:name w:val="Heading 3 numbered"/>
    <w:basedOn w:val="Heading3"/>
    <w:next w:val="NormalIndent"/>
    <w:uiPriority w:val="4"/>
    <w:semiHidden/>
    <w:qFormat/>
    <w:rsid w:val="00F22EB4"/>
    <w:pPr>
      <w:numPr>
        <w:ilvl w:val="4"/>
        <w:numId w:val="23"/>
      </w:numPr>
    </w:pPr>
  </w:style>
  <w:style w:type="paragraph" w:customStyle="1" w:styleId="Heading4numbered">
    <w:name w:val="Heading 4 numbered"/>
    <w:basedOn w:val="Heading4"/>
    <w:next w:val="NormalIndent"/>
    <w:uiPriority w:val="4"/>
    <w:semiHidden/>
    <w:qFormat/>
    <w:rsid w:val="00F22EB4"/>
    <w:pPr>
      <w:numPr>
        <w:ilvl w:val="5"/>
        <w:numId w:val="23"/>
      </w:numPr>
    </w:pPr>
  </w:style>
  <w:style w:type="paragraph" w:customStyle="1" w:styleId="NoteNormal">
    <w:name w:val="Note Normal"/>
    <w:basedOn w:val="Normal"/>
    <w:uiPriority w:val="49"/>
    <w:rsid w:val="00F22EB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22EB4"/>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F22EB4"/>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F22EB4"/>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F22EB4"/>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F22EB4"/>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F22EB4"/>
    <w:pPr>
      <w:numPr>
        <w:ilvl w:val="3"/>
        <w:numId w:val="22"/>
      </w:numPr>
      <w:spacing w:before="100"/>
      <w:contextualSpacing/>
    </w:pPr>
  </w:style>
  <w:style w:type="paragraph" w:styleId="IndexHeading">
    <w:name w:val="index heading"/>
    <w:basedOn w:val="Normal"/>
    <w:next w:val="Index1"/>
    <w:uiPriority w:val="99"/>
    <w:semiHidden/>
    <w:rsid w:val="00F22EB4"/>
    <w:rPr>
      <w:rFonts w:asciiTheme="majorHAnsi" w:eastAsiaTheme="majorEastAsia" w:hAnsiTheme="majorHAnsi" w:cstheme="majorBidi"/>
      <w:b/>
      <w:bCs/>
    </w:rPr>
  </w:style>
  <w:style w:type="paragraph" w:styleId="TOCHeading">
    <w:name w:val="TOC Heading"/>
    <w:basedOn w:val="Heading1"/>
    <w:next w:val="Normal"/>
    <w:uiPriority w:val="39"/>
    <w:semiHidden/>
    <w:rsid w:val="00F22EB4"/>
    <w:pPr>
      <w:spacing w:before="480" w:after="720"/>
      <w:outlineLvl w:val="9"/>
    </w:pPr>
    <w:rPr>
      <w:spacing w:val="2"/>
    </w:rPr>
  </w:style>
  <w:style w:type="paragraph" w:customStyle="1" w:styleId="NormalTight">
    <w:name w:val="Normal Tight"/>
    <w:uiPriority w:val="99"/>
    <w:semiHidden/>
    <w:rsid w:val="00F22EB4"/>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F22EB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22EB4"/>
    <w:rPr>
      <w:rFonts w:eastAsia="Times New Roman" w:cs="Calibri"/>
      <w:sz w:val="22"/>
      <w:szCs w:val="22"/>
    </w:rPr>
  </w:style>
  <w:style w:type="paragraph" w:customStyle="1" w:styleId="Insidecoverspacer">
    <w:name w:val="Inside cover spacer"/>
    <w:basedOn w:val="NormalTight"/>
    <w:uiPriority w:val="99"/>
    <w:semiHidden/>
    <w:qFormat/>
    <w:rsid w:val="00F22EB4"/>
    <w:pPr>
      <w:spacing w:before="5800"/>
      <w:ind w:right="1382"/>
    </w:pPr>
  </w:style>
  <w:style w:type="paragraph" w:styleId="TOC4">
    <w:name w:val="toc 4"/>
    <w:basedOn w:val="TOC1"/>
    <w:next w:val="Normal"/>
    <w:uiPriority w:val="39"/>
    <w:semiHidden/>
    <w:rsid w:val="00F22EB4"/>
    <w:pPr>
      <w:ind w:left="450" w:hanging="450"/>
    </w:pPr>
    <w:rPr>
      <w:noProof/>
      <w:lang w:eastAsia="en-US"/>
    </w:rPr>
  </w:style>
  <w:style w:type="paragraph" w:styleId="TOC5">
    <w:name w:val="toc 5"/>
    <w:basedOn w:val="TOC2"/>
    <w:next w:val="Normal"/>
    <w:uiPriority w:val="39"/>
    <w:semiHidden/>
    <w:rsid w:val="00F22EB4"/>
    <w:pPr>
      <w:ind w:left="1080" w:hanging="634"/>
    </w:pPr>
    <w:rPr>
      <w:lang w:eastAsia="en-US"/>
    </w:rPr>
  </w:style>
  <w:style w:type="paragraph" w:styleId="TOC6">
    <w:name w:val="toc 6"/>
    <w:basedOn w:val="TOC3"/>
    <w:next w:val="Normal"/>
    <w:uiPriority w:val="39"/>
    <w:semiHidden/>
    <w:rsid w:val="00F22EB4"/>
    <w:pPr>
      <w:ind w:left="1800" w:hanging="720"/>
    </w:pPr>
    <w:rPr>
      <w:lang w:eastAsia="en-US"/>
    </w:rPr>
  </w:style>
  <w:style w:type="table" w:customStyle="1" w:styleId="DTFtexttable">
    <w:name w:val="DTF text table"/>
    <w:basedOn w:val="TableGrid"/>
    <w:uiPriority w:val="99"/>
    <w:rsid w:val="009A046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shd w:val="clear" w:color="auto" w:fill="FFFFFF" w:themeFill="background1"/>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22EB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22EB4"/>
    <w:pPr>
      <w:jc w:val="right"/>
    </w:pPr>
  </w:style>
  <w:style w:type="paragraph" w:customStyle="1" w:styleId="Listnumindent2">
    <w:name w:val="List num indent 2"/>
    <w:basedOn w:val="Normal"/>
    <w:uiPriority w:val="7"/>
    <w:qFormat/>
    <w:rsid w:val="00F22EB4"/>
    <w:pPr>
      <w:numPr>
        <w:ilvl w:val="7"/>
        <w:numId w:val="23"/>
      </w:numPr>
      <w:spacing w:before="100"/>
      <w:contextualSpacing/>
    </w:pPr>
  </w:style>
  <w:style w:type="paragraph" w:customStyle="1" w:styleId="Listnumindent">
    <w:name w:val="List num indent"/>
    <w:basedOn w:val="Normal"/>
    <w:uiPriority w:val="7"/>
    <w:qFormat/>
    <w:rsid w:val="00F22EB4"/>
    <w:pPr>
      <w:numPr>
        <w:ilvl w:val="6"/>
        <w:numId w:val="23"/>
      </w:numPr>
      <w:spacing w:before="100"/>
    </w:pPr>
  </w:style>
  <w:style w:type="paragraph" w:customStyle="1" w:styleId="Listnum">
    <w:name w:val="List num"/>
    <w:basedOn w:val="Normal"/>
    <w:uiPriority w:val="1"/>
    <w:qFormat/>
    <w:rsid w:val="00F22EB4"/>
    <w:pPr>
      <w:numPr>
        <w:numId w:val="23"/>
      </w:numPr>
      <w:contextualSpacing/>
    </w:pPr>
  </w:style>
  <w:style w:type="paragraph" w:customStyle="1" w:styleId="Listnum2">
    <w:name w:val="List num 2"/>
    <w:basedOn w:val="Normal"/>
    <w:uiPriority w:val="1"/>
    <w:qFormat/>
    <w:rsid w:val="00F22EB4"/>
    <w:pPr>
      <w:numPr>
        <w:ilvl w:val="1"/>
        <w:numId w:val="23"/>
      </w:numPr>
      <w:contextualSpacing/>
    </w:pPr>
  </w:style>
  <w:style w:type="paragraph" w:customStyle="1" w:styleId="Tabletextcentred">
    <w:name w:val="Table text centred"/>
    <w:basedOn w:val="Tabletext"/>
    <w:uiPriority w:val="8"/>
    <w:qFormat/>
    <w:rsid w:val="00F22EB4"/>
    <w:pPr>
      <w:jc w:val="center"/>
    </w:pPr>
  </w:style>
  <w:style w:type="paragraph" w:customStyle="1" w:styleId="Tableheader">
    <w:name w:val="Table header"/>
    <w:basedOn w:val="Tabletext"/>
    <w:uiPriority w:val="8"/>
    <w:qFormat/>
    <w:rsid w:val="00F22EB4"/>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22EB4"/>
    <w:pPr>
      <w:numPr>
        <w:numId w:val="24"/>
      </w:numPr>
    </w:pPr>
  </w:style>
  <w:style w:type="paragraph" w:customStyle="1" w:styleId="Tabledash">
    <w:name w:val="Table dash"/>
    <w:basedOn w:val="Tablebullet"/>
    <w:uiPriority w:val="9"/>
    <w:rsid w:val="00F22EB4"/>
    <w:pPr>
      <w:numPr>
        <w:ilvl w:val="1"/>
      </w:numPr>
    </w:pPr>
  </w:style>
  <w:style w:type="paragraph" w:customStyle="1" w:styleId="Tabletextindent">
    <w:name w:val="Table text indent"/>
    <w:basedOn w:val="Tabletext"/>
    <w:uiPriority w:val="8"/>
    <w:qFormat/>
    <w:rsid w:val="00F22EB4"/>
    <w:pPr>
      <w:ind w:left="288"/>
    </w:pPr>
  </w:style>
  <w:style w:type="paragraph" w:customStyle="1" w:styleId="Normalbold">
    <w:name w:val="Normal bold"/>
    <w:basedOn w:val="Normal"/>
    <w:qFormat/>
    <w:rsid w:val="00F22EB4"/>
    <w:pPr>
      <w:spacing w:line="264" w:lineRule="auto"/>
    </w:pPr>
    <w:rPr>
      <w:rFonts w:eastAsiaTheme="minorHAnsi"/>
      <w:b/>
      <w:szCs w:val="18"/>
      <w:lang w:eastAsia="en-US"/>
    </w:rPr>
  </w:style>
  <w:style w:type="paragraph" w:customStyle="1" w:styleId="Refnum1">
    <w:name w:val="Ref num 1"/>
    <w:basedOn w:val="Normal"/>
    <w:uiPriority w:val="7"/>
    <w:rsid w:val="00F22EB4"/>
    <w:pPr>
      <w:numPr>
        <w:numId w:val="27"/>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22EB4"/>
    <w:pPr>
      <w:numPr>
        <w:ilvl w:val="2"/>
      </w:numPr>
    </w:pPr>
    <w:rPr>
      <w:color w:val="auto"/>
    </w:rPr>
  </w:style>
  <w:style w:type="paragraph" w:customStyle="1" w:styleId="Listnumgrey">
    <w:name w:val="List num grey"/>
    <w:uiPriority w:val="3"/>
    <w:qFormat/>
    <w:rsid w:val="00F22EB4"/>
    <w:pPr>
      <w:numPr>
        <w:ilvl w:val="2"/>
        <w:numId w:val="23"/>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Listnum2grey">
    <w:name w:val="List num 2 grey"/>
    <w:uiPriority w:val="4"/>
    <w:qFormat/>
    <w:rsid w:val="00F22EB4"/>
    <w:pPr>
      <w:numPr>
        <w:ilvl w:val="3"/>
        <w:numId w:val="23"/>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Refnum1grey">
    <w:name w:val="Ref num 1 grey"/>
    <w:basedOn w:val="Refnum1"/>
    <w:uiPriority w:val="7"/>
    <w:qFormat/>
    <w:rsid w:val="00F22EB4"/>
    <w:rPr>
      <w:color w:val="F2F2F2" w:themeColor="background1" w:themeShade="F2"/>
    </w:rPr>
  </w:style>
  <w:style w:type="paragraph" w:customStyle="1" w:styleId="Refnum2grey">
    <w:name w:val="Ref num 2 grey"/>
    <w:basedOn w:val="Normal"/>
    <w:rsid w:val="00F22EB4"/>
    <w:pPr>
      <w:numPr>
        <w:ilvl w:val="1"/>
        <w:numId w:val="27"/>
      </w:numPr>
    </w:pPr>
  </w:style>
  <w:style w:type="paragraph" w:customStyle="1" w:styleId="Normalgreybold">
    <w:name w:val="Normal grey bold"/>
    <w:basedOn w:val="Normalgrey"/>
    <w:qFormat/>
    <w:rsid w:val="00F22EB4"/>
    <w:rPr>
      <w:b/>
    </w:rPr>
  </w:style>
  <w:style w:type="paragraph" w:styleId="Caption">
    <w:name w:val="caption"/>
    <w:basedOn w:val="Normal"/>
    <w:next w:val="Normal"/>
    <w:uiPriority w:val="99"/>
    <w:rsid w:val="00F22EB4"/>
    <w:pPr>
      <w:spacing w:before="0" w:after="200" w:line="240" w:lineRule="auto"/>
    </w:pPr>
    <w:rPr>
      <w:b/>
      <w:bCs/>
      <w:szCs w:val="18"/>
    </w:rPr>
  </w:style>
  <w:style w:type="paragraph" w:customStyle="1" w:styleId="Tablechartdiagramheading">
    <w:name w:val="Table/chart/diagram heading"/>
    <w:uiPriority w:val="99"/>
    <w:qFormat/>
    <w:rsid w:val="00F22EB4"/>
    <w:pPr>
      <w:tabs>
        <w:tab w:val="left" w:pos="1080"/>
      </w:tabs>
      <w:spacing w:before="160" w:after="100" w:line="276" w:lineRule="auto"/>
    </w:pPr>
    <w:rPr>
      <w:rFonts w:asciiTheme="minorHAnsi" w:eastAsiaTheme="minorEastAsia" w:hAnsiTheme="minorHAnsi" w:cstheme="minorBidi"/>
      <w:b/>
      <w:bCs/>
      <w:color w:val="404040" w:themeColor="text1" w:themeTint="BF"/>
      <w:spacing w:val="2"/>
      <w:sz w:val="18"/>
      <w:szCs w:val="18"/>
    </w:rPr>
  </w:style>
  <w:style w:type="numbering" w:customStyle="1" w:styleId="Bullet">
    <w:name w:val="Bullet"/>
    <w:uiPriority w:val="99"/>
    <w:rsid w:val="0054454D"/>
    <w:pPr>
      <w:numPr>
        <w:numId w:val="33"/>
      </w:numPr>
    </w:pPr>
  </w:style>
  <w:style w:type="paragraph" w:styleId="ListBullet2">
    <w:name w:val="List Bullet 2"/>
    <w:basedOn w:val="ListBullet"/>
    <w:uiPriority w:val="19"/>
    <w:rsid w:val="0054454D"/>
    <w:pPr>
      <w:numPr>
        <w:ilvl w:val="1"/>
      </w:numPr>
    </w:pPr>
  </w:style>
  <w:style w:type="paragraph" w:styleId="ListBullet">
    <w:name w:val="List Bullet"/>
    <w:basedOn w:val="Normal"/>
    <w:uiPriority w:val="19"/>
    <w:qFormat/>
    <w:rsid w:val="0054454D"/>
    <w:pPr>
      <w:keepLines/>
      <w:numPr>
        <w:numId w:val="34"/>
      </w:numPr>
      <w:spacing w:before="60" w:after="0" w:line="240" w:lineRule="auto"/>
    </w:pPr>
    <w:rPr>
      <w:rFonts w:eastAsiaTheme="minorHAnsi"/>
      <w:spacing w:val="0"/>
      <w:sz w:val="22"/>
      <w:szCs w:val="22"/>
      <w:lang w:eastAsia="en-US"/>
    </w:rPr>
  </w:style>
  <w:style w:type="paragraph" w:styleId="ListBullet3">
    <w:name w:val="List Bullet 3"/>
    <w:basedOn w:val="ListBullet2"/>
    <w:uiPriority w:val="19"/>
    <w:unhideWhenUsed/>
    <w:rsid w:val="0054454D"/>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0" w:unhideWhenUsed="1" w:qFormat="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unhideWhenUsed="1"/>
    <w:lsdException w:name="header" w:unhideWhenUsed="1"/>
    <w:lsdException w:name="footer" w:uiPriority="24" w:unhideWhenUsed="1"/>
    <w:lsdException w:name="caption" w:unhideWhenUsed="1" w:qFormat="1"/>
    <w:lsdException w:name="table of figures" w:uiPriority="0"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49"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iPriority="19"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iPriority="19" w:unhideWhenUsed="1"/>
    <w:lsdException w:name="List Bullet 3" w:uiPriority="19"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Default Paragraph Font" w:uiPriority="1" w:unhideWhenUsed="1"/>
    <w:lsdException w:name="Body Text" w:uiPriority="4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174EF5"/>
    <w:pPr>
      <w:spacing w:before="160" w:after="100" w:line="276" w:lineRule="auto"/>
    </w:pPr>
    <w:rPr>
      <w:rFonts w:asciiTheme="minorHAnsi" w:eastAsiaTheme="minorEastAsia" w:hAnsiTheme="minorHAnsi" w:cstheme="minorBidi"/>
      <w:spacing w:val="2"/>
      <w:sz w:val="18"/>
    </w:rPr>
  </w:style>
  <w:style w:type="paragraph" w:styleId="Heading1">
    <w:name w:val="heading 1"/>
    <w:next w:val="Normal"/>
    <w:link w:val="Heading1Char"/>
    <w:uiPriority w:val="99"/>
    <w:rsid w:val="00F22EB4"/>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F22EB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22EB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22EB4"/>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EB4"/>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F22EB4"/>
    <w:rPr>
      <w:rFonts w:asciiTheme="majorHAnsi" w:eastAsiaTheme="majorEastAsia" w:hAnsiTheme="majorHAnsi" w:cstheme="majorBidi"/>
      <w:b/>
      <w:bCs/>
      <w:color w:val="7F7F7F" w:themeColor="text1" w:themeTint="80"/>
      <w:spacing w:val="2"/>
      <w:sz w:val="28"/>
      <w:szCs w:val="26"/>
    </w:rPr>
  </w:style>
  <w:style w:type="character" w:customStyle="1" w:styleId="Heading3Char">
    <w:name w:val="Heading 3 Char"/>
    <w:basedOn w:val="DefaultParagraphFont"/>
    <w:link w:val="Heading3"/>
    <w:semiHidden/>
    <w:rsid w:val="00174EF5"/>
    <w:rPr>
      <w:rFonts w:asciiTheme="majorHAnsi" w:eastAsiaTheme="majorEastAsia" w:hAnsiTheme="majorHAnsi" w:cstheme="majorBidi"/>
      <w:b/>
      <w:bCs/>
      <w:color w:val="4F81BD" w:themeColor="accent1"/>
      <w:spacing w:val="2"/>
      <w:sz w:val="22"/>
      <w:szCs w:val="22"/>
    </w:rPr>
  </w:style>
  <w:style w:type="character" w:customStyle="1" w:styleId="Heading4Char">
    <w:name w:val="Heading 4 Char"/>
    <w:basedOn w:val="DefaultParagraphFont"/>
    <w:link w:val="Heading4"/>
    <w:semiHidden/>
    <w:rsid w:val="00F22EB4"/>
    <w:rPr>
      <w:rFonts w:asciiTheme="majorHAnsi" w:eastAsiaTheme="majorEastAsia" w:hAnsiTheme="majorHAnsi" w:cstheme="majorBidi"/>
      <w:b/>
      <w:bCs/>
      <w:iCs/>
      <w:color w:val="53565A"/>
      <w:spacing w:val="2"/>
      <w:sz w:val="18"/>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styleId="Header">
    <w:name w:val="header"/>
    <w:basedOn w:val="Normal"/>
    <w:link w:val="HeaderChar"/>
    <w:uiPriority w:val="99"/>
    <w:rsid w:val="00F2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B4"/>
    <w:rPr>
      <w:rFonts w:asciiTheme="minorHAnsi" w:eastAsiaTheme="minorEastAsia" w:hAnsiTheme="minorHAnsi" w:cstheme="minorBidi"/>
      <w:spacing w:val="2"/>
      <w:sz w:val="18"/>
    </w:rPr>
  </w:style>
  <w:style w:type="paragraph" w:styleId="Footer">
    <w:name w:val="footer"/>
    <w:basedOn w:val="Normal"/>
    <w:link w:val="FooterChar"/>
    <w:uiPriority w:val="24"/>
    <w:rsid w:val="00F22EB4"/>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22EB4"/>
    <w:rPr>
      <w:rFonts w:asciiTheme="minorHAnsi" w:eastAsiaTheme="minorEastAsia" w:hAnsiTheme="minorHAnsi" w:cstheme="minorBidi"/>
      <w:noProof/>
      <w:spacing w:val="2"/>
      <w:sz w:val="18"/>
      <w:szCs w:val="18"/>
    </w:rPr>
  </w:style>
  <w:style w:type="table" w:styleId="TableGrid">
    <w:name w:val="Table Grid"/>
    <w:basedOn w:val="TableNormal"/>
    <w:uiPriority w:val="59"/>
    <w:locked/>
    <w:rsid w:val="009A0468"/>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E6117"/>
    <w:pPr>
      <w:spacing w:before="50" w:after="50" w:line="264" w:lineRule="auto"/>
    </w:pPr>
    <w:rPr>
      <w:sz w:val="17"/>
    </w:rPr>
  </w:style>
  <w:style w:type="paragraph" w:customStyle="1" w:styleId="FRDHeader">
    <w:name w:val="FRD Header"/>
    <w:basedOn w:val="Normal"/>
    <w:semiHidden/>
    <w:rsid w:val="00F22EB4"/>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F22EB4"/>
    <w:rPr>
      <w:b w:val="0"/>
      <w:color w:val="000000" w:themeColor="text1"/>
    </w:rPr>
  </w:style>
  <w:style w:type="paragraph" w:customStyle="1" w:styleId="Bullet1">
    <w:name w:val="Bullet 1"/>
    <w:uiPriority w:val="2"/>
    <w:qFormat/>
    <w:rsid w:val="00F22EB4"/>
    <w:pPr>
      <w:numPr>
        <w:numId w:val="22"/>
      </w:numPr>
      <w:spacing w:before="160"/>
      <w:contextualSpacing/>
    </w:pPr>
    <w:rPr>
      <w:rFonts w:asciiTheme="minorHAnsi" w:eastAsia="Times New Roman" w:hAnsiTheme="minorHAnsi" w:cs="Calibri"/>
      <w:spacing w:val="2"/>
      <w:sz w:val="18"/>
    </w:rPr>
  </w:style>
  <w:style w:type="paragraph" w:customStyle="1" w:styleId="Bullet2">
    <w:name w:val="Bullet 2"/>
    <w:basedOn w:val="Bullet1"/>
    <w:uiPriority w:val="2"/>
    <w:qFormat/>
    <w:rsid w:val="00F22EB4"/>
    <w:pPr>
      <w:numPr>
        <w:ilvl w:val="1"/>
      </w:numPr>
      <w:spacing w:before="0"/>
    </w:pPr>
  </w:style>
  <w:style w:type="paragraph" w:customStyle="1" w:styleId="FRDNumber">
    <w:name w:val="FRD Number"/>
    <w:basedOn w:val="FRDHeader"/>
    <w:semiHidden/>
    <w:rsid w:val="00F22EB4"/>
  </w:style>
  <w:style w:type="paragraph" w:styleId="BalloonText">
    <w:name w:val="Balloon Text"/>
    <w:basedOn w:val="Normal"/>
    <w:link w:val="BalloonTextChar"/>
    <w:uiPriority w:val="99"/>
    <w:semiHidden/>
    <w:rsid w:val="00F2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B4"/>
    <w:rPr>
      <w:rFonts w:ascii="Tahoma" w:eastAsiaTheme="minorEastAsia" w:hAnsi="Tahoma" w:cs="Tahoma"/>
      <w:spacing w:val="2"/>
      <w:sz w:val="16"/>
      <w:szCs w:val="16"/>
    </w:rPr>
  </w:style>
  <w:style w:type="paragraph" w:customStyle="1" w:styleId="Bullet2grey">
    <w:name w:val="Bullet 2 grey"/>
    <w:basedOn w:val="Bullet2"/>
    <w:uiPriority w:val="3"/>
    <w:qFormat/>
    <w:rsid w:val="00F22EB4"/>
    <w:rPr>
      <w:color w:val="4D4D4D"/>
      <w:szCs w:val="21"/>
      <w:lang w:eastAsia="en-US"/>
    </w:rPr>
  </w:style>
  <w:style w:type="paragraph" w:styleId="NormalIndent">
    <w:name w:val="Normal Indent"/>
    <w:basedOn w:val="Normal"/>
    <w:qFormat/>
    <w:rsid w:val="00F22EB4"/>
    <w:pPr>
      <w:spacing w:line="252" w:lineRule="auto"/>
      <w:ind w:left="288"/>
    </w:pPr>
  </w:style>
  <w:style w:type="paragraph" w:customStyle="1" w:styleId="Spacer">
    <w:name w:val="Spacer"/>
    <w:basedOn w:val="Normal"/>
    <w:uiPriority w:val="13"/>
    <w:qFormat/>
    <w:rsid w:val="00F22EB4"/>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qFormat/>
    <w:rsid w:val="00F22EB4"/>
    <w:pPr>
      <w:spacing w:line="264" w:lineRule="auto"/>
    </w:pPr>
    <w:rPr>
      <w:rFonts w:eastAsiaTheme="minorHAnsi"/>
      <w:color w:val="4D4D4D"/>
      <w:szCs w:val="18"/>
      <w:lang w:eastAsia="en-US"/>
    </w:rPr>
  </w:style>
  <w:style w:type="paragraph" w:customStyle="1" w:styleId="NormalIndentgrey">
    <w:name w:val="Normal Indent grey"/>
    <w:basedOn w:val="NormalIndent"/>
    <w:qFormat/>
    <w:rsid w:val="00F22EB4"/>
    <w:rPr>
      <w:color w:val="4D4D4D"/>
      <w:szCs w:val="21"/>
    </w:rPr>
  </w:style>
  <w:style w:type="paragraph" w:customStyle="1" w:styleId="Bullet1grey">
    <w:name w:val="Bullet 1 grey"/>
    <w:basedOn w:val="Bullet1"/>
    <w:uiPriority w:val="3"/>
    <w:qFormat/>
    <w:rsid w:val="00F22EB4"/>
    <w:rPr>
      <w:color w:val="4D4D4D"/>
      <w:szCs w:val="18"/>
      <w:lang w:eastAsia="en-US"/>
    </w:rPr>
  </w:style>
  <w:style w:type="character" w:styleId="CommentReference">
    <w:name w:val="annotation reference"/>
    <w:basedOn w:val="DefaultParagraphFont"/>
    <w:uiPriority w:val="99"/>
    <w:semiHidden/>
    <w:unhideWhenUsed/>
    <w:rsid w:val="00927A71"/>
    <w:rPr>
      <w:sz w:val="16"/>
      <w:szCs w:val="16"/>
    </w:rPr>
  </w:style>
  <w:style w:type="paragraph" w:styleId="CommentText">
    <w:name w:val="annotation text"/>
    <w:basedOn w:val="Normal"/>
    <w:link w:val="CommentTextChar"/>
    <w:uiPriority w:val="99"/>
    <w:semiHidden/>
    <w:unhideWhenUsed/>
    <w:rsid w:val="00927A71"/>
    <w:rPr>
      <w:sz w:val="20"/>
    </w:rPr>
  </w:style>
  <w:style w:type="character" w:customStyle="1" w:styleId="CommentTextChar">
    <w:name w:val="Comment Text Char"/>
    <w:basedOn w:val="DefaultParagraphFont"/>
    <w:link w:val="CommentText"/>
    <w:uiPriority w:val="99"/>
    <w:semiHidden/>
    <w:rsid w:val="00927A71"/>
    <w:rPr>
      <w:lang w:eastAsia="en-US"/>
    </w:rPr>
  </w:style>
  <w:style w:type="paragraph" w:styleId="CommentSubject">
    <w:name w:val="annotation subject"/>
    <w:basedOn w:val="CommentText"/>
    <w:next w:val="CommentText"/>
    <w:link w:val="CommentSubjectChar"/>
    <w:uiPriority w:val="99"/>
    <w:semiHidden/>
    <w:unhideWhenUsed/>
    <w:rsid w:val="00927A71"/>
    <w:rPr>
      <w:b/>
      <w:bCs/>
    </w:rPr>
  </w:style>
  <w:style w:type="character" w:customStyle="1" w:styleId="CommentSubjectChar">
    <w:name w:val="Comment Subject Char"/>
    <w:basedOn w:val="CommentTextChar"/>
    <w:link w:val="CommentSubject"/>
    <w:uiPriority w:val="99"/>
    <w:semiHidden/>
    <w:rsid w:val="00927A71"/>
    <w:rPr>
      <w:b/>
      <w:bCs/>
      <w:lang w:eastAsia="en-US"/>
    </w:rPr>
  </w:style>
  <w:style w:type="paragraph" w:styleId="Revision">
    <w:name w:val="Revision"/>
    <w:hidden/>
    <w:uiPriority w:val="99"/>
    <w:semiHidden/>
    <w:rsid w:val="009E6FBA"/>
    <w:rPr>
      <w:sz w:val="22"/>
      <w:szCs w:val="21"/>
      <w:lang w:eastAsia="en-US"/>
    </w:rPr>
  </w:style>
  <w:style w:type="table" w:styleId="LightShading">
    <w:name w:val="Light Shading"/>
    <w:basedOn w:val="TableNormal"/>
    <w:uiPriority w:val="60"/>
    <w:rsid w:val="00F22EB4"/>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22EB4"/>
    <w:pPr>
      <w:tabs>
        <w:tab w:val="right" w:leader="dot" w:pos="9000"/>
      </w:tabs>
      <w:ind w:right="432"/>
    </w:pPr>
    <w:rPr>
      <w:sz w:val="24"/>
      <w:szCs w:val="24"/>
    </w:rPr>
  </w:style>
  <w:style w:type="paragraph" w:styleId="TOC2">
    <w:name w:val="toc 2"/>
    <w:next w:val="Normal"/>
    <w:uiPriority w:val="39"/>
    <w:rsid w:val="00F22EB4"/>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F22EB4"/>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22EB4"/>
    <w:pPr>
      <w:spacing w:after="60" w:line="240" w:lineRule="auto"/>
    </w:pPr>
    <w:rPr>
      <w:sz w:val="16"/>
    </w:rPr>
  </w:style>
  <w:style w:type="paragraph" w:styleId="Index2">
    <w:name w:val="index 2"/>
    <w:basedOn w:val="Normal"/>
    <w:next w:val="Normal"/>
    <w:uiPriority w:val="99"/>
    <w:semiHidden/>
    <w:rsid w:val="00F22EB4"/>
    <w:pPr>
      <w:spacing w:after="0" w:line="240" w:lineRule="auto"/>
      <w:ind w:left="216"/>
    </w:pPr>
    <w:rPr>
      <w:sz w:val="16"/>
      <w:szCs w:val="16"/>
    </w:rPr>
  </w:style>
  <w:style w:type="character" w:styleId="Hyperlink">
    <w:name w:val="Hyperlink"/>
    <w:basedOn w:val="DefaultParagraphFont"/>
    <w:uiPriority w:val="99"/>
    <w:rsid w:val="00174EF5"/>
    <w:rPr>
      <w:color w:val="4D4D4D"/>
      <w:u w:val="none"/>
    </w:rPr>
  </w:style>
  <w:style w:type="paragraph" w:customStyle="1" w:styleId="Bulletindent">
    <w:name w:val="Bullet indent"/>
    <w:basedOn w:val="Bullet2"/>
    <w:uiPriority w:val="7"/>
    <w:qFormat/>
    <w:rsid w:val="00F22EB4"/>
    <w:pPr>
      <w:numPr>
        <w:ilvl w:val="2"/>
      </w:numPr>
    </w:pPr>
  </w:style>
  <w:style w:type="paragraph" w:customStyle="1" w:styleId="Heading1numbered">
    <w:name w:val="Heading 1 numbered"/>
    <w:basedOn w:val="Heading1"/>
    <w:next w:val="NormalIndent"/>
    <w:uiPriority w:val="4"/>
    <w:semiHidden/>
    <w:qFormat/>
    <w:rsid w:val="00F22EB4"/>
  </w:style>
  <w:style w:type="paragraph" w:customStyle="1" w:styleId="Heading2numbered">
    <w:name w:val="Heading 2 numbered"/>
    <w:basedOn w:val="Heading2"/>
    <w:next w:val="NormalIndent"/>
    <w:uiPriority w:val="4"/>
    <w:semiHidden/>
    <w:qFormat/>
    <w:rsid w:val="00F22EB4"/>
  </w:style>
  <w:style w:type="paragraph" w:customStyle="1" w:styleId="Heading3numbered">
    <w:name w:val="Heading 3 numbered"/>
    <w:basedOn w:val="Heading3"/>
    <w:next w:val="NormalIndent"/>
    <w:uiPriority w:val="4"/>
    <w:semiHidden/>
    <w:qFormat/>
    <w:rsid w:val="00F22EB4"/>
    <w:pPr>
      <w:numPr>
        <w:ilvl w:val="4"/>
        <w:numId w:val="23"/>
      </w:numPr>
    </w:pPr>
  </w:style>
  <w:style w:type="paragraph" w:customStyle="1" w:styleId="Heading4numbered">
    <w:name w:val="Heading 4 numbered"/>
    <w:basedOn w:val="Heading4"/>
    <w:next w:val="NormalIndent"/>
    <w:uiPriority w:val="4"/>
    <w:semiHidden/>
    <w:qFormat/>
    <w:rsid w:val="00F22EB4"/>
    <w:pPr>
      <w:numPr>
        <w:ilvl w:val="5"/>
        <w:numId w:val="23"/>
      </w:numPr>
    </w:pPr>
  </w:style>
  <w:style w:type="paragraph" w:customStyle="1" w:styleId="NoteNormal">
    <w:name w:val="Note Normal"/>
    <w:basedOn w:val="Normal"/>
    <w:uiPriority w:val="49"/>
    <w:rsid w:val="00F22EB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22EB4"/>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F22EB4"/>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F22EB4"/>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F22EB4"/>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F22EB4"/>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F22EB4"/>
    <w:pPr>
      <w:numPr>
        <w:ilvl w:val="3"/>
        <w:numId w:val="22"/>
      </w:numPr>
      <w:spacing w:before="100"/>
      <w:contextualSpacing/>
    </w:pPr>
  </w:style>
  <w:style w:type="paragraph" w:styleId="IndexHeading">
    <w:name w:val="index heading"/>
    <w:basedOn w:val="Normal"/>
    <w:next w:val="Index1"/>
    <w:uiPriority w:val="99"/>
    <w:semiHidden/>
    <w:rsid w:val="00F22EB4"/>
    <w:rPr>
      <w:rFonts w:asciiTheme="majorHAnsi" w:eastAsiaTheme="majorEastAsia" w:hAnsiTheme="majorHAnsi" w:cstheme="majorBidi"/>
      <w:b/>
      <w:bCs/>
    </w:rPr>
  </w:style>
  <w:style w:type="paragraph" w:styleId="TOCHeading">
    <w:name w:val="TOC Heading"/>
    <w:basedOn w:val="Heading1"/>
    <w:next w:val="Normal"/>
    <w:uiPriority w:val="39"/>
    <w:semiHidden/>
    <w:rsid w:val="00F22EB4"/>
    <w:pPr>
      <w:spacing w:before="480" w:after="720"/>
      <w:outlineLvl w:val="9"/>
    </w:pPr>
    <w:rPr>
      <w:spacing w:val="2"/>
    </w:rPr>
  </w:style>
  <w:style w:type="paragraph" w:customStyle="1" w:styleId="NormalTight">
    <w:name w:val="Normal Tight"/>
    <w:uiPriority w:val="99"/>
    <w:semiHidden/>
    <w:rsid w:val="00F22EB4"/>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F22EB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22EB4"/>
    <w:rPr>
      <w:rFonts w:eastAsia="Times New Roman" w:cs="Calibri"/>
      <w:sz w:val="22"/>
      <w:szCs w:val="22"/>
    </w:rPr>
  </w:style>
  <w:style w:type="paragraph" w:customStyle="1" w:styleId="Insidecoverspacer">
    <w:name w:val="Inside cover spacer"/>
    <w:basedOn w:val="NormalTight"/>
    <w:uiPriority w:val="99"/>
    <w:semiHidden/>
    <w:qFormat/>
    <w:rsid w:val="00F22EB4"/>
    <w:pPr>
      <w:spacing w:before="5800"/>
      <w:ind w:right="1382"/>
    </w:pPr>
  </w:style>
  <w:style w:type="paragraph" w:styleId="TOC4">
    <w:name w:val="toc 4"/>
    <w:basedOn w:val="TOC1"/>
    <w:next w:val="Normal"/>
    <w:uiPriority w:val="39"/>
    <w:semiHidden/>
    <w:rsid w:val="00F22EB4"/>
    <w:pPr>
      <w:ind w:left="450" w:hanging="450"/>
    </w:pPr>
    <w:rPr>
      <w:noProof/>
      <w:lang w:eastAsia="en-US"/>
    </w:rPr>
  </w:style>
  <w:style w:type="paragraph" w:styleId="TOC5">
    <w:name w:val="toc 5"/>
    <w:basedOn w:val="TOC2"/>
    <w:next w:val="Normal"/>
    <w:uiPriority w:val="39"/>
    <w:semiHidden/>
    <w:rsid w:val="00F22EB4"/>
    <w:pPr>
      <w:ind w:left="1080" w:hanging="634"/>
    </w:pPr>
    <w:rPr>
      <w:lang w:eastAsia="en-US"/>
    </w:rPr>
  </w:style>
  <w:style w:type="paragraph" w:styleId="TOC6">
    <w:name w:val="toc 6"/>
    <w:basedOn w:val="TOC3"/>
    <w:next w:val="Normal"/>
    <w:uiPriority w:val="39"/>
    <w:semiHidden/>
    <w:rsid w:val="00F22EB4"/>
    <w:pPr>
      <w:ind w:left="1800" w:hanging="720"/>
    </w:pPr>
    <w:rPr>
      <w:lang w:eastAsia="en-US"/>
    </w:rPr>
  </w:style>
  <w:style w:type="table" w:customStyle="1" w:styleId="DTFtexttable">
    <w:name w:val="DTF text table"/>
    <w:basedOn w:val="TableGrid"/>
    <w:uiPriority w:val="99"/>
    <w:rsid w:val="009A046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shd w:val="clear" w:color="auto" w:fill="FFFFFF" w:themeFill="background1"/>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22EB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22EB4"/>
    <w:pPr>
      <w:jc w:val="right"/>
    </w:pPr>
  </w:style>
  <w:style w:type="paragraph" w:customStyle="1" w:styleId="Listnumindent2">
    <w:name w:val="List num indent 2"/>
    <w:basedOn w:val="Normal"/>
    <w:uiPriority w:val="7"/>
    <w:qFormat/>
    <w:rsid w:val="00F22EB4"/>
    <w:pPr>
      <w:numPr>
        <w:ilvl w:val="7"/>
        <w:numId w:val="23"/>
      </w:numPr>
      <w:spacing w:before="100"/>
      <w:contextualSpacing/>
    </w:pPr>
  </w:style>
  <w:style w:type="paragraph" w:customStyle="1" w:styleId="Listnumindent">
    <w:name w:val="List num indent"/>
    <w:basedOn w:val="Normal"/>
    <w:uiPriority w:val="7"/>
    <w:qFormat/>
    <w:rsid w:val="00F22EB4"/>
    <w:pPr>
      <w:numPr>
        <w:ilvl w:val="6"/>
        <w:numId w:val="23"/>
      </w:numPr>
      <w:spacing w:before="100"/>
    </w:pPr>
  </w:style>
  <w:style w:type="paragraph" w:customStyle="1" w:styleId="Listnum">
    <w:name w:val="List num"/>
    <w:basedOn w:val="Normal"/>
    <w:uiPriority w:val="1"/>
    <w:qFormat/>
    <w:rsid w:val="00F22EB4"/>
    <w:pPr>
      <w:numPr>
        <w:numId w:val="23"/>
      </w:numPr>
      <w:contextualSpacing/>
    </w:pPr>
  </w:style>
  <w:style w:type="paragraph" w:customStyle="1" w:styleId="Listnum2">
    <w:name w:val="List num 2"/>
    <w:basedOn w:val="Normal"/>
    <w:uiPriority w:val="1"/>
    <w:qFormat/>
    <w:rsid w:val="00F22EB4"/>
    <w:pPr>
      <w:numPr>
        <w:ilvl w:val="1"/>
        <w:numId w:val="23"/>
      </w:numPr>
      <w:contextualSpacing/>
    </w:pPr>
  </w:style>
  <w:style w:type="paragraph" w:customStyle="1" w:styleId="Tabletextcentred">
    <w:name w:val="Table text centred"/>
    <w:basedOn w:val="Tabletext"/>
    <w:uiPriority w:val="8"/>
    <w:qFormat/>
    <w:rsid w:val="00F22EB4"/>
    <w:pPr>
      <w:jc w:val="center"/>
    </w:pPr>
  </w:style>
  <w:style w:type="paragraph" w:customStyle="1" w:styleId="Tableheader">
    <w:name w:val="Table header"/>
    <w:basedOn w:val="Tabletext"/>
    <w:uiPriority w:val="8"/>
    <w:qFormat/>
    <w:rsid w:val="00F22EB4"/>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22EB4"/>
    <w:pPr>
      <w:numPr>
        <w:numId w:val="24"/>
      </w:numPr>
    </w:pPr>
  </w:style>
  <w:style w:type="paragraph" w:customStyle="1" w:styleId="Tabledash">
    <w:name w:val="Table dash"/>
    <w:basedOn w:val="Tablebullet"/>
    <w:uiPriority w:val="9"/>
    <w:rsid w:val="00F22EB4"/>
    <w:pPr>
      <w:numPr>
        <w:ilvl w:val="1"/>
      </w:numPr>
    </w:pPr>
  </w:style>
  <w:style w:type="paragraph" w:customStyle="1" w:styleId="Tabletextindent">
    <w:name w:val="Table text indent"/>
    <w:basedOn w:val="Tabletext"/>
    <w:uiPriority w:val="8"/>
    <w:qFormat/>
    <w:rsid w:val="00F22EB4"/>
    <w:pPr>
      <w:ind w:left="288"/>
    </w:pPr>
  </w:style>
  <w:style w:type="paragraph" w:customStyle="1" w:styleId="Normalbold">
    <w:name w:val="Normal bold"/>
    <w:basedOn w:val="Normal"/>
    <w:qFormat/>
    <w:rsid w:val="00F22EB4"/>
    <w:pPr>
      <w:spacing w:line="264" w:lineRule="auto"/>
    </w:pPr>
    <w:rPr>
      <w:rFonts w:eastAsiaTheme="minorHAnsi"/>
      <w:b/>
      <w:szCs w:val="18"/>
      <w:lang w:eastAsia="en-US"/>
    </w:rPr>
  </w:style>
  <w:style w:type="paragraph" w:customStyle="1" w:styleId="Refnum1">
    <w:name w:val="Ref num 1"/>
    <w:basedOn w:val="Normal"/>
    <w:uiPriority w:val="7"/>
    <w:rsid w:val="00F22EB4"/>
    <w:pPr>
      <w:numPr>
        <w:numId w:val="27"/>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22EB4"/>
    <w:pPr>
      <w:numPr>
        <w:ilvl w:val="2"/>
      </w:numPr>
    </w:pPr>
    <w:rPr>
      <w:color w:val="auto"/>
    </w:rPr>
  </w:style>
  <w:style w:type="paragraph" w:customStyle="1" w:styleId="Listnumgrey">
    <w:name w:val="List num grey"/>
    <w:uiPriority w:val="3"/>
    <w:qFormat/>
    <w:rsid w:val="00F22EB4"/>
    <w:pPr>
      <w:numPr>
        <w:ilvl w:val="2"/>
        <w:numId w:val="23"/>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Listnum2grey">
    <w:name w:val="List num 2 grey"/>
    <w:uiPriority w:val="4"/>
    <w:qFormat/>
    <w:rsid w:val="00F22EB4"/>
    <w:pPr>
      <w:numPr>
        <w:ilvl w:val="3"/>
        <w:numId w:val="23"/>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Refnum1grey">
    <w:name w:val="Ref num 1 grey"/>
    <w:basedOn w:val="Refnum1"/>
    <w:uiPriority w:val="7"/>
    <w:qFormat/>
    <w:rsid w:val="00F22EB4"/>
    <w:rPr>
      <w:color w:val="F2F2F2" w:themeColor="background1" w:themeShade="F2"/>
    </w:rPr>
  </w:style>
  <w:style w:type="paragraph" w:customStyle="1" w:styleId="Refnum2grey">
    <w:name w:val="Ref num 2 grey"/>
    <w:basedOn w:val="Normal"/>
    <w:rsid w:val="00F22EB4"/>
    <w:pPr>
      <w:numPr>
        <w:ilvl w:val="1"/>
        <w:numId w:val="27"/>
      </w:numPr>
    </w:pPr>
  </w:style>
  <w:style w:type="paragraph" w:customStyle="1" w:styleId="Normalgreybold">
    <w:name w:val="Normal grey bold"/>
    <w:basedOn w:val="Normalgrey"/>
    <w:qFormat/>
    <w:rsid w:val="00F22EB4"/>
    <w:rPr>
      <w:b/>
    </w:rPr>
  </w:style>
  <w:style w:type="paragraph" w:styleId="Caption">
    <w:name w:val="caption"/>
    <w:basedOn w:val="Normal"/>
    <w:next w:val="Normal"/>
    <w:uiPriority w:val="99"/>
    <w:rsid w:val="00F22EB4"/>
    <w:pPr>
      <w:spacing w:before="0" w:after="200" w:line="240" w:lineRule="auto"/>
    </w:pPr>
    <w:rPr>
      <w:b/>
      <w:bCs/>
      <w:szCs w:val="18"/>
    </w:rPr>
  </w:style>
  <w:style w:type="paragraph" w:customStyle="1" w:styleId="Tablechartdiagramheading">
    <w:name w:val="Table/chart/diagram heading"/>
    <w:uiPriority w:val="99"/>
    <w:qFormat/>
    <w:rsid w:val="00F22EB4"/>
    <w:pPr>
      <w:tabs>
        <w:tab w:val="left" w:pos="1080"/>
      </w:tabs>
      <w:spacing w:before="160" w:after="100" w:line="276" w:lineRule="auto"/>
    </w:pPr>
    <w:rPr>
      <w:rFonts w:asciiTheme="minorHAnsi" w:eastAsiaTheme="minorEastAsia" w:hAnsiTheme="minorHAnsi" w:cstheme="minorBidi"/>
      <w:b/>
      <w:bCs/>
      <w:color w:val="404040" w:themeColor="text1" w:themeTint="BF"/>
      <w:spacing w:val="2"/>
      <w:sz w:val="18"/>
      <w:szCs w:val="18"/>
    </w:rPr>
  </w:style>
  <w:style w:type="numbering" w:customStyle="1" w:styleId="Bullet">
    <w:name w:val="Bullet"/>
    <w:uiPriority w:val="99"/>
    <w:rsid w:val="0054454D"/>
    <w:pPr>
      <w:numPr>
        <w:numId w:val="33"/>
      </w:numPr>
    </w:pPr>
  </w:style>
  <w:style w:type="paragraph" w:styleId="ListBullet2">
    <w:name w:val="List Bullet 2"/>
    <w:basedOn w:val="ListBullet"/>
    <w:uiPriority w:val="19"/>
    <w:rsid w:val="0054454D"/>
    <w:pPr>
      <w:numPr>
        <w:ilvl w:val="1"/>
      </w:numPr>
    </w:pPr>
  </w:style>
  <w:style w:type="paragraph" w:styleId="ListBullet">
    <w:name w:val="List Bullet"/>
    <w:basedOn w:val="Normal"/>
    <w:uiPriority w:val="19"/>
    <w:qFormat/>
    <w:rsid w:val="0054454D"/>
    <w:pPr>
      <w:keepLines/>
      <w:numPr>
        <w:numId w:val="34"/>
      </w:numPr>
      <w:spacing w:before="60" w:after="0" w:line="240" w:lineRule="auto"/>
    </w:pPr>
    <w:rPr>
      <w:rFonts w:eastAsiaTheme="minorHAnsi"/>
      <w:spacing w:val="0"/>
      <w:sz w:val="22"/>
      <w:szCs w:val="22"/>
      <w:lang w:eastAsia="en-US"/>
    </w:rPr>
  </w:style>
  <w:style w:type="paragraph" w:styleId="ListBullet3">
    <w:name w:val="List Bullet 3"/>
    <w:basedOn w:val="ListBullet2"/>
    <w:uiPriority w:val="19"/>
    <w:unhideWhenUsed/>
    <w:rsid w:val="0054454D"/>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4711">
      <w:bodyDiv w:val="1"/>
      <w:marLeft w:val="0"/>
      <w:marRight w:val="0"/>
      <w:marTop w:val="0"/>
      <w:marBottom w:val="0"/>
      <w:divBdr>
        <w:top w:val="none" w:sz="0" w:space="0" w:color="auto"/>
        <w:left w:val="none" w:sz="0" w:space="0" w:color="auto"/>
        <w:bottom w:val="none" w:sz="0" w:space="0" w:color="auto"/>
        <w:right w:val="none" w:sz="0" w:space="0" w:color="auto"/>
      </w:divBdr>
      <w:divsChild>
        <w:div w:id="66613063">
          <w:marLeft w:val="274"/>
          <w:marRight w:val="0"/>
          <w:marTop w:val="0"/>
          <w:marBottom w:val="0"/>
          <w:divBdr>
            <w:top w:val="none" w:sz="0" w:space="0" w:color="auto"/>
            <w:left w:val="none" w:sz="0" w:space="0" w:color="auto"/>
            <w:bottom w:val="none" w:sz="0" w:space="0" w:color="auto"/>
            <w:right w:val="none" w:sz="0" w:space="0" w:color="auto"/>
          </w:divBdr>
        </w:div>
        <w:div w:id="1446387148">
          <w:marLeft w:val="274"/>
          <w:marRight w:val="0"/>
          <w:marTop w:val="0"/>
          <w:marBottom w:val="0"/>
          <w:divBdr>
            <w:top w:val="none" w:sz="0" w:space="0" w:color="auto"/>
            <w:left w:val="none" w:sz="0" w:space="0" w:color="auto"/>
            <w:bottom w:val="none" w:sz="0" w:space="0" w:color="auto"/>
            <w:right w:val="none" w:sz="0" w:space="0" w:color="auto"/>
          </w:divBdr>
        </w:div>
      </w:divsChild>
    </w:div>
    <w:div w:id="935404717">
      <w:bodyDiv w:val="1"/>
      <w:marLeft w:val="0"/>
      <w:marRight w:val="0"/>
      <w:marTop w:val="0"/>
      <w:marBottom w:val="0"/>
      <w:divBdr>
        <w:top w:val="none" w:sz="0" w:space="0" w:color="auto"/>
        <w:left w:val="none" w:sz="0" w:space="0" w:color="auto"/>
        <w:bottom w:val="none" w:sz="0" w:space="0" w:color="auto"/>
        <w:right w:val="none" w:sz="0" w:space="0" w:color="auto"/>
      </w:divBdr>
    </w:div>
    <w:div w:id="1027413961">
      <w:bodyDiv w:val="1"/>
      <w:marLeft w:val="0"/>
      <w:marRight w:val="0"/>
      <w:marTop w:val="0"/>
      <w:marBottom w:val="0"/>
      <w:divBdr>
        <w:top w:val="none" w:sz="0" w:space="0" w:color="auto"/>
        <w:left w:val="none" w:sz="0" w:space="0" w:color="auto"/>
        <w:bottom w:val="none" w:sz="0" w:space="0" w:color="auto"/>
        <w:right w:val="none" w:sz="0" w:space="0" w:color="auto"/>
      </w:divBdr>
      <w:divsChild>
        <w:div w:id="2092777866">
          <w:marLeft w:val="274"/>
          <w:marRight w:val="0"/>
          <w:marTop w:val="0"/>
          <w:marBottom w:val="0"/>
          <w:divBdr>
            <w:top w:val="none" w:sz="0" w:space="0" w:color="auto"/>
            <w:left w:val="none" w:sz="0" w:space="0" w:color="auto"/>
            <w:bottom w:val="none" w:sz="0" w:space="0" w:color="auto"/>
            <w:right w:val="none" w:sz="0" w:space="0" w:color="auto"/>
          </w:divBdr>
        </w:div>
        <w:div w:id="2109109444">
          <w:marLeft w:val="274"/>
          <w:marRight w:val="0"/>
          <w:marTop w:val="0"/>
          <w:marBottom w:val="0"/>
          <w:divBdr>
            <w:top w:val="none" w:sz="0" w:space="0" w:color="auto"/>
            <w:left w:val="none" w:sz="0" w:space="0" w:color="auto"/>
            <w:bottom w:val="none" w:sz="0" w:space="0" w:color="auto"/>
            <w:right w:val="none" w:sz="0" w:space="0" w:color="auto"/>
          </w:divBdr>
        </w:div>
      </w:divsChild>
    </w:div>
    <w:div w:id="1074475983">
      <w:bodyDiv w:val="1"/>
      <w:marLeft w:val="0"/>
      <w:marRight w:val="0"/>
      <w:marTop w:val="0"/>
      <w:marBottom w:val="0"/>
      <w:divBdr>
        <w:top w:val="none" w:sz="0" w:space="0" w:color="auto"/>
        <w:left w:val="none" w:sz="0" w:space="0" w:color="auto"/>
        <w:bottom w:val="none" w:sz="0" w:space="0" w:color="auto"/>
        <w:right w:val="none" w:sz="0" w:space="0" w:color="auto"/>
      </w:divBdr>
      <w:divsChild>
        <w:div w:id="825324480">
          <w:marLeft w:val="0"/>
          <w:marRight w:val="0"/>
          <w:marTop w:val="0"/>
          <w:marBottom w:val="0"/>
          <w:divBdr>
            <w:top w:val="none" w:sz="0" w:space="0" w:color="auto"/>
            <w:left w:val="none" w:sz="0" w:space="0" w:color="auto"/>
            <w:bottom w:val="none" w:sz="0" w:space="0" w:color="auto"/>
            <w:right w:val="none" w:sz="0" w:space="0" w:color="auto"/>
          </w:divBdr>
        </w:div>
      </w:divsChild>
    </w:div>
    <w:div w:id="1128931431">
      <w:bodyDiv w:val="1"/>
      <w:marLeft w:val="0"/>
      <w:marRight w:val="0"/>
      <w:marTop w:val="0"/>
      <w:marBottom w:val="0"/>
      <w:divBdr>
        <w:top w:val="none" w:sz="0" w:space="0" w:color="auto"/>
        <w:left w:val="none" w:sz="0" w:space="0" w:color="auto"/>
        <w:bottom w:val="none" w:sz="0" w:space="0" w:color="auto"/>
        <w:right w:val="none" w:sz="0" w:space="0" w:color="auto"/>
      </w:divBdr>
      <w:divsChild>
        <w:div w:id="168821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0D04-1BA9-4CE1-892C-5FAB23F3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11</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FRD #</vt:lpstr>
    </vt:vector>
  </TitlesOfParts>
  <Company>CenITex</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 #</dc:title>
  <dc:creator>Grace Fong</dc:creator>
  <cp:lastModifiedBy>Shareen Singh</cp:lastModifiedBy>
  <cp:revision>3</cp:revision>
  <cp:lastPrinted>2017-07-18T07:29:00Z</cp:lastPrinted>
  <dcterms:created xsi:type="dcterms:W3CDTF">2017-07-25T23:51:00Z</dcterms:created>
  <dcterms:modified xsi:type="dcterms:W3CDTF">2017-07-25T23:51:00Z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6b2513a0-a438-4e4b-bd2b-946ef1d1c2bf</vt:lpwstr>
  </property>
  <property fmtid="{D5CDD505-2E9C-101B-9397-08002B2CF9AE}" pid="3" name="PSPFClassification">
    <vt:lpwstr>Do Not Mark</vt:lpwstr>
  </property>
</Properties>
</file>