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23" w:type="dxa"/>
        <w:tblLayout w:type="fixed"/>
        <w:tblLook w:val="04A0" w:firstRow="1" w:lastRow="0" w:firstColumn="1" w:lastColumn="0" w:noHBand="0" w:noVBand="1"/>
      </w:tblPr>
      <w:tblGrid>
        <w:gridCol w:w="2293"/>
        <w:gridCol w:w="270"/>
        <w:gridCol w:w="540"/>
        <w:gridCol w:w="6120"/>
      </w:tblGrid>
      <w:tr w:rsidR="00493B55" w:rsidRPr="003C5E9F" w:rsidTr="00E13A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3" w:type="dxa"/>
          </w:tcPr>
          <w:p w:rsidR="00845688" w:rsidRPr="003C5E9F" w:rsidRDefault="00845688" w:rsidP="00E13A80">
            <w:pPr>
              <w:pStyle w:val="FRDNumber"/>
            </w:pPr>
            <w:bookmarkStart w:id="0" w:name="_GoBack"/>
            <w:bookmarkEnd w:id="0"/>
            <w:r w:rsidRPr="002E50A4">
              <w:t>FRD</w:t>
            </w:r>
            <w:r w:rsidRPr="003C5E9F">
              <w:t xml:space="preserve"> </w:t>
            </w:r>
            <w:r w:rsidR="00313654">
              <w:t>114</w:t>
            </w:r>
            <w:r w:rsidR="00CF2AA8">
              <w:t>B</w:t>
            </w:r>
          </w:p>
        </w:tc>
        <w:tc>
          <w:tcPr>
            <w:tcW w:w="270" w:type="dxa"/>
          </w:tcPr>
          <w:p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540" w:type="dxa"/>
          </w:tcPr>
          <w:p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6120" w:type="dxa"/>
          </w:tcPr>
          <w:p w:rsidR="00845688" w:rsidRPr="002E50A4" w:rsidRDefault="00313654" w:rsidP="00B90521">
            <w:pPr>
              <w:pStyle w:val="FRDHeader"/>
              <w:cnfStyle w:val="100000000000" w:firstRow="1" w:lastRow="0" w:firstColumn="0" w:lastColumn="0" w:oddVBand="0" w:evenVBand="0" w:oddHBand="0" w:evenHBand="0" w:firstRowFirstColumn="0" w:firstRowLastColumn="0" w:lastRowFirstColumn="0" w:lastRowLastColumn="0"/>
            </w:pPr>
            <w:r w:rsidRPr="00313654">
              <w:t xml:space="preserve">Financial </w:t>
            </w:r>
            <w:r w:rsidR="00572F95" w:rsidRPr="00313654">
              <w:t xml:space="preserve">instruments </w:t>
            </w:r>
            <w:r w:rsidRPr="00313654">
              <w:t xml:space="preserve">– </w:t>
            </w:r>
            <w:r w:rsidR="00572F95" w:rsidRPr="00313654">
              <w:t xml:space="preserve">general government entities and public </w:t>
            </w:r>
            <w:r w:rsidR="00216186">
              <w:br/>
            </w:r>
            <w:r w:rsidR="00572F95" w:rsidRPr="00313654">
              <w:t>non</w:t>
            </w:r>
            <w:r w:rsidR="00D71488">
              <w:noBreakHyphen/>
            </w:r>
            <w:r w:rsidR="00572F95" w:rsidRPr="00313654">
              <w:t>financial cor</w:t>
            </w:r>
            <w:r w:rsidRPr="00313654">
              <w:t>porations</w:t>
            </w:r>
            <w:r w:rsidR="00D56AC9">
              <w:t xml:space="preserve"> (</w:t>
            </w:r>
            <w:r w:rsidR="003D0506">
              <w:t>June</w:t>
            </w:r>
            <w:r w:rsidR="00572F95">
              <w:t> </w:t>
            </w:r>
            <w:r w:rsidR="00D56AC9">
              <w:t>20</w:t>
            </w:r>
            <w:r w:rsidR="00300B3A">
              <w:t>1</w:t>
            </w:r>
            <w:r w:rsidR="009A2A5B">
              <w:t>6</w:t>
            </w:r>
            <w:r w:rsidR="00D56AC9">
              <w:t>)</w:t>
            </w:r>
          </w:p>
        </w:tc>
      </w:tr>
      <w:tr w:rsidR="00493B55" w:rsidRPr="00E10ADB" w:rsidTr="00E13A80">
        <w:trPr>
          <w:cnfStyle w:val="000000100000" w:firstRow="0" w:lastRow="0" w:firstColumn="0" w:lastColumn="0" w:oddVBand="0" w:evenVBand="0" w:oddHBand="1" w:evenHBand="0" w:firstRowFirstColumn="0" w:firstRowLastColumn="0" w:lastRowFirstColumn="0" w:lastRowLastColumn="0"/>
          <w:trHeight w:hRule="exact" w:val="120"/>
        </w:trPr>
        <w:tc>
          <w:tcPr>
            <w:cnfStyle w:val="001000000000" w:firstRow="0" w:lastRow="0" w:firstColumn="1" w:lastColumn="0" w:oddVBand="0" w:evenVBand="0" w:oddHBand="0" w:evenHBand="0" w:firstRowFirstColumn="0" w:firstRowLastColumn="0" w:lastRowFirstColumn="0" w:lastRowLastColumn="0"/>
            <w:tcW w:w="2293" w:type="dxa"/>
          </w:tcPr>
          <w:p w:rsidR="00845688" w:rsidRPr="008A601F" w:rsidRDefault="00845688" w:rsidP="00DE779D">
            <w:pPr>
              <w:pStyle w:val="Tabletext"/>
            </w:pPr>
          </w:p>
        </w:tc>
        <w:tc>
          <w:tcPr>
            <w:tcW w:w="270" w:type="dxa"/>
          </w:tcPr>
          <w:p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540" w:type="dxa"/>
          </w:tcPr>
          <w:p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6120" w:type="dxa"/>
          </w:tcPr>
          <w:p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r>
      <w:tr w:rsidR="00493B55" w:rsidRPr="00E10ADB" w:rsidTr="00E13A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845688" w:rsidRPr="008A601F" w:rsidRDefault="00845688" w:rsidP="00DE779D">
            <w:pPr>
              <w:pStyle w:val="Normalgrey"/>
            </w:pPr>
            <w:r w:rsidRPr="008A601F">
              <w:t>Purpose</w:t>
            </w:r>
          </w:p>
        </w:tc>
        <w:tc>
          <w:tcPr>
            <w:tcW w:w="270" w:type="dxa"/>
          </w:tcPr>
          <w:p w:rsidR="00845688" w:rsidRPr="004079E1" w:rsidRDefault="00845688" w:rsidP="0064365F">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rsidR="00845688" w:rsidRPr="004079E1" w:rsidRDefault="00845688" w:rsidP="00AC1D93">
            <w:pPr>
              <w:pStyle w:val="Refnum2"/>
              <w:cnfStyle w:val="000000010000" w:firstRow="0" w:lastRow="0" w:firstColumn="0" w:lastColumn="0" w:oddVBand="0" w:evenVBand="0" w:oddHBand="0" w:evenHBand="1" w:firstRowFirstColumn="0" w:firstRowLastColumn="0" w:lastRowFirstColumn="0" w:lastRowLastColumn="0"/>
            </w:pPr>
          </w:p>
        </w:tc>
        <w:tc>
          <w:tcPr>
            <w:tcW w:w="6120" w:type="dxa"/>
          </w:tcPr>
          <w:p w:rsidR="00845688" w:rsidRPr="00E43EFA" w:rsidRDefault="00313654" w:rsidP="00AC1D93">
            <w:pPr>
              <w:pStyle w:val="Normalgrey"/>
              <w:cnfStyle w:val="000000010000" w:firstRow="0" w:lastRow="0" w:firstColumn="0" w:lastColumn="0" w:oddVBand="0" w:evenVBand="0" w:oddHBand="0" w:evenHBand="1" w:firstRowFirstColumn="0" w:firstRowLastColumn="0" w:lastRowFirstColumn="0" w:lastRowLastColumn="0"/>
            </w:pPr>
            <w:r w:rsidRPr="00313654">
              <w:t>To prescribe to entities other than</w:t>
            </w:r>
            <w:r w:rsidR="00A143BB" w:rsidRPr="00313654">
              <w:t xml:space="preserve"> public financial corpor</w:t>
            </w:r>
            <w:r w:rsidRPr="00313654">
              <w:t>ations (PFCs)</w:t>
            </w:r>
            <w:r w:rsidR="00CF2AA8">
              <w:t xml:space="preserve"> the </w:t>
            </w:r>
            <w:r w:rsidRPr="00313654">
              <w:t>criteria for the designation of financial assets and financial liabilities</w:t>
            </w:r>
            <w:r w:rsidR="00CF2AA8">
              <w:t>.</w:t>
            </w:r>
          </w:p>
        </w:tc>
      </w:tr>
      <w:tr w:rsidR="00493B55" w:rsidRPr="00E10ADB" w:rsidTr="00216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845688" w:rsidRPr="00E10ADB" w:rsidRDefault="00845688" w:rsidP="00E23593">
            <w:pPr>
              <w:pStyle w:val="Normalbold"/>
            </w:pPr>
            <w:r>
              <w:t>Application</w:t>
            </w:r>
          </w:p>
        </w:tc>
        <w:tc>
          <w:tcPr>
            <w:tcW w:w="270" w:type="dxa"/>
            <w:shd w:val="clear" w:color="auto" w:fill="F2F2F2" w:themeFill="background1" w:themeFillShade="F2"/>
          </w:tcPr>
          <w:p w:rsidR="00845688" w:rsidRPr="00493B55" w:rsidRDefault="00845688" w:rsidP="0064365F">
            <w:pPr>
              <w:pStyle w:val="Refnum1"/>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845688" w:rsidRPr="00472918" w:rsidRDefault="00845688" w:rsidP="00AC1D93">
            <w:pPr>
              <w:pStyle w:val="Refnum2"/>
              <w:cnfStyle w:val="000000100000" w:firstRow="0" w:lastRow="0" w:firstColumn="0" w:lastColumn="0" w:oddVBand="0" w:evenVBand="0" w:oddHBand="1" w:evenHBand="0" w:firstRowFirstColumn="0" w:firstRowLastColumn="0" w:lastRowFirstColumn="0" w:lastRowLastColumn="0"/>
            </w:pPr>
          </w:p>
        </w:tc>
        <w:tc>
          <w:tcPr>
            <w:tcW w:w="6120" w:type="dxa"/>
            <w:shd w:val="clear" w:color="auto" w:fill="F2F2F2" w:themeFill="background1" w:themeFillShade="F2"/>
          </w:tcPr>
          <w:p w:rsidR="00845688" w:rsidRPr="00E10ADB" w:rsidRDefault="00313654" w:rsidP="00A3180A">
            <w:pPr>
              <w:cnfStyle w:val="000000100000" w:firstRow="0" w:lastRow="0" w:firstColumn="0" w:lastColumn="0" w:oddVBand="0" w:evenVBand="0" w:oddHBand="1" w:evenHBand="0" w:firstRowFirstColumn="0" w:firstRowLastColumn="0" w:lastRowFirstColumn="0" w:lastRowLastColumn="0"/>
            </w:pPr>
            <w:r w:rsidRPr="00313654">
              <w:t xml:space="preserve">Applies to all entities defined as either a public body or a department under section 3 of the </w:t>
            </w:r>
            <w:r w:rsidRPr="00313654">
              <w:rPr>
                <w:i/>
              </w:rPr>
              <w:t>Financial Management A</w:t>
            </w:r>
            <w:r w:rsidR="00E23593">
              <w:rPr>
                <w:i/>
              </w:rPr>
              <w:t>ct </w:t>
            </w:r>
            <w:r w:rsidRPr="008E06E6">
              <w:rPr>
                <w:i/>
              </w:rPr>
              <w:t xml:space="preserve">1994 </w:t>
            </w:r>
            <w:r w:rsidRPr="00313654">
              <w:t xml:space="preserve">except those entities which are not controlled by the State and whose financial position and result are thus not included in the Annual </w:t>
            </w:r>
            <w:r w:rsidRPr="00125DE6">
              <w:rPr>
                <w:i/>
              </w:rPr>
              <w:t>Financial Report for the State of Victoria</w:t>
            </w:r>
            <w:r w:rsidRPr="00313654">
              <w:t xml:space="preserve">. Application by those entities and by State owned companies is encouraged. </w:t>
            </w:r>
          </w:p>
        </w:tc>
      </w:tr>
      <w:tr w:rsidR="00BD21E3" w:rsidRPr="00E10ADB" w:rsidTr="002161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BD21E3" w:rsidRDefault="00BD21E3" w:rsidP="00E23593">
            <w:pPr>
              <w:pStyle w:val="Normalbold"/>
            </w:pPr>
          </w:p>
        </w:tc>
        <w:tc>
          <w:tcPr>
            <w:tcW w:w="270" w:type="dxa"/>
            <w:shd w:val="clear" w:color="auto" w:fill="F2F2F2" w:themeFill="background1" w:themeFillShade="F2"/>
          </w:tcPr>
          <w:p w:rsidR="00BD21E3" w:rsidRPr="00493B55" w:rsidRDefault="00BD21E3" w:rsidP="00493B55">
            <w:pPr>
              <w:pStyle w:val="Normal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BD21E3" w:rsidRPr="00472918" w:rsidRDefault="00BD21E3" w:rsidP="00AC1D93">
            <w:pPr>
              <w:pStyle w:val="Refnum2"/>
              <w:cnfStyle w:val="000000010000" w:firstRow="0" w:lastRow="0" w:firstColumn="0" w:lastColumn="0" w:oddVBand="0" w:evenVBand="0" w:oddHBand="0" w:evenHBand="1" w:firstRowFirstColumn="0" w:firstRowLastColumn="0" w:lastRowFirstColumn="0" w:lastRowLastColumn="0"/>
            </w:pPr>
          </w:p>
        </w:tc>
        <w:tc>
          <w:tcPr>
            <w:tcW w:w="6120" w:type="dxa"/>
            <w:shd w:val="clear" w:color="auto" w:fill="F2F2F2" w:themeFill="background1" w:themeFillShade="F2"/>
          </w:tcPr>
          <w:p w:rsidR="00BD21E3" w:rsidRPr="00313654" w:rsidRDefault="00BD21E3" w:rsidP="00313654">
            <w:pPr>
              <w:cnfStyle w:val="000000010000" w:firstRow="0" w:lastRow="0" w:firstColumn="0" w:lastColumn="0" w:oddVBand="0" w:evenVBand="0" w:oddHBand="0" w:evenHBand="1" w:firstRowFirstColumn="0" w:firstRowLastColumn="0" w:lastRowFirstColumn="0" w:lastRowLastColumn="0"/>
            </w:pPr>
            <w:r w:rsidRPr="00313654">
              <w:t>Excluded from the scope of this FRD are those</w:t>
            </w:r>
            <w:r w:rsidR="00A143BB" w:rsidRPr="00313654">
              <w:t xml:space="preserve"> public financial corporations </w:t>
            </w:r>
            <w:r w:rsidRPr="00313654">
              <w:t>to which FRD 116</w:t>
            </w:r>
            <w:r w:rsidR="00ED4041">
              <w:t>A</w:t>
            </w:r>
            <w:r w:rsidRPr="00313654">
              <w:t xml:space="preserve"> applies.</w:t>
            </w:r>
          </w:p>
        </w:tc>
      </w:tr>
      <w:tr w:rsidR="00495855" w:rsidRPr="00E10ADB" w:rsidTr="00216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495855" w:rsidRDefault="00495855" w:rsidP="00E23593">
            <w:pPr>
              <w:pStyle w:val="Normalbold"/>
            </w:pPr>
            <w:r>
              <w:t>Operative d</w:t>
            </w:r>
            <w:r w:rsidRPr="00E2009B">
              <w:t>ate</w:t>
            </w:r>
          </w:p>
        </w:tc>
        <w:tc>
          <w:tcPr>
            <w:tcW w:w="270" w:type="dxa"/>
            <w:shd w:val="clear" w:color="auto" w:fill="F2F2F2" w:themeFill="background1" w:themeFillShade="F2"/>
          </w:tcPr>
          <w:p w:rsidR="00495855" w:rsidRPr="00493B55" w:rsidRDefault="00495855" w:rsidP="004079E1">
            <w:pPr>
              <w:pStyle w:val="Refnum1"/>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495855" w:rsidRPr="00495855" w:rsidRDefault="00495855" w:rsidP="00AC1D93">
            <w:pPr>
              <w:pStyle w:val="Refnum2"/>
              <w:cnfStyle w:val="000000100000" w:firstRow="0" w:lastRow="0" w:firstColumn="0" w:lastColumn="0" w:oddVBand="0" w:evenVBand="0" w:oddHBand="1" w:evenHBand="0" w:firstRowFirstColumn="0" w:firstRowLastColumn="0" w:lastRowFirstColumn="0" w:lastRowLastColumn="0"/>
            </w:pPr>
          </w:p>
        </w:tc>
        <w:tc>
          <w:tcPr>
            <w:tcW w:w="6120" w:type="dxa"/>
            <w:shd w:val="clear" w:color="auto" w:fill="F2F2F2" w:themeFill="background1" w:themeFillShade="F2"/>
          </w:tcPr>
          <w:p w:rsidR="00495855" w:rsidRPr="00313654" w:rsidRDefault="00495855" w:rsidP="008522AC">
            <w:pPr>
              <w:cnfStyle w:val="000000100000" w:firstRow="0" w:lastRow="0" w:firstColumn="0" w:lastColumn="0" w:oddVBand="0" w:evenVBand="0" w:oddHBand="1" w:evenHBand="0" w:firstRowFirstColumn="0" w:firstRowLastColumn="0" w:lastRowFirstColumn="0" w:lastRowLastColumn="0"/>
            </w:pPr>
            <w:r w:rsidRPr="00313654">
              <w:t>Annual reporting periods commencing on or after 1</w:t>
            </w:r>
            <w:r w:rsidR="00E23593">
              <w:t> </w:t>
            </w:r>
            <w:r w:rsidRPr="00313654">
              <w:t>July 20</w:t>
            </w:r>
            <w:r w:rsidR="00945D7A">
              <w:t>15</w:t>
            </w:r>
            <w:r w:rsidR="008522AC">
              <w:t>.</w:t>
            </w:r>
          </w:p>
        </w:tc>
      </w:tr>
      <w:tr w:rsidR="00CF2AA8" w:rsidRPr="00E10ADB" w:rsidTr="002161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CF2AA8" w:rsidRDefault="00CF2AA8" w:rsidP="00E23593">
            <w:pPr>
              <w:pStyle w:val="Normalbold"/>
            </w:pPr>
          </w:p>
        </w:tc>
        <w:tc>
          <w:tcPr>
            <w:tcW w:w="270" w:type="dxa"/>
            <w:shd w:val="clear" w:color="auto" w:fill="F2F2F2" w:themeFill="background1" w:themeFillShade="F2"/>
          </w:tcPr>
          <w:p w:rsidR="00CF2AA8" w:rsidRPr="00493B55" w:rsidRDefault="00CF2AA8" w:rsidP="00493B55">
            <w:pPr>
              <w:pStyle w:val="Normal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CF2AA8" w:rsidRPr="00472918" w:rsidRDefault="00CF2AA8" w:rsidP="00AC1D93">
            <w:pPr>
              <w:pStyle w:val="Refnum2"/>
              <w:cnfStyle w:val="000000010000" w:firstRow="0" w:lastRow="0" w:firstColumn="0" w:lastColumn="0" w:oddVBand="0" w:evenVBand="0" w:oddHBand="0" w:evenHBand="1" w:firstRowFirstColumn="0" w:firstRowLastColumn="0" w:lastRowFirstColumn="0" w:lastRowLastColumn="0"/>
            </w:pPr>
          </w:p>
        </w:tc>
        <w:tc>
          <w:tcPr>
            <w:tcW w:w="6120" w:type="dxa"/>
            <w:shd w:val="clear" w:color="auto" w:fill="F2F2F2" w:themeFill="background1" w:themeFillShade="F2"/>
          </w:tcPr>
          <w:p w:rsidR="00CF2AA8" w:rsidRPr="00313654" w:rsidRDefault="00CF2AA8" w:rsidP="00CF2AA8">
            <w:pPr>
              <w:cnfStyle w:val="000000010000" w:firstRow="0" w:lastRow="0" w:firstColumn="0" w:lastColumn="0" w:oddVBand="0" w:evenVBand="0" w:oddHBand="0" w:evenHBand="1" w:firstRowFirstColumn="0" w:firstRowLastColumn="0" w:lastRowFirstColumn="0" w:lastRowLastColumn="0"/>
            </w:pPr>
            <w:r>
              <w:t xml:space="preserve">FRD 114A </w:t>
            </w:r>
            <w:r>
              <w:rPr>
                <w:i/>
              </w:rPr>
              <w:t xml:space="preserve">Financial </w:t>
            </w:r>
            <w:r w:rsidR="00A143BB">
              <w:rPr>
                <w:i/>
              </w:rPr>
              <w:t>instruments – general government entities and public non</w:t>
            </w:r>
            <w:r w:rsidR="00A143BB">
              <w:rPr>
                <w:i/>
              </w:rPr>
              <w:noBreakHyphen/>
              <w:t xml:space="preserve">financial corporations </w:t>
            </w:r>
            <w:r w:rsidR="00A143BB">
              <w:t>is withdraw</w:t>
            </w:r>
            <w:r>
              <w:t>n and superseded effective 1</w:t>
            </w:r>
            <w:r w:rsidR="003977A6">
              <w:t> </w:t>
            </w:r>
            <w:r>
              <w:t>July 2015.</w:t>
            </w:r>
          </w:p>
        </w:tc>
      </w:tr>
      <w:tr w:rsidR="00495855" w:rsidRPr="00E10ADB" w:rsidTr="00216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495855" w:rsidRDefault="00495855" w:rsidP="00E23593">
            <w:pPr>
              <w:pStyle w:val="Normalbold"/>
            </w:pPr>
            <w:r w:rsidRPr="00472918">
              <w:t>Requirement</w:t>
            </w:r>
            <w:r>
              <w:t>s</w:t>
            </w:r>
          </w:p>
        </w:tc>
        <w:tc>
          <w:tcPr>
            <w:tcW w:w="270" w:type="dxa"/>
            <w:shd w:val="clear" w:color="auto" w:fill="F2F2F2" w:themeFill="background1" w:themeFillShade="F2"/>
          </w:tcPr>
          <w:p w:rsidR="00495855" w:rsidRPr="00493B55" w:rsidRDefault="00495855" w:rsidP="0064365F">
            <w:pPr>
              <w:pStyle w:val="Refnum1"/>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495855" w:rsidRPr="00472918" w:rsidRDefault="00495855" w:rsidP="00AC1D93">
            <w:pPr>
              <w:pStyle w:val="Refnum2"/>
              <w:cnfStyle w:val="000000100000" w:firstRow="0" w:lastRow="0" w:firstColumn="0" w:lastColumn="0" w:oddVBand="0" w:evenVBand="0" w:oddHBand="1" w:evenHBand="0" w:firstRowFirstColumn="0" w:firstRowLastColumn="0" w:lastRowFirstColumn="0" w:lastRowLastColumn="0"/>
            </w:pPr>
          </w:p>
        </w:tc>
        <w:tc>
          <w:tcPr>
            <w:tcW w:w="6120" w:type="dxa"/>
            <w:shd w:val="clear" w:color="auto" w:fill="F2F2F2" w:themeFill="background1" w:themeFillShade="F2"/>
          </w:tcPr>
          <w:p w:rsidR="00495855" w:rsidRDefault="00495855">
            <w:pPr>
              <w:cnfStyle w:val="000000100000" w:firstRow="0" w:lastRow="0" w:firstColumn="0" w:lastColumn="0" w:oddVBand="0" w:evenVBand="0" w:oddHBand="1" w:evenHBand="0" w:firstRowFirstColumn="0" w:firstRowLastColumn="0" w:lastRowFirstColumn="0" w:lastRowLastColumn="0"/>
              <w:rPr>
                <w:b/>
              </w:rPr>
            </w:pPr>
            <w:r w:rsidRPr="00313654">
              <w:rPr>
                <w:b/>
              </w:rPr>
              <w:t>Designation of Financial Assets and Financial Liabilities:</w:t>
            </w:r>
          </w:p>
          <w:p w:rsidR="00AC1D93" w:rsidRPr="00445EB9" w:rsidRDefault="00AC1D93" w:rsidP="00AC1D93">
            <w:pPr>
              <w:cnfStyle w:val="000000100000" w:firstRow="0" w:lastRow="0" w:firstColumn="0" w:lastColumn="0" w:oddVBand="0" w:evenVBand="0" w:oddHBand="1" w:evenHBand="0" w:firstRowFirstColumn="0" w:firstRowLastColumn="0" w:lastRowFirstColumn="0" w:lastRowLastColumn="0"/>
              <w:rPr>
                <w:b/>
              </w:rPr>
            </w:pPr>
            <w:r w:rsidRPr="00313654">
              <w:t>Unless required to use some other basis by an Accounting Standard other than AASB 139, loans and receivables or financial liabilities are to be measure at amortised cost if the counter</w:t>
            </w:r>
            <w:r w:rsidR="00D71488">
              <w:noBreakHyphen/>
            </w:r>
            <w:r w:rsidRPr="00313654">
              <w:t>party to the transaction is another entity controlled by the State of Victoria.</w:t>
            </w:r>
            <w:r>
              <w:t xml:space="preserve"> </w:t>
            </w:r>
            <w:r w:rsidRPr="00313654">
              <w:t xml:space="preserve">The </w:t>
            </w:r>
            <w:r>
              <w:t>Consolidated Analysis and Reporting</w:t>
            </w:r>
            <w:r w:rsidRPr="00313654">
              <w:t xml:space="preserve"> </w:t>
            </w:r>
            <w:r>
              <w:t>t</w:t>
            </w:r>
            <w:r w:rsidRPr="00313654">
              <w:t xml:space="preserve">eam of the Department of Treasury and Finance (DTF) </w:t>
            </w:r>
            <w:r>
              <w:t>shall</w:t>
            </w:r>
            <w:r w:rsidRPr="00313654">
              <w:t xml:space="preserve"> be informed if a basis other than amortised cost is used to measure such financial assets and financial liabilities.</w:t>
            </w:r>
          </w:p>
        </w:tc>
      </w:tr>
      <w:tr w:rsidR="00495855" w:rsidRPr="00E10ADB" w:rsidTr="002161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495855" w:rsidRPr="00472918" w:rsidRDefault="00495855" w:rsidP="00E23593">
            <w:pPr>
              <w:pStyle w:val="Normalbold"/>
            </w:pPr>
          </w:p>
        </w:tc>
        <w:tc>
          <w:tcPr>
            <w:tcW w:w="270" w:type="dxa"/>
            <w:shd w:val="clear" w:color="auto" w:fill="F2F2F2" w:themeFill="background1" w:themeFillShade="F2"/>
          </w:tcPr>
          <w:p w:rsidR="00495855" w:rsidRPr="00493B55" w:rsidRDefault="00495855" w:rsidP="00493B55">
            <w:pPr>
              <w:pStyle w:val="Normal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495855" w:rsidRPr="00472918" w:rsidRDefault="00495855" w:rsidP="004079E1">
            <w:pPr>
              <w:pStyle w:val="Refnum2"/>
              <w:cnfStyle w:val="000000010000" w:firstRow="0" w:lastRow="0" w:firstColumn="0" w:lastColumn="0" w:oddVBand="0" w:evenVBand="0" w:oddHBand="0" w:evenHBand="1" w:firstRowFirstColumn="0" w:firstRowLastColumn="0" w:lastRowFirstColumn="0" w:lastRowLastColumn="0"/>
            </w:pPr>
          </w:p>
        </w:tc>
        <w:tc>
          <w:tcPr>
            <w:tcW w:w="6120" w:type="dxa"/>
            <w:shd w:val="clear" w:color="auto" w:fill="F2F2F2" w:themeFill="background1" w:themeFillShade="F2"/>
          </w:tcPr>
          <w:p w:rsidR="00AC1D93" w:rsidRPr="00313654" w:rsidRDefault="00AC1D93" w:rsidP="00AC1D93">
            <w:pPr>
              <w:cnfStyle w:val="000000010000" w:firstRow="0" w:lastRow="0" w:firstColumn="0" w:lastColumn="0" w:oddVBand="0" w:evenVBand="0" w:oddHBand="0" w:evenHBand="1" w:firstRowFirstColumn="0" w:firstRowLastColumn="0" w:lastRowFirstColumn="0" w:lastRowLastColumn="0"/>
            </w:pPr>
            <w:r w:rsidRPr="00313654">
              <w:t xml:space="preserve">Entities within the scope of this FRD </w:t>
            </w:r>
            <w:r>
              <w:t>shall</w:t>
            </w:r>
            <w:r w:rsidRPr="00313654">
              <w:t xml:space="preserve"> not designate financial assets or financial liabilities as at fair value through profit and loss on their initial recognition, unless one of the following criteria is met:</w:t>
            </w:r>
          </w:p>
          <w:p w:rsidR="00AC1D93" w:rsidRPr="00313654" w:rsidRDefault="00AC1D93" w:rsidP="00B02A03">
            <w:pPr>
              <w:pStyle w:val="Listnum"/>
              <w:cnfStyle w:val="000000010000" w:firstRow="0" w:lastRow="0" w:firstColumn="0" w:lastColumn="0" w:oddVBand="0" w:evenVBand="0" w:oddHBand="0" w:evenHBand="1" w:firstRowFirstColumn="0" w:firstRowLastColumn="0" w:lastRowFirstColumn="0" w:lastRowLastColumn="0"/>
            </w:pPr>
            <w:r w:rsidRPr="00313654">
              <w:t>the financial assets or financial liabilities are classified as 'held for trading' in accordance with AASB 139; or</w:t>
            </w:r>
          </w:p>
          <w:p w:rsidR="00495855" w:rsidRPr="00445EB9" w:rsidRDefault="00AC1D93" w:rsidP="00B02A03">
            <w:pPr>
              <w:pStyle w:val="Listnum"/>
              <w:cnfStyle w:val="000000010000" w:firstRow="0" w:lastRow="0" w:firstColumn="0" w:lastColumn="0" w:oddVBand="0" w:evenVBand="0" w:oddHBand="0" w:evenHBand="1" w:firstRowFirstColumn="0" w:firstRowLastColumn="0" w:lastRowFirstColumn="0" w:lastRowLastColumn="0"/>
            </w:pPr>
            <w:r w:rsidRPr="00313654">
              <w:t>the group of financial assets, financial liabilities or both is managed and its performance is evaluated on a fair value basis, in accordance with a documented risk management or investment strategy, and information about the group is provided internally on that basis to the entity's key mana</w:t>
            </w:r>
            <w:r w:rsidR="00ED31E5">
              <w:t>gement personnel (refer to AASB </w:t>
            </w:r>
            <w:r w:rsidRPr="00313654">
              <w:t>139).</w:t>
            </w:r>
          </w:p>
        </w:tc>
      </w:tr>
      <w:tr w:rsidR="00495855" w:rsidRPr="00E10ADB" w:rsidTr="00216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495855" w:rsidRPr="00472918" w:rsidRDefault="00495855" w:rsidP="00E23593">
            <w:pPr>
              <w:pStyle w:val="Normalbold"/>
            </w:pPr>
          </w:p>
        </w:tc>
        <w:tc>
          <w:tcPr>
            <w:tcW w:w="270" w:type="dxa"/>
            <w:shd w:val="clear" w:color="auto" w:fill="F2F2F2" w:themeFill="background1" w:themeFillShade="F2"/>
          </w:tcPr>
          <w:p w:rsidR="00495855" w:rsidRPr="00493B55" w:rsidRDefault="00495855" w:rsidP="00493B55">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495855" w:rsidRPr="00472918" w:rsidRDefault="00495855" w:rsidP="004079E1">
            <w:pPr>
              <w:pStyle w:val="Refnum2"/>
              <w:cnfStyle w:val="000000100000" w:firstRow="0" w:lastRow="0" w:firstColumn="0" w:lastColumn="0" w:oddVBand="0" w:evenVBand="0" w:oddHBand="1" w:evenHBand="0" w:firstRowFirstColumn="0" w:firstRowLastColumn="0" w:lastRowFirstColumn="0" w:lastRowLastColumn="0"/>
            </w:pPr>
          </w:p>
        </w:tc>
        <w:tc>
          <w:tcPr>
            <w:tcW w:w="6120" w:type="dxa"/>
            <w:shd w:val="clear" w:color="auto" w:fill="F2F2F2" w:themeFill="background1" w:themeFillShade="F2"/>
          </w:tcPr>
          <w:p w:rsidR="00495855" w:rsidRPr="00445EB9" w:rsidRDefault="00AC1D93" w:rsidP="00AC1D93">
            <w:pPr>
              <w:cnfStyle w:val="000000100000" w:firstRow="0" w:lastRow="0" w:firstColumn="0" w:lastColumn="0" w:oddVBand="0" w:evenVBand="0" w:oddHBand="1" w:evenHBand="0" w:firstRowFirstColumn="0" w:firstRowLastColumn="0" w:lastRowFirstColumn="0" w:lastRowLastColumn="0"/>
            </w:pPr>
            <w:r w:rsidRPr="00313654">
              <w:t xml:space="preserve">Other loans and receivables that are not quoted in an active market </w:t>
            </w:r>
            <w:r>
              <w:t>shall</w:t>
            </w:r>
            <w:r w:rsidRPr="00313654">
              <w:t xml:space="preserve"> be measured at amortised cost.</w:t>
            </w:r>
          </w:p>
        </w:tc>
      </w:tr>
      <w:tr w:rsidR="00495855" w:rsidRPr="00E10ADB" w:rsidTr="002161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495855" w:rsidRPr="00472918" w:rsidRDefault="00495855" w:rsidP="00E23593">
            <w:pPr>
              <w:pStyle w:val="Normalbold"/>
            </w:pPr>
          </w:p>
        </w:tc>
        <w:tc>
          <w:tcPr>
            <w:tcW w:w="270" w:type="dxa"/>
            <w:shd w:val="clear" w:color="auto" w:fill="F2F2F2" w:themeFill="background1" w:themeFillShade="F2"/>
          </w:tcPr>
          <w:p w:rsidR="00495855" w:rsidRPr="00493B55" w:rsidRDefault="00495855" w:rsidP="00493B55">
            <w:pPr>
              <w:pStyle w:val="Normal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495855" w:rsidRPr="00472918" w:rsidRDefault="00495855" w:rsidP="004079E1">
            <w:pPr>
              <w:pStyle w:val="Refnum2"/>
              <w:cnfStyle w:val="000000010000" w:firstRow="0" w:lastRow="0" w:firstColumn="0" w:lastColumn="0" w:oddVBand="0" w:evenVBand="0" w:oddHBand="0" w:evenHBand="1" w:firstRowFirstColumn="0" w:firstRowLastColumn="0" w:lastRowFirstColumn="0" w:lastRowLastColumn="0"/>
            </w:pPr>
          </w:p>
        </w:tc>
        <w:tc>
          <w:tcPr>
            <w:tcW w:w="6120" w:type="dxa"/>
            <w:shd w:val="clear" w:color="auto" w:fill="F2F2F2" w:themeFill="background1" w:themeFillShade="F2"/>
          </w:tcPr>
          <w:p w:rsidR="00495855" w:rsidRPr="00313654" w:rsidRDefault="00AC1D93" w:rsidP="00ED31E5">
            <w:pPr>
              <w:cnfStyle w:val="000000010000" w:firstRow="0" w:lastRow="0" w:firstColumn="0" w:lastColumn="0" w:oddVBand="0" w:evenVBand="0" w:oddHBand="0" w:evenHBand="1" w:firstRowFirstColumn="0" w:firstRowLastColumn="0" w:lastRowFirstColumn="0" w:lastRowLastColumn="0"/>
            </w:pPr>
            <w:r w:rsidRPr="00313654">
              <w:t xml:space="preserve">In certain cases, there may be a preference for classifying certain financial assets as </w:t>
            </w:r>
            <w:r>
              <w:t>‘</w:t>
            </w:r>
            <w:r w:rsidRPr="00313654">
              <w:t>held to maturity</w:t>
            </w:r>
            <w:r>
              <w:t>’</w:t>
            </w:r>
            <w:r w:rsidRPr="00313654">
              <w:t xml:space="preserve">. In such cases (because of the risk of tainting the class), entities </w:t>
            </w:r>
            <w:r>
              <w:t>shall</w:t>
            </w:r>
            <w:r w:rsidRPr="00313654">
              <w:t xml:space="preserve"> seek prior written approval from DTF for nominated financial assets to be classified as </w:t>
            </w:r>
            <w:r>
              <w:t>‘</w:t>
            </w:r>
            <w:r w:rsidRPr="00313654">
              <w:t>held</w:t>
            </w:r>
            <w:r w:rsidR="00D71488">
              <w:noBreakHyphen/>
            </w:r>
            <w:r w:rsidRPr="00313654">
              <w:t>to maturity</w:t>
            </w:r>
            <w:r>
              <w:t>’</w:t>
            </w:r>
            <w:r w:rsidRPr="00313654">
              <w:t>. As such they are measured at amortised cost, subject to reassessment at each balance date. Typically these would be term deposits where the intention and practice is to hold to maturity.</w:t>
            </w:r>
          </w:p>
        </w:tc>
      </w:tr>
      <w:tr w:rsidR="00AC1D93" w:rsidRPr="00E10ADB" w:rsidTr="00216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AC1D93" w:rsidRPr="00472918" w:rsidRDefault="00AC1D93" w:rsidP="00E23593">
            <w:pPr>
              <w:pStyle w:val="Normalbold"/>
            </w:pPr>
          </w:p>
        </w:tc>
        <w:tc>
          <w:tcPr>
            <w:tcW w:w="270" w:type="dxa"/>
            <w:shd w:val="clear" w:color="auto" w:fill="F2F2F2" w:themeFill="background1" w:themeFillShade="F2"/>
          </w:tcPr>
          <w:p w:rsidR="00AC1D93" w:rsidRPr="00493B55" w:rsidRDefault="00AC1D93" w:rsidP="00493B55">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AC1D93" w:rsidRPr="00472918" w:rsidRDefault="00AC1D93" w:rsidP="004079E1">
            <w:pPr>
              <w:pStyle w:val="Refnum2"/>
              <w:cnfStyle w:val="000000100000" w:firstRow="0" w:lastRow="0" w:firstColumn="0" w:lastColumn="0" w:oddVBand="0" w:evenVBand="0" w:oddHBand="1" w:evenHBand="0" w:firstRowFirstColumn="0" w:firstRowLastColumn="0" w:lastRowFirstColumn="0" w:lastRowLastColumn="0"/>
            </w:pPr>
          </w:p>
        </w:tc>
        <w:tc>
          <w:tcPr>
            <w:tcW w:w="6120" w:type="dxa"/>
            <w:shd w:val="clear" w:color="auto" w:fill="F2F2F2" w:themeFill="background1" w:themeFillShade="F2"/>
          </w:tcPr>
          <w:p w:rsidR="00AC1D93" w:rsidRPr="00313654" w:rsidRDefault="00AC1D93" w:rsidP="007F7562">
            <w:pPr>
              <w:cnfStyle w:val="000000100000" w:firstRow="0" w:lastRow="0" w:firstColumn="0" w:lastColumn="0" w:oddVBand="0" w:evenVBand="0" w:oddHBand="1" w:evenHBand="0" w:firstRowFirstColumn="0" w:firstRowLastColumn="0" w:lastRowFirstColumn="0" w:lastRowLastColumn="0"/>
            </w:pPr>
            <w:r w:rsidRPr="00313654">
              <w:t xml:space="preserve">All derivatives (other than those designated as an accounting hedge) </w:t>
            </w:r>
            <w:r>
              <w:t>shall</w:t>
            </w:r>
            <w:r w:rsidRPr="00313654">
              <w:t xml:space="preserve"> be recognised as a financial asset or financial liability at fair value through profit and loss.</w:t>
            </w:r>
          </w:p>
        </w:tc>
      </w:tr>
      <w:tr w:rsidR="00AC1D93" w:rsidRPr="00E10ADB" w:rsidTr="002161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AC1D93" w:rsidRPr="00472918" w:rsidRDefault="00AC1D93" w:rsidP="00E23593">
            <w:pPr>
              <w:pStyle w:val="Normalbold"/>
            </w:pPr>
          </w:p>
        </w:tc>
        <w:tc>
          <w:tcPr>
            <w:tcW w:w="270" w:type="dxa"/>
            <w:shd w:val="clear" w:color="auto" w:fill="F2F2F2" w:themeFill="background1" w:themeFillShade="F2"/>
          </w:tcPr>
          <w:p w:rsidR="00AC1D93" w:rsidRPr="00493B55" w:rsidRDefault="00AC1D93" w:rsidP="00493B55">
            <w:pPr>
              <w:pStyle w:val="Normal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AC1D93" w:rsidRPr="00472918" w:rsidRDefault="00AC1D93" w:rsidP="004079E1">
            <w:pPr>
              <w:pStyle w:val="Refnum2"/>
              <w:cnfStyle w:val="000000010000" w:firstRow="0" w:lastRow="0" w:firstColumn="0" w:lastColumn="0" w:oddVBand="0" w:evenVBand="0" w:oddHBand="0" w:evenHBand="1" w:firstRowFirstColumn="0" w:firstRowLastColumn="0" w:lastRowFirstColumn="0" w:lastRowLastColumn="0"/>
            </w:pPr>
          </w:p>
        </w:tc>
        <w:tc>
          <w:tcPr>
            <w:tcW w:w="6120" w:type="dxa"/>
            <w:shd w:val="clear" w:color="auto" w:fill="F2F2F2" w:themeFill="background1" w:themeFillShade="F2"/>
          </w:tcPr>
          <w:p w:rsidR="00AC1D93" w:rsidRPr="00313654" w:rsidRDefault="00AC1D93" w:rsidP="00C673CA">
            <w:pPr>
              <w:cnfStyle w:val="000000010000" w:firstRow="0" w:lastRow="0" w:firstColumn="0" w:lastColumn="0" w:oddVBand="0" w:evenVBand="0" w:oddHBand="0" w:evenHBand="1" w:firstRowFirstColumn="0" w:firstRowLastColumn="0" w:lastRowFirstColumn="0" w:lastRowLastColumn="0"/>
            </w:pPr>
            <w:r w:rsidRPr="00313654">
              <w:t xml:space="preserve">Financial assets that are within the scope of AASB 139 and that support general insurance liabilities </w:t>
            </w:r>
            <w:r>
              <w:t>shall</w:t>
            </w:r>
            <w:r w:rsidRPr="00313654">
              <w:t xml:space="preserve"> be reported at fair value through profit and loss.</w:t>
            </w:r>
          </w:p>
        </w:tc>
      </w:tr>
      <w:tr w:rsidR="00AC1D93" w:rsidRPr="00E10ADB" w:rsidTr="00216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AC1D93" w:rsidRPr="00472918" w:rsidRDefault="00AC1D93" w:rsidP="00E23593">
            <w:pPr>
              <w:pStyle w:val="Normalbold"/>
            </w:pPr>
          </w:p>
        </w:tc>
        <w:tc>
          <w:tcPr>
            <w:tcW w:w="270" w:type="dxa"/>
            <w:shd w:val="clear" w:color="auto" w:fill="F2F2F2" w:themeFill="background1" w:themeFillShade="F2"/>
          </w:tcPr>
          <w:p w:rsidR="00AC1D93" w:rsidRPr="00493B55" w:rsidRDefault="00AC1D93" w:rsidP="00493B55">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AC1D93" w:rsidRPr="00472918" w:rsidRDefault="00AC1D93" w:rsidP="004079E1">
            <w:pPr>
              <w:pStyle w:val="Refnum2"/>
              <w:cnfStyle w:val="000000100000" w:firstRow="0" w:lastRow="0" w:firstColumn="0" w:lastColumn="0" w:oddVBand="0" w:evenVBand="0" w:oddHBand="1" w:evenHBand="0" w:firstRowFirstColumn="0" w:firstRowLastColumn="0" w:lastRowFirstColumn="0" w:lastRowLastColumn="0"/>
            </w:pPr>
          </w:p>
        </w:tc>
        <w:tc>
          <w:tcPr>
            <w:tcW w:w="6120" w:type="dxa"/>
            <w:shd w:val="clear" w:color="auto" w:fill="F2F2F2" w:themeFill="background1" w:themeFillShade="F2"/>
          </w:tcPr>
          <w:p w:rsidR="00AC1D93" w:rsidRPr="00313654" w:rsidRDefault="00AC1D93" w:rsidP="004079E1">
            <w:pPr>
              <w:cnfStyle w:val="000000100000" w:firstRow="0" w:lastRow="0" w:firstColumn="0" w:lastColumn="0" w:oddVBand="0" w:evenVBand="0" w:oddHBand="1" w:evenHBand="0" w:firstRowFirstColumn="0" w:firstRowLastColumn="0" w:lastRowFirstColumn="0" w:lastRowLastColumn="0"/>
            </w:pPr>
            <w:r w:rsidRPr="00313654">
              <w:t xml:space="preserve">All other financial assets </w:t>
            </w:r>
            <w:r>
              <w:t>shall</w:t>
            </w:r>
            <w:r w:rsidRPr="00313654">
              <w:t xml:space="preserve"> be classified as </w:t>
            </w:r>
            <w:r>
              <w:t>‘</w:t>
            </w:r>
            <w:r w:rsidRPr="00313654">
              <w:t>available for sale</w:t>
            </w:r>
            <w:r>
              <w:t>’</w:t>
            </w:r>
            <w:r w:rsidRPr="00313654">
              <w:t xml:space="preserve">. As such they </w:t>
            </w:r>
            <w:r>
              <w:t>shall</w:t>
            </w:r>
            <w:r w:rsidRPr="00313654">
              <w:t xml:space="preserve"> be measured at fair value with movements (other than related to interest on any foreign exchange component of the fair value) reflected in equity until the asset is derecognised. Interest income for financial assets classified as </w:t>
            </w:r>
            <w:r>
              <w:t>‘</w:t>
            </w:r>
            <w:r w:rsidRPr="00313654">
              <w:t>available for sale</w:t>
            </w:r>
            <w:r>
              <w:t>’</w:t>
            </w:r>
            <w:r w:rsidRPr="00313654">
              <w:t xml:space="preserve"> is recognised directly in profit and loss and based on amortised cost.</w:t>
            </w:r>
          </w:p>
        </w:tc>
      </w:tr>
      <w:tr w:rsidR="00AC1D93" w:rsidRPr="00E10ADB" w:rsidTr="002161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AC1D93" w:rsidRPr="00472918" w:rsidRDefault="00AC1D93" w:rsidP="00E23593">
            <w:pPr>
              <w:pStyle w:val="Normalbold"/>
            </w:pPr>
          </w:p>
        </w:tc>
        <w:tc>
          <w:tcPr>
            <w:tcW w:w="270" w:type="dxa"/>
            <w:shd w:val="clear" w:color="auto" w:fill="F2F2F2" w:themeFill="background1" w:themeFillShade="F2"/>
          </w:tcPr>
          <w:p w:rsidR="00AC1D93" w:rsidRPr="00493B55" w:rsidRDefault="00AC1D93" w:rsidP="00493B55">
            <w:pPr>
              <w:pStyle w:val="Normal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AC1D93" w:rsidRPr="00472918" w:rsidRDefault="00AC1D93" w:rsidP="004079E1">
            <w:pPr>
              <w:pStyle w:val="Refnum2"/>
              <w:cnfStyle w:val="000000010000" w:firstRow="0" w:lastRow="0" w:firstColumn="0" w:lastColumn="0" w:oddVBand="0" w:evenVBand="0" w:oddHBand="0" w:evenHBand="1" w:firstRowFirstColumn="0" w:firstRowLastColumn="0" w:lastRowFirstColumn="0" w:lastRowLastColumn="0"/>
            </w:pPr>
          </w:p>
        </w:tc>
        <w:tc>
          <w:tcPr>
            <w:tcW w:w="6120" w:type="dxa"/>
            <w:shd w:val="clear" w:color="auto" w:fill="F2F2F2" w:themeFill="background1" w:themeFillShade="F2"/>
          </w:tcPr>
          <w:p w:rsidR="00AC1D93" w:rsidRPr="00313654" w:rsidRDefault="00AC1D93" w:rsidP="004079E1">
            <w:pPr>
              <w:cnfStyle w:val="000000010000" w:firstRow="0" w:lastRow="0" w:firstColumn="0" w:lastColumn="0" w:oddVBand="0" w:evenVBand="0" w:oddHBand="0" w:evenHBand="1" w:firstRowFirstColumn="0" w:firstRowLastColumn="0" w:lastRowFirstColumn="0" w:lastRowLastColumn="0"/>
            </w:pPr>
            <w:r w:rsidRPr="00313654">
              <w:t xml:space="preserve">Financial liabilities that are not quoted in an active market </w:t>
            </w:r>
            <w:r>
              <w:t>shall</w:t>
            </w:r>
            <w:r w:rsidRPr="00313654">
              <w:t xml:space="preserve"> be</w:t>
            </w:r>
            <w:r w:rsidRPr="00313654">
              <w:rPr>
                <w:b/>
                <w:bCs/>
              </w:rPr>
              <w:t xml:space="preserve"> </w:t>
            </w:r>
            <w:r w:rsidRPr="00313654">
              <w:t>measured at amortised cost.</w:t>
            </w:r>
          </w:p>
        </w:tc>
      </w:tr>
      <w:tr w:rsidR="00AC1D93" w:rsidRPr="00E10ADB" w:rsidTr="00216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AC1D93" w:rsidRPr="00472918" w:rsidRDefault="00AC1D93" w:rsidP="00E23593">
            <w:pPr>
              <w:pStyle w:val="Normalbold"/>
            </w:pPr>
          </w:p>
        </w:tc>
        <w:tc>
          <w:tcPr>
            <w:tcW w:w="270" w:type="dxa"/>
            <w:shd w:val="clear" w:color="auto" w:fill="F2F2F2" w:themeFill="background1" w:themeFillShade="F2"/>
          </w:tcPr>
          <w:p w:rsidR="00AC1D93" w:rsidRPr="00493B55" w:rsidRDefault="00AC1D93" w:rsidP="00493B55">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AC1D93" w:rsidRPr="00472918" w:rsidRDefault="00AC1D93" w:rsidP="004079E1">
            <w:pPr>
              <w:pStyle w:val="Refnum2"/>
              <w:cnfStyle w:val="000000100000" w:firstRow="0" w:lastRow="0" w:firstColumn="0" w:lastColumn="0" w:oddVBand="0" w:evenVBand="0" w:oddHBand="1" w:evenHBand="0" w:firstRowFirstColumn="0" w:firstRowLastColumn="0" w:lastRowFirstColumn="0" w:lastRowLastColumn="0"/>
            </w:pPr>
          </w:p>
        </w:tc>
        <w:tc>
          <w:tcPr>
            <w:tcW w:w="6120" w:type="dxa"/>
            <w:shd w:val="clear" w:color="auto" w:fill="F2F2F2" w:themeFill="background1" w:themeFillShade="F2"/>
          </w:tcPr>
          <w:p w:rsidR="00AC1D93" w:rsidRPr="00313654" w:rsidRDefault="00AC1D93" w:rsidP="00AC1D93">
            <w:pPr>
              <w:cnfStyle w:val="000000100000" w:firstRow="0" w:lastRow="0" w:firstColumn="0" w:lastColumn="0" w:oddVBand="0" w:evenVBand="0" w:oddHBand="1" w:evenHBand="0" w:firstRowFirstColumn="0" w:firstRowLastColumn="0" w:lastRowFirstColumn="0" w:lastRowLastColumn="0"/>
            </w:pPr>
            <w:r w:rsidRPr="00313654">
              <w:t>The following are excluded from the above requirements:</w:t>
            </w:r>
          </w:p>
          <w:p w:rsidR="00AC1D93" w:rsidRPr="00313654" w:rsidRDefault="00AC1D93" w:rsidP="003977A6">
            <w:pPr>
              <w:pStyle w:val="Listnum"/>
              <w:numPr>
                <w:ilvl w:val="0"/>
                <w:numId w:val="21"/>
              </w:numPr>
              <w:cnfStyle w:val="000000100000" w:firstRow="0" w:lastRow="0" w:firstColumn="0" w:lastColumn="0" w:oddVBand="0" w:evenVBand="0" w:oddHBand="1" w:evenHBand="0" w:firstRowFirstColumn="0" w:firstRowLastColumn="0" w:lastRowFirstColumn="0" w:lastRowLastColumn="0"/>
            </w:pPr>
            <w:r w:rsidRPr="00313654">
              <w:t xml:space="preserve">interests in subsidiaries, associates and joint ventures; employers’ rights and obligations under employee benefit plans, finance leases and liabilities under insurance contracts or other types of financial instruments excluded from the scope of AASB 132 and AASB 139; </w:t>
            </w:r>
          </w:p>
          <w:p w:rsidR="00AC1D93" w:rsidRPr="00313654" w:rsidRDefault="00AC1D93" w:rsidP="00B02A03">
            <w:pPr>
              <w:pStyle w:val="Listnum"/>
              <w:cnfStyle w:val="000000100000" w:firstRow="0" w:lastRow="0" w:firstColumn="0" w:lastColumn="0" w:oddVBand="0" w:evenVBand="0" w:oddHBand="1" w:evenHBand="0" w:firstRowFirstColumn="0" w:firstRowLastColumn="0" w:lastRowFirstColumn="0" w:lastRowLastColumn="0"/>
            </w:pPr>
            <w:r w:rsidRPr="00313654">
              <w:t xml:space="preserve">financial instruments for which the </w:t>
            </w:r>
            <w:r>
              <w:t xml:space="preserve">Consolidated Analysis and Reporting  team </w:t>
            </w:r>
            <w:r w:rsidRPr="00313654">
              <w:t>of DTF has given the entity prior written approval to treat in a particular way.</w:t>
            </w:r>
          </w:p>
        </w:tc>
      </w:tr>
      <w:tr w:rsidR="00AC1D93" w:rsidRPr="00E10ADB" w:rsidTr="002161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AC1D93" w:rsidRPr="00472918" w:rsidRDefault="00AC1D93" w:rsidP="00E23593">
            <w:pPr>
              <w:pStyle w:val="Normalbold"/>
            </w:pPr>
          </w:p>
        </w:tc>
        <w:tc>
          <w:tcPr>
            <w:tcW w:w="270" w:type="dxa"/>
            <w:shd w:val="clear" w:color="auto" w:fill="F2F2F2" w:themeFill="background1" w:themeFillShade="F2"/>
          </w:tcPr>
          <w:p w:rsidR="00AC1D93" w:rsidRPr="00493B55" w:rsidRDefault="00AC1D93" w:rsidP="00493B55">
            <w:pPr>
              <w:pStyle w:val="Normal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AC1D93" w:rsidRPr="00472918" w:rsidRDefault="00AC1D93" w:rsidP="004079E1">
            <w:pPr>
              <w:pStyle w:val="Refnum2"/>
              <w:cnfStyle w:val="000000010000" w:firstRow="0" w:lastRow="0" w:firstColumn="0" w:lastColumn="0" w:oddVBand="0" w:evenVBand="0" w:oddHBand="0" w:evenHBand="1" w:firstRowFirstColumn="0" w:firstRowLastColumn="0" w:lastRowFirstColumn="0" w:lastRowLastColumn="0"/>
            </w:pPr>
          </w:p>
        </w:tc>
        <w:tc>
          <w:tcPr>
            <w:tcW w:w="6120" w:type="dxa"/>
            <w:shd w:val="clear" w:color="auto" w:fill="F2F2F2" w:themeFill="background1" w:themeFillShade="F2"/>
          </w:tcPr>
          <w:p w:rsidR="00AC1D93" w:rsidRPr="00313654" w:rsidRDefault="00CF3DBD" w:rsidP="00CF3DBD">
            <w:pPr>
              <w:cnfStyle w:val="000000010000" w:firstRow="0" w:lastRow="0" w:firstColumn="0" w:lastColumn="0" w:oddVBand="0" w:evenVBand="0" w:oddHBand="0" w:evenHBand="1" w:firstRowFirstColumn="0" w:firstRowLastColumn="0" w:lastRowFirstColumn="0" w:lastRowLastColumn="0"/>
            </w:pPr>
            <w:r w:rsidRPr="00313654">
              <w:t>If formal hedge accounting compliant with AASB 132/139 is applied to an anticipated transaction related to non</w:t>
            </w:r>
            <w:r w:rsidR="00D71488">
              <w:noBreakHyphen/>
            </w:r>
            <w:r w:rsidRPr="00313654">
              <w:t>financial assets and liabilities (such as capital and inventory purchases) and subsequently results in the recognition of a non</w:t>
            </w:r>
            <w:r w:rsidR="00D71488">
              <w:noBreakHyphen/>
            </w:r>
            <w:r w:rsidRPr="00313654">
              <w:t>financial asset or a non</w:t>
            </w:r>
            <w:r w:rsidR="00D71488">
              <w:noBreakHyphen/>
            </w:r>
            <w:r w:rsidRPr="00313654">
              <w:t xml:space="preserve">financial liability, then an entity </w:t>
            </w:r>
            <w:r>
              <w:t>shall</w:t>
            </w:r>
            <w:r w:rsidRPr="00313654">
              <w:t xml:space="preserve"> remove any associated gains and losses that were recognised directly in equity (hedging reserve) in accordance with the requirements for accounting for cash flow hedges contained within AASB 139, and include them in the initial cost or other carrying amount of the asset.</w:t>
            </w:r>
          </w:p>
        </w:tc>
      </w:tr>
      <w:tr w:rsidR="00CF3DBD" w:rsidRPr="00E10ADB" w:rsidTr="00216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CF3DBD" w:rsidRPr="00472918" w:rsidRDefault="00CF3DBD" w:rsidP="00E23593">
            <w:pPr>
              <w:pStyle w:val="Normalbold"/>
            </w:pPr>
          </w:p>
        </w:tc>
        <w:tc>
          <w:tcPr>
            <w:tcW w:w="270" w:type="dxa"/>
            <w:shd w:val="clear" w:color="auto" w:fill="F2F2F2" w:themeFill="background1" w:themeFillShade="F2"/>
          </w:tcPr>
          <w:p w:rsidR="00CF3DBD" w:rsidRPr="00493B55" w:rsidRDefault="00CF3DBD" w:rsidP="00493B55">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CF3DBD" w:rsidRPr="00472918" w:rsidRDefault="00CF3DBD" w:rsidP="004079E1">
            <w:pPr>
              <w:pStyle w:val="Refnum2"/>
              <w:cnfStyle w:val="000000100000" w:firstRow="0" w:lastRow="0" w:firstColumn="0" w:lastColumn="0" w:oddVBand="0" w:evenVBand="0" w:oddHBand="1" w:evenHBand="0" w:firstRowFirstColumn="0" w:firstRowLastColumn="0" w:lastRowFirstColumn="0" w:lastRowLastColumn="0"/>
            </w:pPr>
          </w:p>
        </w:tc>
        <w:tc>
          <w:tcPr>
            <w:tcW w:w="6120" w:type="dxa"/>
            <w:shd w:val="clear" w:color="auto" w:fill="F2F2F2" w:themeFill="background1" w:themeFillShade="F2"/>
          </w:tcPr>
          <w:p w:rsidR="00CF3DBD" w:rsidRPr="00313654" w:rsidRDefault="00CF3DBD" w:rsidP="00C60F8D">
            <w:pPr>
              <w:cnfStyle w:val="000000100000" w:firstRow="0" w:lastRow="0" w:firstColumn="0" w:lastColumn="0" w:oddVBand="0" w:evenVBand="0" w:oddHBand="1" w:evenHBand="0" w:firstRowFirstColumn="0" w:firstRowLastColumn="0" w:lastRowFirstColumn="0" w:lastRowLastColumn="0"/>
            </w:pPr>
            <w:r w:rsidRPr="00313654">
              <w:t>The matrix set out in Appendix A outlines these requirements.</w:t>
            </w:r>
          </w:p>
        </w:tc>
      </w:tr>
      <w:tr w:rsidR="00CF3DBD" w:rsidRPr="00E10ADB" w:rsidTr="00E13A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CF3DBD" w:rsidRPr="00E2009B" w:rsidRDefault="00CF3DBD" w:rsidP="00DE779D">
            <w:pPr>
              <w:pStyle w:val="Normalgrey"/>
            </w:pPr>
            <w:r w:rsidRPr="00E2009B">
              <w:lastRenderedPageBreak/>
              <w:t>Definitions</w:t>
            </w:r>
          </w:p>
        </w:tc>
        <w:tc>
          <w:tcPr>
            <w:tcW w:w="270" w:type="dxa"/>
          </w:tcPr>
          <w:p w:rsidR="00CF3DBD" w:rsidRPr="004079E1" w:rsidRDefault="00CF3DBD" w:rsidP="0064365F">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rsidR="00CF3DBD" w:rsidRPr="004079E1" w:rsidRDefault="00CF3DBD" w:rsidP="004079E1">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20" w:type="dxa"/>
          </w:tcPr>
          <w:p w:rsidR="00CF3DBD" w:rsidRPr="00313654" w:rsidRDefault="00CF3DBD" w:rsidP="0064365F">
            <w:pPr>
              <w:pStyle w:val="Bullet1grey"/>
              <w:contextualSpacing w:val="0"/>
              <w:cnfStyle w:val="000000010000" w:firstRow="0" w:lastRow="0" w:firstColumn="0" w:lastColumn="0" w:oddVBand="0" w:evenVBand="0" w:oddHBand="0" w:evenHBand="1" w:firstRowFirstColumn="0" w:firstRowLastColumn="0" w:lastRowFirstColumn="0" w:lastRowLastColumn="0"/>
              <w:rPr>
                <w:b/>
                <w:bCs/>
              </w:rPr>
            </w:pPr>
            <w:r w:rsidRPr="00313654">
              <w:rPr>
                <w:b/>
                <w:bCs/>
                <w:i/>
                <w:iCs/>
              </w:rPr>
              <w:t>Embedded derivatives:</w:t>
            </w:r>
            <w:r w:rsidR="00D71488">
              <w:rPr>
                <w:b/>
                <w:bCs/>
              </w:rPr>
              <w:t xml:space="preserve"> </w:t>
            </w:r>
            <w:r w:rsidRPr="00313654">
              <w:t>a</w:t>
            </w:r>
            <w:r w:rsidRPr="00313654">
              <w:rPr>
                <w:lang w:val="en-US"/>
              </w:rPr>
              <w:t xml:space="preserve"> component of a hybrid (combined) instrument that also includes a non</w:t>
            </w:r>
            <w:r w:rsidR="00D71488">
              <w:rPr>
                <w:lang w:val="en-US"/>
              </w:rPr>
              <w:noBreakHyphen/>
            </w:r>
            <w:r w:rsidRPr="00313654">
              <w:rPr>
                <w:lang w:val="en-US"/>
              </w:rPr>
              <w:t>derivative host contract – with the effect that some of the cash flows of the combined instrument vary in a way similar to a stand</w:t>
            </w:r>
            <w:r w:rsidR="00D71488">
              <w:rPr>
                <w:lang w:val="en-US"/>
              </w:rPr>
              <w:noBreakHyphen/>
            </w:r>
            <w:r w:rsidRPr="00313654">
              <w:rPr>
                <w:lang w:val="en-US"/>
              </w:rPr>
              <w:t>alone derivative.</w:t>
            </w:r>
          </w:p>
          <w:p w:rsidR="00CF3DBD" w:rsidRPr="00313654" w:rsidRDefault="00CF3DBD" w:rsidP="000960F3">
            <w:pPr>
              <w:pStyle w:val="Bullet1grey"/>
              <w:cnfStyle w:val="000000010000" w:firstRow="0" w:lastRow="0" w:firstColumn="0" w:lastColumn="0" w:oddVBand="0" w:evenVBand="0" w:oddHBand="0" w:evenHBand="1" w:firstRowFirstColumn="0" w:firstRowLastColumn="0" w:lastRowFirstColumn="0" w:lastRowLastColumn="0"/>
            </w:pPr>
            <w:r w:rsidRPr="00313654">
              <w:rPr>
                <w:b/>
                <w:bCs/>
                <w:i/>
                <w:iCs/>
              </w:rPr>
              <w:t>Hedge accounting</w:t>
            </w:r>
            <w:r w:rsidRPr="00313654">
              <w:rPr>
                <w:i/>
                <w:iCs/>
              </w:rPr>
              <w:t>:</w:t>
            </w:r>
            <w:r w:rsidRPr="00313654">
              <w:t xml:space="preserve"> the practice of identifying certain transactions as establishing a hedge against unwanted variations in other transactions and then accounting for these hedge transactions by valuing them at fair value and either recording movements immediately in profit and loss or where appropriate, deferring any gain or loss within equity until the transaction being hedged is complete and it is considered appropriate to transfer the movement to profit and loss (</w:t>
            </w:r>
            <w:r>
              <w:t>‘</w:t>
            </w:r>
            <w:r w:rsidRPr="00313654">
              <w:t>on balance sheet</w:t>
            </w:r>
            <w:r>
              <w:t>’</w:t>
            </w:r>
            <w:r w:rsidRPr="00313654">
              <w:t xml:space="preserve"> hedge accounting). AASB 132/139 allows these practices but with strict rules about designation, measurement and effectiveness. Another practice was referred to as </w:t>
            </w:r>
            <w:r>
              <w:t>‘</w:t>
            </w:r>
            <w:r w:rsidRPr="00313654">
              <w:t>off balance sheet</w:t>
            </w:r>
            <w:r>
              <w:t>’</w:t>
            </w:r>
            <w:r w:rsidRPr="00313654">
              <w:t xml:space="preserve"> hedge accounting and involved ignoring movements in value until the hedged transaction was complete. This practice is disallowed under AASB 132/139.</w:t>
            </w:r>
          </w:p>
          <w:p w:rsidR="00CF3DBD" w:rsidRPr="00313654" w:rsidRDefault="00CF3DBD" w:rsidP="004079E1">
            <w:pPr>
              <w:pStyle w:val="Bullet1grey"/>
              <w:cnfStyle w:val="000000010000" w:firstRow="0" w:lastRow="0" w:firstColumn="0" w:lastColumn="0" w:oddVBand="0" w:evenVBand="0" w:oddHBand="0" w:evenHBand="1" w:firstRowFirstColumn="0" w:firstRowLastColumn="0" w:lastRowFirstColumn="0" w:lastRowLastColumn="0"/>
            </w:pPr>
            <w:r w:rsidRPr="00313654">
              <w:rPr>
                <w:b/>
                <w:bCs/>
                <w:i/>
                <w:iCs/>
              </w:rPr>
              <w:t>Loans and receivables:</w:t>
            </w:r>
            <w:r w:rsidRPr="00313654">
              <w:t xml:space="preserve"> non</w:t>
            </w:r>
            <w:r w:rsidR="00D71488">
              <w:noBreakHyphen/>
            </w:r>
            <w:r w:rsidRPr="00313654">
              <w:t>derivative financial assets with fixed or determinable payments that are not quoted in an active market, other than:</w:t>
            </w:r>
          </w:p>
          <w:p w:rsidR="00CF3DBD" w:rsidRPr="00313654" w:rsidRDefault="00CF3DBD" w:rsidP="0049747D">
            <w:pPr>
              <w:pStyle w:val="Bullet2grey"/>
              <w:cnfStyle w:val="000000010000" w:firstRow="0" w:lastRow="0" w:firstColumn="0" w:lastColumn="0" w:oddVBand="0" w:evenVBand="0" w:oddHBand="0" w:evenHBand="1" w:firstRowFirstColumn="0" w:firstRowLastColumn="0" w:lastRowFirstColumn="0" w:lastRowLastColumn="0"/>
            </w:pPr>
            <w:r w:rsidRPr="00313654">
              <w:t xml:space="preserve">those that the entity intends to sell immediately or in the near term, which [consequently] are classified as </w:t>
            </w:r>
            <w:r>
              <w:t>‘</w:t>
            </w:r>
            <w:r w:rsidRPr="00313654">
              <w:t>held for trading</w:t>
            </w:r>
            <w:r>
              <w:t>’</w:t>
            </w:r>
            <w:r w:rsidRPr="00313654">
              <w:t>, and those that the entity upon initial recognition designates as at fair value through profit or loss;</w:t>
            </w:r>
          </w:p>
          <w:p w:rsidR="00CF3DBD" w:rsidRPr="00313654" w:rsidRDefault="00CF3DBD" w:rsidP="004079E1">
            <w:pPr>
              <w:pStyle w:val="Bullet2grey"/>
              <w:cnfStyle w:val="000000010000" w:firstRow="0" w:lastRow="0" w:firstColumn="0" w:lastColumn="0" w:oddVBand="0" w:evenVBand="0" w:oddHBand="0" w:evenHBand="1" w:firstRowFirstColumn="0" w:firstRowLastColumn="0" w:lastRowFirstColumn="0" w:lastRowLastColumn="0"/>
            </w:pPr>
            <w:r w:rsidRPr="00313654">
              <w:t xml:space="preserve">those that the entity upon initial recognition designates as </w:t>
            </w:r>
            <w:r>
              <w:t>‘</w:t>
            </w:r>
            <w:r w:rsidRPr="00313654">
              <w:t>available for sale</w:t>
            </w:r>
            <w:r>
              <w:t>’</w:t>
            </w:r>
            <w:r w:rsidRPr="00313654">
              <w:t>; or</w:t>
            </w:r>
          </w:p>
          <w:p w:rsidR="00CF3DBD" w:rsidRPr="00313654" w:rsidRDefault="00CF3DBD" w:rsidP="004079E1">
            <w:pPr>
              <w:pStyle w:val="Bullet2grey"/>
              <w:cnfStyle w:val="000000010000" w:firstRow="0" w:lastRow="0" w:firstColumn="0" w:lastColumn="0" w:oddVBand="0" w:evenVBand="0" w:oddHBand="0" w:evenHBand="1" w:firstRowFirstColumn="0" w:firstRowLastColumn="0" w:lastRowFirstColumn="0" w:lastRowLastColumn="0"/>
            </w:pPr>
            <w:r w:rsidRPr="00313654">
              <w:t xml:space="preserve">those for which the holder may not recover substantially all of its initial investment, other than because of credit deterioration, and which are classified as </w:t>
            </w:r>
            <w:r>
              <w:t>‘</w:t>
            </w:r>
            <w:r w:rsidRPr="00313654">
              <w:t>available for sale</w:t>
            </w:r>
            <w:r>
              <w:t>’</w:t>
            </w:r>
            <w:r w:rsidRPr="00313654">
              <w:t>.</w:t>
            </w:r>
          </w:p>
          <w:p w:rsidR="00CF3DBD" w:rsidRPr="00822CF3" w:rsidRDefault="00CF3DBD" w:rsidP="000960F3">
            <w:pPr>
              <w:pStyle w:val="Normalindentgrey"/>
              <w:cnfStyle w:val="000000010000" w:firstRow="0" w:lastRow="0" w:firstColumn="0" w:lastColumn="0" w:oddVBand="0" w:evenVBand="0" w:oddHBand="0" w:evenHBand="1" w:firstRowFirstColumn="0" w:firstRowLastColumn="0" w:lastRowFirstColumn="0" w:lastRowLastColumn="0"/>
            </w:pPr>
            <w:r w:rsidRPr="00313654">
              <w:t>An interest acquired in a pool of assets that are not loans or receivables (e.g. an interest in a mutual fund or a similar fund) is not a loan or receivable.</w:t>
            </w:r>
          </w:p>
        </w:tc>
      </w:tr>
      <w:tr w:rsidR="00CF3DBD" w:rsidRPr="00E10ADB" w:rsidTr="00E13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CF3DBD" w:rsidRPr="00E2009B" w:rsidRDefault="00CF3DBD" w:rsidP="00DE779D">
            <w:pPr>
              <w:pStyle w:val="Normalgrey"/>
            </w:pPr>
            <w:r w:rsidRPr="00E2009B">
              <w:t>Guidance</w:t>
            </w:r>
          </w:p>
        </w:tc>
        <w:tc>
          <w:tcPr>
            <w:tcW w:w="270" w:type="dxa"/>
          </w:tcPr>
          <w:p w:rsidR="00CF3DBD" w:rsidRPr="00521483" w:rsidRDefault="00CF3DBD" w:rsidP="004079E1">
            <w:pPr>
              <w:pStyle w:val="Refnum1"/>
              <w:cnfStyle w:val="000000100000" w:firstRow="0" w:lastRow="0" w:firstColumn="0" w:lastColumn="0" w:oddVBand="0" w:evenVBand="0" w:oddHBand="1" w:evenHBand="0" w:firstRowFirstColumn="0" w:firstRowLastColumn="0" w:lastRowFirstColumn="0" w:lastRowLastColumn="0"/>
            </w:pPr>
          </w:p>
        </w:tc>
        <w:tc>
          <w:tcPr>
            <w:tcW w:w="540" w:type="dxa"/>
          </w:tcPr>
          <w:p w:rsidR="00CF3DBD" w:rsidRPr="004079E1" w:rsidRDefault="00CF3DBD" w:rsidP="0049747D">
            <w:pPr>
              <w:pStyle w:val="Refnum2"/>
              <w:cnfStyle w:val="000000100000" w:firstRow="0" w:lastRow="0" w:firstColumn="0" w:lastColumn="0" w:oddVBand="0" w:evenVBand="0" w:oddHBand="1" w:evenHBand="0" w:firstRowFirstColumn="0" w:firstRowLastColumn="0" w:lastRowFirstColumn="0" w:lastRowLastColumn="0"/>
            </w:pPr>
          </w:p>
        </w:tc>
        <w:tc>
          <w:tcPr>
            <w:tcW w:w="6120" w:type="dxa"/>
          </w:tcPr>
          <w:p w:rsidR="00CF3DBD" w:rsidRDefault="00CF3DBD">
            <w:pPr>
              <w:pStyle w:val="Normalgrey"/>
              <w:cnfStyle w:val="000000100000" w:firstRow="0" w:lastRow="0" w:firstColumn="0" w:lastColumn="0" w:oddVBand="0" w:evenVBand="0" w:oddHBand="1" w:evenHBand="0" w:firstRowFirstColumn="0" w:firstRowLastColumn="0" w:lastRowFirstColumn="0" w:lastRowLastColumn="0"/>
              <w:rPr>
                <w:b/>
              </w:rPr>
            </w:pPr>
            <w:r w:rsidRPr="004079E1">
              <w:rPr>
                <w:b/>
              </w:rPr>
              <w:t xml:space="preserve">Designation and </w:t>
            </w:r>
            <w:r w:rsidR="00C4298C" w:rsidRPr="004079E1">
              <w:rPr>
                <w:b/>
              </w:rPr>
              <w:t>measurement</w:t>
            </w:r>
            <w:r>
              <w:rPr>
                <w:b/>
              </w:rPr>
              <w:t>:</w:t>
            </w:r>
          </w:p>
          <w:p w:rsidR="0049747D" w:rsidRPr="004079E1" w:rsidRDefault="0049747D">
            <w:pPr>
              <w:pStyle w:val="Normalgrey"/>
              <w:cnfStyle w:val="000000100000" w:firstRow="0" w:lastRow="0" w:firstColumn="0" w:lastColumn="0" w:oddVBand="0" w:evenVBand="0" w:oddHBand="1" w:evenHBand="0" w:firstRowFirstColumn="0" w:firstRowLastColumn="0" w:lastRowFirstColumn="0" w:lastRowLastColumn="0"/>
              <w:rPr>
                <w:b/>
              </w:rPr>
            </w:pPr>
            <w:r w:rsidRPr="00313654">
              <w:t>Subsequent to initial recognition, AASB 139 prohibits an entity from reclassifying a financial instrument into or out of fair value through profit or loss.</w:t>
            </w:r>
          </w:p>
        </w:tc>
      </w:tr>
      <w:tr w:rsidR="00CF3DBD" w:rsidRPr="00E10ADB" w:rsidTr="00E13A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CF3DBD" w:rsidRPr="00E2009B" w:rsidRDefault="00CF3DBD" w:rsidP="00DE779D">
            <w:pPr>
              <w:pStyle w:val="Normalgrey"/>
            </w:pPr>
          </w:p>
        </w:tc>
        <w:tc>
          <w:tcPr>
            <w:tcW w:w="270" w:type="dxa"/>
          </w:tcPr>
          <w:p w:rsidR="00CF3DBD" w:rsidRPr="00521483" w:rsidRDefault="00CF3DBD" w:rsidP="004E1D5B">
            <w:pPr>
              <w:pStyle w:val="Refnum1"/>
              <w:numPr>
                <w:ilvl w:val="0"/>
                <w:numId w:val="0"/>
              </w:numPr>
              <w:cnfStyle w:val="000000010000" w:firstRow="0" w:lastRow="0" w:firstColumn="0" w:lastColumn="0" w:oddVBand="0" w:evenVBand="0" w:oddHBand="0" w:evenHBand="1" w:firstRowFirstColumn="0" w:firstRowLastColumn="0" w:lastRowFirstColumn="0" w:lastRowLastColumn="0"/>
            </w:pPr>
          </w:p>
        </w:tc>
        <w:tc>
          <w:tcPr>
            <w:tcW w:w="540" w:type="dxa"/>
          </w:tcPr>
          <w:p w:rsidR="00CF3DBD" w:rsidRPr="004079E1" w:rsidRDefault="00CF3DBD" w:rsidP="0049747D">
            <w:pPr>
              <w:pStyle w:val="Refnum2"/>
              <w:cnfStyle w:val="000000010000" w:firstRow="0" w:lastRow="0" w:firstColumn="0" w:lastColumn="0" w:oddVBand="0" w:evenVBand="0" w:oddHBand="0" w:evenHBand="1" w:firstRowFirstColumn="0" w:firstRowLastColumn="0" w:lastRowFirstColumn="0" w:lastRowLastColumn="0"/>
            </w:pPr>
          </w:p>
        </w:tc>
        <w:tc>
          <w:tcPr>
            <w:tcW w:w="6120" w:type="dxa"/>
          </w:tcPr>
          <w:p w:rsidR="0049747D" w:rsidRPr="00313654" w:rsidRDefault="0049747D" w:rsidP="0049747D">
            <w:pPr>
              <w:pStyle w:val="Normalgrey"/>
              <w:cnfStyle w:val="000000010000" w:firstRow="0" w:lastRow="0" w:firstColumn="0" w:lastColumn="0" w:oddVBand="0" w:evenVBand="0" w:oddHBand="0" w:evenHBand="1" w:firstRowFirstColumn="0" w:firstRowLastColumn="0" w:lastRowFirstColumn="0" w:lastRowLastColumn="0"/>
            </w:pPr>
            <w:r w:rsidRPr="00313654">
              <w:t>AASB 139</w:t>
            </w:r>
            <w:r w:rsidRPr="00313654">
              <w:rPr>
                <w:i/>
                <w:iCs/>
              </w:rPr>
              <w:t xml:space="preserve"> </w:t>
            </w:r>
            <w:r w:rsidRPr="00313654">
              <w:t xml:space="preserve">requires the </w:t>
            </w:r>
            <w:r w:rsidRPr="00C4298C">
              <w:t>initial measurement of financial assets and financial liabilities at fair value</w:t>
            </w:r>
            <w:r w:rsidR="00D71488">
              <w:t xml:space="preserve">. </w:t>
            </w:r>
            <w:r w:rsidRPr="00C4298C">
              <w:t>In the case of:</w:t>
            </w:r>
          </w:p>
          <w:p w:rsidR="0049747D" w:rsidRPr="00C4298C" w:rsidRDefault="0049747D" w:rsidP="003977A6">
            <w:pPr>
              <w:pStyle w:val="Listnumgrey"/>
              <w:numPr>
                <w:ilvl w:val="2"/>
                <w:numId w:val="14"/>
              </w:numPr>
              <w:cnfStyle w:val="000000010000" w:firstRow="0" w:lastRow="0" w:firstColumn="0" w:lastColumn="0" w:oddVBand="0" w:evenVBand="0" w:oddHBand="0" w:evenHBand="1" w:firstRowFirstColumn="0" w:firstRowLastColumn="0" w:lastRowFirstColumn="0" w:lastRowLastColumn="0"/>
            </w:pPr>
            <w:r w:rsidRPr="00C4298C">
              <w:t>a financial asset or financial liability classified at fair value through profit or loss, only the fair value is recorded; and</w:t>
            </w:r>
          </w:p>
          <w:p w:rsidR="00CF3DBD" w:rsidRPr="004E1D5B" w:rsidRDefault="0049747D" w:rsidP="00F25B54">
            <w:pPr>
              <w:pStyle w:val="Listnumgrey"/>
              <w:cnfStyle w:val="000000010000" w:firstRow="0" w:lastRow="0" w:firstColumn="0" w:lastColumn="0" w:oddVBand="0" w:evenVBand="0" w:oddHBand="0" w:evenHBand="1" w:firstRowFirstColumn="0" w:firstRowLastColumn="0" w:lastRowFirstColumn="0" w:lastRowLastColumn="0"/>
            </w:pPr>
            <w:r w:rsidRPr="0049747D">
              <w:t>any other class of financial asset or financial liability, fair value plus transaction costs is recorded.</w:t>
            </w:r>
          </w:p>
        </w:tc>
      </w:tr>
      <w:tr w:rsidR="00CF3DBD" w:rsidRPr="00E10ADB" w:rsidTr="00E13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CF3DBD" w:rsidRPr="00E2009B" w:rsidRDefault="00CF3DBD" w:rsidP="00DE779D">
            <w:pPr>
              <w:pStyle w:val="Normalgrey"/>
            </w:pPr>
          </w:p>
        </w:tc>
        <w:tc>
          <w:tcPr>
            <w:tcW w:w="270" w:type="dxa"/>
          </w:tcPr>
          <w:p w:rsidR="00CF3DBD" w:rsidRPr="00521483" w:rsidRDefault="00CF3DBD" w:rsidP="004E1D5B">
            <w:pPr>
              <w:pStyle w:val="Refnum1"/>
              <w:numPr>
                <w:ilvl w:val="0"/>
                <w:numId w:val="0"/>
              </w:numPr>
              <w:cnfStyle w:val="000000100000" w:firstRow="0" w:lastRow="0" w:firstColumn="0" w:lastColumn="0" w:oddVBand="0" w:evenVBand="0" w:oddHBand="1" w:evenHBand="0" w:firstRowFirstColumn="0" w:firstRowLastColumn="0" w:lastRowFirstColumn="0" w:lastRowLastColumn="0"/>
            </w:pPr>
          </w:p>
        </w:tc>
        <w:tc>
          <w:tcPr>
            <w:tcW w:w="540" w:type="dxa"/>
          </w:tcPr>
          <w:p w:rsidR="00CF3DBD" w:rsidRPr="004079E1" w:rsidRDefault="00CF3DBD" w:rsidP="004079E1">
            <w:pPr>
              <w:pStyle w:val="Refnum2"/>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20" w:type="dxa"/>
          </w:tcPr>
          <w:p w:rsidR="00CF3DBD" w:rsidRPr="004E1D5B" w:rsidRDefault="00B02A03" w:rsidP="0049747D">
            <w:pPr>
              <w:pStyle w:val="Normalgrey"/>
              <w:cnfStyle w:val="000000100000" w:firstRow="0" w:lastRow="0" w:firstColumn="0" w:lastColumn="0" w:oddVBand="0" w:evenVBand="0" w:oddHBand="1" w:evenHBand="0" w:firstRowFirstColumn="0" w:firstRowLastColumn="0" w:lastRowFirstColumn="0" w:lastRowLastColumn="0"/>
            </w:pPr>
            <w:r w:rsidRPr="00313654">
              <w:t>AASB 139 requires that, subsequent to initial recognition, all financial assets are to be remeasured to fair value, except for held</w:t>
            </w:r>
            <w:r w:rsidR="00D71488">
              <w:noBreakHyphen/>
            </w:r>
            <w:r w:rsidRPr="00313654">
              <w:t>to</w:t>
            </w:r>
            <w:r w:rsidR="00D71488">
              <w:noBreakHyphen/>
            </w:r>
            <w:r w:rsidRPr="00313654">
              <w:t>maturity investments and loans and receivables, which are carried at amortised cost using the effective interest method subject to a test for impairment</w:t>
            </w:r>
            <w:r w:rsidR="00D71488">
              <w:t xml:space="preserve">. </w:t>
            </w:r>
            <w:r w:rsidRPr="00313654">
              <w:t>Investments in equity instruments that do not have a quoted market price in an active market and whose fair value cannot be reliably measured (and linked derivatives) are measured at cost.</w:t>
            </w:r>
          </w:p>
        </w:tc>
      </w:tr>
      <w:tr w:rsidR="00CF3DBD" w:rsidRPr="00E10ADB" w:rsidTr="00E13A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CF3DBD" w:rsidRPr="00E2009B" w:rsidRDefault="00CF3DBD" w:rsidP="00DE779D">
            <w:pPr>
              <w:pStyle w:val="Normalgrey"/>
            </w:pPr>
          </w:p>
        </w:tc>
        <w:tc>
          <w:tcPr>
            <w:tcW w:w="270" w:type="dxa"/>
          </w:tcPr>
          <w:p w:rsidR="00CF3DBD" w:rsidRPr="00521483" w:rsidRDefault="00CF3DBD" w:rsidP="004E1D5B">
            <w:pPr>
              <w:pStyle w:val="Refnum1"/>
              <w:numPr>
                <w:ilvl w:val="0"/>
                <w:numId w:val="0"/>
              </w:numPr>
              <w:cnfStyle w:val="000000010000" w:firstRow="0" w:lastRow="0" w:firstColumn="0" w:lastColumn="0" w:oddVBand="0" w:evenVBand="0" w:oddHBand="0" w:evenHBand="1" w:firstRowFirstColumn="0" w:firstRowLastColumn="0" w:lastRowFirstColumn="0" w:lastRowLastColumn="0"/>
            </w:pPr>
          </w:p>
        </w:tc>
        <w:tc>
          <w:tcPr>
            <w:tcW w:w="540" w:type="dxa"/>
          </w:tcPr>
          <w:p w:rsidR="00CF3DBD" w:rsidRPr="004079E1" w:rsidRDefault="00CF3DBD" w:rsidP="004079E1">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20" w:type="dxa"/>
          </w:tcPr>
          <w:p w:rsidR="00B02A03" w:rsidRDefault="00B02A03" w:rsidP="004079E1">
            <w:pPr>
              <w:pStyle w:val="Normalgrey"/>
              <w:cnfStyle w:val="000000010000" w:firstRow="0" w:lastRow="0" w:firstColumn="0" w:lastColumn="0" w:oddVBand="0" w:evenVBand="0" w:oddHBand="0" w:evenHBand="1" w:firstRowFirstColumn="0" w:firstRowLastColumn="0" w:lastRowFirstColumn="0" w:lastRowLastColumn="0"/>
            </w:pPr>
            <w:r w:rsidRPr="004634D8">
              <w:rPr>
                <w:b/>
              </w:rPr>
              <w:t xml:space="preserve">Held to </w:t>
            </w:r>
            <w:r w:rsidR="007A7304" w:rsidRPr="004634D8">
              <w:rPr>
                <w:b/>
              </w:rPr>
              <w:t>mat</w:t>
            </w:r>
            <w:r w:rsidRPr="004634D8">
              <w:rPr>
                <w:b/>
              </w:rPr>
              <w:t>urity</w:t>
            </w:r>
            <w:r w:rsidRPr="004079E1">
              <w:rPr>
                <w:b/>
              </w:rPr>
              <w:t>:</w:t>
            </w:r>
            <w:r w:rsidRPr="00313654">
              <w:t xml:space="preserve"> </w:t>
            </w:r>
          </w:p>
          <w:p w:rsidR="00CF3DBD" w:rsidRPr="00313654" w:rsidRDefault="00B02A03" w:rsidP="004079E1">
            <w:pPr>
              <w:pStyle w:val="Normalgrey"/>
              <w:cnfStyle w:val="000000010000" w:firstRow="0" w:lastRow="0" w:firstColumn="0" w:lastColumn="0" w:oddVBand="0" w:evenVBand="0" w:oddHBand="0" w:evenHBand="1" w:firstRowFirstColumn="0" w:firstRowLastColumn="0" w:lastRowFirstColumn="0" w:lastRowLastColumn="0"/>
              <w:rPr>
                <w:b/>
              </w:rPr>
            </w:pPr>
            <w:r w:rsidRPr="00313654">
              <w:t>A decision to designate a financial asset as held</w:t>
            </w:r>
            <w:r w:rsidR="00D71488">
              <w:noBreakHyphen/>
            </w:r>
            <w:r w:rsidRPr="00313654">
              <w:t>to</w:t>
            </w:r>
            <w:r w:rsidR="00D71488">
              <w:noBreakHyphen/>
            </w:r>
            <w:r w:rsidRPr="00313654">
              <w:t>maturity is indicative that the investor is indifferent to future profit opportunities and therefore to the purchase prices offered by others over the investment’s term since the investor has the positive intent to hold the asset to maturity irrespective of market value fluctuations</w:t>
            </w:r>
            <w:r w:rsidR="00D71488">
              <w:t xml:space="preserve">. </w:t>
            </w:r>
            <w:r w:rsidRPr="00313654">
              <w:t>AASB 139 requires an entity to assess its intent and ability to hold its held</w:t>
            </w:r>
            <w:r w:rsidR="00D71488">
              <w:noBreakHyphen/>
            </w:r>
            <w:r w:rsidRPr="00313654">
              <w:t>to</w:t>
            </w:r>
            <w:r w:rsidR="00D71488">
              <w:noBreakHyphen/>
            </w:r>
            <w:r w:rsidRPr="00313654">
              <w:t>maturity assets not only when those assets are initially acquired but also at each balance sheet date</w:t>
            </w:r>
            <w:r w:rsidR="00D71488">
              <w:t xml:space="preserve">. </w:t>
            </w:r>
          </w:p>
        </w:tc>
      </w:tr>
      <w:tr w:rsidR="00CF3DBD" w:rsidRPr="00E10ADB" w:rsidTr="00E13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CF3DBD" w:rsidRPr="00E2009B" w:rsidRDefault="00CF3DBD" w:rsidP="00DE779D">
            <w:pPr>
              <w:pStyle w:val="Normalgrey"/>
            </w:pPr>
          </w:p>
        </w:tc>
        <w:tc>
          <w:tcPr>
            <w:tcW w:w="270" w:type="dxa"/>
          </w:tcPr>
          <w:p w:rsidR="00CF3DBD" w:rsidRPr="00521483" w:rsidRDefault="00CF3DBD" w:rsidP="007F4482">
            <w:pPr>
              <w:pStyle w:val="Refnum1"/>
              <w:numPr>
                <w:ilvl w:val="0"/>
                <w:numId w:val="0"/>
              </w:numPr>
              <w:cnfStyle w:val="000000100000" w:firstRow="0" w:lastRow="0" w:firstColumn="0" w:lastColumn="0" w:oddVBand="0" w:evenVBand="0" w:oddHBand="1" w:evenHBand="0" w:firstRowFirstColumn="0" w:firstRowLastColumn="0" w:lastRowFirstColumn="0" w:lastRowLastColumn="0"/>
            </w:pPr>
          </w:p>
        </w:tc>
        <w:tc>
          <w:tcPr>
            <w:tcW w:w="540" w:type="dxa"/>
          </w:tcPr>
          <w:p w:rsidR="00CF3DBD" w:rsidRPr="004079E1" w:rsidRDefault="00CF3DBD" w:rsidP="004079E1">
            <w:pPr>
              <w:pStyle w:val="Refnum2"/>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20" w:type="dxa"/>
          </w:tcPr>
          <w:p w:rsidR="00CF3DBD" w:rsidRPr="00313654" w:rsidRDefault="00CF3DBD" w:rsidP="00B02A03">
            <w:pPr>
              <w:pStyle w:val="Normalgrey"/>
              <w:cnfStyle w:val="000000100000" w:firstRow="0" w:lastRow="0" w:firstColumn="0" w:lastColumn="0" w:oddVBand="0" w:evenVBand="0" w:oddHBand="1" w:evenHBand="0" w:firstRowFirstColumn="0" w:firstRowLastColumn="0" w:lastRowFirstColumn="0" w:lastRowLastColumn="0"/>
            </w:pPr>
            <w:r w:rsidRPr="00313654">
              <w:t>AASB 139 disallows an entity from classifying any financial assets as held to maturity if the entity has, during the current annual reporting period or during the two preceding annual reporting periods, sold or reclassified more than an insignificant amount of held</w:t>
            </w:r>
            <w:r w:rsidR="00D71488">
              <w:noBreakHyphen/>
            </w:r>
            <w:r w:rsidRPr="00313654">
              <w:t>to</w:t>
            </w:r>
            <w:r w:rsidR="00D71488">
              <w:noBreakHyphen/>
            </w:r>
            <w:r w:rsidRPr="00313654">
              <w:t>maturity investments before maturity (more than insignificant in relation to the total amount of held</w:t>
            </w:r>
            <w:r w:rsidR="00D71488">
              <w:noBreakHyphen/>
            </w:r>
            <w:r w:rsidRPr="00313654">
              <w:t>to</w:t>
            </w:r>
            <w:r w:rsidR="00D71488">
              <w:noBreakHyphen/>
            </w:r>
            <w:r w:rsidRPr="00313654">
              <w:t>maturity investments) other than sales or reclassifications that:</w:t>
            </w:r>
          </w:p>
          <w:p w:rsidR="00CF3DBD" w:rsidRPr="00B02A03" w:rsidRDefault="00CF3DBD" w:rsidP="00211B4D">
            <w:pPr>
              <w:pStyle w:val="Listnumgrey"/>
              <w:numPr>
                <w:ilvl w:val="2"/>
                <w:numId w:val="13"/>
              </w:numPr>
              <w:cnfStyle w:val="000000100000" w:firstRow="0" w:lastRow="0" w:firstColumn="0" w:lastColumn="0" w:oddVBand="0" w:evenVBand="0" w:oddHBand="1" w:evenHBand="0" w:firstRowFirstColumn="0" w:firstRowLastColumn="0" w:lastRowFirstColumn="0" w:lastRowLastColumn="0"/>
            </w:pPr>
            <w:r w:rsidRPr="00B02A03">
              <w:t>are so close to maturity or the financial asset’s call date (e.g. less than three months before maturity) that changes in the market rate of interest would not have a significant effect on the financial asset’s fair value;</w:t>
            </w:r>
          </w:p>
          <w:p w:rsidR="00CF3DBD" w:rsidRPr="00B02A03" w:rsidRDefault="00CF3DBD" w:rsidP="00F25B54">
            <w:pPr>
              <w:pStyle w:val="Listnumgrey"/>
              <w:cnfStyle w:val="000000100000" w:firstRow="0" w:lastRow="0" w:firstColumn="0" w:lastColumn="0" w:oddVBand="0" w:evenVBand="0" w:oddHBand="1" w:evenHBand="0" w:firstRowFirstColumn="0" w:firstRowLastColumn="0" w:lastRowFirstColumn="0" w:lastRowLastColumn="0"/>
            </w:pPr>
            <w:r w:rsidRPr="00B02A03">
              <w:t>occur after the entity has collected substantially all of the financial asset’s original principal through scheduled payments or prepayments; or</w:t>
            </w:r>
          </w:p>
          <w:p w:rsidR="00CF3DBD" w:rsidRPr="007F4482" w:rsidRDefault="00CF3DBD" w:rsidP="00F25B54">
            <w:pPr>
              <w:pStyle w:val="Listnumgrey"/>
              <w:cnfStyle w:val="000000100000" w:firstRow="0" w:lastRow="0" w:firstColumn="0" w:lastColumn="0" w:oddVBand="0" w:evenVBand="0" w:oddHBand="1" w:evenHBand="0" w:firstRowFirstColumn="0" w:firstRowLastColumn="0" w:lastRowFirstColumn="0" w:lastRowLastColumn="0"/>
            </w:pPr>
            <w:r w:rsidRPr="00B02A03">
              <w:t>are attributable to an isolated event that is beyond the entity’s control, is non</w:t>
            </w:r>
            <w:r w:rsidR="00D71488">
              <w:noBreakHyphen/>
            </w:r>
            <w:r w:rsidRPr="00B02A03">
              <w:t>recurring and could not have been reasonably anticipated by the entity.</w:t>
            </w:r>
          </w:p>
        </w:tc>
      </w:tr>
      <w:tr w:rsidR="00CF3DBD" w:rsidRPr="00E10ADB" w:rsidTr="00E13A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CF3DBD" w:rsidRPr="00E2009B" w:rsidRDefault="00CF3DBD" w:rsidP="00DE779D">
            <w:pPr>
              <w:pStyle w:val="Normalgrey"/>
            </w:pPr>
          </w:p>
        </w:tc>
        <w:tc>
          <w:tcPr>
            <w:tcW w:w="270" w:type="dxa"/>
          </w:tcPr>
          <w:p w:rsidR="00CF3DBD" w:rsidRPr="00521483" w:rsidRDefault="00CF3DBD" w:rsidP="007F4482">
            <w:pPr>
              <w:pStyle w:val="Refnum1"/>
              <w:numPr>
                <w:ilvl w:val="0"/>
                <w:numId w:val="0"/>
              </w:numPr>
              <w:cnfStyle w:val="000000010000" w:firstRow="0" w:lastRow="0" w:firstColumn="0" w:lastColumn="0" w:oddVBand="0" w:evenVBand="0" w:oddHBand="0" w:evenHBand="1" w:firstRowFirstColumn="0" w:firstRowLastColumn="0" w:lastRowFirstColumn="0" w:lastRowLastColumn="0"/>
            </w:pPr>
          </w:p>
        </w:tc>
        <w:tc>
          <w:tcPr>
            <w:tcW w:w="540" w:type="dxa"/>
          </w:tcPr>
          <w:p w:rsidR="00CF3DBD" w:rsidRPr="004079E1" w:rsidRDefault="00CF3DBD" w:rsidP="004079E1">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20" w:type="dxa"/>
          </w:tcPr>
          <w:p w:rsidR="00CF3DBD" w:rsidRPr="00313654" w:rsidRDefault="00CF3DBD" w:rsidP="00F25B54">
            <w:pPr>
              <w:pStyle w:val="Normalgrey"/>
              <w:cnfStyle w:val="000000010000" w:firstRow="0" w:lastRow="0" w:firstColumn="0" w:lastColumn="0" w:oddVBand="0" w:evenVBand="0" w:oddHBand="0" w:evenHBand="1" w:firstRowFirstColumn="0" w:firstRowLastColumn="0" w:lastRowFirstColumn="0" w:lastRowLastColumn="0"/>
              <w:rPr>
                <w:b/>
              </w:rPr>
            </w:pPr>
            <w:r w:rsidRPr="00EE50BE">
              <w:t>This restriction applies on an economic entity basis (whole of government) as well as on an individual entity basis, so any disallowance affects the whole of government.</w:t>
            </w:r>
          </w:p>
        </w:tc>
      </w:tr>
      <w:tr w:rsidR="00CF3DBD" w:rsidRPr="00E10ADB" w:rsidTr="00E13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CF3DBD" w:rsidRPr="00E2009B" w:rsidRDefault="00CF3DBD" w:rsidP="00DE779D">
            <w:pPr>
              <w:pStyle w:val="Normalgrey"/>
            </w:pPr>
          </w:p>
        </w:tc>
        <w:tc>
          <w:tcPr>
            <w:tcW w:w="270" w:type="dxa"/>
          </w:tcPr>
          <w:p w:rsidR="00CF3DBD" w:rsidRPr="00521483" w:rsidRDefault="00CF3DBD" w:rsidP="007F4482">
            <w:pPr>
              <w:pStyle w:val="Refnum1"/>
              <w:numPr>
                <w:ilvl w:val="0"/>
                <w:numId w:val="0"/>
              </w:numPr>
              <w:cnfStyle w:val="000000100000" w:firstRow="0" w:lastRow="0" w:firstColumn="0" w:lastColumn="0" w:oddVBand="0" w:evenVBand="0" w:oddHBand="1" w:evenHBand="0" w:firstRowFirstColumn="0" w:firstRowLastColumn="0" w:lastRowFirstColumn="0" w:lastRowLastColumn="0"/>
            </w:pPr>
          </w:p>
        </w:tc>
        <w:tc>
          <w:tcPr>
            <w:tcW w:w="540" w:type="dxa"/>
          </w:tcPr>
          <w:p w:rsidR="00CF3DBD" w:rsidRPr="004079E1" w:rsidRDefault="00CF3DBD" w:rsidP="004079E1">
            <w:pPr>
              <w:pStyle w:val="Refnum2"/>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20" w:type="dxa"/>
          </w:tcPr>
          <w:p w:rsidR="00F25B54" w:rsidRDefault="00F25B54" w:rsidP="00F25B54">
            <w:pPr>
              <w:pStyle w:val="Normalgreybold"/>
              <w:cnfStyle w:val="000000100000" w:firstRow="0" w:lastRow="0" w:firstColumn="0" w:lastColumn="0" w:oddVBand="0" w:evenVBand="0" w:oddHBand="1" w:evenHBand="0" w:firstRowFirstColumn="0" w:firstRowLastColumn="0" w:lastRowFirstColumn="0" w:lastRowLastColumn="0"/>
            </w:pPr>
            <w:r w:rsidRPr="004634D8">
              <w:t xml:space="preserve">Request to nominate financial assets as </w:t>
            </w:r>
            <w:r w:rsidRPr="004079E1">
              <w:t>‘</w:t>
            </w:r>
            <w:r w:rsidR="0055491B" w:rsidRPr="004079E1">
              <w:t>h</w:t>
            </w:r>
            <w:r w:rsidRPr="004079E1">
              <w:t xml:space="preserve">eld to </w:t>
            </w:r>
            <w:r w:rsidR="007A7304" w:rsidRPr="004079E1">
              <w:t>m</w:t>
            </w:r>
            <w:r w:rsidRPr="004079E1">
              <w:t>aturity’:</w:t>
            </w:r>
          </w:p>
          <w:p w:rsidR="00CF3DBD" w:rsidRPr="00313654" w:rsidRDefault="00CF3DBD" w:rsidP="00C21297">
            <w:pPr>
              <w:pStyle w:val="Normalgrey"/>
              <w:cnfStyle w:val="000000100000" w:firstRow="0" w:lastRow="0" w:firstColumn="0" w:lastColumn="0" w:oddVBand="0" w:evenVBand="0" w:oddHBand="1" w:evenHBand="0" w:firstRowFirstColumn="0" w:firstRowLastColumn="0" w:lastRowFirstColumn="0" w:lastRowLastColumn="0"/>
              <w:rPr>
                <w:b/>
              </w:rPr>
            </w:pPr>
            <w:r w:rsidRPr="00313654">
              <w:t xml:space="preserve">Requests to nominate financial assets as “held to maturity” </w:t>
            </w:r>
            <w:r>
              <w:t>shall</w:t>
            </w:r>
            <w:r w:rsidRPr="00313654">
              <w:t xml:space="preserve"> be addressed to the </w:t>
            </w:r>
            <w:r>
              <w:t xml:space="preserve">Consolidated Analysis and </w:t>
            </w:r>
            <w:r w:rsidRPr="00313654">
              <w:t xml:space="preserve">Reporting team of DTF’s Budget &amp; </w:t>
            </w:r>
            <w:r>
              <w:t>Finance</w:t>
            </w:r>
            <w:r w:rsidRPr="00313654">
              <w:t xml:space="preserve"> Division, who will respond after consultation as required with the Accounting Policy team and </w:t>
            </w:r>
            <w:r>
              <w:t>Balance Sheet Management team</w:t>
            </w:r>
            <w:r w:rsidRPr="00313654">
              <w:t>.</w:t>
            </w:r>
          </w:p>
        </w:tc>
      </w:tr>
      <w:tr w:rsidR="00CF3DBD" w:rsidRPr="00E10ADB" w:rsidTr="00E13A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CF3DBD" w:rsidRPr="00E2009B" w:rsidRDefault="00CF3DBD" w:rsidP="00DE779D">
            <w:pPr>
              <w:pStyle w:val="Normalgrey"/>
            </w:pPr>
          </w:p>
        </w:tc>
        <w:tc>
          <w:tcPr>
            <w:tcW w:w="270" w:type="dxa"/>
          </w:tcPr>
          <w:p w:rsidR="00CF3DBD" w:rsidRPr="00521483" w:rsidRDefault="00CF3DBD" w:rsidP="007F4482">
            <w:pPr>
              <w:pStyle w:val="Refnum1"/>
              <w:numPr>
                <w:ilvl w:val="0"/>
                <w:numId w:val="0"/>
              </w:numPr>
              <w:cnfStyle w:val="000000010000" w:firstRow="0" w:lastRow="0" w:firstColumn="0" w:lastColumn="0" w:oddVBand="0" w:evenVBand="0" w:oddHBand="0" w:evenHBand="1" w:firstRowFirstColumn="0" w:firstRowLastColumn="0" w:lastRowFirstColumn="0" w:lastRowLastColumn="0"/>
            </w:pPr>
          </w:p>
        </w:tc>
        <w:tc>
          <w:tcPr>
            <w:tcW w:w="540" w:type="dxa"/>
          </w:tcPr>
          <w:p w:rsidR="00CF3DBD" w:rsidRPr="004079E1" w:rsidRDefault="00CF3DBD" w:rsidP="004079E1">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20" w:type="dxa"/>
          </w:tcPr>
          <w:p w:rsidR="00F25B54" w:rsidRDefault="00F25B54" w:rsidP="00F25B54">
            <w:pPr>
              <w:pStyle w:val="Normalgreybold"/>
              <w:cnfStyle w:val="000000010000" w:firstRow="0" w:lastRow="0" w:firstColumn="0" w:lastColumn="0" w:oddVBand="0" w:evenVBand="0" w:oddHBand="0" w:evenHBand="1" w:firstRowFirstColumn="0" w:firstRowLastColumn="0" w:lastRowFirstColumn="0" w:lastRowLastColumn="0"/>
            </w:pPr>
            <w:r w:rsidRPr="004079E1">
              <w:t xml:space="preserve">Measurement </w:t>
            </w:r>
            <w:r w:rsidR="007A7304" w:rsidRPr="004079E1">
              <w:t>subsequent to initial recognition</w:t>
            </w:r>
            <w:r w:rsidRPr="004079E1">
              <w:t>:</w:t>
            </w:r>
          </w:p>
          <w:p w:rsidR="00CF3DBD" w:rsidRPr="00313654" w:rsidRDefault="00CF3DBD" w:rsidP="00F25B54">
            <w:pPr>
              <w:pStyle w:val="Normalgrey"/>
              <w:cnfStyle w:val="000000010000" w:firstRow="0" w:lastRow="0" w:firstColumn="0" w:lastColumn="0" w:oddVBand="0" w:evenVBand="0" w:oddHBand="0" w:evenHBand="1" w:firstRowFirstColumn="0" w:firstRowLastColumn="0" w:lastRowFirstColumn="0" w:lastRowLastColumn="0"/>
            </w:pPr>
            <w:r w:rsidRPr="00313654">
              <w:t>AASB 139 requires that after acquisition, most financial liabilities are measured at original recorded amount less principal repayments and amortisation</w:t>
            </w:r>
            <w:r w:rsidR="00D71488">
              <w:t xml:space="preserve">. </w:t>
            </w:r>
            <w:r w:rsidRPr="00313654">
              <w:t>Only derivatives and liabilities at fair value through profit or loss are remeasured to fair value.</w:t>
            </w:r>
          </w:p>
          <w:p w:rsidR="00CF3DBD" w:rsidRPr="004E1D5B" w:rsidRDefault="00CF3DBD" w:rsidP="00F25B54">
            <w:pPr>
              <w:pStyle w:val="Normalgrey"/>
              <w:cnfStyle w:val="000000010000" w:firstRow="0" w:lastRow="0" w:firstColumn="0" w:lastColumn="0" w:oddVBand="0" w:evenVBand="0" w:oddHBand="0" w:evenHBand="1" w:firstRowFirstColumn="0" w:firstRowLastColumn="0" w:lastRowFirstColumn="0" w:lastRowLastColumn="0"/>
            </w:pPr>
            <w:r w:rsidRPr="00313654">
              <w:t>An example of calculating the amortised cost for a financial liability is outlined in Appendix B.</w:t>
            </w:r>
          </w:p>
        </w:tc>
      </w:tr>
      <w:tr w:rsidR="00CF3DBD" w:rsidRPr="00E10ADB" w:rsidTr="00E13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CF3DBD" w:rsidRPr="00E2009B" w:rsidRDefault="00CF3DBD" w:rsidP="00DE779D">
            <w:pPr>
              <w:pStyle w:val="Normalgrey"/>
            </w:pPr>
          </w:p>
        </w:tc>
        <w:tc>
          <w:tcPr>
            <w:tcW w:w="270" w:type="dxa"/>
          </w:tcPr>
          <w:p w:rsidR="00CF3DBD" w:rsidRPr="00521483" w:rsidRDefault="00CF3DBD" w:rsidP="007F4482">
            <w:pPr>
              <w:pStyle w:val="Refnum1"/>
              <w:numPr>
                <w:ilvl w:val="0"/>
                <w:numId w:val="0"/>
              </w:numPr>
              <w:cnfStyle w:val="000000100000" w:firstRow="0" w:lastRow="0" w:firstColumn="0" w:lastColumn="0" w:oddVBand="0" w:evenVBand="0" w:oddHBand="1" w:evenHBand="0" w:firstRowFirstColumn="0" w:firstRowLastColumn="0" w:lastRowFirstColumn="0" w:lastRowLastColumn="0"/>
            </w:pPr>
          </w:p>
        </w:tc>
        <w:tc>
          <w:tcPr>
            <w:tcW w:w="540" w:type="dxa"/>
          </w:tcPr>
          <w:p w:rsidR="00CF3DBD" w:rsidRPr="004079E1" w:rsidRDefault="00CF3DBD" w:rsidP="004079E1">
            <w:pPr>
              <w:pStyle w:val="Refnum2"/>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20" w:type="dxa"/>
          </w:tcPr>
          <w:p w:rsidR="00CF3DBD" w:rsidRDefault="00CF3DBD" w:rsidP="00F25B54">
            <w:pPr>
              <w:pStyle w:val="Normalgrey"/>
              <w:cnfStyle w:val="000000100000" w:firstRow="0" w:lastRow="0" w:firstColumn="0" w:lastColumn="0" w:oddVBand="0" w:evenVBand="0" w:oddHBand="1" w:evenHBand="0" w:firstRowFirstColumn="0" w:firstRowLastColumn="0" w:lastRowFirstColumn="0" w:lastRowLastColumn="0"/>
            </w:pPr>
            <w:r w:rsidRPr="00313654">
              <w:t>A gain or loss arising from a change in the fair value of a financial asset or financial liability that is not part of a hedging relationship is recognised, as follows:</w:t>
            </w:r>
          </w:p>
          <w:p w:rsidR="00CF3DBD" w:rsidRDefault="00CF3DBD" w:rsidP="003977A6">
            <w:pPr>
              <w:pStyle w:val="Listnumgrey"/>
              <w:numPr>
                <w:ilvl w:val="2"/>
                <w:numId w:val="15"/>
              </w:numPr>
              <w:cnfStyle w:val="000000100000" w:firstRow="0" w:lastRow="0" w:firstColumn="0" w:lastColumn="0" w:oddVBand="0" w:evenVBand="0" w:oddHBand="1" w:evenHBand="0" w:firstRowFirstColumn="0" w:firstRowLastColumn="0" w:lastRowFirstColumn="0" w:lastRowLastColumn="0"/>
            </w:pPr>
            <w:r w:rsidRPr="003977A6">
              <w:t>A gain or loss on a financial asset or financial liability classified as at fair value through profit or loss is recognised in profit or loss.</w:t>
            </w:r>
          </w:p>
          <w:p w:rsidR="00CF3DBD" w:rsidRPr="001B0343" w:rsidRDefault="001B0343" w:rsidP="001B0343">
            <w:pPr>
              <w:pStyle w:val="Listnumgrey"/>
              <w:numPr>
                <w:ilvl w:val="2"/>
                <w:numId w:val="15"/>
              </w:numPr>
              <w:cnfStyle w:val="000000100000" w:firstRow="0" w:lastRow="0" w:firstColumn="0" w:lastColumn="0" w:oddVBand="0" w:evenVBand="0" w:oddHBand="1" w:evenHBand="0" w:firstRowFirstColumn="0" w:firstRowLastColumn="0" w:lastRowFirstColumn="0" w:lastRowLastColumn="0"/>
              <w:rPr>
                <w:b/>
                <w:i/>
              </w:rPr>
            </w:pPr>
            <w:r w:rsidRPr="003977A6">
              <w:t>A gain or loss on an available</w:t>
            </w:r>
            <w:r>
              <w:noBreakHyphen/>
            </w:r>
            <w:r w:rsidRPr="003977A6">
              <w:t>for</w:t>
            </w:r>
            <w:r>
              <w:noBreakHyphen/>
            </w:r>
            <w:r w:rsidRPr="003977A6">
              <w:t>sale financial asset is recognised directly in equity (except for impairment losses and foreign exchange gains and losses, which are recognised in profit or loss) until the financial asset is derecognised, at which time the cumulative gain or loss previously recognised in equity (reserves) is recognised in profit or loss. However, interest calculated using the effective interest method is recognised in profit or loss. Dividends on an available</w:t>
            </w:r>
            <w:r>
              <w:noBreakHyphen/>
            </w:r>
            <w:r w:rsidRPr="003977A6">
              <w:t>for</w:t>
            </w:r>
            <w:r>
              <w:noBreakHyphen/>
            </w:r>
            <w:r w:rsidRPr="003977A6">
              <w:t>sale equity instrument are recognised in profit or loss when the entity’s right to receive payment is establishe</w:t>
            </w:r>
            <w:r>
              <w:t>d</w:t>
            </w:r>
            <w:r w:rsidR="00CF3DBD" w:rsidRPr="003977A6">
              <w:t>.</w:t>
            </w:r>
          </w:p>
        </w:tc>
      </w:tr>
      <w:tr w:rsidR="00CF3DBD" w:rsidRPr="00E10ADB" w:rsidTr="00E13A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CF3DBD" w:rsidRPr="00E2009B" w:rsidRDefault="00CF3DBD" w:rsidP="00DE779D">
            <w:pPr>
              <w:pStyle w:val="Normalgrey"/>
            </w:pPr>
          </w:p>
        </w:tc>
        <w:tc>
          <w:tcPr>
            <w:tcW w:w="270" w:type="dxa"/>
          </w:tcPr>
          <w:p w:rsidR="00CF3DBD" w:rsidRPr="00521483" w:rsidRDefault="00CF3DBD" w:rsidP="007F4482">
            <w:pPr>
              <w:pStyle w:val="Refnum1"/>
              <w:numPr>
                <w:ilvl w:val="0"/>
                <w:numId w:val="0"/>
              </w:numPr>
              <w:cnfStyle w:val="000000010000" w:firstRow="0" w:lastRow="0" w:firstColumn="0" w:lastColumn="0" w:oddVBand="0" w:evenVBand="0" w:oddHBand="0" w:evenHBand="1" w:firstRowFirstColumn="0" w:firstRowLastColumn="0" w:lastRowFirstColumn="0" w:lastRowLastColumn="0"/>
            </w:pPr>
          </w:p>
        </w:tc>
        <w:tc>
          <w:tcPr>
            <w:tcW w:w="540" w:type="dxa"/>
          </w:tcPr>
          <w:p w:rsidR="00CF3DBD" w:rsidRPr="004079E1" w:rsidRDefault="00CF3DBD" w:rsidP="004079E1">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20" w:type="dxa"/>
          </w:tcPr>
          <w:p w:rsidR="00CF3DBD" w:rsidRPr="00313654" w:rsidRDefault="00CF3DBD" w:rsidP="00F25B54">
            <w:pPr>
              <w:pStyle w:val="Normalgrey"/>
              <w:cnfStyle w:val="000000010000" w:firstRow="0" w:lastRow="0" w:firstColumn="0" w:lastColumn="0" w:oddVBand="0" w:evenVBand="0" w:oddHBand="0" w:evenHBand="1" w:firstRowFirstColumn="0" w:firstRowLastColumn="0" w:lastRowFirstColumn="0" w:lastRowLastColumn="0"/>
              <w:rPr>
                <w:b/>
              </w:rPr>
            </w:pPr>
            <w:r w:rsidRPr="00313654">
              <w:t xml:space="preserve">For financial assets and financial liabilities carried at amortised cost, a gain or loss is recognised in profit or loss when the financial asset or financial liability is derecognised or impaired, and through the amortisation process. However, for financial assets or financial liabilities that are designated as hedged items the accounting for the gain or loss </w:t>
            </w:r>
            <w:r>
              <w:t>shall</w:t>
            </w:r>
            <w:r w:rsidRPr="00313654">
              <w:t xml:space="preserve"> follow the hedge accounting requirements of AASB 139</w:t>
            </w:r>
            <w:r w:rsidR="00D71488">
              <w:t xml:space="preserve">. </w:t>
            </w:r>
            <w:r w:rsidRPr="00313654">
              <w:t>If an entity recognises financial assets using settlement date accounting required under AASB 139, any change in the fair value of the asset to be received during the period between the trade date and the settlement date is not recognised if the assets are carried at cost or amortised cost (other than impairment losses). If the assets are carried at fair value, the change in fair value is recognised in profit or loss or in equity as appropriate.</w:t>
            </w:r>
          </w:p>
        </w:tc>
      </w:tr>
      <w:tr w:rsidR="00CF3DBD" w:rsidRPr="00E10ADB" w:rsidTr="00E13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CF3DBD" w:rsidRPr="00E2009B" w:rsidRDefault="00CF3DBD" w:rsidP="00DE779D">
            <w:pPr>
              <w:pStyle w:val="Normalgrey"/>
            </w:pPr>
          </w:p>
        </w:tc>
        <w:tc>
          <w:tcPr>
            <w:tcW w:w="270" w:type="dxa"/>
          </w:tcPr>
          <w:p w:rsidR="00CF3DBD" w:rsidRPr="00521483" w:rsidRDefault="00CF3DBD" w:rsidP="007F4482">
            <w:pPr>
              <w:pStyle w:val="Refnum1"/>
              <w:numPr>
                <w:ilvl w:val="0"/>
                <w:numId w:val="0"/>
              </w:numPr>
              <w:cnfStyle w:val="000000100000" w:firstRow="0" w:lastRow="0" w:firstColumn="0" w:lastColumn="0" w:oddVBand="0" w:evenVBand="0" w:oddHBand="1" w:evenHBand="0" w:firstRowFirstColumn="0" w:firstRowLastColumn="0" w:lastRowFirstColumn="0" w:lastRowLastColumn="0"/>
            </w:pPr>
          </w:p>
        </w:tc>
        <w:tc>
          <w:tcPr>
            <w:tcW w:w="540" w:type="dxa"/>
          </w:tcPr>
          <w:p w:rsidR="00CF3DBD" w:rsidRPr="004079E1" w:rsidRDefault="00CF3DBD" w:rsidP="004079E1">
            <w:pPr>
              <w:pStyle w:val="Refnum2"/>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20" w:type="dxa"/>
          </w:tcPr>
          <w:p w:rsidR="00F25B54" w:rsidRDefault="00F25B54" w:rsidP="00F25B54">
            <w:pPr>
              <w:pStyle w:val="Normalgreybold"/>
              <w:cnfStyle w:val="000000100000" w:firstRow="0" w:lastRow="0" w:firstColumn="0" w:lastColumn="0" w:oddVBand="0" w:evenVBand="0" w:oddHBand="1" w:evenHBand="0" w:firstRowFirstColumn="0" w:firstRowLastColumn="0" w:lastRowFirstColumn="0" w:lastRowLastColumn="0"/>
            </w:pPr>
            <w:r w:rsidRPr="004079E1">
              <w:t xml:space="preserve">Hedge </w:t>
            </w:r>
            <w:r w:rsidR="007A7304" w:rsidRPr="004079E1">
              <w:t>account</w:t>
            </w:r>
            <w:r w:rsidRPr="004079E1">
              <w:t>ing restrictions:</w:t>
            </w:r>
          </w:p>
          <w:p w:rsidR="00CF3DBD" w:rsidRPr="00313654" w:rsidRDefault="00CF3DBD" w:rsidP="003977A6">
            <w:pPr>
              <w:pStyle w:val="Normalgrey"/>
              <w:cnfStyle w:val="000000100000" w:firstRow="0" w:lastRow="0" w:firstColumn="0" w:lastColumn="0" w:oddVBand="0" w:evenVBand="0" w:oddHBand="1" w:evenHBand="0" w:firstRowFirstColumn="0" w:firstRowLastColumn="0" w:lastRowFirstColumn="0" w:lastRowLastColumn="0"/>
              <w:rPr>
                <w:b/>
              </w:rPr>
            </w:pPr>
            <w:r w:rsidRPr="00313654">
              <w:t xml:space="preserve">Due to the complexities and difficulties in complying with AASB 132/139 for hedge accounting, it is strongly recommended that entities do not apply hedge accounting. This recommendation to avoid the use of formal hedge accounting should not discourage an entity from entering into derivative financial instruments to manage financial risks, such as its interest rate or currency risks inherent in its borrowing or asset management activities. There </w:t>
            </w:r>
            <w:r>
              <w:t>shall</w:t>
            </w:r>
            <w:r w:rsidRPr="00313654">
              <w:t xml:space="preserve"> be consistency in the way that the </w:t>
            </w:r>
            <w:r>
              <w:t>derivatives</w:t>
            </w:r>
            <w:r w:rsidRPr="00313654">
              <w:t xml:space="preserve"> and the underlying instruments concerned are recorded, measured and values adjusted</w:t>
            </w:r>
            <w:r w:rsidR="00D71488">
              <w:t xml:space="preserve">. </w:t>
            </w:r>
            <w:r w:rsidRPr="00313654">
              <w:t xml:space="preserve">However if derivatives are designated as an accounting hedge, then the entity </w:t>
            </w:r>
            <w:r>
              <w:t>shall</w:t>
            </w:r>
            <w:r w:rsidRPr="00313654">
              <w:t xml:space="preserve"> follow AASB 139 with regard to its application of hedge accounting.</w:t>
            </w:r>
          </w:p>
        </w:tc>
      </w:tr>
      <w:tr w:rsidR="00CF3DBD" w:rsidRPr="00E10ADB" w:rsidTr="00E13A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CF3DBD" w:rsidRPr="00E2009B" w:rsidRDefault="00CF3DBD" w:rsidP="00DE779D">
            <w:pPr>
              <w:pStyle w:val="Normalgrey"/>
            </w:pPr>
            <w:r w:rsidRPr="00E2009B">
              <w:t xml:space="preserve">Relevant </w:t>
            </w:r>
            <w:r>
              <w:t>p</w:t>
            </w:r>
            <w:r w:rsidRPr="00E2009B">
              <w:t>ronouncements</w:t>
            </w:r>
          </w:p>
        </w:tc>
        <w:tc>
          <w:tcPr>
            <w:tcW w:w="270" w:type="dxa"/>
          </w:tcPr>
          <w:p w:rsidR="00CF3DBD" w:rsidRPr="00521483" w:rsidRDefault="00CF3DBD" w:rsidP="00493B55">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rsidR="00CF3DBD" w:rsidRPr="00E2009B" w:rsidRDefault="00CF3DBD" w:rsidP="00493B55">
            <w:pPr>
              <w:cnfStyle w:val="000000010000" w:firstRow="0" w:lastRow="0" w:firstColumn="0" w:lastColumn="0" w:oddVBand="0" w:evenVBand="0" w:oddHBand="0" w:evenHBand="1" w:firstRowFirstColumn="0" w:firstRowLastColumn="0" w:lastRowFirstColumn="0" w:lastRowLastColumn="0"/>
            </w:pPr>
          </w:p>
        </w:tc>
        <w:tc>
          <w:tcPr>
            <w:tcW w:w="6120" w:type="dxa"/>
          </w:tcPr>
          <w:p w:rsidR="00CF3DBD" w:rsidRDefault="00CF3DBD" w:rsidP="00FE059D">
            <w:pPr>
              <w:pStyle w:val="Bullet1grey"/>
              <w:contextualSpacing w:val="0"/>
              <w:cnfStyle w:val="000000010000" w:firstRow="0" w:lastRow="0" w:firstColumn="0" w:lastColumn="0" w:oddVBand="0" w:evenVBand="0" w:oddHBand="0" w:evenHBand="1" w:firstRowFirstColumn="0" w:firstRowLastColumn="0" w:lastRowFirstColumn="0" w:lastRowLastColumn="0"/>
            </w:pPr>
            <w:r>
              <w:t xml:space="preserve">AASB 7 </w:t>
            </w:r>
            <w:r w:rsidRPr="00BE5E39">
              <w:rPr>
                <w:i/>
              </w:rPr>
              <w:t>Financial Instruments: Disclosures</w:t>
            </w:r>
            <w:r>
              <w:t xml:space="preserve"> (December 2013)</w:t>
            </w:r>
          </w:p>
          <w:p w:rsidR="00CF3DBD" w:rsidRDefault="00CF3DBD" w:rsidP="00313654">
            <w:pPr>
              <w:pStyle w:val="Bullet1grey"/>
              <w:cnfStyle w:val="000000010000" w:firstRow="0" w:lastRow="0" w:firstColumn="0" w:lastColumn="0" w:oddVBand="0" w:evenVBand="0" w:oddHBand="0" w:evenHBand="1" w:firstRowFirstColumn="0" w:firstRowLastColumn="0" w:lastRowFirstColumn="0" w:lastRowLastColumn="0"/>
            </w:pPr>
            <w:r>
              <w:t xml:space="preserve">AASB 101 </w:t>
            </w:r>
            <w:r w:rsidRPr="00BE5E39">
              <w:rPr>
                <w:i/>
              </w:rPr>
              <w:t>Presentation of Financial Statements</w:t>
            </w:r>
            <w:r>
              <w:t xml:space="preserve"> (December 2013)</w:t>
            </w:r>
          </w:p>
          <w:p w:rsidR="00CF3DBD" w:rsidRDefault="00CF3DBD" w:rsidP="00313654">
            <w:pPr>
              <w:pStyle w:val="Bullet1grey"/>
              <w:cnfStyle w:val="000000010000" w:firstRow="0" w:lastRow="0" w:firstColumn="0" w:lastColumn="0" w:oddVBand="0" w:evenVBand="0" w:oddHBand="0" w:evenHBand="1" w:firstRowFirstColumn="0" w:firstRowLastColumn="0" w:lastRowFirstColumn="0" w:lastRowLastColumn="0"/>
            </w:pPr>
            <w:r>
              <w:t xml:space="preserve">AASB 132 </w:t>
            </w:r>
            <w:r w:rsidRPr="00BE5E39">
              <w:rPr>
                <w:i/>
              </w:rPr>
              <w:t>Financial Instruments: Presentation</w:t>
            </w:r>
            <w:r>
              <w:t xml:space="preserve"> (December 2013)</w:t>
            </w:r>
          </w:p>
          <w:p w:rsidR="00CF3DBD" w:rsidRDefault="00CF3DBD" w:rsidP="00313654">
            <w:pPr>
              <w:pStyle w:val="Bullet1grey"/>
              <w:cnfStyle w:val="000000010000" w:firstRow="0" w:lastRow="0" w:firstColumn="0" w:lastColumn="0" w:oddVBand="0" w:evenVBand="0" w:oddHBand="0" w:evenHBand="1" w:firstRowFirstColumn="0" w:firstRowLastColumn="0" w:lastRowFirstColumn="0" w:lastRowLastColumn="0"/>
            </w:pPr>
            <w:r>
              <w:t xml:space="preserve">AASB 139 </w:t>
            </w:r>
            <w:r w:rsidRPr="00BE5E39">
              <w:rPr>
                <w:i/>
              </w:rPr>
              <w:t>Financial Instruments: Recognition and Measurement</w:t>
            </w:r>
            <w:r>
              <w:t xml:space="preserve"> (June 2014)</w:t>
            </w:r>
          </w:p>
          <w:p w:rsidR="00CF3DBD" w:rsidRPr="00E2009B" w:rsidRDefault="00CF3DBD" w:rsidP="00313654">
            <w:pPr>
              <w:pStyle w:val="Bullet1grey"/>
              <w:cnfStyle w:val="000000010000" w:firstRow="0" w:lastRow="0" w:firstColumn="0" w:lastColumn="0" w:oddVBand="0" w:evenVBand="0" w:oddHBand="0" w:evenHBand="1" w:firstRowFirstColumn="0" w:firstRowLastColumn="0" w:lastRowFirstColumn="0" w:lastRowLastColumn="0"/>
            </w:pPr>
            <w:r w:rsidRPr="006D3190">
              <w:t>FRD 116A</w:t>
            </w:r>
            <w:r>
              <w:t xml:space="preserve"> </w:t>
            </w:r>
            <w:r w:rsidRPr="00BE5E39">
              <w:rPr>
                <w:i/>
              </w:rPr>
              <w:t xml:space="preserve">Financial </w:t>
            </w:r>
            <w:r w:rsidR="007A7304" w:rsidRPr="00BE5E39">
              <w:rPr>
                <w:i/>
              </w:rPr>
              <w:t>instruments – public financial corporations</w:t>
            </w:r>
            <w:r w:rsidR="007A7304">
              <w:rPr>
                <w:i/>
              </w:rPr>
              <w:t xml:space="preserve"> </w:t>
            </w:r>
            <w:r w:rsidRPr="002C28D8">
              <w:t>(</w:t>
            </w:r>
            <w:r w:rsidR="00000652">
              <w:t>June 2016</w:t>
            </w:r>
            <w:r w:rsidRPr="002C28D8">
              <w:t>)</w:t>
            </w:r>
          </w:p>
        </w:tc>
      </w:tr>
      <w:tr w:rsidR="00CF3DBD" w:rsidRPr="00E10ADB" w:rsidTr="00E13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CF3DBD" w:rsidRPr="00E2009B" w:rsidRDefault="00CF3DBD" w:rsidP="00DE779D">
            <w:pPr>
              <w:pStyle w:val="Normalgrey"/>
            </w:pPr>
            <w:r w:rsidRPr="00E2009B">
              <w:lastRenderedPageBreak/>
              <w:t>Background</w:t>
            </w:r>
          </w:p>
        </w:tc>
        <w:tc>
          <w:tcPr>
            <w:tcW w:w="270" w:type="dxa"/>
          </w:tcPr>
          <w:p w:rsidR="00CF3DBD" w:rsidRPr="00521483" w:rsidRDefault="00CF3DBD" w:rsidP="00493B55">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rsidR="00CF3DBD" w:rsidRPr="00472918" w:rsidRDefault="00CF3DBD" w:rsidP="00493B55">
            <w:pPr>
              <w:cnfStyle w:val="000000100000" w:firstRow="0" w:lastRow="0" w:firstColumn="0" w:lastColumn="0" w:oddVBand="0" w:evenVBand="0" w:oddHBand="1" w:evenHBand="0" w:firstRowFirstColumn="0" w:firstRowLastColumn="0" w:lastRowFirstColumn="0" w:lastRowLastColumn="0"/>
            </w:pPr>
          </w:p>
        </w:tc>
        <w:tc>
          <w:tcPr>
            <w:tcW w:w="6120" w:type="dxa"/>
          </w:tcPr>
          <w:p w:rsidR="00CF3DBD" w:rsidRDefault="00CF3DBD" w:rsidP="00F25B54">
            <w:pPr>
              <w:pStyle w:val="Bullet1grey"/>
              <w:cnfStyle w:val="000000100000" w:firstRow="0" w:lastRow="0" w:firstColumn="0" w:lastColumn="0" w:oddVBand="0" w:evenVBand="0" w:oddHBand="1" w:evenHBand="0" w:firstRowFirstColumn="0" w:firstRowLastColumn="0" w:lastRowFirstColumn="0" w:lastRowLastColumn="0"/>
            </w:pPr>
            <w:r>
              <w:t>AASB 2005</w:t>
            </w:r>
            <w:r w:rsidR="00D71488">
              <w:noBreakHyphen/>
            </w:r>
            <w:r>
              <w:t>4 amended AASB 139 to impose stringent criteria on the circumstances under which</w:t>
            </w:r>
            <w:r>
              <w:rPr>
                <w:color w:val="0000FF"/>
                <w:szCs w:val="22"/>
              </w:rPr>
              <w:t xml:space="preserve"> </w:t>
            </w:r>
            <w:r>
              <w:t xml:space="preserve">AASB 139 allows any financial asset or financial liability to be designated when initially recognised as a financial asset or financial liability at fair value through profit or loss. With some exceptions, </w:t>
            </w:r>
            <w:r w:rsidR="00DE4280">
              <w:t>th</w:t>
            </w:r>
            <w:r w:rsidR="00CD7DD5">
              <w:t>is</w:t>
            </w:r>
            <w:r w:rsidR="00DE4280">
              <w:t xml:space="preserve"> </w:t>
            </w:r>
            <w:r>
              <w:t>FRD requires all financial assets (and liabilities) that will be incorporated in the financial results and position of the whole of state to be classified as “available for sale” and so measured at fair value with movements in fair value to be recognised in equity</w:t>
            </w:r>
            <w:r w:rsidR="00413342">
              <w:t>,</w:t>
            </w:r>
            <w:r>
              <w:t xml:space="preserve"> until the financial instrument is derecognised </w:t>
            </w:r>
            <w:r w:rsidR="00413342">
              <w:t xml:space="preserve">and </w:t>
            </w:r>
            <w:r>
              <w:t>the movements shall be recognised in the operating statement.</w:t>
            </w:r>
          </w:p>
          <w:p w:rsidR="00CF3DBD" w:rsidRPr="00FD081B" w:rsidRDefault="00CF3DBD" w:rsidP="00313654">
            <w:pPr>
              <w:pStyle w:val="Bullet1grey"/>
              <w:cnfStyle w:val="000000100000" w:firstRow="0" w:lastRow="0" w:firstColumn="0" w:lastColumn="0" w:oddVBand="0" w:evenVBand="0" w:oddHBand="1" w:evenHBand="0" w:firstRowFirstColumn="0" w:firstRowLastColumn="0" w:lastRowFirstColumn="0" w:lastRowLastColumn="0"/>
              <w:rPr>
                <w:strike/>
              </w:rPr>
            </w:pPr>
            <w:r>
              <w:t>The ‘held to maturity’ financial asset designation allowed under AASB 139 requires DTF written approval before an entity can adopt these designations because harsh ramifications supplement the stringent tests in regard to ‘held</w:t>
            </w:r>
            <w:r w:rsidR="00D71488">
              <w:noBreakHyphen/>
            </w:r>
            <w:r>
              <w:t>to</w:t>
            </w:r>
            <w:r w:rsidR="00D71488">
              <w:noBreakHyphen/>
            </w:r>
            <w:r>
              <w:t>maturity’ asset designations. Sales or reclassifications of ‘held</w:t>
            </w:r>
            <w:r w:rsidR="00D71488">
              <w:noBreakHyphen/>
            </w:r>
            <w:r>
              <w:t>to</w:t>
            </w:r>
            <w:r w:rsidR="00D71488">
              <w:noBreakHyphen/>
            </w:r>
            <w:r>
              <w:t>maturity’ assets, other than the limited exceptions outlined in this FRD and AASB 139, result in any remaining ‘held</w:t>
            </w:r>
            <w:r w:rsidR="00D71488">
              <w:noBreakHyphen/>
            </w:r>
            <w:r>
              <w:t>to</w:t>
            </w:r>
            <w:r w:rsidR="00D71488">
              <w:noBreakHyphen/>
            </w:r>
            <w:r>
              <w:t>maturity’ assets being reclassified as ‘available</w:t>
            </w:r>
            <w:r w:rsidR="00D71488">
              <w:noBreakHyphen/>
            </w:r>
            <w:r>
              <w:t>for</w:t>
            </w:r>
            <w:r w:rsidR="00D71488">
              <w:noBreakHyphen/>
            </w:r>
            <w:r>
              <w:t>sale’ and recorded in the reporting period in which the sale or transfer occurred</w:t>
            </w:r>
            <w:r w:rsidR="00D71488">
              <w:t xml:space="preserve">. </w:t>
            </w:r>
            <w:r>
              <w:t>Further, if an entity is not permitted to use the ‘held</w:t>
            </w:r>
            <w:r w:rsidR="00D71488">
              <w:noBreakHyphen/>
            </w:r>
            <w:r>
              <w:t>to</w:t>
            </w:r>
            <w:r w:rsidR="00D71488">
              <w:noBreakHyphen/>
            </w:r>
            <w:r>
              <w:t>maturity’ designation as a result of a sale or reclassification, the ‘held</w:t>
            </w:r>
            <w:r w:rsidR="00D71488">
              <w:noBreakHyphen/>
            </w:r>
            <w:r>
              <w:t>to</w:t>
            </w:r>
            <w:r w:rsidR="00D71488">
              <w:noBreakHyphen/>
            </w:r>
            <w:r>
              <w:t xml:space="preserve">maturity’ designation also shall </w:t>
            </w:r>
            <w:r w:rsidR="004D48AE">
              <w:t xml:space="preserve">not </w:t>
            </w:r>
            <w:r>
              <w:t>be used in the consolidated financial statements of the State of Victoria.</w:t>
            </w:r>
          </w:p>
          <w:p w:rsidR="00CF3DBD" w:rsidRDefault="00CF3DBD" w:rsidP="00313654">
            <w:pPr>
              <w:pStyle w:val="Bullet1grey"/>
              <w:cnfStyle w:val="000000100000" w:firstRow="0" w:lastRow="0" w:firstColumn="0" w:lastColumn="0" w:oddVBand="0" w:evenVBand="0" w:oddHBand="1" w:evenHBand="0" w:firstRowFirstColumn="0" w:firstRowLastColumn="0" w:lastRowFirstColumn="0" w:lastRowLastColumn="0"/>
              <w:rPr>
                <w:szCs w:val="20"/>
              </w:rPr>
            </w:pPr>
            <w:r>
              <w:t xml:space="preserve">This FRD came into effect in the first annual reporting period beginning on or after 1 January 2005. Although AASB 1 requires prior period information to be restated, the State of Victoria elected to apply the exemption allowed under AASB 1 to not restate information required under AASB 132 and AASB 139. </w:t>
            </w:r>
          </w:p>
          <w:p w:rsidR="00CF3DBD" w:rsidRDefault="00CF3DBD" w:rsidP="00313654">
            <w:pPr>
              <w:pStyle w:val="Bullet1grey"/>
              <w:cnfStyle w:val="000000100000" w:firstRow="0" w:lastRow="0" w:firstColumn="0" w:lastColumn="0" w:oddVBand="0" w:evenVBand="0" w:oddHBand="1" w:evenHBand="0" w:firstRowFirstColumn="0" w:firstRowLastColumn="0" w:lastRowFirstColumn="0" w:lastRowLastColumn="0"/>
            </w:pPr>
            <w:r>
              <w:t>If a hedge of a purchase or sale of a capital item or any other unrecognised firm commitment or highly probable forecast transaction subsequently results in the recognition of a non</w:t>
            </w:r>
            <w:r w:rsidR="00D71488">
              <w:noBreakHyphen/>
            </w:r>
            <w:r>
              <w:t>financial asset or non</w:t>
            </w:r>
            <w:r w:rsidR="00D71488">
              <w:noBreakHyphen/>
            </w:r>
            <w:r>
              <w:t>financial liability, then the standard allows an entity to either (a) reclassify hedging gains/losses into profit/loss in the same periods in which the asset or liability affects profit/loss; or (b) transfer the hedging gains/losses into the initial carrying amount of the asset/liability. This FRD limits the choice to Option (b) to ensure consistency and that the cost of the asset reflects any hedging performed.</w:t>
            </w:r>
          </w:p>
          <w:p w:rsidR="00CF3DBD" w:rsidRDefault="00CF3DBD" w:rsidP="008241B6">
            <w:pPr>
              <w:pStyle w:val="Bullet1grey"/>
              <w:cnfStyle w:val="000000100000" w:firstRow="0" w:lastRow="0" w:firstColumn="0" w:lastColumn="0" w:oddVBand="0" w:evenVBand="0" w:oddHBand="1" w:evenHBand="0" w:firstRowFirstColumn="0" w:firstRowLastColumn="0" w:lastRowFirstColumn="0" w:lastRowLastColumn="0"/>
            </w:pPr>
            <w:r>
              <w:t>Until the introduction of A</w:t>
            </w:r>
            <w:r w:rsidR="00D71488">
              <w:noBreakHyphen/>
            </w:r>
            <w:r>
              <w:t xml:space="preserve">IFRS, the market borrowings held by TCV were revised to amortised cost on consolidation in the </w:t>
            </w:r>
            <w:r w:rsidRPr="00783B6B">
              <w:rPr>
                <w:i/>
              </w:rPr>
              <w:t>Financial Report for the State of Victoria</w:t>
            </w:r>
            <w:r>
              <w:t>. Commencing with 2005</w:t>
            </w:r>
            <w:r w:rsidR="00D71488">
              <w:noBreakHyphen/>
            </w:r>
            <w:r>
              <w:t xml:space="preserve">06, there shall be no adjustment to these liabilities and consequently these borrowings shall be recorded at fair value in the </w:t>
            </w:r>
            <w:r w:rsidRPr="00783B6B">
              <w:rPr>
                <w:i/>
              </w:rPr>
              <w:t>Financial Report for the State of Victoria</w:t>
            </w:r>
            <w:r>
              <w:t>.</w:t>
            </w:r>
          </w:p>
          <w:p w:rsidR="00CF3DBD" w:rsidRPr="00E2009B" w:rsidRDefault="00CF3DBD" w:rsidP="00ED31E5">
            <w:pPr>
              <w:pStyle w:val="Bullet1grey"/>
              <w:cnfStyle w:val="000000100000" w:firstRow="0" w:lastRow="0" w:firstColumn="0" w:lastColumn="0" w:oddVBand="0" w:evenVBand="0" w:oddHBand="1" w:evenHBand="0" w:firstRowFirstColumn="0" w:firstRowLastColumn="0" w:lastRowFirstColumn="0" w:lastRowLastColumn="0"/>
            </w:pPr>
            <w:r>
              <w:t xml:space="preserve">This FRD was revised in </w:t>
            </w:r>
            <w:r w:rsidR="00B3175D">
              <w:t>June</w:t>
            </w:r>
            <w:r>
              <w:t xml:space="preserve"> 2016 to remove the first</w:t>
            </w:r>
            <w:r w:rsidR="00D71488">
              <w:noBreakHyphen/>
            </w:r>
            <w:r>
              <w:t xml:space="preserve">time adoption requirements as they are no longer required. References to comparative information were removed as it applies to transitional periods. The ‘Model for Disclosure within Financial Report’ section was also removed as this disclosure </w:t>
            </w:r>
            <w:r w:rsidR="00752390">
              <w:t>has been</w:t>
            </w:r>
            <w:r>
              <w:t xml:space="preserve"> included in the </w:t>
            </w:r>
            <w:r w:rsidRPr="00003D54">
              <w:rPr>
                <w:i/>
              </w:rPr>
              <w:t>Model Report for Victorian Government Departments</w:t>
            </w:r>
            <w:r>
              <w:t xml:space="preserve">. </w:t>
            </w:r>
          </w:p>
        </w:tc>
      </w:tr>
    </w:tbl>
    <w:p w:rsidR="00495855" w:rsidRDefault="00495855" w:rsidP="00845688"/>
    <w:p w:rsidR="00B15DF9" w:rsidRDefault="00F25B54" w:rsidP="00F25B54">
      <w:pPr>
        <w:pStyle w:val="Heading1"/>
      </w:pPr>
      <w:r>
        <w:lastRenderedPageBreak/>
        <w:t>Appendix A</w:t>
      </w:r>
    </w:p>
    <w:p w:rsidR="00B15DF9" w:rsidRPr="001120B3" w:rsidRDefault="00B15DF9" w:rsidP="001120B3">
      <w:pPr>
        <w:pStyle w:val="Heading2"/>
        <w:rPr>
          <w:rFonts w:ascii="Times New Roman" w:hAnsi="Times New Roman"/>
        </w:rPr>
      </w:pPr>
      <w:r w:rsidRPr="001120B3">
        <w:t>Financia</w:t>
      </w:r>
      <w:r w:rsidR="00F25B54" w:rsidRPr="001120B3">
        <w:t>l instruments measurement and accounting matrix preferred designations</w:t>
      </w:r>
    </w:p>
    <w:tbl>
      <w:tblPr>
        <w:tblStyle w:val="DTFtexttable"/>
        <w:tblW w:w="9133" w:type="dxa"/>
        <w:tblBorders>
          <w:left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43" w:type="dxa"/>
          <w:right w:w="43" w:type="dxa"/>
        </w:tblCellMar>
        <w:tblLook w:val="0480" w:firstRow="0" w:lastRow="0" w:firstColumn="1" w:lastColumn="0" w:noHBand="0" w:noVBand="1"/>
      </w:tblPr>
      <w:tblGrid>
        <w:gridCol w:w="4003"/>
        <w:gridCol w:w="1683"/>
        <w:gridCol w:w="639"/>
        <w:gridCol w:w="675"/>
        <w:gridCol w:w="1035"/>
        <w:gridCol w:w="18"/>
        <w:gridCol w:w="1062"/>
        <w:gridCol w:w="18"/>
      </w:tblGrid>
      <w:tr w:rsidR="00C50759" w:rsidRPr="00E15B57" w:rsidTr="00ED31E5">
        <w:trPr>
          <w:cnfStyle w:val="000000010000" w:firstRow="0" w:lastRow="0" w:firstColumn="0" w:lastColumn="0" w:oddVBand="0" w:evenVBand="0" w:oddHBand="0" w:evenHBand="1"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03" w:type="dxa"/>
            <w:vMerge w:val="restart"/>
            <w:tcBorders>
              <w:top w:val="nil"/>
              <w:bottom w:val="single" w:sz="6" w:space="0" w:color="D9D9D9" w:themeColor="background1" w:themeShade="D9"/>
              <w:right w:val="single" w:sz="4" w:space="0" w:color="D9D9D9" w:themeColor="background1" w:themeShade="D9"/>
            </w:tcBorders>
            <w:shd w:val="clear" w:color="auto" w:fill="000000" w:themeFill="text1"/>
            <w:vAlign w:val="bottom"/>
            <w:hideMark/>
          </w:tcPr>
          <w:p w:rsidR="00C50759" w:rsidRPr="00E15B57" w:rsidRDefault="00C50759" w:rsidP="0086431A">
            <w:pPr>
              <w:pStyle w:val="Tableheader"/>
              <w:rPr>
                <w:b/>
                <w:sz w:val="16"/>
                <w:szCs w:val="16"/>
              </w:rPr>
            </w:pPr>
            <w:r w:rsidRPr="00E15B57">
              <w:rPr>
                <w:b/>
                <w:sz w:val="16"/>
                <w:szCs w:val="16"/>
              </w:rPr>
              <w:t>Financial instrument</w:t>
            </w:r>
          </w:p>
        </w:tc>
        <w:tc>
          <w:tcPr>
            <w:tcW w:w="1683" w:type="dxa"/>
            <w:tcBorders>
              <w:top w:val="nil"/>
              <w:left w:val="single" w:sz="4" w:space="0" w:color="D9D9D9" w:themeColor="background1" w:themeShade="D9"/>
              <w:bottom w:val="nil"/>
            </w:tcBorders>
            <w:shd w:val="clear" w:color="auto" w:fill="000000" w:themeFill="text1"/>
            <w:hideMark/>
          </w:tcPr>
          <w:p w:rsidR="00C50759" w:rsidRPr="00E15B57" w:rsidRDefault="00C50759" w:rsidP="0086431A">
            <w:pPr>
              <w:pStyle w:val="Tableheader"/>
              <w:jc w:val="center"/>
              <w:cnfStyle w:val="000000010000" w:firstRow="0" w:lastRow="0" w:firstColumn="0" w:lastColumn="0" w:oddVBand="0" w:evenVBand="0" w:oddHBand="0" w:evenHBand="1" w:firstRowFirstColumn="0" w:firstRowLastColumn="0" w:lastRowFirstColumn="0" w:lastRowLastColumn="0"/>
              <w:rPr>
                <w:b/>
                <w:sz w:val="16"/>
                <w:szCs w:val="16"/>
              </w:rPr>
            </w:pPr>
          </w:p>
        </w:tc>
        <w:tc>
          <w:tcPr>
            <w:tcW w:w="2367" w:type="dxa"/>
            <w:gridSpan w:val="4"/>
            <w:tcBorders>
              <w:top w:val="nil"/>
            </w:tcBorders>
            <w:shd w:val="clear" w:color="auto" w:fill="000000" w:themeFill="text1"/>
            <w:vAlign w:val="bottom"/>
            <w:hideMark/>
          </w:tcPr>
          <w:p w:rsidR="00C50759" w:rsidRPr="00E15B57" w:rsidRDefault="00C50759" w:rsidP="0086431A">
            <w:pPr>
              <w:pStyle w:val="Tableheader"/>
              <w:jc w:val="center"/>
              <w:cnfStyle w:val="000000010000" w:firstRow="0" w:lastRow="0" w:firstColumn="0" w:lastColumn="0" w:oddVBand="0" w:evenVBand="0" w:oddHBand="0" w:evenHBand="1" w:firstRowFirstColumn="0" w:firstRowLastColumn="0" w:lastRowFirstColumn="0" w:lastRowLastColumn="0"/>
              <w:rPr>
                <w:b/>
                <w:sz w:val="16"/>
                <w:szCs w:val="16"/>
              </w:rPr>
            </w:pPr>
            <w:r w:rsidRPr="00E15B57">
              <w:rPr>
                <w:b/>
                <w:sz w:val="16"/>
                <w:szCs w:val="16"/>
              </w:rPr>
              <w:t>Measured at</w:t>
            </w:r>
          </w:p>
        </w:tc>
        <w:tc>
          <w:tcPr>
            <w:tcW w:w="1080" w:type="dxa"/>
            <w:gridSpan w:val="2"/>
            <w:tcBorders>
              <w:top w:val="nil"/>
              <w:bottom w:val="nil"/>
            </w:tcBorders>
            <w:shd w:val="clear" w:color="auto" w:fill="000000" w:themeFill="text1"/>
            <w:vAlign w:val="bottom"/>
            <w:hideMark/>
          </w:tcPr>
          <w:p w:rsidR="00C50759" w:rsidRPr="00E15B57" w:rsidRDefault="00C50759" w:rsidP="0086431A">
            <w:pPr>
              <w:pStyle w:val="Tableheader"/>
              <w:jc w:val="center"/>
              <w:cnfStyle w:val="000000010000" w:firstRow="0" w:lastRow="0" w:firstColumn="0" w:lastColumn="0" w:oddVBand="0" w:evenVBand="0" w:oddHBand="0" w:evenHBand="1" w:firstRowFirstColumn="0" w:firstRowLastColumn="0" w:lastRowFirstColumn="0" w:lastRowLastColumn="0"/>
              <w:rPr>
                <w:b/>
                <w:sz w:val="16"/>
                <w:szCs w:val="16"/>
              </w:rPr>
            </w:pPr>
          </w:p>
        </w:tc>
      </w:tr>
      <w:tr w:rsidR="00C50759" w:rsidRPr="00E15B57" w:rsidTr="00ED31E5">
        <w:trPr>
          <w:cnfStyle w:val="000000010000" w:firstRow="0" w:lastRow="0" w:firstColumn="0" w:lastColumn="0" w:oddVBand="0" w:evenVBand="0" w:oddHBand="0" w:evenHBand="1"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03" w:type="dxa"/>
            <w:vMerge/>
            <w:tcBorders>
              <w:top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000000" w:themeFill="text1"/>
            <w:hideMark/>
          </w:tcPr>
          <w:p w:rsidR="00C50759" w:rsidRPr="00E15B57" w:rsidRDefault="00C50759" w:rsidP="0086431A">
            <w:pPr>
              <w:pStyle w:val="Tableheader"/>
              <w:jc w:val="center"/>
              <w:rPr>
                <w:rFonts w:cstheme="minorHAnsi"/>
                <w:b/>
                <w:bCs/>
                <w:sz w:val="16"/>
                <w:szCs w:val="16"/>
              </w:rPr>
            </w:pPr>
          </w:p>
        </w:tc>
        <w:tc>
          <w:tcPr>
            <w:tcW w:w="1683" w:type="dxa"/>
            <w:vMerge w:val="restart"/>
            <w:tcBorders>
              <w:top w:val="nil"/>
              <w:left w:val="single" w:sz="4" w:space="0" w:color="D9D9D9" w:themeColor="background1" w:themeShade="D9"/>
              <w:bottom w:val="single" w:sz="6" w:space="0" w:color="D9D9D9" w:themeColor="background1" w:themeShade="D9"/>
            </w:tcBorders>
            <w:shd w:val="clear" w:color="auto" w:fill="000000" w:themeFill="text1"/>
            <w:vAlign w:val="bottom"/>
          </w:tcPr>
          <w:p w:rsidR="00C50759" w:rsidRPr="00E15B57" w:rsidRDefault="00C50759" w:rsidP="0086431A">
            <w:pPr>
              <w:pStyle w:val="Tableheader"/>
              <w:jc w:val="center"/>
              <w:cnfStyle w:val="000000010000" w:firstRow="0" w:lastRow="0" w:firstColumn="0" w:lastColumn="0" w:oddVBand="0" w:evenVBand="0" w:oddHBand="0" w:evenHBand="1" w:firstRowFirstColumn="0" w:firstRowLastColumn="0" w:lastRowFirstColumn="0" w:lastRowLastColumn="0"/>
              <w:rPr>
                <w:b/>
                <w:sz w:val="16"/>
                <w:szCs w:val="16"/>
              </w:rPr>
            </w:pPr>
            <w:r w:rsidRPr="00E15B57">
              <w:rPr>
                <w:b/>
                <w:sz w:val="16"/>
                <w:szCs w:val="16"/>
              </w:rPr>
              <w:t>Designations requiring</w:t>
            </w:r>
            <w:r w:rsidRPr="00E15B57">
              <w:rPr>
                <w:b/>
                <w:sz w:val="16"/>
                <w:szCs w:val="16"/>
              </w:rPr>
              <w:br/>
              <w:t xml:space="preserve"> DTF prior approval</w:t>
            </w:r>
          </w:p>
        </w:tc>
        <w:tc>
          <w:tcPr>
            <w:tcW w:w="1314" w:type="dxa"/>
            <w:gridSpan w:val="2"/>
            <w:shd w:val="clear" w:color="auto" w:fill="000000" w:themeFill="text1"/>
            <w:vAlign w:val="bottom"/>
            <w:hideMark/>
          </w:tcPr>
          <w:p w:rsidR="00C50759" w:rsidRPr="00E15B57" w:rsidRDefault="00C50759" w:rsidP="0086431A">
            <w:pPr>
              <w:pStyle w:val="Tableheader"/>
              <w:jc w:val="center"/>
              <w:cnfStyle w:val="000000010000" w:firstRow="0" w:lastRow="0" w:firstColumn="0" w:lastColumn="0" w:oddVBand="0" w:evenVBand="0" w:oddHBand="0" w:evenHBand="1" w:firstRowFirstColumn="0" w:firstRowLastColumn="0" w:lastRowFirstColumn="0" w:lastRowLastColumn="0"/>
              <w:rPr>
                <w:b/>
                <w:sz w:val="16"/>
                <w:szCs w:val="16"/>
              </w:rPr>
            </w:pPr>
            <w:r w:rsidRPr="00E15B57">
              <w:rPr>
                <w:b/>
                <w:sz w:val="16"/>
                <w:szCs w:val="16"/>
              </w:rPr>
              <w:t>Fair value</w:t>
            </w:r>
          </w:p>
        </w:tc>
        <w:tc>
          <w:tcPr>
            <w:tcW w:w="1053" w:type="dxa"/>
            <w:gridSpan w:val="2"/>
            <w:tcBorders>
              <w:top w:val="single" w:sz="6" w:space="0" w:color="D9D9D9" w:themeColor="background1" w:themeShade="D9"/>
              <w:bottom w:val="nil"/>
            </w:tcBorders>
            <w:shd w:val="clear" w:color="auto" w:fill="000000" w:themeFill="text1"/>
            <w:vAlign w:val="bottom"/>
            <w:hideMark/>
          </w:tcPr>
          <w:p w:rsidR="00C50759" w:rsidRPr="00E15B57" w:rsidRDefault="00C50759" w:rsidP="0086431A">
            <w:pPr>
              <w:pStyle w:val="Tableheader"/>
              <w:jc w:val="center"/>
              <w:cnfStyle w:val="000000010000" w:firstRow="0" w:lastRow="0" w:firstColumn="0" w:lastColumn="0" w:oddVBand="0" w:evenVBand="0" w:oddHBand="0" w:evenHBand="1" w:firstRowFirstColumn="0" w:firstRowLastColumn="0" w:lastRowFirstColumn="0" w:lastRowLastColumn="0"/>
              <w:rPr>
                <w:b/>
                <w:sz w:val="16"/>
                <w:szCs w:val="16"/>
              </w:rPr>
            </w:pPr>
          </w:p>
        </w:tc>
        <w:tc>
          <w:tcPr>
            <w:tcW w:w="1080" w:type="dxa"/>
            <w:gridSpan w:val="2"/>
            <w:vMerge w:val="restart"/>
            <w:tcBorders>
              <w:top w:val="nil"/>
              <w:bottom w:val="single" w:sz="6" w:space="0" w:color="D9D9D9" w:themeColor="background1" w:themeShade="D9"/>
            </w:tcBorders>
            <w:shd w:val="clear" w:color="auto" w:fill="000000" w:themeFill="text1"/>
            <w:vAlign w:val="bottom"/>
          </w:tcPr>
          <w:p w:rsidR="00C50759" w:rsidRPr="00E15B57" w:rsidRDefault="00C50759" w:rsidP="0086431A">
            <w:pPr>
              <w:pStyle w:val="Tableheader"/>
              <w:jc w:val="center"/>
              <w:cnfStyle w:val="000000010000" w:firstRow="0" w:lastRow="0" w:firstColumn="0" w:lastColumn="0" w:oddVBand="0" w:evenVBand="0" w:oddHBand="0" w:evenHBand="1" w:firstRowFirstColumn="0" w:firstRowLastColumn="0" w:lastRowFirstColumn="0" w:lastRowLastColumn="0"/>
              <w:rPr>
                <w:b/>
                <w:sz w:val="16"/>
                <w:szCs w:val="16"/>
              </w:rPr>
            </w:pPr>
            <w:r w:rsidRPr="00E15B57">
              <w:rPr>
                <w:b/>
                <w:sz w:val="16"/>
                <w:szCs w:val="16"/>
              </w:rPr>
              <w:t>Subject to</w:t>
            </w:r>
            <w:r w:rsidRPr="00E15B57">
              <w:rPr>
                <w:b/>
                <w:sz w:val="16"/>
                <w:szCs w:val="16"/>
              </w:rPr>
              <w:br/>
              <w:t>impairment</w:t>
            </w:r>
          </w:p>
        </w:tc>
      </w:tr>
      <w:tr w:rsidR="00C50759" w:rsidRPr="00E15B57" w:rsidTr="00ED31E5">
        <w:trPr>
          <w:cnfStyle w:val="000000010000" w:firstRow="0" w:lastRow="0" w:firstColumn="0" w:lastColumn="0" w:oddVBand="0" w:evenVBand="0" w:oddHBand="0" w:evenHBand="1"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03" w:type="dxa"/>
            <w:vMerge/>
            <w:tcBorders>
              <w:top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000000" w:themeFill="text1"/>
            <w:hideMark/>
          </w:tcPr>
          <w:p w:rsidR="00C50759" w:rsidRPr="00E15B57" w:rsidRDefault="00C50759" w:rsidP="0086431A">
            <w:pPr>
              <w:pStyle w:val="Tableheader"/>
              <w:jc w:val="center"/>
              <w:rPr>
                <w:rFonts w:cstheme="minorHAnsi"/>
                <w:b/>
                <w:bCs/>
                <w:sz w:val="16"/>
                <w:szCs w:val="16"/>
              </w:rPr>
            </w:pPr>
          </w:p>
        </w:tc>
        <w:tc>
          <w:tcPr>
            <w:tcW w:w="1683" w:type="dxa"/>
            <w:vMerge/>
            <w:tcBorders>
              <w:top w:val="single" w:sz="6" w:space="0" w:color="D9D9D9" w:themeColor="background1" w:themeShade="D9"/>
              <w:left w:val="single" w:sz="4" w:space="0" w:color="D9D9D9" w:themeColor="background1" w:themeShade="D9"/>
              <w:bottom w:val="single" w:sz="6" w:space="0" w:color="D9D9D9" w:themeColor="background1" w:themeShade="D9"/>
            </w:tcBorders>
            <w:shd w:val="clear" w:color="auto" w:fill="000000" w:themeFill="text1"/>
            <w:hideMark/>
          </w:tcPr>
          <w:p w:rsidR="00C50759" w:rsidRPr="00E15B57" w:rsidRDefault="00C50759" w:rsidP="0086431A">
            <w:pPr>
              <w:pStyle w:val="Tableheader"/>
              <w:jc w:val="center"/>
              <w:cnfStyle w:val="000000010000" w:firstRow="0" w:lastRow="0" w:firstColumn="0" w:lastColumn="0" w:oddVBand="0" w:evenVBand="0" w:oddHBand="0" w:evenHBand="1" w:firstRowFirstColumn="0" w:firstRowLastColumn="0" w:lastRowFirstColumn="0" w:lastRowLastColumn="0"/>
              <w:rPr>
                <w:b/>
                <w:sz w:val="16"/>
                <w:szCs w:val="16"/>
              </w:rPr>
            </w:pPr>
          </w:p>
        </w:tc>
        <w:tc>
          <w:tcPr>
            <w:tcW w:w="639" w:type="dxa"/>
            <w:shd w:val="clear" w:color="auto" w:fill="000000" w:themeFill="text1"/>
            <w:hideMark/>
          </w:tcPr>
          <w:p w:rsidR="00C50759" w:rsidRPr="00E15B57" w:rsidRDefault="00C50759" w:rsidP="0086431A">
            <w:pPr>
              <w:pStyle w:val="Tableheader"/>
              <w:jc w:val="center"/>
              <w:cnfStyle w:val="000000010000" w:firstRow="0" w:lastRow="0" w:firstColumn="0" w:lastColumn="0" w:oddVBand="0" w:evenVBand="0" w:oddHBand="0" w:evenHBand="1" w:firstRowFirstColumn="0" w:firstRowLastColumn="0" w:lastRowFirstColumn="0" w:lastRowLastColumn="0"/>
              <w:rPr>
                <w:b/>
                <w:sz w:val="16"/>
                <w:szCs w:val="16"/>
              </w:rPr>
            </w:pPr>
            <w:r w:rsidRPr="00E15B57">
              <w:rPr>
                <w:b/>
                <w:sz w:val="16"/>
                <w:szCs w:val="16"/>
              </w:rPr>
              <w:t>Thru P&amp;L</w:t>
            </w:r>
          </w:p>
        </w:tc>
        <w:tc>
          <w:tcPr>
            <w:tcW w:w="675" w:type="dxa"/>
            <w:shd w:val="clear" w:color="auto" w:fill="000000" w:themeFill="text1"/>
            <w:hideMark/>
          </w:tcPr>
          <w:p w:rsidR="00C50759" w:rsidRPr="00E15B57" w:rsidRDefault="00C50759" w:rsidP="0086431A">
            <w:pPr>
              <w:pStyle w:val="Tableheader"/>
              <w:jc w:val="center"/>
              <w:cnfStyle w:val="000000010000" w:firstRow="0" w:lastRow="0" w:firstColumn="0" w:lastColumn="0" w:oddVBand="0" w:evenVBand="0" w:oddHBand="0" w:evenHBand="1" w:firstRowFirstColumn="0" w:firstRowLastColumn="0" w:lastRowFirstColumn="0" w:lastRowLastColumn="0"/>
              <w:rPr>
                <w:b/>
                <w:sz w:val="16"/>
                <w:szCs w:val="16"/>
              </w:rPr>
            </w:pPr>
            <w:r w:rsidRPr="00E15B57">
              <w:rPr>
                <w:b/>
                <w:sz w:val="16"/>
                <w:szCs w:val="16"/>
              </w:rPr>
              <w:t>Thru equity</w:t>
            </w:r>
          </w:p>
        </w:tc>
        <w:tc>
          <w:tcPr>
            <w:tcW w:w="1053" w:type="dxa"/>
            <w:gridSpan w:val="2"/>
            <w:tcBorders>
              <w:top w:val="nil"/>
              <w:bottom w:val="single" w:sz="6" w:space="0" w:color="D9D9D9" w:themeColor="background1" w:themeShade="D9"/>
            </w:tcBorders>
            <w:shd w:val="clear" w:color="auto" w:fill="000000" w:themeFill="text1"/>
            <w:hideMark/>
          </w:tcPr>
          <w:p w:rsidR="00C50759" w:rsidRPr="00E15B57" w:rsidRDefault="00C50759" w:rsidP="0086431A">
            <w:pPr>
              <w:pStyle w:val="Tableheader"/>
              <w:jc w:val="center"/>
              <w:cnfStyle w:val="000000010000" w:firstRow="0" w:lastRow="0" w:firstColumn="0" w:lastColumn="0" w:oddVBand="0" w:evenVBand="0" w:oddHBand="0" w:evenHBand="1" w:firstRowFirstColumn="0" w:firstRowLastColumn="0" w:lastRowFirstColumn="0" w:lastRowLastColumn="0"/>
              <w:rPr>
                <w:b/>
                <w:sz w:val="16"/>
                <w:szCs w:val="16"/>
              </w:rPr>
            </w:pPr>
            <w:r w:rsidRPr="00E15B57">
              <w:rPr>
                <w:b/>
                <w:sz w:val="16"/>
                <w:szCs w:val="16"/>
              </w:rPr>
              <w:t>Amortised cost</w:t>
            </w:r>
          </w:p>
        </w:tc>
        <w:tc>
          <w:tcPr>
            <w:tcW w:w="1080" w:type="dxa"/>
            <w:gridSpan w:val="2"/>
            <w:vMerge/>
            <w:tcBorders>
              <w:top w:val="nil"/>
              <w:bottom w:val="single" w:sz="6" w:space="0" w:color="D9D9D9" w:themeColor="background1" w:themeShade="D9"/>
            </w:tcBorders>
            <w:shd w:val="clear" w:color="auto" w:fill="000000" w:themeFill="text1"/>
            <w:hideMark/>
          </w:tcPr>
          <w:p w:rsidR="00C50759" w:rsidRPr="00E15B57" w:rsidRDefault="00C50759" w:rsidP="0086431A">
            <w:pPr>
              <w:pStyle w:val="Tableheader"/>
              <w:jc w:val="center"/>
              <w:cnfStyle w:val="000000010000" w:firstRow="0" w:lastRow="0" w:firstColumn="0" w:lastColumn="0" w:oddVBand="0" w:evenVBand="0" w:oddHBand="0" w:evenHBand="1" w:firstRowFirstColumn="0" w:firstRowLastColumn="0" w:lastRowFirstColumn="0" w:lastRowLastColumn="0"/>
              <w:rPr>
                <w:b/>
                <w:sz w:val="16"/>
                <w:szCs w:val="16"/>
              </w:rPr>
            </w:pPr>
          </w:p>
        </w:tc>
      </w:tr>
      <w:tr w:rsidR="00B15DF9" w:rsidTr="00ED31E5">
        <w:trPr>
          <w:gridAfter w:val="1"/>
          <w:cnfStyle w:val="000000100000" w:firstRow="0" w:lastRow="0" w:firstColumn="0" w:lastColumn="0" w:oddVBand="0" w:evenVBand="0" w:oddHBand="1" w:evenHBand="0" w:firstRowFirstColumn="0" w:firstRowLastColumn="0" w:lastRowFirstColumn="0" w:lastRowLastColumn="0"/>
          <w:wAfter w:w="18" w:type="dxa"/>
          <w:cantSplit w:val="0"/>
        </w:trPr>
        <w:tc>
          <w:tcPr>
            <w:cnfStyle w:val="001000000000" w:firstRow="0" w:lastRow="0" w:firstColumn="1" w:lastColumn="0" w:oddVBand="0" w:evenVBand="0" w:oddHBand="0" w:evenHBand="0" w:firstRowFirstColumn="0" w:firstRowLastColumn="0" w:lastRowFirstColumn="0" w:lastRowLastColumn="0"/>
            <w:tcW w:w="4003" w:type="dxa"/>
            <w:tcBorders>
              <w:top w:val="single" w:sz="6" w:space="0" w:color="D9D9D9" w:themeColor="background1" w:themeShade="D9"/>
            </w:tcBorders>
            <w:hideMark/>
          </w:tcPr>
          <w:p w:rsidR="00B15DF9" w:rsidRPr="00B15DF9" w:rsidRDefault="00B15DF9" w:rsidP="00307127">
            <w:pPr>
              <w:pStyle w:val="Normalbold"/>
            </w:pPr>
            <w:r w:rsidRPr="00B15DF9">
              <w:t>Asset loans and receivables</w:t>
            </w:r>
          </w:p>
          <w:p w:rsidR="00B15DF9" w:rsidRPr="00B15DF9" w:rsidRDefault="00B15DF9" w:rsidP="00307127">
            <w:pPr>
              <w:pStyle w:val="Tablebullet"/>
            </w:pPr>
            <w:r w:rsidRPr="00B15DF9">
              <w:t>Term deposits not quoted in an active market</w:t>
            </w:r>
          </w:p>
          <w:p w:rsidR="0099362C" w:rsidRPr="00307127" w:rsidRDefault="00B15DF9" w:rsidP="00307127">
            <w:pPr>
              <w:pStyle w:val="Tablebullet"/>
            </w:pPr>
            <w:r w:rsidRPr="00B15DF9">
              <w:t>Receivables, including trade debtors and loans, that are not quoted in an active market and the entity has no intention to sell the assets</w:t>
            </w:r>
          </w:p>
        </w:tc>
        <w:tc>
          <w:tcPr>
            <w:tcW w:w="1683" w:type="dxa"/>
            <w:tcBorders>
              <w:top w:val="single" w:sz="6" w:space="0" w:color="D9D9D9" w:themeColor="background1" w:themeShade="D9"/>
            </w:tcBorders>
          </w:tcPr>
          <w:p w:rsidR="00B15DF9" w:rsidRP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pPr>
          </w:p>
        </w:tc>
        <w:tc>
          <w:tcPr>
            <w:tcW w:w="639" w:type="dxa"/>
          </w:tcPr>
          <w:p w:rsidR="00B15DF9" w:rsidRP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pPr>
          </w:p>
        </w:tc>
        <w:tc>
          <w:tcPr>
            <w:tcW w:w="675" w:type="dxa"/>
          </w:tcPr>
          <w:p w:rsidR="00B15DF9" w:rsidRP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pPr>
          </w:p>
        </w:tc>
        <w:tc>
          <w:tcPr>
            <w:tcW w:w="1035" w:type="dxa"/>
          </w:tcPr>
          <w:p w:rsidR="00B15DF9" w:rsidRPr="00B15DF9" w:rsidRDefault="005F6397" w:rsidP="00307127">
            <w:pPr>
              <w:pStyle w:val="Tabletext"/>
              <w:jc w:val="center"/>
              <w:cnfStyle w:val="000000100000" w:firstRow="0" w:lastRow="0" w:firstColumn="0" w:lastColumn="0" w:oddVBand="0" w:evenVBand="0" w:oddHBand="1" w:evenHBand="0" w:firstRowFirstColumn="0" w:firstRowLastColumn="0" w:lastRowFirstColumn="0" w:lastRowLastColumn="0"/>
              <w:rPr>
                <w:b/>
                <w:bCs/>
              </w:rPr>
            </w:pPr>
            <w:r>
              <w:rPr>
                <w:b/>
                <w:bCs/>
              </w:rPr>
              <w:br/>
            </w:r>
          </w:p>
          <w:p w:rsidR="00B15DF9" w:rsidRP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B15DF9">
              <w:rPr>
                <w:b/>
                <w:bCs/>
              </w:rPr>
              <w:t>√</w:t>
            </w:r>
          </w:p>
          <w:p w:rsidR="00B15DF9" w:rsidRPr="005F6397"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B15DF9">
              <w:rPr>
                <w:b/>
                <w:bCs/>
              </w:rPr>
              <w:t>√</w:t>
            </w:r>
          </w:p>
        </w:tc>
        <w:tc>
          <w:tcPr>
            <w:tcW w:w="1080" w:type="dxa"/>
            <w:gridSpan w:val="2"/>
            <w:tcBorders>
              <w:top w:val="single" w:sz="6" w:space="0" w:color="D9D9D9" w:themeColor="background1" w:themeShade="D9"/>
            </w:tcBorders>
          </w:tcPr>
          <w:p w:rsidR="00B15DF9" w:rsidRP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rPr>
                <w:b/>
                <w:bCs/>
              </w:rPr>
            </w:pPr>
          </w:p>
          <w:p w:rsidR="00B15DF9" w:rsidRPr="00B15DF9" w:rsidRDefault="005F6397" w:rsidP="00307127">
            <w:pPr>
              <w:pStyle w:val="Tabletext"/>
              <w:jc w:val="center"/>
              <w:cnfStyle w:val="000000100000" w:firstRow="0" w:lastRow="0" w:firstColumn="0" w:lastColumn="0" w:oddVBand="0" w:evenVBand="0" w:oddHBand="1" w:evenHBand="0" w:firstRowFirstColumn="0" w:firstRowLastColumn="0" w:lastRowFirstColumn="0" w:lastRowLastColumn="0"/>
              <w:rPr>
                <w:b/>
                <w:bCs/>
              </w:rPr>
            </w:pPr>
            <w:r>
              <w:rPr>
                <w:b/>
                <w:bCs/>
              </w:rPr>
              <w:br/>
            </w:r>
            <w:r w:rsidR="00B15DF9" w:rsidRPr="00B15DF9">
              <w:rPr>
                <w:b/>
                <w:bCs/>
              </w:rPr>
              <w:t>√</w:t>
            </w:r>
          </w:p>
          <w:p w:rsidR="00B15DF9" w:rsidRPr="005F6397"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B15DF9">
              <w:rPr>
                <w:b/>
                <w:bCs/>
              </w:rPr>
              <w:t>√</w:t>
            </w:r>
          </w:p>
        </w:tc>
      </w:tr>
      <w:tr w:rsidR="00B15DF9" w:rsidTr="00C50759">
        <w:trPr>
          <w:gridAfter w:val="1"/>
          <w:cnfStyle w:val="000000010000" w:firstRow="0" w:lastRow="0" w:firstColumn="0" w:lastColumn="0" w:oddVBand="0" w:evenVBand="0" w:oddHBand="0" w:evenHBand="1" w:firstRowFirstColumn="0" w:firstRowLastColumn="0" w:lastRowFirstColumn="0" w:lastRowLastColumn="0"/>
          <w:wAfter w:w="18" w:type="dxa"/>
          <w:cantSplit w:val="0"/>
        </w:trPr>
        <w:tc>
          <w:tcPr>
            <w:cnfStyle w:val="001000000000" w:firstRow="0" w:lastRow="0" w:firstColumn="1" w:lastColumn="0" w:oddVBand="0" w:evenVBand="0" w:oddHBand="0" w:evenHBand="0" w:firstRowFirstColumn="0" w:firstRowLastColumn="0" w:lastRowFirstColumn="0" w:lastRowLastColumn="0"/>
            <w:tcW w:w="4003" w:type="dxa"/>
            <w:hideMark/>
          </w:tcPr>
          <w:p w:rsidR="00B15DF9" w:rsidRPr="00B15DF9" w:rsidRDefault="00B15DF9" w:rsidP="00307127">
            <w:pPr>
              <w:pStyle w:val="Normalbold"/>
            </w:pPr>
            <w:r w:rsidRPr="00B15DF9">
              <w:t xml:space="preserve">Assets at fair value through profit or loss </w:t>
            </w:r>
          </w:p>
          <w:p w:rsidR="00B15DF9" w:rsidRPr="00B15DF9" w:rsidRDefault="00B15DF9" w:rsidP="00307127">
            <w:pPr>
              <w:pStyle w:val="Tablebullet"/>
            </w:pPr>
            <w:r w:rsidRPr="00B15DF9">
              <w:t xml:space="preserve">Receivables that are not designated as </w:t>
            </w:r>
            <w:r w:rsidR="007063AB">
              <w:t>‘</w:t>
            </w:r>
            <w:r w:rsidRPr="00B15DF9">
              <w:t>loans and receivables</w:t>
            </w:r>
            <w:r w:rsidR="007063AB">
              <w:t>’</w:t>
            </w:r>
            <w:r w:rsidRPr="00B15DF9">
              <w:t xml:space="preserve"> nor </w:t>
            </w:r>
            <w:r w:rsidR="007063AB">
              <w:t>‘</w:t>
            </w:r>
            <w:r w:rsidRPr="00B15DF9">
              <w:t>available for sale</w:t>
            </w:r>
            <w:r w:rsidR="007063AB">
              <w:t>’</w:t>
            </w:r>
            <w:r w:rsidRPr="00B15DF9">
              <w:t xml:space="preserve"> nor </w:t>
            </w:r>
            <w:r w:rsidR="007063AB">
              <w:t>‘</w:t>
            </w:r>
            <w:r w:rsidRPr="00B15DF9">
              <w:t>held</w:t>
            </w:r>
            <w:r w:rsidR="00D71488">
              <w:noBreakHyphen/>
            </w:r>
            <w:r w:rsidRPr="00B15DF9">
              <w:t>to</w:t>
            </w:r>
            <w:r w:rsidR="00D71488">
              <w:noBreakHyphen/>
            </w:r>
            <w:r w:rsidRPr="00B15DF9">
              <w:t>maturity</w:t>
            </w:r>
            <w:r w:rsidR="007063AB">
              <w:t>’</w:t>
            </w:r>
          </w:p>
          <w:p w:rsidR="00B15DF9" w:rsidRPr="00B15DF9" w:rsidRDefault="00B15DF9" w:rsidP="00307127">
            <w:pPr>
              <w:pStyle w:val="Tablebullet"/>
              <w:rPr>
                <w:b/>
                <w:bCs/>
              </w:rPr>
            </w:pPr>
            <w:r w:rsidRPr="00B15DF9">
              <w:t>Shares and other equity investments quoted in an active market or able to be reliably measured (see footnote*)</w:t>
            </w:r>
          </w:p>
          <w:p w:rsidR="0099362C" w:rsidRPr="005D5B88" w:rsidRDefault="00B15DF9" w:rsidP="00307127">
            <w:pPr>
              <w:pStyle w:val="Tablebullet"/>
              <w:rPr>
                <w:b/>
                <w:bCs/>
              </w:rPr>
            </w:pPr>
            <w:r w:rsidRPr="00B15DF9">
              <w:t>Financial assets that back general insurance liabilities</w:t>
            </w:r>
          </w:p>
        </w:tc>
        <w:tc>
          <w:tcPr>
            <w:tcW w:w="1683" w:type="dxa"/>
          </w:tcPr>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b/>
                <w:bCs/>
              </w:rPr>
            </w:pPr>
          </w:p>
        </w:tc>
        <w:tc>
          <w:tcPr>
            <w:tcW w:w="639" w:type="dxa"/>
          </w:tcPr>
          <w:p w:rsidR="00B15DF9" w:rsidRPr="00B15DF9" w:rsidRDefault="005F6397" w:rsidP="00307127">
            <w:pPr>
              <w:pStyle w:val="Tabletext"/>
              <w:jc w:val="center"/>
              <w:cnfStyle w:val="000000010000" w:firstRow="0" w:lastRow="0" w:firstColumn="0" w:lastColumn="0" w:oddVBand="0" w:evenVBand="0" w:oddHBand="0" w:evenHBand="1" w:firstRowFirstColumn="0" w:firstRowLastColumn="0" w:lastRowFirstColumn="0" w:lastRowLastColumn="0"/>
              <w:rPr>
                <w:b/>
                <w:bCs/>
              </w:rPr>
            </w:pPr>
            <w:r>
              <w:rPr>
                <w:b/>
                <w:bCs/>
              </w:rPr>
              <w:br/>
            </w:r>
          </w:p>
          <w:p w:rsidR="005F6397"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b/>
                <w:bCs/>
              </w:rPr>
            </w:pPr>
            <w:r w:rsidRPr="00B15DF9">
              <w:rPr>
                <w:b/>
                <w:bCs/>
              </w:rPr>
              <w:t>√</w:t>
            </w:r>
            <w:r w:rsidR="005F6397">
              <w:rPr>
                <w:b/>
                <w:bCs/>
              </w:rPr>
              <w:br/>
            </w:r>
            <w:r w:rsidR="005F6397">
              <w:rPr>
                <w:b/>
                <w:bCs/>
              </w:rPr>
              <w:br/>
            </w:r>
          </w:p>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b/>
                <w:bCs/>
              </w:rPr>
            </w:pPr>
            <w:r w:rsidRPr="00B15DF9">
              <w:rPr>
                <w:b/>
                <w:bCs/>
              </w:rPr>
              <w:t>√</w:t>
            </w:r>
          </w:p>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b/>
                <w:bCs/>
              </w:rPr>
            </w:pPr>
          </w:p>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b/>
                <w:bCs/>
              </w:rPr>
            </w:pPr>
            <w:r w:rsidRPr="00B15DF9">
              <w:rPr>
                <w:b/>
                <w:bCs/>
              </w:rPr>
              <w:t>√</w:t>
            </w:r>
          </w:p>
        </w:tc>
        <w:tc>
          <w:tcPr>
            <w:tcW w:w="675" w:type="dxa"/>
          </w:tcPr>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pPr>
          </w:p>
        </w:tc>
        <w:tc>
          <w:tcPr>
            <w:tcW w:w="1035" w:type="dxa"/>
          </w:tcPr>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b/>
                <w:bCs/>
              </w:rPr>
            </w:pPr>
          </w:p>
        </w:tc>
        <w:tc>
          <w:tcPr>
            <w:tcW w:w="1080" w:type="dxa"/>
            <w:gridSpan w:val="2"/>
          </w:tcPr>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b/>
                <w:bCs/>
              </w:rPr>
            </w:pPr>
          </w:p>
        </w:tc>
      </w:tr>
      <w:tr w:rsidR="00B15DF9" w:rsidTr="00C50759">
        <w:trPr>
          <w:gridAfter w:val="1"/>
          <w:cnfStyle w:val="000000100000" w:firstRow="0" w:lastRow="0" w:firstColumn="0" w:lastColumn="0" w:oddVBand="0" w:evenVBand="0" w:oddHBand="1" w:evenHBand="0" w:firstRowFirstColumn="0" w:firstRowLastColumn="0" w:lastRowFirstColumn="0" w:lastRowLastColumn="0"/>
          <w:wAfter w:w="18" w:type="dxa"/>
          <w:cantSplit w:val="0"/>
        </w:trPr>
        <w:tc>
          <w:tcPr>
            <w:cnfStyle w:val="001000000000" w:firstRow="0" w:lastRow="0" w:firstColumn="1" w:lastColumn="0" w:oddVBand="0" w:evenVBand="0" w:oddHBand="0" w:evenHBand="0" w:firstRowFirstColumn="0" w:firstRowLastColumn="0" w:lastRowFirstColumn="0" w:lastRowLastColumn="0"/>
            <w:tcW w:w="4003" w:type="dxa"/>
            <w:hideMark/>
          </w:tcPr>
          <w:p w:rsidR="00B15DF9" w:rsidRPr="00B15DF9" w:rsidRDefault="00B15DF9" w:rsidP="00307127">
            <w:pPr>
              <w:pStyle w:val="Normalbold"/>
            </w:pPr>
            <w:r w:rsidRPr="00B15DF9">
              <w:t>Assets available</w:t>
            </w:r>
            <w:r w:rsidR="00D71488">
              <w:noBreakHyphen/>
            </w:r>
            <w:r w:rsidRPr="00B15DF9">
              <w:t>for</w:t>
            </w:r>
            <w:r w:rsidR="00D71488">
              <w:noBreakHyphen/>
            </w:r>
            <w:r w:rsidRPr="00B15DF9">
              <w:t>sale</w:t>
            </w:r>
          </w:p>
          <w:p w:rsidR="00B15DF9" w:rsidRPr="00B15DF9" w:rsidRDefault="00B15DF9" w:rsidP="00307127">
            <w:pPr>
              <w:pStyle w:val="Tablebullet"/>
            </w:pPr>
            <w:r w:rsidRPr="00B15DF9">
              <w:t xml:space="preserve">Receivables that are not designated as </w:t>
            </w:r>
            <w:r w:rsidR="007063AB">
              <w:t>‘</w:t>
            </w:r>
            <w:r w:rsidRPr="00B15DF9">
              <w:t>loans and receivables</w:t>
            </w:r>
            <w:r w:rsidR="007063AB">
              <w:t>’</w:t>
            </w:r>
            <w:r w:rsidRPr="00B15DF9">
              <w:t xml:space="preserve"> nor </w:t>
            </w:r>
            <w:r w:rsidR="007063AB">
              <w:t>‘</w:t>
            </w:r>
            <w:r w:rsidRPr="00B15DF9">
              <w:t>assets at fair value through profit or loss</w:t>
            </w:r>
            <w:r w:rsidR="007063AB">
              <w:t>’</w:t>
            </w:r>
            <w:r w:rsidRPr="00B15DF9">
              <w:t xml:space="preserve"> nor </w:t>
            </w:r>
            <w:r w:rsidR="007063AB">
              <w:t>‘</w:t>
            </w:r>
            <w:r w:rsidRPr="00B15DF9">
              <w:t>held</w:t>
            </w:r>
            <w:r w:rsidR="00D71488">
              <w:noBreakHyphen/>
            </w:r>
            <w:r w:rsidRPr="00B15DF9">
              <w:t>to</w:t>
            </w:r>
            <w:r w:rsidR="00D71488">
              <w:noBreakHyphen/>
            </w:r>
            <w:r w:rsidRPr="00B15DF9">
              <w:t>maturity</w:t>
            </w:r>
            <w:r w:rsidR="007063AB">
              <w:t>’</w:t>
            </w:r>
          </w:p>
          <w:p w:rsidR="00B15DF9" w:rsidRPr="00B15DF9" w:rsidRDefault="00B15DF9" w:rsidP="00307127">
            <w:pPr>
              <w:pStyle w:val="Tablebullet"/>
            </w:pPr>
            <w:r w:rsidRPr="00B15DF9">
              <w:t xml:space="preserve">Term deposits that are not designated as </w:t>
            </w:r>
            <w:r w:rsidR="007063AB">
              <w:t>‘</w:t>
            </w:r>
            <w:r w:rsidRPr="00B15DF9">
              <w:t>held</w:t>
            </w:r>
            <w:r w:rsidR="00D71488">
              <w:noBreakHyphen/>
            </w:r>
            <w:r w:rsidRPr="00B15DF9">
              <w:t>to</w:t>
            </w:r>
            <w:r w:rsidR="00D71488">
              <w:noBreakHyphen/>
            </w:r>
            <w:r w:rsidRPr="00B15DF9">
              <w:t>maturity</w:t>
            </w:r>
            <w:r w:rsidR="007063AB">
              <w:t>’</w:t>
            </w:r>
            <w:r w:rsidRPr="00B15DF9">
              <w:t xml:space="preserve"> nor </w:t>
            </w:r>
            <w:r w:rsidR="007063AB">
              <w:t>‘</w:t>
            </w:r>
            <w:r w:rsidRPr="00B15DF9">
              <w:t>loans and receivables</w:t>
            </w:r>
            <w:r w:rsidR="007063AB">
              <w:t>’</w:t>
            </w:r>
          </w:p>
          <w:p w:rsidR="00B15DF9" w:rsidRPr="00B15DF9" w:rsidRDefault="00B15DF9" w:rsidP="00307127">
            <w:pPr>
              <w:pStyle w:val="Tablebullet"/>
            </w:pPr>
            <w:r w:rsidRPr="00B15DF9">
              <w:t>Debt securities and other placements (assuming the securities may be sold before maturity)</w:t>
            </w:r>
          </w:p>
          <w:p w:rsidR="0099362C" w:rsidRPr="005D5B88" w:rsidRDefault="00B15DF9" w:rsidP="00307127">
            <w:pPr>
              <w:pStyle w:val="Tablebullet"/>
            </w:pPr>
            <w:r w:rsidRPr="00B15DF9">
              <w:t xml:space="preserve">Shares that are not designated as </w:t>
            </w:r>
            <w:r w:rsidR="007063AB">
              <w:t>‘</w:t>
            </w:r>
            <w:r w:rsidRPr="00B15DF9">
              <w:t>at fair value through profit or loss</w:t>
            </w:r>
            <w:r w:rsidR="007063AB">
              <w:t>’</w:t>
            </w:r>
          </w:p>
        </w:tc>
        <w:tc>
          <w:tcPr>
            <w:tcW w:w="1683" w:type="dxa"/>
          </w:tcPr>
          <w:p w:rsidR="00B15DF9" w:rsidRP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pPr>
          </w:p>
        </w:tc>
        <w:tc>
          <w:tcPr>
            <w:tcW w:w="639" w:type="dxa"/>
          </w:tcPr>
          <w:p w:rsidR="00B15DF9" w:rsidRP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pPr>
          </w:p>
        </w:tc>
        <w:tc>
          <w:tcPr>
            <w:tcW w:w="675" w:type="dxa"/>
          </w:tcPr>
          <w:p w:rsidR="00B15DF9" w:rsidRDefault="005F6397" w:rsidP="00307127">
            <w:pPr>
              <w:pStyle w:val="Tabletext"/>
              <w:jc w:val="center"/>
              <w:cnfStyle w:val="000000100000" w:firstRow="0" w:lastRow="0" w:firstColumn="0" w:lastColumn="0" w:oddVBand="0" w:evenVBand="0" w:oddHBand="1" w:evenHBand="0" w:firstRowFirstColumn="0" w:firstRowLastColumn="0" w:lastRowFirstColumn="0" w:lastRowLastColumn="0"/>
            </w:pPr>
            <w:r>
              <w:br/>
            </w:r>
          </w:p>
          <w:p w:rsidR="005F6397"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B15DF9">
              <w:rPr>
                <w:b/>
                <w:bCs/>
              </w:rPr>
              <w:t>√</w:t>
            </w:r>
            <w:r w:rsidR="005F6397">
              <w:rPr>
                <w:b/>
                <w:bCs/>
              </w:rPr>
              <w:br/>
            </w:r>
            <w:r w:rsidR="005F6397">
              <w:rPr>
                <w:b/>
                <w:bCs/>
              </w:rPr>
              <w:br/>
            </w:r>
          </w:p>
          <w:p w:rsid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B15DF9">
              <w:rPr>
                <w:b/>
                <w:bCs/>
              </w:rPr>
              <w:t>√</w:t>
            </w:r>
          </w:p>
          <w:p w:rsidR="005F6397" w:rsidRDefault="005F6397" w:rsidP="00307127">
            <w:pPr>
              <w:pStyle w:val="Tabletext"/>
              <w:jc w:val="center"/>
              <w:cnfStyle w:val="000000100000" w:firstRow="0" w:lastRow="0" w:firstColumn="0" w:lastColumn="0" w:oddVBand="0" w:evenVBand="0" w:oddHBand="1" w:evenHBand="0" w:firstRowFirstColumn="0" w:firstRowLastColumn="0" w:lastRowFirstColumn="0" w:lastRowLastColumn="0"/>
              <w:rPr>
                <w:b/>
                <w:bCs/>
              </w:rPr>
            </w:pPr>
          </w:p>
          <w:p w:rsidR="00C130BD"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B15DF9">
              <w:rPr>
                <w:b/>
                <w:bCs/>
              </w:rPr>
              <w:t>√</w:t>
            </w:r>
          </w:p>
          <w:p w:rsidR="005F6397" w:rsidRDefault="005F6397" w:rsidP="00307127">
            <w:pPr>
              <w:pStyle w:val="Tabletext"/>
              <w:jc w:val="center"/>
              <w:cnfStyle w:val="000000100000" w:firstRow="0" w:lastRow="0" w:firstColumn="0" w:lastColumn="0" w:oddVBand="0" w:evenVBand="0" w:oddHBand="1" w:evenHBand="0" w:firstRowFirstColumn="0" w:firstRowLastColumn="0" w:lastRowFirstColumn="0" w:lastRowLastColumn="0"/>
              <w:rPr>
                <w:b/>
                <w:bCs/>
              </w:rPr>
            </w:pPr>
          </w:p>
          <w:p w:rsidR="00B15DF9" w:rsidRP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B15DF9">
              <w:rPr>
                <w:b/>
                <w:bCs/>
              </w:rPr>
              <w:t>√</w:t>
            </w:r>
          </w:p>
        </w:tc>
        <w:tc>
          <w:tcPr>
            <w:tcW w:w="1035" w:type="dxa"/>
          </w:tcPr>
          <w:p w:rsidR="00B15DF9" w:rsidRP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pPr>
          </w:p>
        </w:tc>
        <w:tc>
          <w:tcPr>
            <w:tcW w:w="1080" w:type="dxa"/>
            <w:gridSpan w:val="2"/>
          </w:tcPr>
          <w:p w:rsidR="005F6397" w:rsidRDefault="005F6397" w:rsidP="005F6397">
            <w:pPr>
              <w:pStyle w:val="Tabletext"/>
              <w:jc w:val="center"/>
              <w:cnfStyle w:val="000000100000" w:firstRow="0" w:lastRow="0" w:firstColumn="0" w:lastColumn="0" w:oddVBand="0" w:evenVBand="0" w:oddHBand="1" w:evenHBand="0" w:firstRowFirstColumn="0" w:firstRowLastColumn="0" w:lastRowFirstColumn="0" w:lastRowLastColumn="0"/>
            </w:pPr>
          </w:p>
          <w:p w:rsidR="005F6397" w:rsidRDefault="005F6397" w:rsidP="005F6397">
            <w:pPr>
              <w:pStyle w:val="Tabletext"/>
              <w:jc w:val="center"/>
              <w:cnfStyle w:val="000000100000" w:firstRow="0" w:lastRow="0" w:firstColumn="0" w:lastColumn="0" w:oddVBand="0" w:evenVBand="0" w:oddHBand="1" w:evenHBand="0" w:firstRowFirstColumn="0" w:firstRowLastColumn="0" w:lastRowFirstColumn="0" w:lastRowLastColumn="0"/>
            </w:pPr>
          </w:p>
          <w:p w:rsidR="005F6397" w:rsidRDefault="005F6397" w:rsidP="005F6397">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B15DF9">
              <w:rPr>
                <w:b/>
                <w:bCs/>
              </w:rPr>
              <w:t>√</w:t>
            </w:r>
            <w:r>
              <w:rPr>
                <w:b/>
                <w:bCs/>
              </w:rPr>
              <w:br/>
            </w:r>
            <w:r>
              <w:rPr>
                <w:b/>
                <w:bCs/>
              </w:rPr>
              <w:br/>
            </w:r>
          </w:p>
          <w:p w:rsidR="005F6397" w:rsidRDefault="005F6397" w:rsidP="005F6397">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B15DF9">
              <w:rPr>
                <w:b/>
                <w:bCs/>
              </w:rPr>
              <w:t>√</w:t>
            </w:r>
          </w:p>
          <w:p w:rsidR="005F6397" w:rsidRDefault="005F6397" w:rsidP="005F6397">
            <w:pPr>
              <w:pStyle w:val="Tabletext"/>
              <w:jc w:val="center"/>
              <w:cnfStyle w:val="000000100000" w:firstRow="0" w:lastRow="0" w:firstColumn="0" w:lastColumn="0" w:oddVBand="0" w:evenVBand="0" w:oddHBand="1" w:evenHBand="0" w:firstRowFirstColumn="0" w:firstRowLastColumn="0" w:lastRowFirstColumn="0" w:lastRowLastColumn="0"/>
              <w:rPr>
                <w:b/>
                <w:bCs/>
              </w:rPr>
            </w:pPr>
          </w:p>
          <w:p w:rsidR="00C130BD" w:rsidRDefault="005F6397" w:rsidP="005F6397">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B15DF9">
              <w:rPr>
                <w:b/>
                <w:bCs/>
              </w:rPr>
              <w:t>√</w:t>
            </w:r>
          </w:p>
          <w:p w:rsidR="005F6397" w:rsidRDefault="005F6397" w:rsidP="005F6397">
            <w:pPr>
              <w:pStyle w:val="Tabletext"/>
              <w:jc w:val="center"/>
              <w:cnfStyle w:val="000000100000" w:firstRow="0" w:lastRow="0" w:firstColumn="0" w:lastColumn="0" w:oddVBand="0" w:evenVBand="0" w:oddHBand="1" w:evenHBand="0" w:firstRowFirstColumn="0" w:firstRowLastColumn="0" w:lastRowFirstColumn="0" w:lastRowLastColumn="0"/>
              <w:rPr>
                <w:b/>
                <w:bCs/>
              </w:rPr>
            </w:pPr>
          </w:p>
          <w:p w:rsidR="00B15DF9" w:rsidRPr="00B15DF9" w:rsidRDefault="005F6397" w:rsidP="005F6397">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B15DF9">
              <w:rPr>
                <w:b/>
                <w:bCs/>
              </w:rPr>
              <w:t>√</w:t>
            </w:r>
          </w:p>
        </w:tc>
      </w:tr>
      <w:tr w:rsidR="00B15DF9" w:rsidTr="00C50759">
        <w:trPr>
          <w:gridAfter w:val="1"/>
          <w:cnfStyle w:val="000000010000" w:firstRow="0" w:lastRow="0" w:firstColumn="0" w:lastColumn="0" w:oddVBand="0" w:evenVBand="0" w:oddHBand="0" w:evenHBand="1" w:firstRowFirstColumn="0" w:firstRowLastColumn="0" w:lastRowFirstColumn="0" w:lastRowLastColumn="0"/>
          <w:wAfter w:w="18" w:type="dxa"/>
          <w:cantSplit w:val="0"/>
        </w:trPr>
        <w:tc>
          <w:tcPr>
            <w:cnfStyle w:val="001000000000" w:firstRow="0" w:lastRow="0" w:firstColumn="1" w:lastColumn="0" w:oddVBand="0" w:evenVBand="0" w:oddHBand="0" w:evenHBand="0" w:firstRowFirstColumn="0" w:firstRowLastColumn="0" w:lastRowFirstColumn="0" w:lastRowLastColumn="0"/>
            <w:tcW w:w="4003" w:type="dxa"/>
            <w:hideMark/>
          </w:tcPr>
          <w:p w:rsidR="00B15DF9" w:rsidRPr="00B15DF9" w:rsidRDefault="00B15DF9" w:rsidP="00C130BD">
            <w:pPr>
              <w:pStyle w:val="Normalbold"/>
              <w:pageBreakBefore/>
            </w:pPr>
            <w:r w:rsidRPr="00B15DF9">
              <w:lastRenderedPageBreak/>
              <w:t>Assets (quoted in an active market) held</w:t>
            </w:r>
            <w:r w:rsidR="00D71488">
              <w:noBreakHyphen/>
            </w:r>
            <w:r w:rsidRPr="00B15DF9">
              <w:t>to</w:t>
            </w:r>
            <w:r w:rsidR="00D71488">
              <w:noBreakHyphen/>
            </w:r>
            <w:r w:rsidRPr="00B15DF9">
              <w:t>maturity</w:t>
            </w:r>
          </w:p>
          <w:p w:rsidR="00B15DF9" w:rsidRPr="00B15DF9" w:rsidRDefault="00B15DF9" w:rsidP="001120B3">
            <w:pPr>
              <w:pStyle w:val="Tablebullet"/>
            </w:pPr>
            <w:r w:rsidRPr="00B15DF9">
              <w:t xml:space="preserve">Receivables that are not designated as </w:t>
            </w:r>
            <w:r w:rsidR="007063AB">
              <w:t>‘</w:t>
            </w:r>
            <w:r w:rsidRPr="00B15DF9">
              <w:t>assets at fair value through profit or loss</w:t>
            </w:r>
            <w:r w:rsidR="007063AB">
              <w:t>’</w:t>
            </w:r>
            <w:r w:rsidRPr="00B15DF9">
              <w:t xml:space="preserve"> nor </w:t>
            </w:r>
            <w:r w:rsidR="007063AB">
              <w:t>‘</w:t>
            </w:r>
            <w:r w:rsidRPr="00B15DF9">
              <w:t>available</w:t>
            </w:r>
            <w:r w:rsidR="00D71488">
              <w:noBreakHyphen/>
            </w:r>
            <w:r w:rsidRPr="00B15DF9">
              <w:t>for</w:t>
            </w:r>
            <w:r w:rsidR="00D71488">
              <w:noBreakHyphen/>
            </w:r>
            <w:r w:rsidRPr="00B15DF9">
              <w:t>sale</w:t>
            </w:r>
            <w:r w:rsidR="007063AB">
              <w:t>’</w:t>
            </w:r>
          </w:p>
          <w:p w:rsidR="00B15DF9" w:rsidRPr="00B15DF9" w:rsidRDefault="00B15DF9" w:rsidP="001120B3">
            <w:pPr>
              <w:pStyle w:val="Tablebullet"/>
            </w:pPr>
            <w:r w:rsidRPr="00B15DF9">
              <w:t xml:space="preserve">Term deposits that are not designated as </w:t>
            </w:r>
            <w:r w:rsidR="007063AB">
              <w:t>‘</w:t>
            </w:r>
            <w:r w:rsidRPr="00B15DF9">
              <w:t>available for sale</w:t>
            </w:r>
            <w:r w:rsidR="007063AB">
              <w:t>’</w:t>
            </w:r>
            <w:r w:rsidRPr="00B15DF9">
              <w:t xml:space="preserve"> nor </w:t>
            </w:r>
            <w:r w:rsidR="007063AB">
              <w:t>‘</w:t>
            </w:r>
            <w:r w:rsidRPr="00B15DF9">
              <w:t>loans and receivables</w:t>
            </w:r>
            <w:r w:rsidR="007063AB">
              <w:t>’</w:t>
            </w:r>
            <w:r w:rsidRPr="00B15DF9">
              <w:t xml:space="preserve"> and where intention and practice is to hold to maturity</w:t>
            </w:r>
          </w:p>
          <w:p w:rsidR="0099362C" w:rsidRPr="005D5B88" w:rsidRDefault="00B15DF9" w:rsidP="001120B3">
            <w:pPr>
              <w:pStyle w:val="Tablebullet"/>
            </w:pPr>
            <w:r w:rsidRPr="00B15DF9">
              <w:t xml:space="preserve">Debt securities and other placements that are not designated as </w:t>
            </w:r>
            <w:r w:rsidR="007063AB">
              <w:t>‘</w:t>
            </w:r>
            <w:r w:rsidRPr="00B15DF9">
              <w:t>fair value through profit or loss</w:t>
            </w:r>
            <w:r w:rsidR="007063AB">
              <w:t>’</w:t>
            </w:r>
            <w:r w:rsidRPr="00B15DF9">
              <w:t xml:space="preserve"> nor </w:t>
            </w:r>
            <w:r w:rsidR="007063AB">
              <w:t>‘</w:t>
            </w:r>
            <w:r w:rsidRPr="00B15DF9">
              <w:t>available for sale</w:t>
            </w:r>
            <w:r w:rsidR="007063AB">
              <w:t>’</w:t>
            </w:r>
          </w:p>
        </w:tc>
        <w:tc>
          <w:tcPr>
            <w:tcW w:w="1683" w:type="dxa"/>
          </w:tcPr>
          <w:p w:rsidR="005F6397" w:rsidRDefault="005F6397"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b/>
                <w:bCs/>
              </w:rPr>
            </w:pPr>
            <w:r>
              <w:rPr>
                <w:rFonts w:cstheme="minorHAnsi"/>
                <w:b/>
                <w:bCs/>
              </w:rPr>
              <w:br/>
            </w:r>
            <w:r>
              <w:rPr>
                <w:rFonts w:cstheme="minorHAnsi"/>
                <w:b/>
                <w:bCs/>
              </w:rPr>
              <w:br/>
            </w:r>
          </w:p>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b/>
                <w:bCs/>
              </w:rPr>
            </w:pPr>
            <w:r w:rsidRPr="00B15DF9">
              <w:rPr>
                <w:rFonts w:cstheme="minorHAnsi"/>
                <w:b/>
                <w:bCs/>
              </w:rPr>
              <w:t>√</w:t>
            </w:r>
          </w:p>
          <w:p w:rsid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b/>
                <w:bCs/>
              </w:rPr>
            </w:pPr>
          </w:p>
          <w:p w:rsidR="00B15DF9" w:rsidRPr="00C130BD" w:rsidRDefault="00C130BD" w:rsidP="00C130BD">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b/>
                <w:bCs/>
              </w:rPr>
            </w:pPr>
            <w:r>
              <w:rPr>
                <w:rFonts w:cstheme="minorHAnsi"/>
                <w:b/>
                <w:bCs/>
              </w:rPr>
              <w:br/>
            </w:r>
            <w:r w:rsidR="00B15DF9" w:rsidRPr="00B15DF9">
              <w:rPr>
                <w:rFonts w:cstheme="minorHAnsi"/>
                <w:b/>
                <w:bCs/>
              </w:rPr>
              <w:t>√</w:t>
            </w:r>
            <w:r w:rsidR="005F6397">
              <w:rPr>
                <w:rFonts w:cstheme="minorHAnsi"/>
                <w:b/>
                <w:bCs/>
              </w:rPr>
              <w:br/>
            </w:r>
            <w:r w:rsidR="005F6397">
              <w:rPr>
                <w:rFonts w:cstheme="minorHAnsi"/>
                <w:b/>
                <w:bCs/>
              </w:rPr>
              <w:br/>
            </w:r>
            <w:r>
              <w:rPr>
                <w:rFonts w:cstheme="minorHAnsi"/>
                <w:b/>
                <w:bCs/>
              </w:rPr>
              <w:br/>
            </w:r>
            <w:r>
              <w:rPr>
                <w:rFonts w:cstheme="minorHAnsi"/>
                <w:b/>
                <w:bCs/>
              </w:rPr>
              <w:br/>
            </w:r>
            <w:r w:rsidR="00B15DF9" w:rsidRPr="00B15DF9">
              <w:rPr>
                <w:rFonts w:cstheme="minorHAnsi"/>
                <w:b/>
                <w:bCs/>
              </w:rPr>
              <w:t>√</w:t>
            </w:r>
          </w:p>
        </w:tc>
        <w:tc>
          <w:tcPr>
            <w:tcW w:w="639" w:type="dxa"/>
          </w:tcPr>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75" w:type="dxa"/>
          </w:tcPr>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035" w:type="dxa"/>
          </w:tcPr>
          <w:p w:rsidR="005F6397" w:rsidRDefault="005F6397"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b/>
                <w:bCs/>
              </w:rPr>
            </w:pPr>
            <w:r>
              <w:rPr>
                <w:rFonts w:cstheme="minorHAnsi"/>
                <w:b/>
                <w:bCs/>
              </w:rPr>
              <w:br/>
            </w:r>
            <w:r>
              <w:rPr>
                <w:rFonts w:cstheme="minorHAnsi"/>
                <w:b/>
                <w:bCs/>
              </w:rPr>
              <w:br/>
            </w:r>
          </w:p>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b/>
                <w:bCs/>
              </w:rPr>
            </w:pPr>
            <w:r w:rsidRPr="00B15DF9">
              <w:rPr>
                <w:rFonts w:cstheme="minorHAnsi"/>
                <w:b/>
                <w:bCs/>
              </w:rPr>
              <w:t>√</w:t>
            </w:r>
          </w:p>
          <w:p w:rsid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b/>
                <w:bCs/>
              </w:rPr>
            </w:pPr>
          </w:p>
          <w:p w:rsidR="00B15DF9" w:rsidRPr="00B15DF9" w:rsidRDefault="00C130BD" w:rsidP="00C130BD">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b/>
                <w:bCs/>
              </w:rPr>
              <w:br/>
            </w:r>
            <w:r w:rsidR="00B15DF9" w:rsidRPr="00B15DF9">
              <w:rPr>
                <w:rFonts w:cstheme="minorHAnsi"/>
                <w:b/>
                <w:bCs/>
              </w:rPr>
              <w:t>√</w:t>
            </w:r>
            <w:r w:rsidR="005F6397">
              <w:rPr>
                <w:rFonts w:cstheme="minorHAnsi"/>
                <w:b/>
                <w:bCs/>
              </w:rPr>
              <w:br/>
            </w:r>
            <w:r w:rsidR="005F6397">
              <w:rPr>
                <w:rFonts w:cstheme="minorHAnsi"/>
                <w:b/>
                <w:bCs/>
              </w:rPr>
              <w:br/>
            </w:r>
            <w:r>
              <w:rPr>
                <w:rFonts w:cstheme="minorHAnsi"/>
                <w:b/>
                <w:bCs/>
              </w:rPr>
              <w:br/>
            </w:r>
            <w:r>
              <w:rPr>
                <w:rFonts w:cstheme="minorHAnsi"/>
                <w:b/>
                <w:bCs/>
              </w:rPr>
              <w:br/>
            </w:r>
            <w:r w:rsidR="00B15DF9" w:rsidRPr="00B15DF9">
              <w:rPr>
                <w:rFonts w:cstheme="minorHAnsi"/>
                <w:b/>
                <w:bCs/>
              </w:rPr>
              <w:t>√</w:t>
            </w:r>
          </w:p>
        </w:tc>
        <w:tc>
          <w:tcPr>
            <w:tcW w:w="1080" w:type="dxa"/>
            <w:gridSpan w:val="2"/>
          </w:tcPr>
          <w:p w:rsidR="005F6397" w:rsidRDefault="005F6397"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b/>
                <w:bCs/>
              </w:rPr>
            </w:pPr>
            <w:r>
              <w:rPr>
                <w:rFonts w:cstheme="minorHAnsi"/>
                <w:b/>
                <w:bCs/>
              </w:rPr>
              <w:br/>
            </w:r>
            <w:r>
              <w:rPr>
                <w:rFonts w:cstheme="minorHAnsi"/>
                <w:b/>
                <w:bCs/>
              </w:rPr>
              <w:br/>
            </w:r>
          </w:p>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b/>
                <w:bCs/>
              </w:rPr>
            </w:pPr>
            <w:r w:rsidRPr="00B15DF9">
              <w:rPr>
                <w:rFonts w:cstheme="minorHAnsi"/>
                <w:b/>
                <w:bCs/>
              </w:rPr>
              <w:t>√</w:t>
            </w:r>
          </w:p>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b/>
                <w:bCs/>
              </w:rPr>
            </w:pPr>
          </w:p>
          <w:p w:rsidR="00B15DF9" w:rsidRPr="00B15DF9" w:rsidRDefault="00C130BD" w:rsidP="00C130BD">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b/>
                <w:bCs/>
              </w:rPr>
              <w:br/>
            </w:r>
            <w:r w:rsidR="00B15DF9" w:rsidRPr="00B15DF9">
              <w:rPr>
                <w:rFonts w:cstheme="minorHAnsi"/>
                <w:b/>
                <w:bCs/>
              </w:rPr>
              <w:t>√</w:t>
            </w:r>
            <w:r w:rsidR="005F6397">
              <w:rPr>
                <w:rFonts w:cstheme="minorHAnsi"/>
                <w:b/>
                <w:bCs/>
              </w:rPr>
              <w:br/>
            </w:r>
            <w:r w:rsidR="005F6397">
              <w:rPr>
                <w:rFonts w:cstheme="minorHAnsi"/>
                <w:b/>
                <w:bCs/>
              </w:rPr>
              <w:br/>
            </w:r>
            <w:r>
              <w:rPr>
                <w:rFonts w:cstheme="minorHAnsi"/>
                <w:b/>
                <w:bCs/>
              </w:rPr>
              <w:br/>
            </w:r>
            <w:r>
              <w:rPr>
                <w:rFonts w:cstheme="minorHAnsi"/>
                <w:b/>
                <w:bCs/>
              </w:rPr>
              <w:br/>
            </w:r>
            <w:r w:rsidR="00B15DF9" w:rsidRPr="00B15DF9">
              <w:rPr>
                <w:rFonts w:cstheme="minorHAnsi"/>
                <w:b/>
                <w:bCs/>
              </w:rPr>
              <w:t>√</w:t>
            </w:r>
          </w:p>
        </w:tc>
      </w:tr>
      <w:tr w:rsidR="00B15DF9" w:rsidTr="00C50759">
        <w:trPr>
          <w:gridAfter w:val="1"/>
          <w:cnfStyle w:val="000000100000" w:firstRow="0" w:lastRow="0" w:firstColumn="0" w:lastColumn="0" w:oddVBand="0" w:evenVBand="0" w:oddHBand="1" w:evenHBand="0" w:firstRowFirstColumn="0" w:firstRowLastColumn="0" w:lastRowFirstColumn="0" w:lastRowLastColumn="0"/>
          <w:wAfter w:w="18" w:type="dxa"/>
          <w:cantSplit w:val="0"/>
        </w:trPr>
        <w:tc>
          <w:tcPr>
            <w:cnfStyle w:val="001000000000" w:firstRow="0" w:lastRow="0" w:firstColumn="1" w:lastColumn="0" w:oddVBand="0" w:evenVBand="0" w:oddHBand="0" w:evenHBand="0" w:firstRowFirstColumn="0" w:firstRowLastColumn="0" w:lastRowFirstColumn="0" w:lastRowLastColumn="0"/>
            <w:tcW w:w="4003" w:type="dxa"/>
            <w:hideMark/>
          </w:tcPr>
          <w:p w:rsidR="00B15DF9" w:rsidRPr="00B15DF9" w:rsidRDefault="00B15DF9" w:rsidP="001120B3">
            <w:pPr>
              <w:pStyle w:val="Normalbold"/>
            </w:pPr>
            <w:r w:rsidRPr="00B15DF9">
              <w:t>Liabilities at fair value through profit or loss (only those held for trading) or rarely meeting other conditions</w:t>
            </w:r>
          </w:p>
          <w:p w:rsidR="0099362C" w:rsidRPr="005D5B88" w:rsidRDefault="00B15DF9" w:rsidP="001120B3">
            <w:pPr>
              <w:pStyle w:val="Tablebullet"/>
              <w:rPr>
                <w:b/>
                <w:bCs/>
              </w:rPr>
            </w:pPr>
            <w:r w:rsidRPr="00B15DF9">
              <w:t>Interest bearing liabilities where there is a quoted market price in an active market</w:t>
            </w:r>
          </w:p>
        </w:tc>
        <w:tc>
          <w:tcPr>
            <w:tcW w:w="1683" w:type="dxa"/>
          </w:tcPr>
          <w:p w:rsidR="00B15DF9" w:rsidRP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639" w:type="dxa"/>
          </w:tcPr>
          <w:p w:rsidR="00B15DF9" w:rsidRP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rPr>
                <w:rFonts w:cstheme="minorHAnsi"/>
              </w:rPr>
            </w:pPr>
          </w:p>
          <w:p w:rsidR="00B15DF9" w:rsidRP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rPr>
                <w:rFonts w:cstheme="minorHAnsi"/>
                <w:b/>
                <w:bCs/>
              </w:rPr>
            </w:pPr>
          </w:p>
          <w:p w:rsidR="00B15DF9" w:rsidRP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B15DF9">
              <w:rPr>
                <w:rFonts w:cstheme="minorHAnsi"/>
                <w:b/>
                <w:bCs/>
              </w:rPr>
              <w:t>√</w:t>
            </w:r>
          </w:p>
        </w:tc>
        <w:tc>
          <w:tcPr>
            <w:tcW w:w="675" w:type="dxa"/>
          </w:tcPr>
          <w:p w:rsidR="00B15DF9" w:rsidRP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rPr>
                <w:rFonts w:cstheme="minorHAnsi"/>
              </w:rPr>
            </w:pPr>
          </w:p>
          <w:p w:rsidR="00B15DF9" w:rsidRP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rPr>
                <w:rFonts w:cstheme="minorHAnsi"/>
              </w:rPr>
            </w:pPr>
          </w:p>
          <w:p w:rsidR="00B15DF9" w:rsidRP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035" w:type="dxa"/>
          </w:tcPr>
          <w:p w:rsidR="00B15DF9" w:rsidRP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1080" w:type="dxa"/>
            <w:gridSpan w:val="2"/>
          </w:tcPr>
          <w:p w:rsidR="00B15DF9" w:rsidRP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B15DF9" w:rsidTr="00C50759">
        <w:trPr>
          <w:gridAfter w:val="1"/>
          <w:cnfStyle w:val="000000010000" w:firstRow="0" w:lastRow="0" w:firstColumn="0" w:lastColumn="0" w:oddVBand="0" w:evenVBand="0" w:oddHBand="0" w:evenHBand="1" w:firstRowFirstColumn="0" w:firstRowLastColumn="0" w:lastRowFirstColumn="0" w:lastRowLastColumn="0"/>
          <w:wAfter w:w="18" w:type="dxa"/>
          <w:cantSplit w:val="0"/>
        </w:trPr>
        <w:tc>
          <w:tcPr>
            <w:cnfStyle w:val="001000000000" w:firstRow="0" w:lastRow="0" w:firstColumn="1" w:lastColumn="0" w:oddVBand="0" w:evenVBand="0" w:oddHBand="0" w:evenHBand="0" w:firstRowFirstColumn="0" w:firstRowLastColumn="0" w:lastRowFirstColumn="0" w:lastRowLastColumn="0"/>
            <w:tcW w:w="4003" w:type="dxa"/>
            <w:hideMark/>
          </w:tcPr>
          <w:p w:rsidR="00B15DF9" w:rsidRPr="00B15DF9" w:rsidRDefault="00B15DF9" w:rsidP="001120B3">
            <w:pPr>
              <w:pStyle w:val="Normalbold"/>
            </w:pPr>
            <w:r w:rsidRPr="00B15DF9">
              <w:t xml:space="preserve">Other Liabilities </w:t>
            </w:r>
          </w:p>
          <w:p w:rsidR="00B15DF9" w:rsidRPr="00B15DF9" w:rsidRDefault="00B15DF9" w:rsidP="001120B3">
            <w:pPr>
              <w:pStyle w:val="Tablebullet"/>
            </w:pPr>
            <w:r w:rsidRPr="00B15DF9">
              <w:t>Interest bearing liabilities where market is inadequate (including borrowings from TCV)</w:t>
            </w:r>
          </w:p>
          <w:p w:rsidR="0099362C" w:rsidRPr="005D5B88" w:rsidRDefault="00B15DF9" w:rsidP="001120B3">
            <w:pPr>
              <w:pStyle w:val="Tablebullet"/>
            </w:pPr>
            <w:r w:rsidRPr="00B15DF9">
              <w:t>Payables</w:t>
            </w:r>
          </w:p>
        </w:tc>
        <w:tc>
          <w:tcPr>
            <w:tcW w:w="1683" w:type="dxa"/>
          </w:tcPr>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39" w:type="dxa"/>
          </w:tcPr>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75" w:type="dxa"/>
          </w:tcPr>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035" w:type="dxa"/>
          </w:tcPr>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b/>
                <w:bCs/>
              </w:rPr>
            </w:pPr>
          </w:p>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b/>
                <w:bCs/>
              </w:rPr>
            </w:pPr>
            <w:r w:rsidRPr="00B15DF9">
              <w:rPr>
                <w:rFonts w:cstheme="minorHAnsi"/>
                <w:b/>
                <w:bCs/>
              </w:rPr>
              <w:t>√</w:t>
            </w:r>
          </w:p>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b/>
                <w:bCs/>
              </w:rPr>
            </w:pPr>
          </w:p>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b/>
                <w:bCs/>
              </w:rPr>
            </w:pPr>
            <w:r w:rsidRPr="00B15DF9">
              <w:rPr>
                <w:rFonts w:cstheme="minorHAnsi"/>
                <w:b/>
                <w:bCs/>
              </w:rPr>
              <w:t>√</w:t>
            </w:r>
          </w:p>
        </w:tc>
        <w:tc>
          <w:tcPr>
            <w:tcW w:w="1080" w:type="dxa"/>
            <w:gridSpan w:val="2"/>
          </w:tcPr>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B15DF9" w:rsidTr="00C50759">
        <w:trPr>
          <w:gridAfter w:val="1"/>
          <w:cnfStyle w:val="000000100000" w:firstRow="0" w:lastRow="0" w:firstColumn="0" w:lastColumn="0" w:oddVBand="0" w:evenVBand="0" w:oddHBand="1" w:evenHBand="0" w:firstRowFirstColumn="0" w:firstRowLastColumn="0" w:lastRowFirstColumn="0" w:lastRowLastColumn="0"/>
          <w:wAfter w:w="18" w:type="dxa"/>
          <w:cantSplit w:val="0"/>
        </w:trPr>
        <w:tc>
          <w:tcPr>
            <w:cnfStyle w:val="001000000000" w:firstRow="0" w:lastRow="0" w:firstColumn="1" w:lastColumn="0" w:oddVBand="0" w:evenVBand="0" w:oddHBand="0" w:evenHBand="0" w:firstRowFirstColumn="0" w:firstRowLastColumn="0" w:lastRowFirstColumn="0" w:lastRowLastColumn="0"/>
            <w:tcW w:w="4003" w:type="dxa"/>
            <w:hideMark/>
          </w:tcPr>
          <w:p w:rsidR="00B15DF9" w:rsidRPr="00B15DF9" w:rsidRDefault="00B15DF9" w:rsidP="001120B3">
            <w:pPr>
              <w:pStyle w:val="Normalbold"/>
            </w:pPr>
            <w:r w:rsidRPr="00B15DF9">
              <w:t>Derivatives</w:t>
            </w:r>
          </w:p>
          <w:p w:rsidR="00B15DF9" w:rsidRPr="00B15DF9" w:rsidRDefault="00B15DF9" w:rsidP="001120B3">
            <w:pPr>
              <w:pStyle w:val="Tablebullet"/>
              <w:rPr>
                <w:b/>
                <w:bCs/>
              </w:rPr>
            </w:pPr>
            <w:r w:rsidRPr="00B15DF9">
              <w:t xml:space="preserve">Not designated as an accounting hedge </w:t>
            </w:r>
          </w:p>
          <w:p w:rsidR="00B15DF9" w:rsidRPr="00B15DF9" w:rsidRDefault="00B15DF9" w:rsidP="001120B3">
            <w:pPr>
              <w:pStyle w:val="Tablebullet"/>
              <w:rPr>
                <w:b/>
                <w:bCs/>
              </w:rPr>
            </w:pPr>
            <w:r w:rsidRPr="00B15DF9">
              <w:t>Designated as an accounting hedge – cashflow</w:t>
            </w:r>
          </w:p>
          <w:p w:rsidR="0099362C" w:rsidRPr="005D5B88" w:rsidRDefault="00B15DF9" w:rsidP="001120B3">
            <w:pPr>
              <w:pStyle w:val="Tablebullet"/>
              <w:rPr>
                <w:b/>
                <w:bCs/>
              </w:rPr>
            </w:pPr>
            <w:r w:rsidRPr="00B15DF9">
              <w:t>Designated as an accounting hedge – fair value</w:t>
            </w:r>
          </w:p>
        </w:tc>
        <w:tc>
          <w:tcPr>
            <w:tcW w:w="1683" w:type="dxa"/>
          </w:tcPr>
          <w:p w:rsidR="00B15DF9" w:rsidRP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rPr>
                <w:rFonts w:cstheme="minorHAnsi"/>
                <w:b/>
                <w:bCs/>
              </w:rPr>
            </w:pPr>
          </w:p>
          <w:p w:rsidR="00B15DF9" w:rsidRP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639" w:type="dxa"/>
          </w:tcPr>
          <w:p w:rsidR="00B15DF9" w:rsidRP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rPr>
                <w:rFonts w:cstheme="minorHAnsi"/>
                <w:b/>
                <w:bCs/>
              </w:rPr>
            </w:pPr>
          </w:p>
          <w:p w:rsidR="00B15DF9" w:rsidRP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B15DF9">
              <w:rPr>
                <w:rFonts w:cstheme="minorHAnsi"/>
                <w:b/>
                <w:bCs/>
              </w:rPr>
              <w:t>√</w:t>
            </w:r>
          </w:p>
          <w:p w:rsidR="00B15DF9" w:rsidRP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rPr>
                <w:rFonts w:cstheme="minorHAnsi"/>
              </w:rPr>
            </w:pPr>
          </w:p>
          <w:p w:rsidR="00B15DF9" w:rsidRP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rPr>
                <w:rFonts w:cstheme="minorHAnsi"/>
              </w:rPr>
            </w:pPr>
            <w:r w:rsidRPr="00B15DF9">
              <w:rPr>
                <w:rFonts w:cstheme="minorHAnsi"/>
                <w:b/>
                <w:bCs/>
              </w:rPr>
              <w:t>√</w:t>
            </w:r>
          </w:p>
        </w:tc>
        <w:tc>
          <w:tcPr>
            <w:tcW w:w="675" w:type="dxa"/>
          </w:tcPr>
          <w:p w:rsidR="00B15DF9" w:rsidRP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rPr>
                <w:rFonts w:cstheme="minorHAnsi"/>
              </w:rPr>
            </w:pPr>
          </w:p>
          <w:p w:rsidR="00B15DF9" w:rsidRP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rPr>
                <w:rFonts w:cstheme="minorHAnsi"/>
              </w:rPr>
            </w:pPr>
          </w:p>
          <w:p w:rsidR="00B15DF9" w:rsidRP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B15DF9">
              <w:rPr>
                <w:rFonts w:cstheme="minorHAnsi"/>
                <w:b/>
                <w:bCs/>
              </w:rPr>
              <w:t>√</w:t>
            </w:r>
          </w:p>
          <w:p w:rsidR="00B15DF9" w:rsidRP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035" w:type="dxa"/>
          </w:tcPr>
          <w:p w:rsidR="00B15DF9" w:rsidRP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gridSpan w:val="2"/>
          </w:tcPr>
          <w:p w:rsidR="00B15DF9" w:rsidRPr="00B15DF9" w:rsidRDefault="00B15DF9" w:rsidP="00307127">
            <w:pPr>
              <w:pStyle w:val="Tabletext"/>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B15DF9" w:rsidTr="00ED31E5">
        <w:trPr>
          <w:gridAfter w:val="1"/>
          <w:cnfStyle w:val="000000010000" w:firstRow="0" w:lastRow="0" w:firstColumn="0" w:lastColumn="0" w:oddVBand="0" w:evenVBand="0" w:oddHBand="0" w:evenHBand="1" w:firstRowFirstColumn="0" w:firstRowLastColumn="0" w:lastRowFirstColumn="0" w:lastRowLastColumn="0"/>
          <w:wAfter w:w="18" w:type="dxa"/>
          <w:cantSplit w:val="0"/>
        </w:trPr>
        <w:tc>
          <w:tcPr>
            <w:cnfStyle w:val="001000000000" w:firstRow="0" w:lastRow="0" w:firstColumn="1" w:lastColumn="0" w:oddVBand="0" w:evenVBand="0" w:oddHBand="0" w:evenHBand="0" w:firstRowFirstColumn="0" w:firstRowLastColumn="0" w:lastRowFirstColumn="0" w:lastRowLastColumn="0"/>
            <w:tcW w:w="4003" w:type="dxa"/>
            <w:tcBorders>
              <w:bottom w:val="single" w:sz="12" w:space="0" w:color="auto"/>
            </w:tcBorders>
            <w:hideMark/>
          </w:tcPr>
          <w:p w:rsidR="00B15DF9" w:rsidRPr="00B15DF9" w:rsidRDefault="00B15DF9" w:rsidP="001120B3">
            <w:pPr>
              <w:pStyle w:val="Normalbold"/>
            </w:pPr>
            <w:r w:rsidRPr="00B15DF9">
              <w:t>Embedded derivatives</w:t>
            </w:r>
          </w:p>
          <w:p w:rsidR="00B15DF9" w:rsidRPr="00B15DF9" w:rsidRDefault="00B15DF9" w:rsidP="001120B3">
            <w:pPr>
              <w:pStyle w:val="Tablebullet"/>
            </w:pPr>
            <w:r w:rsidRPr="00B15DF9">
              <w:t>Embedded derivatives</w:t>
            </w:r>
          </w:p>
          <w:p w:rsidR="0099362C" w:rsidRPr="00307127" w:rsidRDefault="00B15DF9" w:rsidP="001120B3">
            <w:pPr>
              <w:pStyle w:val="Tablebullet"/>
            </w:pPr>
            <w:r w:rsidRPr="00B15DF9">
              <w:t>Embedded derivatives where separation from the host contract is prohibited (see footnote #)</w:t>
            </w:r>
          </w:p>
        </w:tc>
        <w:tc>
          <w:tcPr>
            <w:tcW w:w="1683" w:type="dxa"/>
            <w:tcBorders>
              <w:bottom w:val="single" w:sz="12" w:space="0" w:color="auto"/>
            </w:tcBorders>
          </w:tcPr>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rPr>
            </w:pPr>
          </w:p>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39" w:type="dxa"/>
            <w:tcBorders>
              <w:bottom w:val="single" w:sz="12" w:space="0" w:color="auto"/>
            </w:tcBorders>
          </w:tcPr>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b/>
                <w:bCs/>
              </w:rPr>
            </w:pPr>
          </w:p>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b/>
                <w:bCs/>
              </w:rPr>
            </w:pPr>
            <w:r w:rsidRPr="00B15DF9">
              <w:rPr>
                <w:rFonts w:cstheme="minorHAnsi"/>
                <w:b/>
                <w:bCs/>
              </w:rPr>
              <w:t>√</w:t>
            </w:r>
          </w:p>
        </w:tc>
        <w:tc>
          <w:tcPr>
            <w:tcW w:w="675" w:type="dxa"/>
            <w:tcBorders>
              <w:bottom w:val="single" w:sz="12" w:space="0" w:color="auto"/>
            </w:tcBorders>
          </w:tcPr>
          <w:p w:rsid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b/>
                <w:bCs/>
              </w:rPr>
            </w:pPr>
          </w:p>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b/>
                <w:bCs/>
              </w:rPr>
            </w:pPr>
          </w:p>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b/>
                <w:bCs/>
              </w:rPr>
            </w:pPr>
            <w:r w:rsidRPr="00B15DF9">
              <w:rPr>
                <w:rFonts w:cstheme="minorHAnsi"/>
                <w:b/>
                <w:bCs/>
              </w:rPr>
              <w:t>√</w:t>
            </w:r>
          </w:p>
        </w:tc>
        <w:tc>
          <w:tcPr>
            <w:tcW w:w="1035" w:type="dxa"/>
            <w:tcBorders>
              <w:bottom w:val="single" w:sz="12" w:space="0" w:color="auto"/>
            </w:tcBorders>
          </w:tcPr>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rPr>
            </w:pPr>
          </w:p>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rPr>
            </w:pPr>
          </w:p>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b/>
                <w:bCs/>
              </w:rPr>
            </w:pPr>
            <w:r w:rsidRPr="00B15DF9">
              <w:rPr>
                <w:rFonts w:cstheme="minorHAnsi"/>
                <w:b/>
                <w:bCs/>
              </w:rPr>
              <w:t>√</w:t>
            </w:r>
          </w:p>
        </w:tc>
        <w:tc>
          <w:tcPr>
            <w:tcW w:w="1080" w:type="dxa"/>
            <w:gridSpan w:val="2"/>
            <w:tcBorders>
              <w:bottom w:val="single" w:sz="12" w:space="0" w:color="auto"/>
            </w:tcBorders>
          </w:tcPr>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rPr>
            </w:pPr>
          </w:p>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rPr>
            </w:pPr>
          </w:p>
          <w:p w:rsidR="00B15DF9" w:rsidRPr="00B15DF9" w:rsidRDefault="00B15DF9" w:rsidP="00307127">
            <w:pPr>
              <w:pStyle w:val="Tabletext"/>
              <w:jc w:val="center"/>
              <w:cnfStyle w:val="000000010000" w:firstRow="0" w:lastRow="0" w:firstColumn="0" w:lastColumn="0" w:oddVBand="0" w:evenVBand="0" w:oddHBand="0" w:evenHBand="1" w:firstRowFirstColumn="0" w:firstRowLastColumn="0" w:lastRowFirstColumn="0" w:lastRowLastColumn="0"/>
              <w:rPr>
                <w:rFonts w:cstheme="minorHAnsi"/>
                <w:b/>
                <w:bCs/>
              </w:rPr>
            </w:pPr>
            <w:r w:rsidRPr="00B15DF9">
              <w:rPr>
                <w:rFonts w:cstheme="minorHAnsi"/>
                <w:b/>
                <w:bCs/>
              </w:rPr>
              <w:t>√</w:t>
            </w:r>
          </w:p>
        </w:tc>
      </w:tr>
    </w:tbl>
    <w:p w:rsidR="00B15DF9" w:rsidRPr="00BF5946" w:rsidRDefault="00B15DF9" w:rsidP="00BF5946">
      <w:pPr>
        <w:pStyle w:val="Header"/>
        <w:numPr>
          <w:ilvl w:val="0"/>
          <w:numId w:val="7"/>
        </w:numPr>
        <w:tabs>
          <w:tab w:val="left" w:pos="720"/>
        </w:tabs>
        <w:spacing w:before="80" w:after="100"/>
        <w:rPr>
          <w:rFonts w:cstheme="minorHAnsi"/>
          <w:sz w:val="16"/>
          <w:szCs w:val="16"/>
        </w:rPr>
      </w:pPr>
      <w:r w:rsidRPr="00BF5946">
        <w:rPr>
          <w:rFonts w:cstheme="minorHAnsi"/>
          <w:sz w:val="16"/>
          <w:szCs w:val="16"/>
        </w:rPr>
        <w:t>Shares and other equity investments that cannot be reliably measured, are measured at cost (subject to impairment tests).</w:t>
      </w:r>
    </w:p>
    <w:p w:rsidR="00B15DF9" w:rsidRPr="00BF5946" w:rsidRDefault="00B15DF9" w:rsidP="00BF5946">
      <w:pPr>
        <w:pStyle w:val="Header"/>
        <w:numPr>
          <w:ilvl w:val="0"/>
          <w:numId w:val="8"/>
        </w:numPr>
        <w:tabs>
          <w:tab w:val="left" w:pos="567"/>
        </w:tabs>
        <w:spacing w:before="80" w:after="100"/>
        <w:jc w:val="both"/>
        <w:rPr>
          <w:rFonts w:cstheme="minorHAnsi"/>
          <w:sz w:val="16"/>
          <w:szCs w:val="16"/>
        </w:rPr>
      </w:pPr>
      <w:r w:rsidRPr="00BF5946">
        <w:rPr>
          <w:rFonts w:cstheme="minorHAnsi"/>
          <w:sz w:val="16"/>
          <w:szCs w:val="16"/>
        </w:rPr>
        <w:t>Where the embedded derivatives are not separately accounted for from the host contract, it would be measured in accordance with the measurement requirements of the host contract.</w:t>
      </w:r>
    </w:p>
    <w:p w:rsidR="00B15DF9" w:rsidRPr="00FA253A" w:rsidRDefault="00B15DF9" w:rsidP="00FA253A">
      <w:pPr>
        <w:pStyle w:val="Heading1"/>
        <w:rPr>
          <w:szCs w:val="20"/>
        </w:rPr>
      </w:pPr>
      <w:r>
        <w:br w:type="page"/>
      </w:r>
      <w:r w:rsidR="00307127">
        <w:lastRenderedPageBreak/>
        <w:t>Appendix B</w:t>
      </w:r>
    </w:p>
    <w:p w:rsidR="00B15DF9" w:rsidRDefault="00B15DF9" w:rsidP="00FA253A">
      <w:pPr>
        <w:pStyle w:val="Heading2"/>
      </w:pPr>
      <w:r>
        <w:t xml:space="preserve">Example – </w:t>
      </w:r>
      <w:r w:rsidR="00307127">
        <w:t>calculating amortised cost of a financial liability</w:t>
      </w:r>
    </w:p>
    <w:p w:rsidR="00B15DF9" w:rsidRDefault="00B15DF9" w:rsidP="00307127">
      <w:r>
        <w:t>The entity has interest bearing debt finance where there is no active market in existence</w:t>
      </w:r>
      <w:r w:rsidR="00D71488">
        <w:t xml:space="preserve">. </w:t>
      </w:r>
    </w:p>
    <w:p w:rsidR="00B15DF9" w:rsidRDefault="00B15DF9" w:rsidP="00307127">
      <w:r>
        <w:t>The loan’s fair value at inception is $1</w:t>
      </w:r>
      <w:r w:rsidR="00307127">
        <w:t> </w:t>
      </w:r>
      <w:r>
        <w:t>000 (including transaction costs), with a princip</w:t>
      </w:r>
      <w:r w:rsidR="00307127">
        <w:t>al amount due of $1 </w:t>
      </w:r>
      <w:r>
        <w:t>250 after 5</w:t>
      </w:r>
      <w:r w:rsidR="00307127">
        <w:t> </w:t>
      </w:r>
      <w:r>
        <w:t>years (i</w:t>
      </w:r>
      <w:r w:rsidR="00F557E5">
        <w:t>.</w:t>
      </w:r>
      <w:r>
        <w:t>e. premium of $250 attaches to loan).</w:t>
      </w:r>
    </w:p>
    <w:p w:rsidR="00B15DF9" w:rsidRDefault="00B15DF9" w:rsidP="00307127">
      <w:r>
        <w:t>A fixed rate of interest of 4.7% pa accrues on the principal and is paid annually.</w:t>
      </w:r>
    </w:p>
    <w:p w:rsidR="00B15DF9" w:rsidRDefault="00B15DF9" w:rsidP="00307127">
      <w:r>
        <w:t xml:space="preserve">In order to allocate interest payments and the initial premium over the term of the debt instrument at a constant rate on the carrying amount, interest </w:t>
      </w:r>
      <w:r w:rsidR="009976CE">
        <w:t>shall</w:t>
      </w:r>
      <w:r>
        <w:t xml:space="preserve"> be accrued at the rate of 10% annually (calculated as the internal rate of return on the expected cash inflows and outflows)</w:t>
      </w:r>
      <w:r w:rsidR="00D71488">
        <w:t xml:space="preserve">. </w:t>
      </w:r>
      <w:r>
        <w:t>The below table provides information about the amortised cost, interest expense and cash flows of the debt instrument in each reporting period.</w:t>
      </w:r>
    </w:p>
    <w:p w:rsidR="00B15DF9" w:rsidRDefault="00B15DF9" w:rsidP="000706F9"/>
    <w:tbl>
      <w:tblPr>
        <w:tblStyle w:val="DTFtexttable"/>
        <w:tblW w:w="9147" w:type="dxa"/>
        <w:tblLayout w:type="fixed"/>
        <w:tblLook w:val="0480" w:firstRow="0" w:lastRow="0" w:firstColumn="1" w:lastColumn="0" w:noHBand="0" w:noVBand="1"/>
      </w:tblPr>
      <w:tblGrid>
        <w:gridCol w:w="1317"/>
        <w:gridCol w:w="1957"/>
        <w:gridCol w:w="1958"/>
        <w:gridCol w:w="1957"/>
        <w:gridCol w:w="1958"/>
      </w:tblGrid>
      <w:tr w:rsidR="00B15DF9" w:rsidRPr="000706F9" w:rsidTr="00070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dxa"/>
            <w:shd w:val="clear" w:color="auto" w:fill="000000" w:themeFill="text1"/>
            <w:vAlign w:val="bottom"/>
          </w:tcPr>
          <w:p w:rsidR="00B15DF9" w:rsidRPr="000706F9" w:rsidRDefault="00B15DF9" w:rsidP="000706F9">
            <w:pPr>
              <w:pStyle w:val="Tableheader"/>
              <w:jc w:val="center"/>
              <w:rPr>
                <w:b/>
              </w:rPr>
            </w:pPr>
          </w:p>
        </w:tc>
        <w:tc>
          <w:tcPr>
            <w:tcW w:w="1957" w:type="dxa"/>
            <w:shd w:val="clear" w:color="auto" w:fill="000000" w:themeFill="text1"/>
            <w:vAlign w:val="bottom"/>
            <w:hideMark/>
          </w:tcPr>
          <w:p w:rsidR="00B15DF9" w:rsidRPr="000706F9" w:rsidRDefault="00B15DF9" w:rsidP="000706F9">
            <w:pPr>
              <w:pStyle w:val="Tableheader"/>
              <w:jc w:val="center"/>
              <w:cnfStyle w:val="000000100000" w:firstRow="0" w:lastRow="0" w:firstColumn="0" w:lastColumn="0" w:oddVBand="0" w:evenVBand="0" w:oddHBand="1" w:evenHBand="0" w:firstRowFirstColumn="0" w:firstRowLastColumn="0" w:lastRowFirstColumn="0" w:lastRowLastColumn="0"/>
              <w:rPr>
                <w:b/>
              </w:rPr>
            </w:pPr>
            <w:r w:rsidRPr="000706F9">
              <w:rPr>
                <w:b/>
              </w:rPr>
              <w:t>a</w:t>
            </w:r>
          </w:p>
        </w:tc>
        <w:tc>
          <w:tcPr>
            <w:tcW w:w="1958" w:type="dxa"/>
            <w:shd w:val="clear" w:color="auto" w:fill="000000" w:themeFill="text1"/>
            <w:vAlign w:val="bottom"/>
            <w:hideMark/>
          </w:tcPr>
          <w:p w:rsidR="00B15DF9" w:rsidRPr="000706F9" w:rsidRDefault="00B15DF9" w:rsidP="000706F9">
            <w:pPr>
              <w:pStyle w:val="Tableheader"/>
              <w:jc w:val="center"/>
              <w:cnfStyle w:val="000000100000" w:firstRow="0" w:lastRow="0" w:firstColumn="0" w:lastColumn="0" w:oddVBand="0" w:evenVBand="0" w:oddHBand="1" w:evenHBand="0" w:firstRowFirstColumn="0" w:firstRowLastColumn="0" w:lastRowFirstColumn="0" w:lastRowLastColumn="0"/>
              <w:rPr>
                <w:b/>
              </w:rPr>
            </w:pPr>
            <w:r w:rsidRPr="000706F9">
              <w:rPr>
                <w:b/>
              </w:rPr>
              <w:t>b</w:t>
            </w:r>
          </w:p>
        </w:tc>
        <w:tc>
          <w:tcPr>
            <w:tcW w:w="1957" w:type="dxa"/>
            <w:shd w:val="clear" w:color="auto" w:fill="000000" w:themeFill="text1"/>
            <w:vAlign w:val="bottom"/>
            <w:hideMark/>
          </w:tcPr>
          <w:p w:rsidR="00B15DF9" w:rsidRPr="000706F9" w:rsidRDefault="00B15DF9" w:rsidP="000706F9">
            <w:pPr>
              <w:pStyle w:val="Tableheader"/>
              <w:jc w:val="center"/>
              <w:cnfStyle w:val="000000100000" w:firstRow="0" w:lastRow="0" w:firstColumn="0" w:lastColumn="0" w:oddVBand="0" w:evenVBand="0" w:oddHBand="1" w:evenHBand="0" w:firstRowFirstColumn="0" w:firstRowLastColumn="0" w:lastRowFirstColumn="0" w:lastRowLastColumn="0"/>
              <w:rPr>
                <w:b/>
              </w:rPr>
            </w:pPr>
            <w:r w:rsidRPr="000706F9">
              <w:rPr>
                <w:b/>
              </w:rPr>
              <w:t>c</w:t>
            </w:r>
          </w:p>
        </w:tc>
        <w:tc>
          <w:tcPr>
            <w:tcW w:w="1958" w:type="dxa"/>
            <w:shd w:val="clear" w:color="auto" w:fill="000000" w:themeFill="text1"/>
            <w:vAlign w:val="bottom"/>
          </w:tcPr>
          <w:p w:rsidR="00B15DF9" w:rsidRPr="000706F9" w:rsidRDefault="00B15DF9" w:rsidP="000706F9">
            <w:pPr>
              <w:pStyle w:val="Tableheader"/>
              <w:jc w:val="center"/>
              <w:cnfStyle w:val="000000100000" w:firstRow="0" w:lastRow="0" w:firstColumn="0" w:lastColumn="0" w:oddVBand="0" w:evenVBand="0" w:oddHBand="1" w:evenHBand="0" w:firstRowFirstColumn="0" w:firstRowLastColumn="0" w:lastRowFirstColumn="0" w:lastRowLastColumn="0"/>
              <w:rPr>
                <w:b/>
              </w:rPr>
            </w:pPr>
          </w:p>
        </w:tc>
      </w:tr>
      <w:tr w:rsidR="00B15DF9" w:rsidTr="000706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dxa"/>
            <w:shd w:val="clear" w:color="auto" w:fill="000000" w:themeFill="text1"/>
            <w:vAlign w:val="bottom"/>
            <w:hideMark/>
          </w:tcPr>
          <w:p w:rsidR="00B15DF9" w:rsidRPr="00FA253A" w:rsidRDefault="00B15DF9" w:rsidP="000706F9">
            <w:pPr>
              <w:pStyle w:val="Tableheader"/>
              <w:jc w:val="center"/>
              <w:rPr>
                <w:b/>
                <w:bCs/>
              </w:rPr>
            </w:pPr>
            <w:r w:rsidRPr="00FA253A">
              <w:rPr>
                <w:b/>
                <w:bCs/>
              </w:rPr>
              <w:t>Year</w:t>
            </w:r>
          </w:p>
        </w:tc>
        <w:tc>
          <w:tcPr>
            <w:tcW w:w="1957" w:type="dxa"/>
            <w:shd w:val="clear" w:color="auto" w:fill="000000" w:themeFill="text1"/>
            <w:vAlign w:val="bottom"/>
            <w:hideMark/>
          </w:tcPr>
          <w:p w:rsidR="00B15DF9" w:rsidRPr="00FA253A" w:rsidRDefault="00B15DF9" w:rsidP="000706F9">
            <w:pPr>
              <w:pStyle w:val="Tableheader"/>
              <w:jc w:val="center"/>
              <w:cnfStyle w:val="000000010000" w:firstRow="0" w:lastRow="0" w:firstColumn="0" w:lastColumn="0" w:oddVBand="0" w:evenVBand="0" w:oddHBand="0" w:evenHBand="1" w:firstRowFirstColumn="0" w:firstRowLastColumn="0" w:lastRowFirstColumn="0" w:lastRowLastColumn="0"/>
              <w:rPr>
                <w:b/>
                <w:bCs/>
              </w:rPr>
            </w:pPr>
            <w:r w:rsidRPr="00FA253A">
              <w:rPr>
                <w:b/>
                <w:bCs/>
              </w:rPr>
              <w:t xml:space="preserve">Amortised cost </w:t>
            </w:r>
            <w:r w:rsidR="000706F9">
              <w:rPr>
                <w:b/>
                <w:bCs/>
              </w:rPr>
              <w:br/>
            </w:r>
            <w:r w:rsidRPr="00FA253A">
              <w:rPr>
                <w:b/>
                <w:bCs/>
              </w:rPr>
              <w:t>at beg of yr</w:t>
            </w:r>
          </w:p>
        </w:tc>
        <w:tc>
          <w:tcPr>
            <w:tcW w:w="1958" w:type="dxa"/>
            <w:shd w:val="clear" w:color="auto" w:fill="000000" w:themeFill="text1"/>
            <w:vAlign w:val="bottom"/>
            <w:hideMark/>
          </w:tcPr>
          <w:p w:rsidR="00B15DF9" w:rsidRPr="00FA253A" w:rsidRDefault="00B15DF9" w:rsidP="000706F9">
            <w:pPr>
              <w:pStyle w:val="Tableheader"/>
              <w:jc w:val="center"/>
              <w:cnfStyle w:val="000000010000" w:firstRow="0" w:lastRow="0" w:firstColumn="0" w:lastColumn="0" w:oddVBand="0" w:evenVBand="0" w:oddHBand="0" w:evenHBand="1" w:firstRowFirstColumn="0" w:firstRowLastColumn="0" w:lastRowFirstColumn="0" w:lastRowLastColumn="0"/>
              <w:rPr>
                <w:b/>
                <w:bCs/>
              </w:rPr>
            </w:pPr>
            <w:r w:rsidRPr="00FA253A">
              <w:rPr>
                <w:b/>
                <w:bCs/>
              </w:rPr>
              <w:t>Interest expense</w:t>
            </w:r>
            <w:r w:rsidR="000706F9">
              <w:rPr>
                <w:b/>
                <w:bCs/>
              </w:rPr>
              <w:br/>
            </w:r>
            <w:r w:rsidRPr="00FA253A">
              <w:rPr>
                <w:b/>
                <w:bCs/>
              </w:rPr>
              <w:t>(a x 10%)</w:t>
            </w:r>
          </w:p>
        </w:tc>
        <w:tc>
          <w:tcPr>
            <w:tcW w:w="1957" w:type="dxa"/>
            <w:shd w:val="clear" w:color="auto" w:fill="000000" w:themeFill="text1"/>
            <w:vAlign w:val="bottom"/>
          </w:tcPr>
          <w:p w:rsidR="00B15DF9" w:rsidRPr="00FA253A" w:rsidRDefault="00B15DF9" w:rsidP="000706F9">
            <w:pPr>
              <w:pStyle w:val="Tableheader"/>
              <w:jc w:val="center"/>
              <w:cnfStyle w:val="000000010000" w:firstRow="0" w:lastRow="0" w:firstColumn="0" w:lastColumn="0" w:oddVBand="0" w:evenVBand="0" w:oddHBand="0" w:evenHBand="1" w:firstRowFirstColumn="0" w:firstRowLastColumn="0" w:lastRowFirstColumn="0" w:lastRowLastColumn="0"/>
              <w:rPr>
                <w:b/>
                <w:bCs/>
              </w:rPr>
            </w:pPr>
            <w:r w:rsidRPr="00FA253A">
              <w:rPr>
                <w:b/>
                <w:bCs/>
              </w:rPr>
              <w:t>Cash outflow</w:t>
            </w:r>
            <w:r w:rsidR="000706F9">
              <w:rPr>
                <w:b/>
                <w:bCs/>
              </w:rPr>
              <w:br/>
            </w:r>
          </w:p>
        </w:tc>
        <w:tc>
          <w:tcPr>
            <w:tcW w:w="1958" w:type="dxa"/>
            <w:shd w:val="clear" w:color="auto" w:fill="000000" w:themeFill="text1"/>
            <w:vAlign w:val="bottom"/>
            <w:hideMark/>
          </w:tcPr>
          <w:p w:rsidR="00B15DF9" w:rsidRPr="00FA253A" w:rsidRDefault="00B15DF9" w:rsidP="000706F9">
            <w:pPr>
              <w:pStyle w:val="Tableheader"/>
              <w:jc w:val="center"/>
              <w:cnfStyle w:val="000000010000" w:firstRow="0" w:lastRow="0" w:firstColumn="0" w:lastColumn="0" w:oddVBand="0" w:evenVBand="0" w:oddHBand="0" w:evenHBand="1" w:firstRowFirstColumn="0" w:firstRowLastColumn="0" w:lastRowFirstColumn="0" w:lastRowLastColumn="0"/>
              <w:rPr>
                <w:b/>
                <w:bCs/>
              </w:rPr>
            </w:pPr>
            <w:r w:rsidRPr="00FA253A">
              <w:rPr>
                <w:b/>
                <w:bCs/>
              </w:rPr>
              <w:t xml:space="preserve">Amortised cost </w:t>
            </w:r>
            <w:r w:rsidR="000706F9">
              <w:rPr>
                <w:b/>
                <w:bCs/>
              </w:rPr>
              <w:br/>
            </w:r>
            <w:r w:rsidRPr="00FA253A">
              <w:rPr>
                <w:b/>
                <w:bCs/>
              </w:rPr>
              <w:t>at end of yr</w:t>
            </w:r>
            <w:r w:rsidR="000706F9">
              <w:rPr>
                <w:b/>
                <w:bCs/>
              </w:rPr>
              <w:br/>
            </w:r>
            <w:r w:rsidRPr="00FA253A">
              <w:rPr>
                <w:b/>
                <w:bCs/>
              </w:rPr>
              <w:t>(a + b – c)</w:t>
            </w:r>
          </w:p>
        </w:tc>
      </w:tr>
      <w:tr w:rsidR="00B15DF9" w:rsidTr="00070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dxa"/>
            <w:hideMark/>
          </w:tcPr>
          <w:p w:rsidR="00B15DF9" w:rsidRPr="00FA253A" w:rsidRDefault="00B15DF9" w:rsidP="000706F9">
            <w:pPr>
              <w:pStyle w:val="Tabletext"/>
              <w:jc w:val="center"/>
            </w:pPr>
            <w:r w:rsidRPr="00FA253A">
              <w:t>0</w:t>
            </w:r>
          </w:p>
        </w:tc>
        <w:tc>
          <w:tcPr>
            <w:tcW w:w="1957" w:type="dxa"/>
            <w:hideMark/>
          </w:tcPr>
          <w:p w:rsidR="00B15DF9" w:rsidRPr="00FA253A" w:rsidRDefault="00B15DF9" w:rsidP="000706F9">
            <w:pPr>
              <w:pStyle w:val="Tabletext"/>
              <w:jc w:val="center"/>
              <w:cnfStyle w:val="000000100000" w:firstRow="0" w:lastRow="0" w:firstColumn="0" w:lastColumn="0" w:oddVBand="0" w:evenVBand="0" w:oddHBand="1" w:evenHBand="0" w:firstRowFirstColumn="0" w:firstRowLastColumn="0" w:lastRowFirstColumn="0" w:lastRowLastColumn="0"/>
            </w:pPr>
            <w:r w:rsidRPr="00FA253A">
              <w:t>1,000</w:t>
            </w:r>
          </w:p>
        </w:tc>
        <w:tc>
          <w:tcPr>
            <w:tcW w:w="1958" w:type="dxa"/>
            <w:hideMark/>
          </w:tcPr>
          <w:p w:rsidR="00B15DF9" w:rsidRPr="00FA253A" w:rsidRDefault="00B15DF9" w:rsidP="000706F9">
            <w:pPr>
              <w:pStyle w:val="Tabletext"/>
              <w:jc w:val="center"/>
              <w:cnfStyle w:val="000000100000" w:firstRow="0" w:lastRow="0" w:firstColumn="0" w:lastColumn="0" w:oddVBand="0" w:evenVBand="0" w:oddHBand="1" w:evenHBand="0" w:firstRowFirstColumn="0" w:firstRowLastColumn="0" w:lastRowFirstColumn="0" w:lastRowLastColumn="0"/>
            </w:pPr>
            <w:r w:rsidRPr="00FA253A">
              <w:t>100</w:t>
            </w:r>
          </w:p>
        </w:tc>
        <w:tc>
          <w:tcPr>
            <w:tcW w:w="1957" w:type="dxa"/>
            <w:hideMark/>
          </w:tcPr>
          <w:p w:rsidR="00B15DF9" w:rsidRPr="00FA253A" w:rsidRDefault="00B15DF9" w:rsidP="000706F9">
            <w:pPr>
              <w:pStyle w:val="Tabletext"/>
              <w:jc w:val="center"/>
              <w:cnfStyle w:val="000000100000" w:firstRow="0" w:lastRow="0" w:firstColumn="0" w:lastColumn="0" w:oddVBand="0" w:evenVBand="0" w:oddHBand="1" w:evenHBand="0" w:firstRowFirstColumn="0" w:firstRowLastColumn="0" w:lastRowFirstColumn="0" w:lastRowLastColumn="0"/>
            </w:pPr>
            <w:r w:rsidRPr="00FA253A">
              <w:t>59</w:t>
            </w:r>
          </w:p>
        </w:tc>
        <w:tc>
          <w:tcPr>
            <w:tcW w:w="1958" w:type="dxa"/>
            <w:hideMark/>
          </w:tcPr>
          <w:p w:rsidR="00B15DF9" w:rsidRPr="00FA253A" w:rsidRDefault="00B15DF9" w:rsidP="000706F9">
            <w:pPr>
              <w:pStyle w:val="Tabletext"/>
              <w:jc w:val="center"/>
              <w:cnfStyle w:val="000000100000" w:firstRow="0" w:lastRow="0" w:firstColumn="0" w:lastColumn="0" w:oddVBand="0" w:evenVBand="0" w:oddHBand="1" w:evenHBand="0" w:firstRowFirstColumn="0" w:firstRowLastColumn="0" w:lastRowFirstColumn="0" w:lastRowLastColumn="0"/>
            </w:pPr>
            <w:r w:rsidRPr="00FA253A">
              <w:t>1,041</w:t>
            </w:r>
          </w:p>
        </w:tc>
      </w:tr>
      <w:tr w:rsidR="00B15DF9" w:rsidTr="000706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dxa"/>
            <w:hideMark/>
          </w:tcPr>
          <w:p w:rsidR="00B15DF9" w:rsidRPr="00FA253A" w:rsidRDefault="00B15DF9" w:rsidP="000706F9">
            <w:pPr>
              <w:pStyle w:val="Tabletext"/>
              <w:jc w:val="center"/>
            </w:pPr>
            <w:r w:rsidRPr="00FA253A">
              <w:t>1</w:t>
            </w:r>
          </w:p>
        </w:tc>
        <w:tc>
          <w:tcPr>
            <w:tcW w:w="1957" w:type="dxa"/>
            <w:hideMark/>
          </w:tcPr>
          <w:p w:rsidR="00B15DF9" w:rsidRPr="00FA253A" w:rsidRDefault="00B15DF9" w:rsidP="000706F9">
            <w:pPr>
              <w:pStyle w:val="Tabletext"/>
              <w:jc w:val="center"/>
              <w:cnfStyle w:val="000000010000" w:firstRow="0" w:lastRow="0" w:firstColumn="0" w:lastColumn="0" w:oddVBand="0" w:evenVBand="0" w:oddHBand="0" w:evenHBand="1" w:firstRowFirstColumn="0" w:firstRowLastColumn="0" w:lastRowFirstColumn="0" w:lastRowLastColumn="0"/>
            </w:pPr>
            <w:r w:rsidRPr="00FA253A">
              <w:t>1,041</w:t>
            </w:r>
          </w:p>
        </w:tc>
        <w:tc>
          <w:tcPr>
            <w:tcW w:w="1958" w:type="dxa"/>
            <w:hideMark/>
          </w:tcPr>
          <w:p w:rsidR="00B15DF9" w:rsidRPr="00FA253A" w:rsidRDefault="00B15DF9" w:rsidP="000706F9">
            <w:pPr>
              <w:pStyle w:val="Tabletext"/>
              <w:jc w:val="center"/>
              <w:cnfStyle w:val="000000010000" w:firstRow="0" w:lastRow="0" w:firstColumn="0" w:lastColumn="0" w:oddVBand="0" w:evenVBand="0" w:oddHBand="0" w:evenHBand="1" w:firstRowFirstColumn="0" w:firstRowLastColumn="0" w:lastRowFirstColumn="0" w:lastRowLastColumn="0"/>
            </w:pPr>
            <w:r w:rsidRPr="00FA253A">
              <w:t>104</w:t>
            </w:r>
          </w:p>
        </w:tc>
        <w:tc>
          <w:tcPr>
            <w:tcW w:w="1957" w:type="dxa"/>
            <w:hideMark/>
          </w:tcPr>
          <w:p w:rsidR="00B15DF9" w:rsidRPr="00FA253A" w:rsidRDefault="00B15DF9" w:rsidP="000706F9">
            <w:pPr>
              <w:pStyle w:val="Tabletext"/>
              <w:jc w:val="center"/>
              <w:cnfStyle w:val="000000010000" w:firstRow="0" w:lastRow="0" w:firstColumn="0" w:lastColumn="0" w:oddVBand="0" w:evenVBand="0" w:oddHBand="0" w:evenHBand="1" w:firstRowFirstColumn="0" w:firstRowLastColumn="0" w:lastRowFirstColumn="0" w:lastRowLastColumn="0"/>
            </w:pPr>
            <w:r w:rsidRPr="00FA253A">
              <w:t>59</w:t>
            </w:r>
          </w:p>
        </w:tc>
        <w:tc>
          <w:tcPr>
            <w:tcW w:w="1958" w:type="dxa"/>
            <w:hideMark/>
          </w:tcPr>
          <w:p w:rsidR="00B15DF9" w:rsidRPr="00FA253A" w:rsidRDefault="00B15DF9" w:rsidP="000706F9">
            <w:pPr>
              <w:pStyle w:val="Tabletext"/>
              <w:jc w:val="center"/>
              <w:cnfStyle w:val="000000010000" w:firstRow="0" w:lastRow="0" w:firstColumn="0" w:lastColumn="0" w:oddVBand="0" w:evenVBand="0" w:oddHBand="0" w:evenHBand="1" w:firstRowFirstColumn="0" w:firstRowLastColumn="0" w:lastRowFirstColumn="0" w:lastRowLastColumn="0"/>
            </w:pPr>
            <w:r w:rsidRPr="00FA253A">
              <w:t>1,086</w:t>
            </w:r>
          </w:p>
        </w:tc>
      </w:tr>
      <w:tr w:rsidR="00B15DF9" w:rsidTr="00070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dxa"/>
            <w:hideMark/>
          </w:tcPr>
          <w:p w:rsidR="00B15DF9" w:rsidRPr="00FA253A" w:rsidRDefault="00B15DF9" w:rsidP="000706F9">
            <w:pPr>
              <w:pStyle w:val="Tabletext"/>
              <w:jc w:val="center"/>
            </w:pPr>
            <w:r w:rsidRPr="00FA253A">
              <w:t>2</w:t>
            </w:r>
          </w:p>
        </w:tc>
        <w:tc>
          <w:tcPr>
            <w:tcW w:w="1957" w:type="dxa"/>
            <w:hideMark/>
          </w:tcPr>
          <w:p w:rsidR="00B15DF9" w:rsidRPr="00FA253A" w:rsidRDefault="00B15DF9" w:rsidP="000706F9">
            <w:pPr>
              <w:pStyle w:val="Tabletext"/>
              <w:jc w:val="center"/>
              <w:cnfStyle w:val="000000100000" w:firstRow="0" w:lastRow="0" w:firstColumn="0" w:lastColumn="0" w:oddVBand="0" w:evenVBand="0" w:oddHBand="1" w:evenHBand="0" w:firstRowFirstColumn="0" w:firstRowLastColumn="0" w:lastRowFirstColumn="0" w:lastRowLastColumn="0"/>
            </w:pPr>
            <w:r w:rsidRPr="00FA253A">
              <w:t>1,086</w:t>
            </w:r>
          </w:p>
        </w:tc>
        <w:tc>
          <w:tcPr>
            <w:tcW w:w="1958" w:type="dxa"/>
            <w:hideMark/>
          </w:tcPr>
          <w:p w:rsidR="00B15DF9" w:rsidRPr="00FA253A" w:rsidRDefault="00B15DF9" w:rsidP="000706F9">
            <w:pPr>
              <w:pStyle w:val="Tabletext"/>
              <w:jc w:val="center"/>
              <w:cnfStyle w:val="000000100000" w:firstRow="0" w:lastRow="0" w:firstColumn="0" w:lastColumn="0" w:oddVBand="0" w:evenVBand="0" w:oddHBand="1" w:evenHBand="0" w:firstRowFirstColumn="0" w:firstRowLastColumn="0" w:lastRowFirstColumn="0" w:lastRowLastColumn="0"/>
            </w:pPr>
            <w:r w:rsidRPr="00FA253A">
              <w:t>109</w:t>
            </w:r>
          </w:p>
        </w:tc>
        <w:tc>
          <w:tcPr>
            <w:tcW w:w="1957" w:type="dxa"/>
            <w:hideMark/>
          </w:tcPr>
          <w:p w:rsidR="00B15DF9" w:rsidRPr="00FA253A" w:rsidRDefault="00B15DF9" w:rsidP="000706F9">
            <w:pPr>
              <w:pStyle w:val="Tabletext"/>
              <w:jc w:val="center"/>
              <w:cnfStyle w:val="000000100000" w:firstRow="0" w:lastRow="0" w:firstColumn="0" w:lastColumn="0" w:oddVBand="0" w:evenVBand="0" w:oddHBand="1" w:evenHBand="0" w:firstRowFirstColumn="0" w:firstRowLastColumn="0" w:lastRowFirstColumn="0" w:lastRowLastColumn="0"/>
            </w:pPr>
            <w:r w:rsidRPr="00FA253A">
              <w:t>59</w:t>
            </w:r>
          </w:p>
        </w:tc>
        <w:tc>
          <w:tcPr>
            <w:tcW w:w="1958" w:type="dxa"/>
            <w:hideMark/>
          </w:tcPr>
          <w:p w:rsidR="00B15DF9" w:rsidRPr="00FA253A" w:rsidRDefault="00B15DF9" w:rsidP="000706F9">
            <w:pPr>
              <w:pStyle w:val="Tabletext"/>
              <w:jc w:val="center"/>
              <w:cnfStyle w:val="000000100000" w:firstRow="0" w:lastRow="0" w:firstColumn="0" w:lastColumn="0" w:oddVBand="0" w:evenVBand="0" w:oddHBand="1" w:evenHBand="0" w:firstRowFirstColumn="0" w:firstRowLastColumn="0" w:lastRowFirstColumn="0" w:lastRowLastColumn="0"/>
            </w:pPr>
            <w:r w:rsidRPr="00FA253A">
              <w:t>1,136</w:t>
            </w:r>
          </w:p>
        </w:tc>
      </w:tr>
      <w:tr w:rsidR="00B15DF9" w:rsidTr="000706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dxa"/>
            <w:hideMark/>
          </w:tcPr>
          <w:p w:rsidR="00B15DF9" w:rsidRPr="00FA253A" w:rsidRDefault="00B15DF9" w:rsidP="000706F9">
            <w:pPr>
              <w:pStyle w:val="Tabletext"/>
              <w:jc w:val="center"/>
            </w:pPr>
            <w:r w:rsidRPr="00FA253A">
              <w:t>3</w:t>
            </w:r>
          </w:p>
        </w:tc>
        <w:tc>
          <w:tcPr>
            <w:tcW w:w="1957" w:type="dxa"/>
            <w:hideMark/>
          </w:tcPr>
          <w:p w:rsidR="00B15DF9" w:rsidRPr="00FA253A" w:rsidRDefault="00B15DF9" w:rsidP="000706F9">
            <w:pPr>
              <w:pStyle w:val="Tabletext"/>
              <w:jc w:val="center"/>
              <w:cnfStyle w:val="000000010000" w:firstRow="0" w:lastRow="0" w:firstColumn="0" w:lastColumn="0" w:oddVBand="0" w:evenVBand="0" w:oddHBand="0" w:evenHBand="1" w:firstRowFirstColumn="0" w:firstRowLastColumn="0" w:lastRowFirstColumn="0" w:lastRowLastColumn="0"/>
            </w:pPr>
            <w:r w:rsidRPr="00FA253A">
              <w:t>1,136</w:t>
            </w:r>
          </w:p>
        </w:tc>
        <w:tc>
          <w:tcPr>
            <w:tcW w:w="1958" w:type="dxa"/>
            <w:hideMark/>
          </w:tcPr>
          <w:p w:rsidR="00B15DF9" w:rsidRPr="00FA253A" w:rsidRDefault="00B15DF9" w:rsidP="000706F9">
            <w:pPr>
              <w:pStyle w:val="Tabletext"/>
              <w:jc w:val="center"/>
              <w:cnfStyle w:val="000000010000" w:firstRow="0" w:lastRow="0" w:firstColumn="0" w:lastColumn="0" w:oddVBand="0" w:evenVBand="0" w:oddHBand="0" w:evenHBand="1" w:firstRowFirstColumn="0" w:firstRowLastColumn="0" w:lastRowFirstColumn="0" w:lastRowLastColumn="0"/>
            </w:pPr>
            <w:r w:rsidRPr="00FA253A">
              <w:t>113</w:t>
            </w:r>
          </w:p>
        </w:tc>
        <w:tc>
          <w:tcPr>
            <w:tcW w:w="1957" w:type="dxa"/>
            <w:hideMark/>
          </w:tcPr>
          <w:p w:rsidR="00B15DF9" w:rsidRPr="00FA253A" w:rsidRDefault="00B15DF9" w:rsidP="000706F9">
            <w:pPr>
              <w:pStyle w:val="Tabletext"/>
              <w:jc w:val="center"/>
              <w:cnfStyle w:val="000000010000" w:firstRow="0" w:lastRow="0" w:firstColumn="0" w:lastColumn="0" w:oddVBand="0" w:evenVBand="0" w:oddHBand="0" w:evenHBand="1" w:firstRowFirstColumn="0" w:firstRowLastColumn="0" w:lastRowFirstColumn="0" w:lastRowLastColumn="0"/>
            </w:pPr>
            <w:r w:rsidRPr="00FA253A">
              <w:t>59</w:t>
            </w:r>
          </w:p>
        </w:tc>
        <w:tc>
          <w:tcPr>
            <w:tcW w:w="1958" w:type="dxa"/>
            <w:hideMark/>
          </w:tcPr>
          <w:p w:rsidR="00B15DF9" w:rsidRPr="00FA253A" w:rsidRDefault="00B15DF9" w:rsidP="000706F9">
            <w:pPr>
              <w:pStyle w:val="Tabletext"/>
              <w:jc w:val="center"/>
              <w:cnfStyle w:val="000000010000" w:firstRow="0" w:lastRow="0" w:firstColumn="0" w:lastColumn="0" w:oddVBand="0" w:evenVBand="0" w:oddHBand="0" w:evenHBand="1" w:firstRowFirstColumn="0" w:firstRowLastColumn="0" w:lastRowFirstColumn="0" w:lastRowLastColumn="0"/>
            </w:pPr>
            <w:r w:rsidRPr="00FA253A">
              <w:t>1,190</w:t>
            </w:r>
          </w:p>
        </w:tc>
      </w:tr>
      <w:tr w:rsidR="00B15DF9" w:rsidTr="00070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dxa"/>
            <w:tcBorders>
              <w:bottom w:val="single" w:sz="6" w:space="0" w:color="auto"/>
            </w:tcBorders>
            <w:hideMark/>
          </w:tcPr>
          <w:p w:rsidR="00B15DF9" w:rsidRPr="00FA253A" w:rsidRDefault="00B15DF9" w:rsidP="000706F9">
            <w:pPr>
              <w:pStyle w:val="Tabletext"/>
              <w:jc w:val="center"/>
            </w:pPr>
            <w:r w:rsidRPr="00FA253A">
              <w:t>4</w:t>
            </w:r>
          </w:p>
        </w:tc>
        <w:tc>
          <w:tcPr>
            <w:tcW w:w="1957" w:type="dxa"/>
            <w:tcBorders>
              <w:bottom w:val="single" w:sz="6" w:space="0" w:color="auto"/>
            </w:tcBorders>
            <w:hideMark/>
          </w:tcPr>
          <w:p w:rsidR="00B15DF9" w:rsidRPr="00FA253A" w:rsidRDefault="00B15DF9" w:rsidP="000706F9">
            <w:pPr>
              <w:pStyle w:val="Tabletext"/>
              <w:jc w:val="center"/>
              <w:cnfStyle w:val="000000100000" w:firstRow="0" w:lastRow="0" w:firstColumn="0" w:lastColumn="0" w:oddVBand="0" w:evenVBand="0" w:oddHBand="1" w:evenHBand="0" w:firstRowFirstColumn="0" w:firstRowLastColumn="0" w:lastRowFirstColumn="0" w:lastRowLastColumn="0"/>
            </w:pPr>
            <w:r w:rsidRPr="00FA253A">
              <w:t>1,190</w:t>
            </w:r>
          </w:p>
        </w:tc>
        <w:tc>
          <w:tcPr>
            <w:tcW w:w="1958" w:type="dxa"/>
            <w:tcBorders>
              <w:bottom w:val="single" w:sz="6" w:space="0" w:color="auto"/>
            </w:tcBorders>
            <w:hideMark/>
          </w:tcPr>
          <w:p w:rsidR="00B15DF9" w:rsidRPr="00FA253A" w:rsidRDefault="00B15DF9" w:rsidP="000706F9">
            <w:pPr>
              <w:pStyle w:val="Tabletext"/>
              <w:jc w:val="center"/>
              <w:cnfStyle w:val="000000100000" w:firstRow="0" w:lastRow="0" w:firstColumn="0" w:lastColumn="0" w:oddVBand="0" w:evenVBand="0" w:oddHBand="1" w:evenHBand="0" w:firstRowFirstColumn="0" w:firstRowLastColumn="0" w:lastRowFirstColumn="0" w:lastRowLastColumn="0"/>
            </w:pPr>
            <w:r w:rsidRPr="00FA253A">
              <w:t>119</w:t>
            </w:r>
          </w:p>
        </w:tc>
        <w:tc>
          <w:tcPr>
            <w:tcW w:w="1957" w:type="dxa"/>
            <w:tcBorders>
              <w:bottom w:val="single" w:sz="6" w:space="0" w:color="auto"/>
            </w:tcBorders>
            <w:hideMark/>
          </w:tcPr>
          <w:p w:rsidR="00B15DF9" w:rsidRPr="00FA253A" w:rsidRDefault="00B15DF9" w:rsidP="000706F9">
            <w:pPr>
              <w:pStyle w:val="Tabletext"/>
              <w:jc w:val="center"/>
              <w:cnfStyle w:val="000000100000" w:firstRow="0" w:lastRow="0" w:firstColumn="0" w:lastColumn="0" w:oddVBand="0" w:evenVBand="0" w:oddHBand="1" w:evenHBand="0" w:firstRowFirstColumn="0" w:firstRowLastColumn="0" w:lastRowFirstColumn="0" w:lastRowLastColumn="0"/>
            </w:pPr>
            <w:r w:rsidRPr="00FA253A">
              <w:t>59 + 1,250</w:t>
            </w:r>
          </w:p>
        </w:tc>
        <w:tc>
          <w:tcPr>
            <w:tcW w:w="1958" w:type="dxa"/>
            <w:tcBorders>
              <w:bottom w:val="single" w:sz="6" w:space="0" w:color="auto"/>
            </w:tcBorders>
            <w:hideMark/>
          </w:tcPr>
          <w:p w:rsidR="00B15DF9" w:rsidRPr="00FA253A" w:rsidRDefault="00D71488" w:rsidP="000706F9">
            <w:pPr>
              <w:pStyle w:val="Tabletext"/>
              <w:jc w:val="center"/>
              <w:cnfStyle w:val="000000100000" w:firstRow="0" w:lastRow="0" w:firstColumn="0" w:lastColumn="0" w:oddVBand="0" w:evenVBand="0" w:oddHBand="1" w:evenHBand="0" w:firstRowFirstColumn="0" w:firstRowLastColumn="0" w:lastRowFirstColumn="0" w:lastRowLastColumn="0"/>
            </w:pPr>
            <w:r>
              <w:noBreakHyphen/>
            </w:r>
          </w:p>
        </w:tc>
      </w:tr>
      <w:tr w:rsidR="00B15DF9" w:rsidRPr="000706F9" w:rsidTr="000706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dxa"/>
            <w:tcBorders>
              <w:top w:val="single" w:sz="6" w:space="0" w:color="auto"/>
              <w:bottom w:val="single" w:sz="12" w:space="0" w:color="auto"/>
            </w:tcBorders>
            <w:hideMark/>
          </w:tcPr>
          <w:p w:rsidR="00B15DF9" w:rsidRPr="000706F9" w:rsidRDefault="00B15DF9" w:rsidP="000706F9">
            <w:pPr>
              <w:pStyle w:val="Tabletext"/>
              <w:jc w:val="center"/>
              <w:rPr>
                <w:b/>
              </w:rPr>
            </w:pPr>
            <w:r w:rsidRPr="000706F9">
              <w:rPr>
                <w:b/>
              </w:rPr>
              <w:t>Total</w:t>
            </w:r>
          </w:p>
        </w:tc>
        <w:tc>
          <w:tcPr>
            <w:tcW w:w="1957" w:type="dxa"/>
            <w:tcBorders>
              <w:top w:val="single" w:sz="6" w:space="0" w:color="auto"/>
              <w:bottom w:val="single" w:sz="12" w:space="0" w:color="auto"/>
            </w:tcBorders>
          </w:tcPr>
          <w:p w:rsidR="00B15DF9" w:rsidRPr="000706F9" w:rsidRDefault="00B15DF9" w:rsidP="000706F9">
            <w:pPr>
              <w:pStyle w:val="Tabletext"/>
              <w:jc w:val="center"/>
              <w:cnfStyle w:val="000000010000" w:firstRow="0" w:lastRow="0" w:firstColumn="0" w:lastColumn="0" w:oddVBand="0" w:evenVBand="0" w:oddHBand="0" w:evenHBand="1" w:firstRowFirstColumn="0" w:firstRowLastColumn="0" w:lastRowFirstColumn="0" w:lastRowLastColumn="0"/>
              <w:rPr>
                <w:b/>
              </w:rPr>
            </w:pPr>
          </w:p>
        </w:tc>
        <w:tc>
          <w:tcPr>
            <w:tcW w:w="1958" w:type="dxa"/>
            <w:tcBorders>
              <w:top w:val="single" w:sz="6" w:space="0" w:color="auto"/>
              <w:bottom w:val="single" w:sz="12" w:space="0" w:color="auto"/>
            </w:tcBorders>
            <w:hideMark/>
          </w:tcPr>
          <w:p w:rsidR="00B15DF9" w:rsidRPr="000706F9" w:rsidRDefault="00B15DF9" w:rsidP="000706F9">
            <w:pPr>
              <w:pStyle w:val="Tabletext"/>
              <w:jc w:val="center"/>
              <w:cnfStyle w:val="000000010000" w:firstRow="0" w:lastRow="0" w:firstColumn="0" w:lastColumn="0" w:oddVBand="0" w:evenVBand="0" w:oddHBand="0" w:evenHBand="1" w:firstRowFirstColumn="0" w:firstRowLastColumn="0" w:lastRowFirstColumn="0" w:lastRowLastColumn="0"/>
              <w:rPr>
                <w:b/>
              </w:rPr>
            </w:pPr>
            <w:r w:rsidRPr="000706F9">
              <w:rPr>
                <w:b/>
              </w:rPr>
              <w:t>545</w:t>
            </w:r>
          </w:p>
        </w:tc>
        <w:tc>
          <w:tcPr>
            <w:tcW w:w="1957" w:type="dxa"/>
            <w:tcBorders>
              <w:top w:val="single" w:sz="6" w:space="0" w:color="auto"/>
              <w:bottom w:val="single" w:sz="12" w:space="0" w:color="auto"/>
            </w:tcBorders>
            <w:hideMark/>
          </w:tcPr>
          <w:p w:rsidR="00B15DF9" w:rsidRPr="000706F9" w:rsidRDefault="00B15DF9" w:rsidP="000706F9">
            <w:pPr>
              <w:pStyle w:val="Tabletext"/>
              <w:jc w:val="center"/>
              <w:cnfStyle w:val="000000010000" w:firstRow="0" w:lastRow="0" w:firstColumn="0" w:lastColumn="0" w:oddVBand="0" w:evenVBand="0" w:oddHBand="0" w:evenHBand="1" w:firstRowFirstColumn="0" w:firstRowLastColumn="0" w:lastRowFirstColumn="0" w:lastRowLastColumn="0"/>
              <w:rPr>
                <w:b/>
              </w:rPr>
            </w:pPr>
            <w:r w:rsidRPr="000706F9">
              <w:rPr>
                <w:b/>
              </w:rPr>
              <w:t>1545</w:t>
            </w:r>
          </w:p>
        </w:tc>
        <w:tc>
          <w:tcPr>
            <w:tcW w:w="1958" w:type="dxa"/>
            <w:tcBorders>
              <w:top w:val="single" w:sz="6" w:space="0" w:color="auto"/>
              <w:bottom w:val="single" w:sz="12" w:space="0" w:color="auto"/>
            </w:tcBorders>
          </w:tcPr>
          <w:p w:rsidR="00B15DF9" w:rsidRPr="000706F9" w:rsidRDefault="00B15DF9" w:rsidP="000706F9">
            <w:pPr>
              <w:pStyle w:val="Tabletext"/>
              <w:jc w:val="center"/>
              <w:cnfStyle w:val="000000010000" w:firstRow="0" w:lastRow="0" w:firstColumn="0" w:lastColumn="0" w:oddVBand="0" w:evenVBand="0" w:oddHBand="0" w:evenHBand="1" w:firstRowFirstColumn="0" w:firstRowLastColumn="0" w:lastRowFirstColumn="0" w:lastRowLastColumn="0"/>
              <w:rPr>
                <w:b/>
              </w:rPr>
            </w:pPr>
          </w:p>
        </w:tc>
      </w:tr>
    </w:tbl>
    <w:p w:rsidR="00B15DF9" w:rsidRPr="000706F9" w:rsidRDefault="00B15DF9" w:rsidP="00F557E5">
      <w:pPr>
        <w:pStyle w:val="NoteNormal"/>
      </w:pPr>
    </w:p>
    <w:p w:rsidR="00B15DF9" w:rsidRDefault="00B15DF9" w:rsidP="00B15DF9">
      <w:pPr>
        <w:pStyle w:val="Header"/>
        <w:tabs>
          <w:tab w:val="left" w:pos="720"/>
        </w:tabs>
      </w:pPr>
    </w:p>
    <w:sectPr w:rsidR="00B15DF9" w:rsidSect="00AC1D93">
      <w:footerReference w:type="default" r:id="rId9"/>
      <w:headerReference w:type="first" r:id="rId10"/>
      <w:footerReference w:type="first" r:id="rId11"/>
      <w:pgSz w:w="11906" w:h="16838" w:code="9"/>
      <w:pgMar w:top="1800" w:right="1440" w:bottom="1354" w:left="1440" w:header="446"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CE" w:rsidRDefault="000A23CE" w:rsidP="00493B55">
      <w:pPr>
        <w:spacing w:before="0" w:after="0"/>
      </w:pPr>
      <w:r>
        <w:separator/>
      </w:r>
    </w:p>
  </w:endnote>
  <w:endnote w:type="continuationSeparator" w:id="0">
    <w:p w:rsidR="000A23CE" w:rsidRDefault="000A23CE" w:rsidP="00493B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80" w:rsidRDefault="00E13A80" w:rsidP="00E13A80">
    <w:pPr>
      <w:pStyle w:val="Spacer"/>
    </w:pPr>
  </w:p>
  <w:p w:rsidR="00E13A80" w:rsidRPr="005828FE" w:rsidRDefault="00E13A80" w:rsidP="00E13A80">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DF663F">
      <w:rPr>
        <w:b/>
      </w:rPr>
      <w:t>FRD 114B</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DF663F">
      <w:t xml:space="preserve">Financial instruments – general government entities and public </w:t>
    </w:r>
    <w:r w:rsidR="00DF663F">
      <w:br/>
      <w:t>non-financial corporations (June 2016)</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DF663F">
      <w:rPr>
        <w:rStyle w:val="PageNumber"/>
        <w:color w:val="auto"/>
      </w:rPr>
      <w:t>2</w:t>
    </w:r>
    <w:r w:rsidRPr="005828FE">
      <w:rPr>
        <w:rStyle w:val="PageNumber"/>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80" w:rsidRDefault="00E13A80" w:rsidP="00E13A80">
    <w:pPr>
      <w:pStyle w:val="Spacer"/>
    </w:pPr>
  </w:p>
  <w:p w:rsidR="00E13A80" w:rsidRPr="005828FE" w:rsidRDefault="00E13A80" w:rsidP="00E13A80">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DF663F">
      <w:rPr>
        <w:b/>
      </w:rPr>
      <w:t>FRD 114B</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DF663F">
      <w:t xml:space="preserve">Financial instruments – general government entities and public </w:t>
    </w:r>
    <w:r w:rsidR="00DF663F">
      <w:br/>
      <w:t>non-financial corporations (June 2016)</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DF663F">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CE" w:rsidRDefault="000A23CE" w:rsidP="00493B55">
      <w:pPr>
        <w:spacing w:before="0" w:after="0"/>
      </w:pPr>
      <w:r>
        <w:separator/>
      </w:r>
    </w:p>
  </w:footnote>
  <w:footnote w:type="continuationSeparator" w:id="0">
    <w:p w:rsidR="000A23CE" w:rsidRDefault="000A23CE" w:rsidP="00493B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95" w:rsidRPr="0041689E" w:rsidRDefault="00572F95" w:rsidP="00572F95">
    <w:pPr>
      <w:pStyle w:val="Header"/>
      <w:tabs>
        <w:tab w:val="clear" w:pos="9026"/>
      </w:tabs>
      <w:ind w:right="-694"/>
      <w:jc w:val="right"/>
    </w:pPr>
    <w:r>
      <w:rPr>
        <w:noProof/>
      </w:rPr>
      <w:drawing>
        <wp:inline distT="0" distB="0" distL="0" distR="0" wp14:anchorId="2D20FAE5" wp14:editId="6545DE16">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5E4FFA" w:rsidRDefault="005E4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7142"/>
    <w:multiLevelType w:val="hybridMultilevel"/>
    <w:tmpl w:val="649EA05A"/>
    <w:lvl w:ilvl="0" w:tplc="AED6FAA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3540858"/>
    <w:multiLevelType w:val="hybridMultilevel"/>
    <w:tmpl w:val="8CDE8250"/>
    <w:lvl w:ilvl="0" w:tplc="04090001">
      <w:start w:val="1"/>
      <w:numFmt w:val="bullet"/>
      <w:lvlText w:val=""/>
      <w:lvlJc w:val="left"/>
      <w:pPr>
        <w:tabs>
          <w:tab w:val="num" w:pos="360"/>
        </w:tabs>
        <w:ind w:left="360" w:hanging="360"/>
      </w:pPr>
      <w:rPr>
        <w:rFonts w:ascii="Symbol" w:hAnsi="Symbol" w:hint="default"/>
      </w:rPr>
    </w:lvl>
    <w:lvl w:ilvl="1" w:tplc="7A102EEE">
      <w:start w:val="30"/>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256F3F4A"/>
    <w:multiLevelType w:val="hybridMultilevel"/>
    <w:tmpl w:val="62583C1C"/>
    <w:lvl w:ilvl="0" w:tplc="05A85894">
      <w:start w:val="1"/>
      <w:numFmt w:val="bullet"/>
      <w:lvlText w:val=""/>
      <w:lvlJc w:val="left"/>
      <w:pPr>
        <w:tabs>
          <w:tab w:val="num" w:pos="360"/>
        </w:tabs>
        <w:ind w:left="360" w:hanging="360"/>
      </w:pPr>
      <w:rPr>
        <w:rFonts w:ascii="Symbol" w:hAnsi="Symbol" w:hint="default"/>
      </w:rPr>
    </w:lvl>
    <w:lvl w:ilvl="1" w:tplc="7A102EEE">
      <w:start w:val="30"/>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90152D8"/>
    <w:multiLevelType w:val="hybridMultilevel"/>
    <w:tmpl w:val="BFF21F24"/>
    <w:lvl w:ilvl="0" w:tplc="AED6FAA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1D83E0F"/>
    <w:multiLevelType w:val="hybridMultilevel"/>
    <w:tmpl w:val="267A809E"/>
    <w:lvl w:ilvl="0" w:tplc="6CFC5CB6">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pStyle w:val="Bullet3"/>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FC550F8"/>
    <w:multiLevelType w:val="multilevel"/>
    <w:tmpl w:val="911EB246"/>
    <w:lvl w:ilvl="0">
      <w:start w:val="1"/>
      <w:numFmt w:val="lowerLetter"/>
      <w:pStyle w:val="List1"/>
      <w:lvlText w:val="(%1)"/>
      <w:lvlJc w:val="left"/>
      <w:pPr>
        <w:ind w:left="360" w:hanging="360"/>
      </w:pPr>
      <w:rPr>
        <w:rFonts w:hint="default"/>
      </w:rPr>
    </w:lvl>
    <w:lvl w:ilvl="1">
      <w:start w:val="1"/>
      <w:numFmt w:val="lowerRoman"/>
      <w:pStyle w:val="List2"/>
      <w:lvlText w:val="(%2)"/>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List3"/>
      <w:lvlText w:val="·"/>
      <w:lvlJc w:val="left"/>
      <w:pPr>
        <w:ind w:left="1080" w:hanging="360"/>
      </w:pPr>
      <w:rPr>
        <w:rFonts w:ascii="Symbol" w:hAnsi="Symbol" w:hint="default"/>
      </w:rPr>
    </w:lvl>
    <w:lvl w:ilvl="3">
      <w:start w:val="1"/>
      <w:numFmt w:val="lowerLetter"/>
      <w:lvlRestart w:val="1"/>
      <w:lvlText w:val="(%4)"/>
      <w:lvlJc w:val="left"/>
      <w:pPr>
        <w:ind w:left="360" w:hanging="360"/>
      </w:pPr>
      <w:rPr>
        <w:rFonts w:hint="default"/>
        <w:b w:val="0"/>
        <w:i w:val="0"/>
        <w:color w:val="5E5E5E"/>
      </w:rPr>
    </w:lvl>
    <w:lvl w:ilvl="4">
      <w:start w:val="1"/>
      <w:numFmt w:val="lowerRoman"/>
      <w:lvlText w:val="(%5)"/>
      <w:lvlJc w:val="left"/>
      <w:pPr>
        <w:ind w:left="720" w:hanging="360"/>
      </w:pPr>
      <w:rPr>
        <w:rFonts w:hint="default"/>
        <w:color w:val="5E5E5E"/>
      </w:rPr>
    </w:lvl>
    <w:lvl w:ilvl="5">
      <w:start w:val="1"/>
      <w:numFmt w:val="bullet"/>
      <w:lvlText w:val="·"/>
      <w:lvlJc w:val="left"/>
      <w:pPr>
        <w:ind w:left="1080" w:hanging="360"/>
      </w:pPr>
      <w:rPr>
        <w:rFonts w:ascii="Symbol" w:hAnsi="Symbol" w:hint="default"/>
        <w:color w:val="5E5E5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nsid w:val="7CAA4A2A"/>
    <w:multiLevelType w:val="hybridMultilevel"/>
    <w:tmpl w:val="D444C914"/>
    <w:lvl w:ilvl="0" w:tplc="2B387A44">
      <w:start w:val="1"/>
      <w:numFmt w:val="bullet"/>
      <w:lvlText w:val=""/>
      <w:lvlJc w:val="left"/>
      <w:pPr>
        <w:tabs>
          <w:tab w:val="num" w:pos="360"/>
        </w:tabs>
        <w:ind w:left="360" w:hanging="360"/>
      </w:pPr>
      <w:rPr>
        <w:rFonts w:ascii="Symbol" w:hAnsi="Symbol" w:hint="default"/>
      </w:rPr>
    </w:lvl>
    <w:lvl w:ilvl="1" w:tplc="7A102EEE">
      <w:start w:val="30"/>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7FD44514"/>
    <w:multiLevelType w:val="multilevel"/>
    <w:tmpl w:val="AE7ECEB4"/>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7"/>
  </w:num>
  <w:num w:numId="2">
    <w:abstractNumId w:val="8"/>
  </w:num>
  <w:num w:numId="3">
    <w:abstractNumId w:val="4"/>
  </w:num>
  <w:num w:numId="4">
    <w:abstractNumId w:val="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6"/>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 w:numId="18">
    <w:abstractNumId w:val="9"/>
  </w:num>
  <w:num w:numId="19">
    <w:abstractNumId w:val="9"/>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0">
    <w:abstractNumId w:val="9"/>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54"/>
    <w:rsid w:val="0000060C"/>
    <w:rsid w:val="00000652"/>
    <w:rsid w:val="00003D54"/>
    <w:rsid w:val="0002253C"/>
    <w:rsid w:val="00026F80"/>
    <w:rsid w:val="000528A5"/>
    <w:rsid w:val="000674A3"/>
    <w:rsid w:val="000706F9"/>
    <w:rsid w:val="000727DD"/>
    <w:rsid w:val="00076454"/>
    <w:rsid w:val="00083CF0"/>
    <w:rsid w:val="000863A6"/>
    <w:rsid w:val="00087493"/>
    <w:rsid w:val="00087CA2"/>
    <w:rsid w:val="000960F3"/>
    <w:rsid w:val="000A23CE"/>
    <w:rsid w:val="000B2B10"/>
    <w:rsid w:val="000C67E7"/>
    <w:rsid w:val="0010275E"/>
    <w:rsid w:val="001120B3"/>
    <w:rsid w:val="00125DE6"/>
    <w:rsid w:val="001302BF"/>
    <w:rsid w:val="001313F0"/>
    <w:rsid w:val="00131A89"/>
    <w:rsid w:val="001621E2"/>
    <w:rsid w:val="001737FD"/>
    <w:rsid w:val="00176BA3"/>
    <w:rsid w:val="00180774"/>
    <w:rsid w:val="00193DF4"/>
    <w:rsid w:val="001B0343"/>
    <w:rsid w:val="001B10D6"/>
    <w:rsid w:val="001C558B"/>
    <w:rsid w:val="001D59E0"/>
    <w:rsid w:val="001E6742"/>
    <w:rsid w:val="001F620B"/>
    <w:rsid w:val="00211B4D"/>
    <w:rsid w:val="00216186"/>
    <w:rsid w:val="00231A10"/>
    <w:rsid w:val="002536F5"/>
    <w:rsid w:val="002857B5"/>
    <w:rsid w:val="00296D91"/>
    <w:rsid w:val="002C28D8"/>
    <w:rsid w:val="002D2A66"/>
    <w:rsid w:val="002D6A8B"/>
    <w:rsid w:val="002E4FAF"/>
    <w:rsid w:val="00300B3A"/>
    <w:rsid w:val="003028B0"/>
    <w:rsid w:val="00305CCE"/>
    <w:rsid w:val="00307127"/>
    <w:rsid w:val="00313654"/>
    <w:rsid w:val="00355FA3"/>
    <w:rsid w:val="00357D4A"/>
    <w:rsid w:val="00376C4B"/>
    <w:rsid w:val="003817BB"/>
    <w:rsid w:val="003977A6"/>
    <w:rsid w:val="003A3FB2"/>
    <w:rsid w:val="003B0F23"/>
    <w:rsid w:val="003D0506"/>
    <w:rsid w:val="004079E1"/>
    <w:rsid w:val="00410FEA"/>
    <w:rsid w:val="00413342"/>
    <w:rsid w:val="00445EB9"/>
    <w:rsid w:val="00453DD2"/>
    <w:rsid w:val="004634D8"/>
    <w:rsid w:val="00465113"/>
    <w:rsid w:val="00465C76"/>
    <w:rsid w:val="00485BD7"/>
    <w:rsid w:val="00493B55"/>
    <w:rsid w:val="00495855"/>
    <w:rsid w:val="0049747D"/>
    <w:rsid w:val="004B37FA"/>
    <w:rsid w:val="004C52A6"/>
    <w:rsid w:val="004D34D8"/>
    <w:rsid w:val="004D48AE"/>
    <w:rsid w:val="004E1D5B"/>
    <w:rsid w:val="004E214B"/>
    <w:rsid w:val="004F31FF"/>
    <w:rsid w:val="005051EF"/>
    <w:rsid w:val="00506DA1"/>
    <w:rsid w:val="0055491B"/>
    <w:rsid w:val="0056089F"/>
    <w:rsid w:val="00572F95"/>
    <w:rsid w:val="005A37BA"/>
    <w:rsid w:val="005D0AF3"/>
    <w:rsid w:val="005D5B88"/>
    <w:rsid w:val="005D7B86"/>
    <w:rsid w:val="005E149B"/>
    <w:rsid w:val="005E4FFA"/>
    <w:rsid w:val="005F6397"/>
    <w:rsid w:val="006345DE"/>
    <w:rsid w:val="0064365F"/>
    <w:rsid w:val="00645860"/>
    <w:rsid w:val="00675E0A"/>
    <w:rsid w:val="006A51A2"/>
    <w:rsid w:val="006A5EF8"/>
    <w:rsid w:val="006B25BC"/>
    <w:rsid w:val="006B514C"/>
    <w:rsid w:val="006D3190"/>
    <w:rsid w:val="007063AB"/>
    <w:rsid w:val="00743E65"/>
    <w:rsid w:val="00752390"/>
    <w:rsid w:val="00765193"/>
    <w:rsid w:val="007817D2"/>
    <w:rsid w:val="00783B6B"/>
    <w:rsid w:val="007A7304"/>
    <w:rsid w:val="007B5DF6"/>
    <w:rsid w:val="007F4482"/>
    <w:rsid w:val="00810B92"/>
    <w:rsid w:val="008241B6"/>
    <w:rsid w:val="0084338A"/>
    <w:rsid w:val="00845688"/>
    <w:rsid w:val="008522AC"/>
    <w:rsid w:val="008E06E6"/>
    <w:rsid w:val="008E3DF9"/>
    <w:rsid w:val="008E48F5"/>
    <w:rsid w:val="008E50EF"/>
    <w:rsid w:val="008F1073"/>
    <w:rsid w:val="009319CE"/>
    <w:rsid w:val="00935EB2"/>
    <w:rsid w:val="00945D7A"/>
    <w:rsid w:val="00971402"/>
    <w:rsid w:val="00974854"/>
    <w:rsid w:val="0099362C"/>
    <w:rsid w:val="009976CE"/>
    <w:rsid w:val="009A2A5B"/>
    <w:rsid w:val="009D7071"/>
    <w:rsid w:val="00A051EE"/>
    <w:rsid w:val="00A143BB"/>
    <w:rsid w:val="00A3180A"/>
    <w:rsid w:val="00A33C5A"/>
    <w:rsid w:val="00A40256"/>
    <w:rsid w:val="00A6470C"/>
    <w:rsid w:val="00A72355"/>
    <w:rsid w:val="00A743AA"/>
    <w:rsid w:val="00A869EB"/>
    <w:rsid w:val="00A90B0F"/>
    <w:rsid w:val="00A94708"/>
    <w:rsid w:val="00AC0A3F"/>
    <w:rsid w:val="00AC1D93"/>
    <w:rsid w:val="00AC4CE3"/>
    <w:rsid w:val="00AD25FD"/>
    <w:rsid w:val="00B01FA6"/>
    <w:rsid w:val="00B02461"/>
    <w:rsid w:val="00B02A03"/>
    <w:rsid w:val="00B06DD6"/>
    <w:rsid w:val="00B11729"/>
    <w:rsid w:val="00B15DF9"/>
    <w:rsid w:val="00B17502"/>
    <w:rsid w:val="00B27E72"/>
    <w:rsid w:val="00B3175D"/>
    <w:rsid w:val="00B364EC"/>
    <w:rsid w:val="00B5122D"/>
    <w:rsid w:val="00B90521"/>
    <w:rsid w:val="00B96EAC"/>
    <w:rsid w:val="00BA43D8"/>
    <w:rsid w:val="00BD0920"/>
    <w:rsid w:val="00BD21E3"/>
    <w:rsid w:val="00BD4696"/>
    <w:rsid w:val="00BE5E39"/>
    <w:rsid w:val="00BF1618"/>
    <w:rsid w:val="00BF5946"/>
    <w:rsid w:val="00C10560"/>
    <w:rsid w:val="00C12EB0"/>
    <w:rsid w:val="00C130BD"/>
    <w:rsid w:val="00C21297"/>
    <w:rsid w:val="00C4298C"/>
    <w:rsid w:val="00C50759"/>
    <w:rsid w:val="00C67777"/>
    <w:rsid w:val="00C73F1B"/>
    <w:rsid w:val="00C94EFF"/>
    <w:rsid w:val="00CA72BA"/>
    <w:rsid w:val="00CD1A5D"/>
    <w:rsid w:val="00CD7DD5"/>
    <w:rsid w:val="00CE02BD"/>
    <w:rsid w:val="00CE6D7F"/>
    <w:rsid w:val="00CF2AA8"/>
    <w:rsid w:val="00CF3DBD"/>
    <w:rsid w:val="00D22D20"/>
    <w:rsid w:val="00D26144"/>
    <w:rsid w:val="00D311FF"/>
    <w:rsid w:val="00D56AC9"/>
    <w:rsid w:val="00D57DA4"/>
    <w:rsid w:val="00D66DC8"/>
    <w:rsid w:val="00D71488"/>
    <w:rsid w:val="00D74F30"/>
    <w:rsid w:val="00D8310C"/>
    <w:rsid w:val="00D94F07"/>
    <w:rsid w:val="00DA3F20"/>
    <w:rsid w:val="00DB47F7"/>
    <w:rsid w:val="00DE4280"/>
    <w:rsid w:val="00DE66EF"/>
    <w:rsid w:val="00DF663F"/>
    <w:rsid w:val="00E014F1"/>
    <w:rsid w:val="00E13A80"/>
    <w:rsid w:val="00E23593"/>
    <w:rsid w:val="00E44BF6"/>
    <w:rsid w:val="00E46CE3"/>
    <w:rsid w:val="00E5145D"/>
    <w:rsid w:val="00E51EE8"/>
    <w:rsid w:val="00E607D0"/>
    <w:rsid w:val="00E95C0D"/>
    <w:rsid w:val="00EC3E3F"/>
    <w:rsid w:val="00ED31E5"/>
    <w:rsid w:val="00ED4041"/>
    <w:rsid w:val="00EE50BE"/>
    <w:rsid w:val="00F06E38"/>
    <w:rsid w:val="00F15EF6"/>
    <w:rsid w:val="00F25B54"/>
    <w:rsid w:val="00F35A9C"/>
    <w:rsid w:val="00F44EEA"/>
    <w:rsid w:val="00F557E5"/>
    <w:rsid w:val="00F74FA7"/>
    <w:rsid w:val="00F779C9"/>
    <w:rsid w:val="00F92695"/>
    <w:rsid w:val="00FA253A"/>
    <w:rsid w:val="00FD081B"/>
    <w:rsid w:val="00FE059D"/>
    <w:rsid w:val="00FF0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nhideWhenUsed="1"/>
    <w:lsdException w:name="header" w:unhideWhenUsed="1"/>
    <w:lsdException w:name="footer" w:uiPriority="24" w:unhideWhenUsed="1"/>
    <w:lsdException w:name="index heading" w:unhideWhenUsed="1"/>
    <w:lsdException w:name="caption" w:qFormat="1"/>
    <w:lsdException w:name="table of figures" w:uiPriority="6" w:qFormat="1"/>
    <w:lsdException w:name="footnote reference" w:unhideWhenUsed="1"/>
    <w:lsdException w:name="line number" w:unhideWhenUsed="1"/>
    <w:lsdException w:name="page number" w:uiPriority="49" w:unhideWhenUsed="1"/>
    <w:lsdException w:name="List Bullet" w:unhideWhenUsed="1"/>
    <w:lsdException w:name="List Number" w:unhideWhenUsed="1"/>
    <w:lsdException w:name="List 2" w:uiPriority="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Default Paragraph Font" w:uiPriority="1" w:unhideWhenUsed="1"/>
    <w:lsdException w:name="Body Text" w:uiPriority="49"/>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qFormat="1"/>
    <w:lsdException w:name="Note Heading" w:unhideWhenUsed="1"/>
    <w:lsdException w:name="Hyperlink" w:unhideWhenUsed="1"/>
    <w:lsdException w:name="Followed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0863A6"/>
    <w:pPr>
      <w:spacing w:before="160" w:after="100"/>
    </w:pPr>
    <w:rPr>
      <w:rFonts w:eastAsiaTheme="minorEastAsia"/>
      <w:spacing w:val="2"/>
      <w:sz w:val="18"/>
      <w:szCs w:val="20"/>
      <w:lang w:eastAsia="en-AU"/>
    </w:rPr>
  </w:style>
  <w:style w:type="paragraph" w:styleId="Heading1">
    <w:name w:val="heading 1"/>
    <w:next w:val="Normal"/>
    <w:link w:val="Heading1Char"/>
    <w:uiPriority w:val="99"/>
    <w:rsid w:val="000863A6"/>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0863A6"/>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qFormat/>
    <w:rsid w:val="000863A6"/>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0863A6"/>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63A6"/>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0863A6"/>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0863A6"/>
    <w:pPr>
      <w:spacing w:before="0" w:after="0" w:line="120" w:lineRule="atLeast"/>
    </w:pPr>
    <w:rPr>
      <w:rFonts w:eastAsia="Times New Roman" w:cs="Calibri"/>
      <w:spacing w:val="0"/>
      <w:sz w:val="10"/>
      <w:szCs w:val="22"/>
    </w:rPr>
  </w:style>
  <w:style w:type="paragraph" w:customStyle="1" w:styleId="million">
    <w:name w:val="$million"/>
    <w:basedOn w:val="Normal"/>
    <w:uiPriority w:val="5"/>
    <w:rsid w:val="00B27E72"/>
    <w:pPr>
      <w:jc w:val="center"/>
    </w:pPr>
    <w:rPr>
      <w:i/>
    </w:rPr>
  </w:style>
  <w:style w:type="paragraph" w:customStyle="1" w:styleId="Tabletextheading">
    <w:name w:val="Table text heading"/>
    <w:basedOn w:val="Normal"/>
    <w:link w:val="TabletextheadingChar"/>
    <w:uiPriority w:val="6"/>
    <w:qFormat/>
    <w:rsid w:val="00B27E72"/>
    <w:pPr>
      <w:jc w:val="right"/>
    </w:pPr>
    <w:rPr>
      <w:color w:val="F2F2F2" w:themeColor="background1" w:themeShade="F2"/>
    </w:rPr>
  </w:style>
  <w:style w:type="character" w:customStyle="1" w:styleId="TabletextheadingChar">
    <w:name w:val="Table text heading Char"/>
    <w:link w:val="Tabletextheading"/>
    <w:uiPriority w:val="6"/>
    <w:rsid w:val="00810B92"/>
    <w:rPr>
      <w:rFonts w:ascii="Calibri" w:eastAsia="Calibri" w:hAnsi="Calibri" w:cs="Times New Roman"/>
      <w:color w:val="F2F2F2" w:themeColor="background1" w:themeShade="F2"/>
      <w:szCs w:val="21"/>
    </w:rPr>
  </w:style>
  <w:style w:type="character" w:customStyle="1" w:styleId="Heading3Char">
    <w:name w:val="Heading 3 Char"/>
    <w:basedOn w:val="DefaultParagraphFont"/>
    <w:link w:val="Heading3"/>
    <w:rsid w:val="000863A6"/>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paragraph" w:customStyle="1" w:styleId="Bullet1">
    <w:name w:val="Bullet 1"/>
    <w:uiPriority w:val="2"/>
    <w:qFormat/>
    <w:rsid w:val="000863A6"/>
    <w:pPr>
      <w:numPr>
        <w:numId w:val="9"/>
      </w:numPr>
      <w:spacing w:before="160" w:after="0" w:line="240" w:lineRule="auto"/>
      <w:contextualSpacing/>
    </w:pPr>
    <w:rPr>
      <w:rFonts w:eastAsia="Times New Roman" w:cs="Calibri"/>
      <w:spacing w:val="2"/>
      <w:sz w:val="18"/>
      <w:szCs w:val="20"/>
      <w:lang w:eastAsia="en-AU"/>
    </w:rPr>
  </w:style>
  <w:style w:type="paragraph" w:customStyle="1" w:styleId="Bullet2">
    <w:name w:val="Bullet 2"/>
    <w:basedOn w:val="Bullet1"/>
    <w:uiPriority w:val="2"/>
    <w:qFormat/>
    <w:rsid w:val="000863A6"/>
    <w:pPr>
      <w:numPr>
        <w:ilvl w:val="1"/>
      </w:numPr>
      <w:spacing w:before="0"/>
    </w:pPr>
  </w:style>
  <w:style w:type="paragraph" w:customStyle="1" w:styleId="Bullet3">
    <w:name w:val="Bullet 3"/>
    <w:basedOn w:val="Normal"/>
    <w:uiPriority w:val="2"/>
    <w:semiHidden/>
    <w:qFormat/>
    <w:rsid w:val="00A743AA"/>
    <w:pPr>
      <w:numPr>
        <w:ilvl w:val="2"/>
        <w:numId w:val="1"/>
      </w:numPr>
    </w:pPr>
  </w:style>
  <w:style w:type="table" w:styleId="TableGrid">
    <w:name w:val="Table Grid"/>
    <w:basedOn w:val="TableNormal"/>
    <w:uiPriority w:val="59"/>
    <w:rsid w:val="000863A6"/>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0863A6"/>
    <w:pPr>
      <w:numPr>
        <w:numId w:val="11"/>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0863A6"/>
    <w:pPr>
      <w:numPr>
        <w:ilvl w:val="2"/>
      </w:numPr>
    </w:pPr>
    <w:rPr>
      <w:color w:val="auto"/>
    </w:rPr>
  </w:style>
  <w:style w:type="paragraph" w:customStyle="1" w:styleId="List1">
    <w:name w:val="List 1"/>
    <w:basedOn w:val="Normal"/>
    <w:uiPriority w:val="2"/>
    <w:semiHidden/>
    <w:qFormat/>
    <w:rsid w:val="00485BD7"/>
    <w:pPr>
      <w:numPr>
        <w:numId w:val="2"/>
      </w:numPr>
    </w:pPr>
  </w:style>
  <w:style w:type="paragraph" w:styleId="List2">
    <w:name w:val="List 2"/>
    <w:basedOn w:val="List1"/>
    <w:uiPriority w:val="2"/>
    <w:semiHidden/>
    <w:rsid w:val="00485BD7"/>
    <w:pPr>
      <w:numPr>
        <w:ilvl w:val="1"/>
      </w:numPr>
    </w:pPr>
  </w:style>
  <w:style w:type="paragraph" w:styleId="Header">
    <w:name w:val="header"/>
    <w:basedOn w:val="Normal"/>
    <w:link w:val="HeaderChar"/>
    <w:uiPriority w:val="99"/>
    <w:rsid w:val="000863A6"/>
    <w:pPr>
      <w:tabs>
        <w:tab w:val="center" w:pos="4513"/>
        <w:tab w:val="right" w:pos="9026"/>
      </w:tabs>
      <w:spacing w:after="0" w:line="240" w:lineRule="auto"/>
    </w:pPr>
  </w:style>
  <w:style w:type="paragraph" w:customStyle="1" w:styleId="Tabletext">
    <w:name w:val="Table text"/>
    <w:basedOn w:val="Normal"/>
    <w:uiPriority w:val="9"/>
    <w:qFormat/>
    <w:rsid w:val="000863A6"/>
    <w:pPr>
      <w:spacing w:before="60" w:after="60" w:line="264" w:lineRule="auto"/>
    </w:pPr>
    <w:rPr>
      <w:sz w:val="17"/>
    </w:rPr>
  </w:style>
  <w:style w:type="paragraph" w:customStyle="1" w:styleId="FRDHeader">
    <w:name w:val="FRD Header"/>
    <w:basedOn w:val="Normal"/>
    <w:semiHidden/>
    <w:rsid w:val="000863A6"/>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rsid w:val="000863A6"/>
    <w:rPr>
      <w:rFonts w:eastAsiaTheme="minorEastAsia"/>
      <w:spacing w:val="2"/>
      <w:sz w:val="18"/>
      <w:szCs w:val="20"/>
      <w:lang w:eastAsia="en-AU"/>
    </w:rPr>
  </w:style>
  <w:style w:type="paragraph" w:customStyle="1" w:styleId="FRDNumber">
    <w:name w:val="FRD Number"/>
    <w:basedOn w:val="FRDHeader"/>
    <w:semiHidden/>
    <w:rsid w:val="000863A6"/>
  </w:style>
  <w:style w:type="paragraph" w:customStyle="1" w:styleId="Normalgrey">
    <w:name w:val="Normal grey"/>
    <w:basedOn w:val="Normal"/>
    <w:uiPriority w:val="2"/>
    <w:qFormat/>
    <w:rsid w:val="000863A6"/>
    <w:pPr>
      <w:spacing w:line="264" w:lineRule="auto"/>
    </w:pPr>
    <w:rPr>
      <w:rFonts w:eastAsiaTheme="minorHAnsi"/>
      <w:color w:val="4D4D4D"/>
      <w:szCs w:val="18"/>
      <w:lang w:eastAsia="en-US"/>
    </w:rPr>
  </w:style>
  <w:style w:type="paragraph" w:styleId="TableofFigures">
    <w:name w:val="table of figures"/>
    <w:next w:val="Normal"/>
    <w:uiPriority w:val="8"/>
    <w:qFormat/>
    <w:rsid w:val="00B27E72"/>
    <w:pPr>
      <w:spacing w:after="0" w:line="240" w:lineRule="auto"/>
      <w:jc w:val="right"/>
    </w:pPr>
    <w:rPr>
      <w:rFonts w:ascii="Calibri" w:eastAsia="Calibri" w:hAnsi="Calibri" w:cs="Times New Roman"/>
      <w:color w:val="5E5E56"/>
      <w:sz w:val="20"/>
      <w:szCs w:val="20"/>
    </w:rPr>
  </w:style>
  <w:style w:type="paragraph" w:styleId="NormalIndent">
    <w:name w:val="Normal Indent"/>
    <w:basedOn w:val="Normal"/>
    <w:qFormat/>
    <w:rsid w:val="000863A6"/>
    <w:pPr>
      <w:spacing w:line="252" w:lineRule="auto"/>
      <w:ind w:left="288"/>
    </w:pPr>
  </w:style>
  <w:style w:type="paragraph" w:customStyle="1" w:styleId="Bullet1grey">
    <w:name w:val="Bullet 1 grey"/>
    <w:basedOn w:val="Bullet1"/>
    <w:uiPriority w:val="3"/>
    <w:qFormat/>
    <w:rsid w:val="000863A6"/>
    <w:rPr>
      <w:color w:val="4D4D4D"/>
      <w:szCs w:val="18"/>
      <w:lang w:eastAsia="en-US"/>
    </w:rPr>
  </w:style>
  <w:style w:type="paragraph" w:customStyle="1" w:styleId="Bullet2grey">
    <w:name w:val="Bullet 2 grey"/>
    <w:basedOn w:val="Bullet2"/>
    <w:uiPriority w:val="3"/>
    <w:qFormat/>
    <w:rsid w:val="000863A6"/>
    <w:rPr>
      <w:color w:val="4D4D4D"/>
      <w:szCs w:val="21"/>
      <w:lang w:eastAsia="en-US"/>
    </w:rPr>
  </w:style>
  <w:style w:type="paragraph" w:customStyle="1" w:styleId="Bullet3grey">
    <w:name w:val="Bullet 3 grey"/>
    <w:basedOn w:val="Bullet3"/>
    <w:uiPriority w:val="3"/>
    <w:unhideWhenUsed/>
    <w:qFormat/>
    <w:rsid w:val="00C67777"/>
    <w:rPr>
      <w:color w:val="5E5E5E"/>
    </w:rPr>
  </w:style>
  <w:style w:type="paragraph" w:styleId="List3">
    <w:name w:val="List 3"/>
    <w:basedOn w:val="List2"/>
    <w:uiPriority w:val="2"/>
    <w:semiHidden/>
    <w:rsid w:val="00A6470C"/>
    <w:pPr>
      <w:numPr>
        <w:ilvl w:val="2"/>
      </w:numPr>
    </w:pPr>
  </w:style>
  <w:style w:type="paragraph" w:styleId="Footer">
    <w:name w:val="footer"/>
    <w:basedOn w:val="Normal"/>
    <w:link w:val="FooterChar"/>
    <w:uiPriority w:val="24"/>
    <w:rsid w:val="000863A6"/>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0863A6"/>
    <w:rPr>
      <w:rFonts w:eastAsiaTheme="minorEastAsia"/>
      <w:noProof/>
      <w:spacing w:val="2"/>
      <w:sz w:val="18"/>
      <w:szCs w:val="18"/>
      <w:lang w:eastAsia="en-AU"/>
    </w:rPr>
  </w:style>
  <w:style w:type="paragraph" w:styleId="BalloonText">
    <w:name w:val="Balloon Text"/>
    <w:basedOn w:val="Normal"/>
    <w:link w:val="BalloonTextChar"/>
    <w:uiPriority w:val="99"/>
    <w:semiHidden/>
    <w:rsid w:val="00086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A6"/>
    <w:rPr>
      <w:rFonts w:ascii="Tahoma" w:eastAsiaTheme="minorEastAsia" w:hAnsi="Tahoma" w:cs="Tahoma"/>
      <w:spacing w:val="2"/>
      <w:sz w:val="16"/>
      <w:szCs w:val="16"/>
      <w:lang w:eastAsia="en-AU"/>
    </w:rPr>
  </w:style>
  <w:style w:type="paragraph" w:customStyle="1" w:styleId="Normalindentgrey">
    <w:name w:val="Normal indent grey"/>
    <w:basedOn w:val="Normalgrey"/>
    <w:uiPriority w:val="3"/>
    <w:unhideWhenUsed/>
    <w:qFormat/>
    <w:rsid w:val="003A3FB2"/>
    <w:pPr>
      <w:ind w:left="360"/>
    </w:pPr>
  </w:style>
  <w:style w:type="character" w:styleId="CommentReference">
    <w:name w:val="annotation reference"/>
    <w:basedOn w:val="DefaultParagraphFont"/>
    <w:uiPriority w:val="99"/>
    <w:semiHidden/>
    <w:rsid w:val="00971402"/>
    <w:rPr>
      <w:sz w:val="16"/>
      <w:szCs w:val="16"/>
    </w:rPr>
  </w:style>
  <w:style w:type="paragraph" w:styleId="CommentText">
    <w:name w:val="annotation text"/>
    <w:basedOn w:val="Normal"/>
    <w:link w:val="CommentTextChar"/>
    <w:uiPriority w:val="99"/>
    <w:semiHidden/>
    <w:rsid w:val="00971402"/>
  </w:style>
  <w:style w:type="character" w:customStyle="1" w:styleId="CommentTextChar">
    <w:name w:val="Comment Text Char"/>
    <w:basedOn w:val="DefaultParagraphFont"/>
    <w:link w:val="CommentText"/>
    <w:uiPriority w:val="99"/>
    <w:semiHidden/>
    <w:rsid w:val="00971402"/>
    <w:rPr>
      <w:rFonts w:ascii="Calibri" w:eastAsia="Calibri" w:hAnsi="Calibri" w:cs="Times New Roman"/>
      <w:color w:val="000000" w:themeColor="text1"/>
      <w:sz w:val="20"/>
      <w:szCs w:val="20"/>
    </w:rPr>
  </w:style>
  <w:style w:type="paragraph" w:styleId="CommentSubject">
    <w:name w:val="annotation subject"/>
    <w:basedOn w:val="CommentText"/>
    <w:next w:val="CommentText"/>
    <w:link w:val="CommentSubjectChar"/>
    <w:uiPriority w:val="99"/>
    <w:semiHidden/>
    <w:rsid w:val="00971402"/>
    <w:rPr>
      <w:b/>
      <w:bCs/>
    </w:rPr>
  </w:style>
  <w:style w:type="character" w:customStyle="1" w:styleId="CommentSubjectChar">
    <w:name w:val="Comment Subject Char"/>
    <w:basedOn w:val="CommentTextChar"/>
    <w:link w:val="CommentSubject"/>
    <w:uiPriority w:val="99"/>
    <w:semiHidden/>
    <w:rsid w:val="00971402"/>
    <w:rPr>
      <w:rFonts w:ascii="Calibri" w:eastAsia="Calibri" w:hAnsi="Calibri" w:cs="Times New Roman"/>
      <w:b/>
      <w:bCs/>
      <w:color w:val="000000" w:themeColor="text1"/>
      <w:sz w:val="20"/>
      <w:szCs w:val="20"/>
    </w:rPr>
  </w:style>
  <w:style w:type="character" w:customStyle="1" w:styleId="Heading4Char">
    <w:name w:val="Heading 4 Char"/>
    <w:basedOn w:val="DefaultParagraphFont"/>
    <w:link w:val="Heading4"/>
    <w:semiHidden/>
    <w:rsid w:val="000863A6"/>
    <w:rPr>
      <w:rFonts w:asciiTheme="majorHAnsi" w:eastAsiaTheme="majorEastAsia" w:hAnsiTheme="majorHAnsi" w:cstheme="majorBidi"/>
      <w:b/>
      <w:bCs/>
      <w:iCs/>
      <w:color w:val="53565A"/>
      <w:spacing w:val="2"/>
      <w:sz w:val="18"/>
      <w:szCs w:val="20"/>
      <w:lang w:eastAsia="en-AU"/>
    </w:rPr>
  </w:style>
  <w:style w:type="table" w:styleId="LightShading">
    <w:name w:val="Light Shading"/>
    <w:basedOn w:val="TableNormal"/>
    <w:uiPriority w:val="60"/>
    <w:rsid w:val="000863A6"/>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0863A6"/>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0863A6"/>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0863A6"/>
    <w:pPr>
      <w:tabs>
        <w:tab w:val="right" w:leader="dot" w:pos="9000"/>
      </w:tabs>
      <w:ind w:right="432"/>
    </w:pPr>
    <w:rPr>
      <w:sz w:val="24"/>
      <w:szCs w:val="24"/>
    </w:rPr>
  </w:style>
  <w:style w:type="paragraph" w:styleId="TOC2">
    <w:name w:val="toc 2"/>
    <w:next w:val="Normal"/>
    <w:uiPriority w:val="39"/>
    <w:rsid w:val="000863A6"/>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0863A6"/>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0863A6"/>
    <w:pPr>
      <w:spacing w:after="60" w:line="240" w:lineRule="auto"/>
    </w:pPr>
    <w:rPr>
      <w:sz w:val="16"/>
    </w:rPr>
  </w:style>
  <w:style w:type="paragraph" w:styleId="Index2">
    <w:name w:val="index 2"/>
    <w:basedOn w:val="Normal"/>
    <w:next w:val="Normal"/>
    <w:uiPriority w:val="99"/>
    <w:semiHidden/>
    <w:rsid w:val="000863A6"/>
    <w:pPr>
      <w:spacing w:after="0" w:line="240" w:lineRule="auto"/>
      <w:ind w:left="216"/>
    </w:pPr>
    <w:rPr>
      <w:sz w:val="16"/>
      <w:szCs w:val="16"/>
    </w:rPr>
  </w:style>
  <w:style w:type="character" w:styleId="Hyperlink">
    <w:name w:val="Hyperlink"/>
    <w:basedOn w:val="DefaultParagraphFont"/>
    <w:uiPriority w:val="99"/>
    <w:rsid w:val="000863A6"/>
    <w:rPr>
      <w:color w:val="0000FF" w:themeColor="hyperlink"/>
      <w:u w:val="none"/>
    </w:rPr>
  </w:style>
  <w:style w:type="paragraph" w:customStyle="1" w:styleId="Bulletindent">
    <w:name w:val="Bullet indent"/>
    <w:basedOn w:val="Bullet2"/>
    <w:uiPriority w:val="7"/>
    <w:qFormat/>
    <w:rsid w:val="000863A6"/>
    <w:pPr>
      <w:numPr>
        <w:ilvl w:val="2"/>
      </w:numPr>
    </w:pPr>
  </w:style>
  <w:style w:type="paragraph" w:customStyle="1" w:styleId="Heading1numbered">
    <w:name w:val="Heading 1 numbered"/>
    <w:basedOn w:val="Heading1"/>
    <w:next w:val="NormalIndent"/>
    <w:uiPriority w:val="4"/>
    <w:semiHidden/>
    <w:qFormat/>
    <w:rsid w:val="000863A6"/>
  </w:style>
  <w:style w:type="paragraph" w:customStyle="1" w:styleId="Heading2numbered">
    <w:name w:val="Heading 2 numbered"/>
    <w:basedOn w:val="Heading2"/>
    <w:next w:val="NormalIndent"/>
    <w:uiPriority w:val="4"/>
    <w:semiHidden/>
    <w:qFormat/>
    <w:rsid w:val="000863A6"/>
  </w:style>
  <w:style w:type="paragraph" w:customStyle="1" w:styleId="Heading3numbered">
    <w:name w:val="Heading 3 numbered"/>
    <w:basedOn w:val="Heading3"/>
    <w:next w:val="NormalIndent"/>
    <w:uiPriority w:val="4"/>
    <w:semiHidden/>
    <w:qFormat/>
    <w:rsid w:val="000863A6"/>
    <w:pPr>
      <w:numPr>
        <w:ilvl w:val="4"/>
        <w:numId w:val="12"/>
      </w:numPr>
    </w:pPr>
  </w:style>
  <w:style w:type="paragraph" w:customStyle="1" w:styleId="Heading4numbered">
    <w:name w:val="Heading 4 numbered"/>
    <w:basedOn w:val="Heading4"/>
    <w:next w:val="NormalIndent"/>
    <w:uiPriority w:val="4"/>
    <w:semiHidden/>
    <w:qFormat/>
    <w:rsid w:val="000863A6"/>
    <w:pPr>
      <w:numPr>
        <w:ilvl w:val="5"/>
        <w:numId w:val="12"/>
      </w:numPr>
    </w:pPr>
  </w:style>
  <w:style w:type="paragraph" w:customStyle="1" w:styleId="NoteNormal">
    <w:name w:val="Note Normal"/>
    <w:basedOn w:val="Normal"/>
    <w:uiPriority w:val="49"/>
    <w:rsid w:val="000863A6"/>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0863A6"/>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0863A6"/>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0863A6"/>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0863A6"/>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0863A6"/>
    <w:rPr>
      <w:rFonts w:asciiTheme="majorHAnsi" w:eastAsia="Times New Roman" w:hAnsiTheme="majorHAnsi" w:cstheme="majorHAnsi"/>
      <w:b/>
      <w:color w:val="4F81BD" w:themeColor="accent1"/>
      <w:spacing w:val="-2"/>
      <w:sz w:val="60"/>
      <w:lang w:eastAsia="en-AU"/>
    </w:rPr>
  </w:style>
  <w:style w:type="paragraph" w:customStyle="1" w:styleId="Bulletindent2">
    <w:name w:val="Bullet indent 2"/>
    <w:basedOn w:val="Normal"/>
    <w:uiPriority w:val="7"/>
    <w:qFormat/>
    <w:rsid w:val="000863A6"/>
    <w:pPr>
      <w:numPr>
        <w:ilvl w:val="3"/>
        <w:numId w:val="9"/>
      </w:numPr>
      <w:spacing w:before="100"/>
      <w:contextualSpacing/>
    </w:pPr>
  </w:style>
  <w:style w:type="paragraph" w:styleId="IndexHeading">
    <w:name w:val="index heading"/>
    <w:basedOn w:val="Normal"/>
    <w:next w:val="Index1"/>
    <w:uiPriority w:val="99"/>
    <w:semiHidden/>
    <w:rsid w:val="000863A6"/>
    <w:rPr>
      <w:rFonts w:asciiTheme="majorHAnsi" w:eastAsiaTheme="majorEastAsia" w:hAnsiTheme="majorHAnsi" w:cstheme="majorBidi"/>
      <w:b/>
      <w:bCs/>
    </w:rPr>
  </w:style>
  <w:style w:type="character" w:styleId="PageNumber">
    <w:name w:val="page number"/>
    <w:uiPriority w:val="49"/>
    <w:semiHidden/>
    <w:rsid w:val="000863A6"/>
    <w:rPr>
      <w:b w:val="0"/>
      <w:color w:val="000000" w:themeColor="text1"/>
    </w:rPr>
  </w:style>
  <w:style w:type="paragraph" w:styleId="TOCHeading">
    <w:name w:val="TOC Heading"/>
    <w:basedOn w:val="Heading1"/>
    <w:next w:val="Normal"/>
    <w:uiPriority w:val="39"/>
    <w:semiHidden/>
    <w:rsid w:val="000863A6"/>
    <w:pPr>
      <w:spacing w:before="480" w:after="720"/>
      <w:outlineLvl w:val="9"/>
    </w:pPr>
    <w:rPr>
      <w:spacing w:val="2"/>
    </w:rPr>
  </w:style>
  <w:style w:type="paragraph" w:customStyle="1" w:styleId="NormalTight">
    <w:name w:val="Normal Tight"/>
    <w:uiPriority w:val="99"/>
    <w:semiHidden/>
    <w:rsid w:val="000863A6"/>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0863A6"/>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0863A6"/>
    <w:rPr>
      <w:rFonts w:ascii="Calibri" w:eastAsia="Times New Roman" w:hAnsi="Calibri" w:cs="Calibri"/>
      <w:lang w:eastAsia="en-AU"/>
    </w:rPr>
  </w:style>
  <w:style w:type="paragraph" w:customStyle="1" w:styleId="Insidecoverspacer">
    <w:name w:val="Inside cover spacer"/>
    <w:basedOn w:val="NormalTight"/>
    <w:uiPriority w:val="99"/>
    <w:semiHidden/>
    <w:qFormat/>
    <w:rsid w:val="000863A6"/>
    <w:pPr>
      <w:spacing w:before="5800"/>
      <w:ind w:right="1382"/>
    </w:pPr>
  </w:style>
  <w:style w:type="paragraph" w:styleId="TOC4">
    <w:name w:val="toc 4"/>
    <w:basedOn w:val="TOC1"/>
    <w:next w:val="Normal"/>
    <w:uiPriority w:val="39"/>
    <w:semiHidden/>
    <w:rsid w:val="000863A6"/>
    <w:pPr>
      <w:ind w:left="450" w:hanging="450"/>
    </w:pPr>
    <w:rPr>
      <w:noProof/>
      <w:lang w:eastAsia="en-US"/>
    </w:rPr>
  </w:style>
  <w:style w:type="paragraph" w:styleId="TOC5">
    <w:name w:val="toc 5"/>
    <w:basedOn w:val="TOC2"/>
    <w:next w:val="Normal"/>
    <w:uiPriority w:val="39"/>
    <w:semiHidden/>
    <w:rsid w:val="000863A6"/>
    <w:pPr>
      <w:ind w:left="1080" w:hanging="634"/>
    </w:pPr>
    <w:rPr>
      <w:lang w:eastAsia="en-US"/>
    </w:rPr>
  </w:style>
  <w:style w:type="paragraph" w:styleId="TOC6">
    <w:name w:val="toc 6"/>
    <w:basedOn w:val="TOC3"/>
    <w:next w:val="Normal"/>
    <w:uiPriority w:val="39"/>
    <w:semiHidden/>
    <w:rsid w:val="000863A6"/>
    <w:pPr>
      <w:ind w:left="1800" w:hanging="720"/>
    </w:pPr>
    <w:rPr>
      <w:lang w:eastAsia="en-US"/>
    </w:rPr>
  </w:style>
  <w:style w:type="table" w:customStyle="1" w:styleId="DTFtexttable">
    <w:name w:val="DTF text table"/>
    <w:basedOn w:val="TableGrid"/>
    <w:uiPriority w:val="99"/>
    <w:rsid w:val="000863A6"/>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0863A6"/>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0863A6"/>
    <w:pPr>
      <w:jc w:val="right"/>
    </w:pPr>
  </w:style>
  <w:style w:type="paragraph" w:customStyle="1" w:styleId="Listnumindent2">
    <w:name w:val="List num indent 2"/>
    <w:basedOn w:val="Normal"/>
    <w:uiPriority w:val="7"/>
    <w:qFormat/>
    <w:rsid w:val="000863A6"/>
    <w:pPr>
      <w:numPr>
        <w:ilvl w:val="7"/>
        <w:numId w:val="12"/>
      </w:numPr>
      <w:spacing w:before="100"/>
      <w:contextualSpacing/>
    </w:pPr>
  </w:style>
  <w:style w:type="paragraph" w:customStyle="1" w:styleId="Listnumindent">
    <w:name w:val="List num indent"/>
    <w:basedOn w:val="Normal"/>
    <w:uiPriority w:val="7"/>
    <w:qFormat/>
    <w:rsid w:val="000863A6"/>
    <w:pPr>
      <w:numPr>
        <w:ilvl w:val="6"/>
        <w:numId w:val="12"/>
      </w:numPr>
      <w:spacing w:before="100"/>
    </w:pPr>
  </w:style>
  <w:style w:type="paragraph" w:customStyle="1" w:styleId="Listnum">
    <w:name w:val="List num"/>
    <w:basedOn w:val="Normal"/>
    <w:uiPriority w:val="1"/>
    <w:qFormat/>
    <w:rsid w:val="000863A6"/>
    <w:pPr>
      <w:numPr>
        <w:numId w:val="12"/>
      </w:numPr>
      <w:contextualSpacing/>
    </w:pPr>
  </w:style>
  <w:style w:type="paragraph" w:customStyle="1" w:styleId="Listnum2">
    <w:name w:val="List num 2"/>
    <w:basedOn w:val="Normal"/>
    <w:uiPriority w:val="1"/>
    <w:qFormat/>
    <w:rsid w:val="000863A6"/>
    <w:pPr>
      <w:numPr>
        <w:ilvl w:val="1"/>
        <w:numId w:val="12"/>
      </w:numPr>
      <w:contextualSpacing/>
    </w:pPr>
  </w:style>
  <w:style w:type="paragraph" w:customStyle="1" w:styleId="Tabletextcentred">
    <w:name w:val="Table text centred"/>
    <w:basedOn w:val="Tabletext"/>
    <w:uiPriority w:val="8"/>
    <w:qFormat/>
    <w:rsid w:val="000863A6"/>
    <w:pPr>
      <w:jc w:val="center"/>
    </w:pPr>
  </w:style>
  <w:style w:type="paragraph" w:customStyle="1" w:styleId="Tableheader">
    <w:name w:val="Table header"/>
    <w:basedOn w:val="Tabletext"/>
    <w:uiPriority w:val="8"/>
    <w:qFormat/>
    <w:rsid w:val="000863A6"/>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0863A6"/>
    <w:pPr>
      <w:numPr>
        <w:numId w:val="10"/>
      </w:numPr>
    </w:pPr>
  </w:style>
  <w:style w:type="paragraph" w:customStyle="1" w:styleId="Tabledash">
    <w:name w:val="Table dash"/>
    <w:basedOn w:val="Tablebullet"/>
    <w:uiPriority w:val="9"/>
    <w:rsid w:val="000863A6"/>
    <w:pPr>
      <w:numPr>
        <w:ilvl w:val="1"/>
      </w:numPr>
    </w:pPr>
  </w:style>
  <w:style w:type="paragraph" w:customStyle="1" w:styleId="Tabletextindent">
    <w:name w:val="Table text indent"/>
    <w:basedOn w:val="Tabletext"/>
    <w:uiPriority w:val="8"/>
    <w:qFormat/>
    <w:rsid w:val="000863A6"/>
    <w:pPr>
      <w:ind w:left="288"/>
    </w:pPr>
  </w:style>
  <w:style w:type="paragraph" w:customStyle="1" w:styleId="Normalbold">
    <w:name w:val="Normal bold"/>
    <w:basedOn w:val="Normal"/>
    <w:qFormat/>
    <w:rsid w:val="000863A6"/>
    <w:pPr>
      <w:spacing w:line="264" w:lineRule="auto"/>
    </w:pPr>
    <w:rPr>
      <w:rFonts w:eastAsiaTheme="minorHAnsi"/>
      <w:b/>
      <w:szCs w:val="18"/>
      <w:lang w:eastAsia="en-US"/>
    </w:rPr>
  </w:style>
  <w:style w:type="paragraph" w:customStyle="1" w:styleId="Listnumgrey">
    <w:name w:val="List num grey"/>
    <w:uiPriority w:val="3"/>
    <w:qFormat/>
    <w:rsid w:val="000863A6"/>
    <w:pPr>
      <w:numPr>
        <w:ilvl w:val="2"/>
        <w:numId w:val="12"/>
      </w:numPr>
      <w:spacing w:line="264" w:lineRule="auto"/>
    </w:pPr>
    <w:rPr>
      <w:color w:val="4D4D4D"/>
      <w:spacing w:val="2"/>
      <w:sz w:val="18"/>
      <w:szCs w:val="21"/>
    </w:rPr>
  </w:style>
  <w:style w:type="paragraph" w:customStyle="1" w:styleId="Listnum2grey">
    <w:name w:val="List num 2 grey"/>
    <w:uiPriority w:val="4"/>
    <w:qFormat/>
    <w:rsid w:val="000863A6"/>
    <w:pPr>
      <w:numPr>
        <w:ilvl w:val="3"/>
        <w:numId w:val="12"/>
      </w:numPr>
      <w:spacing w:line="264" w:lineRule="auto"/>
    </w:pPr>
    <w:rPr>
      <w:color w:val="4D4D4D"/>
      <w:spacing w:val="2"/>
      <w:sz w:val="18"/>
      <w:szCs w:val="21"/>
    </w:rPr>
  </w:style>
  <w:style w:type="paragraph" w:customStyle="1" w:styleId="Refnum1grey">
    <w:name w:val="Ref num 1 grey"/>
    <w:basedOn w:val="Refnum1"/>
    <w:uiPriority w:val="7"/>
    <w:qFormat/>
    <w:rsid w:val="000863A6"/>
    <w:rPr>
      <w:color w:val="F2F2F2" w:themeColor="background1" w:themeShade="F2"/>
    </w:rPr>
  </w:style>
  <w:style w:type="paragraph" w:customStyle="1" w:styleId="Refnum2grey">
    <w:name w:val="Ref num 2 grey"/>
    <w:basedOn w:val="Normal"/>
    <w:rsid w:val="000863A6"/>
    <w:pPr>
      <w:numPr>
        <w:ilvl w:val="1"/>
        <w:numId w:val="11"/>
      </w:numPr>
    </w:pPr>
  </w:style>
  <w:style w:type="paragraph" w:customStyle="1" w:styleId="Normalgreybold">
    <w:name w:val="Normal grey bold"/>
    <w:basedOn w:val="Normalgrey"/>
    <w:qFormat/>
    <w:rsid w:val="000863A6"/>
    <w:rPr>
      <w:b/>
    </w:rPr>
  </w:style>
  <w:style w:type="paragraph" w:customStyle="1" w:styleId="NormalIndentgrey0">
    <w:name w:val="Normal Indent grey"/>
    <w:basedOn w:val="NormalIndent"/>
    <w:qFormat/>
    <w:rsid w:val="000863A6"/>
    <w:rPr>
      <w:color w:val="4D4D4D"/>
      <w:szCs w:val="21"/>
    </w:rPr>
  </w:style>
  <w:style w:type="paragraph" w:styleId="Caption">
    <w:name w:val="caption"/>
    <w:basedOn w:val="Normal"/>
    <w:next w:val="Normal"/>
    <w:uiPriority w:val="99"/>
    <w:rsid w:val="000863A6"/>
    <w:pPr>
      <w:spacing w:before="0" w:after="200" w:line="240" w:lineRule="auto"/>
    </w:pPr>
    <w:rPr>
      <w:b/>
      <w:bCs/>
      <w:szCs w:val="18"/>
    </w:rPr>
  </w:style>
  <w:style w:type="paragraph" w:customStyle="1" w:styleId="Tablechartdiagramheading">
    <w:name w:val="Table/chart/diagram heading"/>
    <w:uiPriority w:val="99"/>
    <w:qFormat/>
    <w:rsid w:val="000863A6"/>
    <w:pPr>
      <w:tabs>
        <w:tab w:val="left" w:pos="1080"/>
      </w:tabs>
      <w:spacing w:before="160" w:after="100"/>
    </w:pPr>
    <w:rPr>
      <w:rFonts w:eastAsiaTheme="minorEastAsia"/>
      <w:b/>
      <w:bCs/>
      <w:color w:val="404040" w:themeColor="text1" w:themeTint="BF"/>
      <w:spacing w:val="2"/>
      <w:sz w:val="18"/>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nhideWhenUsed="1"/>
    <w:lsdException w:name="header" w:unhideWhenUsed="1"/>
    <w:lsdException w:name="footer" w:uiPriority="24" w:unhideWhenUsed="1"/>
    <w:lsdException w:name="index heading" w:unhideWhenUsed="1"/>
    <w:lsdException w:name="caption" w:qFormat="1"/>
    <w:lsdException w:name="table of figures" w:uiPriority="6" w:qFormat="1"/>
    <w:lsdException w:name="footnote reference" w:unhideWhenUsed="1"/>
    <w:lsdException w:name="line number" w:unhideWhenUsed="1"/>
    <w:lsdException w:name="page number" w:uiPriority="49" w:unhideWhenUsed="1"/>
    <w:lsdException w:name="List Bullet" w:unhideWhenUsed="1"/>
    <w:lsdException w:name="List Number" w:unhideWhenUsed="1"/>
    <w:lsdException w:name="List 2" w:uiPriority="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Default Paragraph Font" w:uiPriority="1" w:unhideWhenUsed="1"/>
    <w:lsdException w:name="Body Text" w:uiPriority="49"/>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qFormat="1"/>
    <w:lsdException w:name="Note Heading" w:unhideWhenUsed="1"/>
    <w:lsdException w:name="Hyperlink" w:unhideWhenUsed="1"/>
    <w:lsdException w:name="Followed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0863A6"/>
    <w:pPr>
      <w:spacing w:before="160" w:after="100"/>
    </w:pPr>
    <w:rPr>
      <w:rFonts w:eastAsiaTheme="minorEastAsia"/>
      <w:spacing w:val="2"/>
      <w:sz w:val="18"/>
      <w:szCs w:val="20"/>
      <w:lang w:eastAsia="en-AU"/>
    </w:rPr>
  </w:style>
  <w:style w:type="paragraph" w:styleId="Heading1">
    <w:name w:val="heading 1"/>
    <w:next w:val="Normal"/>
    <w:link w:val="Heading1Char"/>
    <w:uiPriority w:val="99"/>
    <w:rsid w:val="000863A6"/>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0863A6"/>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qFormat/>
    <w:rsid w:val="000863A6"/>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0863A6"/>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63A6"/>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0863A6"/>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0863A6"/>
    <w:pPr>
      <w:spacing w:before="0" w:after="0" w:line="120" w:lineRule="atLeast"/>
    </w:pPr>
    <w:rPr>
      <w:rFonts w:eastAsia="Times New Roman" w:cs="Calibri"/>
      <w:spacing w:val="0"/>
      <w:sz w:val="10"/>
      <w:szCs w:val="22"/>
    </w:rPr>
  </w:style>
  <w:style w:type="paragraph" w:customStyle="1" w:styleId="million">
    <w:name w:val="$million"/>
    <w:basedOn w:val="Normal"/>
    <w:uiPriority w:val="5"/>
    <w:rsid w:val="00B27E72"/>
    <w:pPr>
      <w:jc w:val="center"/>
    </w:pPr>
    <w:rPr>
      <w:i/>
    </w:rPr>
  </w:style>
  <w:style w:type="paragraph" w:customStyle="1" w:styleId="Tabletextheading">
    <w:name w:val="Table text heading"/>
    <w:basedOn w:val="Normal"/>
    <w:link w:val="TabletextheadingChar"/>
    <w:uiPriority w:val="6"/>
    <w:qFormat/>
    <w:rsid w:val="00B27E72"/>
    <w:pPr>
      <w:jc w:val="right"/>
    </w:pPr>
    <w:rPr>
      <w:color w:val="F2F2F2" w:themeColor="background1" w:themeShade="F2"/>
    </w:rPr>
  </w:style>
  <w:style w:type="character" w:customStyle="1" w:styleId="TabletextheadingChar">
    <w:name w:val="Table text heading Char"/>
    <w:link w:val="Tabletextheading"/>
    <w:uiPriority w:val="6"/>
    <w:rsid w:val="00810B92"/>
    <w:rPr>
      <w:rFonts w:ascii="Calibri" w:eastAsia="Calibri" w:hAnsi="Calibri" w:cs="Times New Roman"/>
      <w:color w:val="F2F2F2" w:themeColor="background1" w:themeShade="F2"/>
      <w:szCs w:val="21"/>
    </w:rPr>
  </w:style>
  <w:style w:type="character" w:customStyle="1" w:styleId="Heading3Char">
    <w:name w:val="Heading 3 Char"/>
    <w:basedOn w:val="DefaultParagraphFont"/>
    <w:link w:val="Heading3"/>
    <w:rsid w:val="000863A6"/>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paragraph" w:customStyle="1" w:styleId="Bullet1">
    <w:name w:val="Bullet 1"/>
    <w:uiPriority w:val="2"/>
    <w:qFormat/>
    <w:rsid w:val="000863A6"/>
    <w:pPr>
      <w:numPr>
        <w:numId w:val="9"/>
      </w:numPr>
      <w:spacing w:before="160" w:after="0" w:line="240" w:lineRule="auto"/>
      <w:contextualSpacing/>
    </w:pPr>
    <w:rPr>
      <w:rFonts w:eastAsia="Times New Roman" w:cs="Calibri"/>
      <w:spacing w:val="2"/>
      <w:sz w:val="18"/>
      <w:szCs w:val="20"/>
      <w:lang w:eastAsia="en-AU"/>
    </w:rPr>
  </w:style>
  <w:style w:type="paragraph" w:customStyle="1" w:styleId="Bullet2">
    <w:name w:val="Bullet 2"/>
    <w:basedOn w:val="Bullet1"/>
    <w:uiPriority w:val="2"/>
    <w:qFormat/>
    <w:rsid w:val="000863A6"/>
    <w:pPr>
      <w:numPr>
        <w:ilvl w:val="1"/>
      </w:numPr>
      <w:spacing w:before="0"/>
    </w:pPr>
  </w:style>
  <w:style w:type="paragraph" w:customStyle="1" w:styleId="Bullet3">
    <w:name w:val="Bullet 3"/>
    <w:basedOn w:val="Normal"/>
    <w:uiPriority w:val="2"/>
    <w:semiHidden/>
    <w:qFormat/>
    <w:rsid w:val="00A743AA"/>
    <w:pPr>
      <w:numPr>
        <w:ilvl w:val="2"/>
        <w:numId w:val="1"/>
      </w:numPr>
    </w:pPr>
  </w:style>
  <w:style w:type="table" w:styleId="TableGrid">
    <w:name w:val="Table Grid"/>
    <w:basedOn w:val="TableNormal"/>
    <w:uiPriority w:val="59"/>
    <w:rsid w:val="000863A6"/>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0863A6"/>
    <w:pPr>
      <w:numPr>
        <w:numId w:val="11"/>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0863A6"/>
    <w:pPr>
      <w:numPr>
        <w:ilvl w:val="2"/>
      </w:numPr>
    </w:pPr>
    <w:rPr>
      <w:color w:val="auto"/>
    </w:rPr>
  </w:style>
  <w:style w:type="paragraph" w:customStyle="1" w:styleId="List1">
    <w:name w:val="List 1"/>
    <w:basedOn w:val="Normal"/>
    <w:uiPriority w:val="2"/>
    <w:semiHidden/>
    <w:qFormat/>
    <w:rsid w:val="00485BD7"/>
    <w:pPr>
      <w:numPr>
        <w:numId w:val="2"/>
      </w:numPr>
    </w:pPr>
  </w:style>
  <w:style w:type="paragraph" w:styleId="List2">
    <w:name w:val="List 2"/>
    <w:basedOn w:val="List1"/>
    <w:uiPriority w:val="2"/>
    <w:semiHidden/>
    <w:rsid w:val="00485BD7"/>
    <w:pPr>
      <w:numPr>
        <w:ilvl w:val="1"/>
      </w:numPr>
    </w:pPr>
  </w:style>
  <w:style w:type="paragraph" w:styleId="Header">
    <w:name w:val="header"/>
    <w:basedOn w:val="Normal"/>
    <w:link w:val="HeaderChar"/>
    <w:uiPriority w:val="99"/>
    <w:rsid w:val="000863A6"/>
    <w:pPr>
      <w:tabs>
        <w:tab w:val="center" w:pos="4513"/>
        <w:tab w:val="right" w:pos="9026"/>
      </w:tabs>
      <w:spacing w:after="0" w:line="240" w:lineRule="auto"/>
    </w:pPr>
  </w:style>
  <w:style w:type="paragraph" w:customStyle="1" w:styleId="Tabletext">
    <w:name w:val="Table text"/>
    <w:basedOn w:val="Normal"/>
    <w:uiPriority w:val="9"/>
    <w:qFormat/>
    <w:rsid w:val="000863A6"/>
    <w:pPr>
      <w:spacing w:before="60" w:after="60" w:line="264" w:lineRule="auto"/>
    </w:pPr>
    <w:rPr>
      <w:sz w:val="17"/>
    </w:rPr>
  </w:style>
  <w:style w:type="paragraph" w:customStyle="1" w:styleId="FRDHeader">
    <w:name w:val="FRD Header"/>
    <w:basedOn w:val="Normal"/>
    <w:semiHidden/>
    <w:rsid w:val="000863A6"/>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rsid w:val="000863A6"/>
    <w:rPr>
      <w:rFonts w:eastAsiaTheme="minorEastAsia"/>
      <w:spacing w:val="2"/>
      <w:sz w:val="18"/>
      <w:szCs w:val="20"/>
      <w:lang w:eastAsia="en-AU"/>
    </w:rPr>
  </w:style>
  <w:style w:type="paragraph" w:customStyle="1" w:styleId="FRDNumber">
    <w:name w:val="FRD Number"/>
    <w:basedOn w:val="FRDHeader"/>
    <w:semiHidden/>
    <w:rsid w:val="000863A6"/>
  </w:style>
  <w:style w:type="paragraph" w:customStyle="1" w:styleId="Normalgrey">
    <w:name w:val="Normal grey"/>
    <w:basedOn w:val="Normal"/>
    <w:uiPriority w:val="2"/>
    <w:qFormat/>
    <w:rsid w:val="000863A6"/>
    <w:pPr>
      <w:spacing w:line="264" w:lineRule="auto"/>
    </w:pPr>
    <w:rPr>
      <w:rFonts w:eastAsiaTheme="minorHAnsi"/>
      <w:color w:val="4D4D4D"/>
      <w:szCs w:val="18"/>
      <w:lang w:eastAsia="en-US"/>
    </w:rPr>
  </w:style>
  <w:style w:type="paragraph" w:styleId="TableofFigures">
    <w:name w:val="table of figures"/>
    <w:next w:val="Normal"/>
    <w:uiPriority w:val="8"/>
    <w:qFormat/>
    <w:rsid w:val="00B27E72"/>
    <w:pPr>
      <w:spacing w:after="0" w:line="240" w:lineRule="auto"/>
      <w:jc w:val="right"/>
    </w:pPr>
    <w:rPr>
      <w:rFonts w:ascii="Calibri" w:eastAsia="Calibri" w:hAnsi="Calibri" w:cs="Times New Roman"/>
      <w:color w:val="5E5E56"/>
      <w:sz w:val="20"/>
      <w:szCs w:val="20"/>
    </w:rPr>
  </w:style>
  <w:style w:type="paragraph" w:styleId="NormalIndent">
    <w:name w:val="Normal Indent"/>
    <w:basedOn w:val="Normal"/>
    <w:qFormat/>
    <w:rsid w:val="000863A6"/>
    <w:pPr>
      <w:spacing w:line="252" w:lineRule="auto"/>
      <w:ind w:left="288"/>
    </w:pPr>
  </w:style>
  <w:style w:type="paragraph" w:customStyle="1" w:styleId="Bullet1grey">
    <w:name w:val="Bullet 1 grey"/>
    <w:basedOn w:val="Bullet1"/>
    <w:uiPriority w:val="3"/>
    <w:qFormat/>
    <w:rsid w:val="000863A6"/>
    <w:rPr>
      <w:color w:val="4D4D4D"/>
      <w:szCs w:val="18"/>
      <w:lang w:eastAsia="en-US"/>
    </w:rPr>
  </w:style>
  <w:style w:type="paragraph" w:customStyle="1" w:styleId="Bullet2grey">
    <w:name w:val="Bullet 2 grey"/>
    <w:basedOn w:val="Bullet2"/>
    <w:uiPriority w:val="3"/>
    <w:qFormat/>
    <w:rsid w:val="000863A6"/>
    <w:rPr>
      <w:color w:val="4D4D4D"/>
      <w:szCs w:val="21"/>
      <w:lang w:eastAsia="en-US"/>
    </w:rPr>
  </w:style>
  <w:style w:type="paragraph" w:customStyle="1" w:styleId="Bullet3grey">
    <w:name w:val="Bullet 3 grey"/>
    <w:basedOn w:val="Bullet3"/>
    <w:uiPriority w:val="3"/>
    <w:unhideWhenUsed/>
    <w:qFormat/>
    <w:rsid w:val="00C67777"/>
    <w:rPr>
      <w:color w:val="5E5E5E"/>
    </w:rPr>
  </w:style>
  <w:style w:type="paragraph" w:styleId="List3">
    <w:name w:val="List 3"/>
    <w:basedOn w:val="List2"/>
    <w:uiPriority w:val="2"/>
    <w:semiHidden/>
    <w:rsid w:val="00A6470C"/>
    <w:pPr>
      <w:numPr>
        <w:ilvl w:val="2"/>
      </w:numPr>
    </w:pPr>
  </w:style>
  <w:style w:type="paragraph" w:styleId="Footer">
    <w:name w:val="footer"/>
    <w:basedOn w:val="Normal"/>
    <w:link w:val="FooterChar"/>
    <w:uiPriority w:val="24"/>
    <w:rsid w:val="000863A6"/>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0863A6"/>
    <w:rPr>
      <w:rFonts w:eastAsiaTheme="minorEastAsia"/>
      <w:noProof/>
      <w:spacing w:val="2"/>
      <w:sz w:val="18"/>
      <w:szCs w:val="18"/>
      <w:lang w:eastAsia="en-AU"/>
    </w:rPr>
  </w:style>
  <w:style w:type="paragraph" w:styleId="BalloonText">
    <w:name w:val="Balloon Text"/>
    <w:basedOn w:val="Normal"/>
    <w:link w:val="BalloonTextChar"/>
    <w:uiPriority w:val="99"/>
    <w:semiHidden/>
    <w:rsid w:val="00086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A6"/>
    <w:rPr>
      <w:rFonts w:ascii="Tahoma" w:eastAsiaTheme="minorEastAsia" w:hAnsi="Tahoma" w:cs="Tahoma"/>
      <w:spacing w:val="2"/>
      <w:sz w:val="16"/>
      <w:szCs w:val="16"/>
      <w:lang w:eastAsia="en-AU"/>
    </w:rPr>
  </w:style>
  <w:style w:type="paragraph" w:customStyle="1" w:styleId="Normalindentgrey">
    <w:name w:val="Normal indent grey"/>
    <w:basedOn w:val="Normalgrey"/>
    <w:uiPriority w:val="3"/>
    <w:unhideWhenUsed/>
    <w:qFormat/>
    <w:rsid w:val="003A3FB2"/>
    <w:pPr>
      <w:ind w:left="360"/>
    </w:pPr>
  </w:style>
  <w:style w:type="character" w:styleId="CommentReference">
    <w:name w:val="annotation reference"/>
    <w:basedOn w:val="DefaultParagraphFont"/>
    <w:uiPriority w:val="99"/>
    <w:semiHidden/>
    <w:rsid w:val="00971402"/>
    <w:rPr>
      <w:sz w:val="16"/>
      <w:szCs w:val="16"/>
    </w:rPr>
  </w:style>
  <w:style w:type="paragraph" w:styleId="CommentText">
    <w:name w:val="annotation text"/>
    <w:basedOn w:val="Normal"/>
    <w:link w:val="CommentTextChar"/>
    <w:uiPriority w:val="99"/>
    <w:semiHidden/>
    <w:rsid w:val="00971402"/>
  </w:style>
  <w:style w:type="character" w:customStyle="1" w:styleId="CommentTextChar">
    <w:name w:val="Comment Text Char"/>
    <w:basedOn w:val="DefaultParagraphFont"/>
    <w:link w:val="CommentText"/>
    <w:uiPriority w:val="99"/>
    <w:semiHidden/>
    <w:rsid w:val="00971402"/>
    <w:rPr>
      <w:rFonts w:ascii="Calibri" w:eastAsia="Calibri" w:hAnsi="Calibri" w:cs="Times New Roman"/>
      <w:color w:val="000000" w:themeColor="text1"/>
      <w:sz w:val="20"/>
      <w:szCs w:val="20"/>
    </w:rPr>
  </w:style>
  <w:style w:type="paragraph" w:styleId="CommentSubject">
    <w:name w:val="annotation subject"/>
    <w:basedOn w:val="CommentText"/>
    <w:next w:val="CommentText"/>
    <w:link w:val="CommentSubjectChar"/>
    <w:uiPriority w:val="99"/>
    <w:semiHidden/>
    <w:rsid w:val="00971402"/>
    <w:rPr>
      <w:b/>
      <w:bCs/>
    </w:rPr>
  </w:style>
  <w:style w:type="character" w:customStyle="1" w:styleId="CommentSubjectChar">
    <w:name w:val="Comment Subject Char"/>
    <w:basedOn w:val="CommentTextChar"/>
    <w:link w:val="CommentSubject"/>
    <w:uiPriority w:val="99"/>
    <w:semiHidden/>
    <w:rsid w:val="00971402"/>
    <w:rPr>
      <w:rFonts w:ascii="Calibri" w:eastAsia="Calibri" w:hAnsi="Calibri" w:cs="Times New Roman"/>
      <w:b/>
      <w:bCs/>
      <w:color w:val="000000" w:themeColor="text1"/>
      <w:sz w:val="20"/>
      <w:szCs w:val="20"/>
    </w:rPr>
  </w:style>
  <w:style w:type="character" w:customStyle="1" w:styleId="Heading4Char">
    <w:name w:val="Heading 4 Char"/>
    <w:basedOn w:val="DefaultParagraphFont"/>
    <w:link w:val="Heading4"/>
    <w:semiHidden/>
    <w:rsid w:val="000863A6"/>
    <w:rPr>
      <w:rFonts w:asciiTheme="majorHAnsi" w:eastAsiaTheme="majorEastAsia" w:hAnsiTheme="majorHAnsi" w:cstheme="majorBidi"/>
      <w:b/>
      <w:bCs/>
      <w:iCs/>
      <w:color w:val="53565A"/>
      <w:spacing w:val="2"/>
      <w:sz w:val="18"/>
      <w:szCs w:val="20"/>
      <w:lang w:eastAsia="en-AU"/>
    </w:rPr>
  </w:style>
  <w:style w:type="table" w:styleId="LightShading">
    <w:name w:val="Light Shading"/>
    <w:basedOn w:val="TableNormal"/>
    <w:uiPriority w:val="60"/>
    <w:rsid w:val="000863A6"/>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0863A6"/>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0863A6"/>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0863A6"/>
    <w:pPr>
      <w:tabs>
        <w:tab w:val="right" w:leader="dot" w:pos="9000"/>
      </w:tabs>
      <w:ind w:right="432"/>
    </w:pPr>
    <w:rPr>
      <w:sz w:val="24"/>
      <w:szCs w:val="24"/>
    </w:rPr>
  </w:style>
  <w:style w:type="paragraph" w:styleId="TOC2">
    <w:name w:val="toc 2"/>
    <w:next w:val="Normal"/>
    <w:uiPriority w:val="39"/>
    <w:rsid w:val="000863A6"/>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0863A6"/>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0863A6"/>
    <w:pPr>
      <w:spacing w:after="60" w:line="240" w:lineRule="auto"/>
    </w:pPr>
    <w:rPr>
      <w:sz w:val="16"/>
    </w:rPr>
  </w:style>
  <w:style w:type="paragraph" w:styleId="Index2">
    <w:name w:val="index 2"/>
    <w:basedOn w:val="Normal"/>
    <w:next w:val="Normal"/>
    <w:uiPriority w:val="99"/>
    <w:semiHidden/>
    <w:rsid w:val="000863A6"/>
    <w:pPr>
      <w:spacing w:after="0" w:line="240" w:lineRule="auto"/>
      <w:ind w:left="216"/>
    </w:pPr>
    <w:rPr>
      <w:sz w:val="16"/>
      <w:szCs w:val="16"/>
    </w:rPr>
  </w:style>
  <w:style w:type="character" w:styleId="Hyperlink">
    <w:name w:val="Hyperlink"/>
    <w:basedOn w:val="DefaultParagraphFont"/>
    <w:uiPriority w:val="99"/>
    <w:rsid w:val="000863A6"/>
    <w:rPr>
      <w:color w:val="0000FF" w:themeColor="hyperlink"/>
      <w:u w:val="none"/>
    </w:rPr>
  </w:style>
  <w:style w:type="paragraph" w:customStyle="1" w:styleId="Bulletindent">
    <w:name w:val="Bullet indent"/>
    <w:basedOn w:val="Bullet2"/>
    <w:uiPriority w:val="7"/>
    <w:qFormat/>
    <w:rsid w:val="000863A6"/>
    <w:pPr>
      <w:numPr>
        <w:ilvl w:val="2"/>
      </w:numPr>
    </w:pPr>
  </w:style>
  <w:style w:type="paragraph" w:customStyle="1" w:styleId="Heading1numbered">
    <w:name w:val="Heading 1 numbered"/>
    <w:basedOn w:val="Heading1"/>
    <w:next w:val="NormalIndent"/>
    <w:uiPriority w:val="4"/>
    <w:semiHidden/>
    <w:qFormat/>
    <w:rsid w:val="000863A6"/>
  </w:style>
  <w:style w:type="paragraph" w:customStyle="1" w:styleId="Heading2numbered">
    <w:name w:val="Heading 2 numbered"/>
    <w:basedOn w:val="Heading2"/>
    <w:next w:val="NormalIndent"/>
    <w:uiPriority w:val="4"/>
    <w:semiHidden/>
    <w:qFormat/>
    <w:rsid w:val="000863A6"/>
  </w:style>
  <w:style w:type="paragraph" w:customStyle="1" w:styleId="Heading3numbered">
    <w:name w:val="Heading 3 numbered"/>
    <w:basedOn w:val="Heading3"/>
    <w:next w:val="NormalIndent"/>
    <w:uiPriority w:val="4"/>
    <w:semiHidden/>
    <w:qFormat/>
    <w:rsid w:val="000863A6"/>
    <w:pPr>
      <w:numPr>
        <w:ilvl w:val="4"/>
        <w:numId w:val="12"/>
      </w:numPr>
    </w:pPr>
  </w:style>
  <w:style w:type="paragraph" w:customStyle="1" w:styleId="Heading4numbered">
    <w:name w:val="Heading 4 numbered"/>
    <w:basedOn w:val="Heading4"/>
    <w:next w:val="NormalIndent"/>
    <w:uiPriority w:val="4"/>
    <w:semiHidden/>
    <w:qFormat/>
    <w:rsid w:val="000863A6"/>
    <w:pPr>
      <w:numPr>
        <w:ilvl w:val="5"/>
        <w:numId w:val="12"/>
      </w:numPr>
    </w:pPr>
  </w:style>
  <w:style w:type="paragraph" w:customStyle="1" w:styleId="NoteNormal">
    <w:name w:val="Note Normal"/>
    <w:basedOn w:val="Normal"/>
    <w:uiPriority w:val="49"/>
    <w:rsid w:val="000863A6"/>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0863A6"/>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0863A6"/>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0863A6"/>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0863A6"/>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0863A6"/>
    <w:rPr>
      <w:rFonts w:asciiTheme="majorHAnsi" w:eastAsia="Times New Roman" w:hAnsiTheme="majorHAnsi" w:cstheme="majorHAnsi"/>
      <w:b/>
      <w:color w:val="4F81BD" w:themeColor="accent1"/>
      <w:spacing w:val="-2"/>
      <w:sz w:val="60"/>
      <w:lang w:eastAsia="en-AU"/>
    </w:rPr>
  </w:style>
  <w:style w:type="paragraph" w:customStyle="1" w:styleId="Bulletindent2">
    <w:name w:val="Bullet indent 2"/>
    <w:basedOn w:val="Normal"/>
    <w:uiPriority w:val="7"/>
    <w:qFormat/>
    <w:rsid w:val="000863A6"/>
    <w:pPr>
      <w:numPr>
        <w:ilvl w:val="3"/>
        <w:numId w:val="9"/>
      </w:numPr>
      <w:spacing w:before="100"/>
      <w:contextualSpacing/>
    </w:pPr>
  </w:style>
  <w:style w:type="paragraph" w:styleId="IndexHeading">
    <w:name w:val="index heading"/>
    <w:basedOn w:val="Normal"/>
    <w:next w:val="Index1"/>
    <w:uiPriority w:val="99"/>
    <w:semiHidden/>
    <w:rsid w:val="000863A6"/>
    <w:rPr>
      <w:rFonts w:asciiTheme="majorHAnsi" w:eastAsiaTheme="majorEastAsia" w:hAnsiTheme="majorHAnsi" w:cstheme="majorBidi"/>
      <w:b/>
      <w:bCs/>
    </w:rPr>
  </w:style>
  <w:style w:type="character" w:styleId="PageNumber">
    <w:name w:val="page number"/>
    <w:uiPriority w:val="49"/>
    <w:semiHidden/>
    <w:rsid w:val="000863A6"/>
    <w:rPr>
      <w:b w:val="0"/>
      <w:color w:val="000000" w:themeColor="text1"/>
    </w:rPr>
  </w:style>
  <w:style w:type="paragraph" w:styleId="TOCHeading">
    <w:name w:val="TOC Heading"/>
    <w:basedOn w:val="Heading1"/>
    <w:next w:val="Normal"/>
    <w:uiPriority w:val="39"/>
    <w:semiHidden/>
    <w:rsid w:val="000863A6"/>
    <w:pPr>
      <w:spacing w:before="480" w:after="720"/>
      <w:outlineLvl w:val="9"/>
    </w:pPr>
    <w:rPr>
      <w:spacing w:val="2"/>
    </w:rPr>
  </w:style>
  <w:style w:type="paragraph" w:customStyle="1" w:styleId="NormalTight">
    <w:name w:val="Normal Tight"/>
    <w:uiPriority w:val="99"/>
    <w:semiHidden/>
    <w:rsid w:val="000863A6"/>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0863A6"/>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0863A6"/>
    <w:rPr>
      <w:rFonts w:ascii="Calibri" w:eastAsia="Times New Roman" w:hAnsi="Calibri" w:cs="Calibri"/>
      <w:lang w:eastAsia="en-AU"/>
    </w:rPr>
  </w:style>
  <w:style w:type="paragraph" w:customStyle="1" w:styleId="Insidecoverspacer">
    <w:name w:val="Inside cover spacer"/>
    <w:basedOn w:val="NormalTight"/>
    <w:uiPriority w:val="99"/>
    <w:semiHidden/>
    <w:qFormat/>
    <w:rsid w:val="000863A6"/>
    <w:pPr>
      <w:spacing w:before="5800"/>
      <w:ind w:right="1382"/>
    </w:pPr>
  </w:style>
  <w:style w:type="paragraph" w:styleId="TOC4">
    <w:name w:val="toc 4"/>
    <w:basedOn w:val="TOC1"/>
    <w:next w:val="Normal"/>
    <w:uiPriority w:val="39"/>
    <w:semiHidden/>
    <w:rsid w:val="000863A6"/>
    <w:pPr>
      <w:ind w:left="450" w:hanging="450"/>
    </w:pPr>
    <w:rPr>
      <w:noProof/>
      <w:lang w:eastAsia="en-US"/>
    </w:rPr>
  </w:style>
  <w:style w:type="paragraph" w:styleId="TOC5">
    <w:name w:val="toc 5"/>
    <w:basedOn w:val="TOC2"/>
    <w:next w:val="Normal"/>
    <w:uiPriority w:val="39"/>
    <w:semiHidden/>
    <w:rsid w:val="000863A6"/>
    <w:pPr>
      <w:ind w:left="1080" w:hanging="634"/>
    </w:pPr>
    <w:rPr>
      <w:lang w:eastAsia="en-US"/>
    </w:rPr>
  </w:style>
  <w:style w:type="paragraph" w:styleId="TOC6">
    <w:name w:val="toc 6"/>
    <w:basedOn w:val="TOC3"/>
    <w:next w:val="Normal"/>
    <w:uiPriority w:val="39"/>
    <w:semiHidden/>
    <w:rsid w:val="000863A6"/>
    <w:pPr>
      <w:ind w:left="1800" w:hanging="720"/>
    </w:pPr>
    <w:rPr>
      <w:lang w:eastAsia="en-US"/>
    </w:rPr>
  </w:style>
  <w:style w:type="table" w:customStyle="1" w:styleId="DTFtexttable">
    <w:name w:val="DTF text table"/>
    <w:basedOn w:val="TableGrid"/>
    <w:uiPriority w:val="99"/>
    <w:rsid w:val="000863A6"/>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0863A6"/>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0863A6"/>
    <w:pPr>
      <w:jc w:val="right"/>
    </w:pPr>
  </w:style>
  <w:style w:type="paragraph" w:customStyle="1" w:styleId="Listnumindent2">
    <w:name w:val="List num indent 2"/>
    <w:basedOn w:val="Normal"/>
    <w:uiPriority w:val="7"/>
    <w:qFormat/>
    <w:rsid w:val="000863A6"/>
    <w:pPr>
      <w:numPr>
        <w:ilvl w:val="7"/>
        <w:numId w:val="12"/>
      </w:numPr>
      <w:spacing w:before="100"/>
      <w:contextualSpacing/>
    </w:pPr>
  </w:style>
  <w:style w:type="paragraph" w:customStyle="1" w:styleId="Listnumindent">
    <w:name w:val="List num indent"/>
    <w:basedOn w:val="Normal"/>
    <w:uiPriority w:val="7"/>
    <w:qFormat/>
    <w:rsid w:val="000863A6"/>
    <w:pPr>
      <w:numPr>
        <w:ilvl w:val="6"/>
        <w:numId w:val="12"/>
      </w:numPr>
      <w:spacing w:before="100"/>
    </w:pPr>
  </w:style>
  <w:style w:type="paragraph" w:customStyle="1" w:styleId="Listnum">
    <w:name w:val="List num"/>
    <w:basedOn w:val="Normal"/>
    <w:uiPriority w:val="1"/>
    <w:qFormat/>
    <w:rsid w:val="000863A6"/>
    <w:pPr>
      <w:numPr>
        <w:numId w:val="12"/>
      </w:numPr>
      <w:contextualSpacing/>
    </w:pPr>
  </w:style>
  <w:style w:type="paragraph" w:customStyle="1" w:styleId="Listnum2">
    <w:name w:val="List num 2"/>
    <w:basedOn w:val="Normal"/>
    <w:uiPriority w:val="1"/>
    <w:qFormat/>
    <w:rsid w:val="000863A6"/>
    <w:pPr>
      <w:numPr>
        <w:ilvl w:val="1"/>
        <w:numId w:val="12"/>
      </w:numPr>
      <w:contextualSpacing/>
    </w:pPr>
  </w:style>
  <w:style w:type="paragraph" w:customStyle="1" w:styleId="Tabletextcentred">
    <w:name w:val="Table text centred"/>
    <w:basedOn w:val="Tabletext"/>
    <w:uiPriority w:val="8"/>
    <w:qFormat/>
    <w:rsid w:val="000863A6"/>
    <w:pPr>
      <w:jc w:val="center"/>
    </w:pPr>
  </w:style>
  <w:style w:type="paragraph" w:customStyle="1" w:styleId="Tableheader">
    <w:name w:val="Table header"/>
    <w:basedOn w:val="Tabletext"/>
    <w:uiPriority w:val="8"/>
    <w:qFormat/>
    <w:rsid w:val="000863A6"/>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0863A6"/>
    <w:pPr>
      <w:numPr>
        <w:numId w:val="10"/>
      </w:numPr>
    </w:pPr>
  </w:style>
  <w:style w:type="paragraph" w:customStyle="1" w:styleId="Tabledash">
    <w:name w:val="Table dash"/>
    <w:basedOn w:val="Tablebullet"/>
    <w:uiPriority w:val="9"/>
    <w:rsid w:val="000863A6"/>
    <w:pPr>
      <w:numPr>
        <w:ilvl w:val="1"/>
      </w:numPr>
    </w:pPr>
  </w:style>
  <w:style w:type="paragraph" w:customStyle="1" w:styleId="Tabletextindent">
    <w:name w:val="Table text indent"/>
    <w:basedOn w:val="Tabletext"/>
    <w:uiPriority w:val="8"/>
    <w:qFormat/>
    <w:rsid w:val="000863A6"/>
    <w:pPr>
      <w:ind w:left="288"/>
    </w:pPr>
  </w:style>
  <w:style w:type="paragraph" w:customStyle="1" w:styleId="Normalbold">
    <w:name w:val="Normal bold"/>
    <w:basedOn w:val="Normal"/>
    <w:qFormat/>
    <w:rsid w:val="000863A6"/>
    <w:pPr>
      <w:spacing w:line="264" w:lineRule="auto"/>
    </w:pPr>
    <w:rPr>
      <w:rFonts w:eastAsiaTheme="minorHAnsi"/>
      <w:b/>
      <w:szCs w:val="18"/>
      <w:lang w:eastAsia="en-US"/>
    </w:rPr>
  </w:style>
  <w:style w:type="paragraph" w:customStyle="1" w:styleId="Listnumgrey">
    <w:name w:val="List num grey"/>
    <w:uiPriority w:val="3"/>
    <w:qFormat/>
    <w:rsid w:val="000863A6"/>
    <w:pPr>
      <w:numPr>
        <w:ilvl w:val="2"/>
        <w:numId w:val="12"/>
      </w:numPr>
      <w:spacing w:line="264" w:lineRule="auto"/>
    </w:pPr>
    <w:rPr>
      <w:color w:val="4D4D4D"/>
      <w:spacing w:val="2"/>
      <w:sz w:val="18"/>
      <w:szCs w:val="21"/>
    </w:rPr>
  </w:style>
  <w:style w:type="paragraph" w:customStyle="1" w:styleId="Listnum2grey">
    <w:name w:val="List num 2 grey"/>
    <w:uiPriority w:val="4"/>
    <w:qFormat/>
    <w:rsid w:val="000863A6"/>
    <w:pPr>
      <w:numPr>
        <w:ilvl w:val="3"/>
        <w:numId w:val="12"/>
      </w:numPr>
      <w:spacing w:line="264" w:lineRule="auto"/>
    </w:pPr>
    <w:rPr>
      <w:color w:val="4D4D4D"/>
      <w:spacing w:val="2"/>
      <w:sz w:val="18"/>
      <w:szCs w:val="21"/>
    </w:rPr>
  </w:style>
  <w:style w:type="paragraph" w:customStyle="1" w:styleId="Refnum1grey">
    <w:name w:val="Ref num 1 grey"/>
    <w:basedOn w:val="Refnum1"/>
    <w:uiPriority w:val="7"/>
    <w:qFormat/>
    <w:rsid w:val="000863A6"/>
    <w:rPr>
      <w:color w:val="F2F2F2" w:themeColor="background1" w:themeShade="F2"/>
    </w:rPr>
  </w:style>
  <w:style w:type="paragraph" w:customStyle="1" w:styleId="Refnum2grey">
    <w:name w:val="Ref num 2 grey"/>
    <w:basedOn w:val="Normal"/>
    <w:rsid w:val="000863A6"/>
    <w:pPr>
      <w:numPr>
        <w:ilvl w:val="1"/>
        <w:numId w:val="11"/>
      </w:numPr>
    </w:pPr>
  </w:style>
  <w:style w:type="paragraph" w:customStyle="1" w:styleId="Normalgreybold">
    <w:name w:val="Normal grey bold"/>
    <w:basedOn w:val="Normalgrey"/>
    <w:qFormat/>
    <w:rsid w:val="000863A6"/>
    <w:rPr>
      <w:b/>
    </w:rPr>
  </w:style>
  <w:style w:type="paragraph" w:customStyle="1" w:styleId="NormalIndentgrey0">
    <w:name w:val="Normal Indent grey"/>
    <w:basedOn w:val="NormalIndent"/>
    <w:qFormat/>
    <w:rsid w:val="000863A6"/>
    <w:rPr>
      <w:color w:val="4D4D4D"/>
      <w:szCs w:val="21"/>
    </w:rPr>
  </w:style>
  <w:style w:type="paragraph" w:styleId="Caption">
    <w:name w:val="caption"/>
    <w:basedOn w:val="Normal"/>
    <w:next w:val="Normal"/>
    <w:uiPriority w:val="99"/>
    <w:rsid w:val="000863A6"/>
    <w:pPr>
      <w:spacing w:before="0" w:after="200" w:line="240" w:lineRule="auto"/>
    </w:pPr>
    <w:rPr>
      <w:b/>
      <w:bCs/>
      <w:szCs w:val="18"/>
    </w:rPr>
  </w:style>
  <w:style w:type="paragraph" w:customStyle="1" w:styleId="Tablechartdiagramheading">
    <w:name w:val="Table/chart/diagram heading"/>
    <w:uiPriority w:val="99"/>
    <w:qFormat/>
    <w:rsid w:val="000863A6"/>
    <w:pPr>
      <w:tabs>
        <w:tab w:val="left" w:pos="1080"/>
      </w:tabs>
      <w:spacing w:before="160" w:after="100"/>
    </w:pPr>
    <w:rPr>
      <w:rFonts w:eastAsiaTheme="minorEastAsia"/>
      <w:b/>
      <w:bCs/>
      <w:color w:val="404040" w:themeColor="text1" w:themeTint="BF"/>
      <w:spacing w:val="2"/>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2326">
      <w:bodyDiv w:val="1"/>
      <w:marLeft w:val="0"/>
      <w:marRight w:val="0"/>
      <w:marTop w:val="0"/>
      <w:marBottom w:val="0"/>
      <w:divBdr>
        <w:top w:val="none" w:sz="0" w:space="0" w:color="auto"/>
        <w:left w:val="none" w:sz="0" w:space="0" w:color="auto"/>
        <w:bottom w:val="none" w:sz="0" w:space="0" w:color="auto"/>
        <w:right w:val="none" w:sz="0" w:space="0" w:color="auto"/>
      </w:divBdr>
    </w:div>
    <w:div w:id="369190996">
      <w:bodyDiv w:val="1"/>
      <w:marLeft w:val="0"/>
      <w:marRight w:val="0"/>
      <w:marTop w:val="0"/>
      <w:marBottom w:val="0"/>
      <w:divBdr>
        <w:top w:val="none" w:sz="0" w:space="0" w:color="auto"/>
        <w:left w:val="none" w:sz="0" w:space="0" w:color="auto"/>
        <w:bottom w:val="none" w:sz="0" w:space="0" w:color="auto"/>
        <w:right w:val="none" w:sz="0" w:space="0" w:color="auto"/>
      </w:divBdr>
    </w:div>
    <w:div w:id="399594156">
      <w:bodyDiv w:val="1"/>
      <w:marLeft w:val="0"/>
      <w:marRight w:val="0"/>
      <w:marTop w:val="0"/>
      <w:marBottom w:val="0"/>
      <w:divBdr>
        <w:top w:val="none" w:sz="0" w:space="0" w:color="auto"/>
        <w:left w:val="none" w:sz="0" w:space="0" w:color="auto"/>
        <w:bottom w:val="none" w:sz="0" w:space="0" w:color="auto"/>
        <w:right w:val="none" w:sz="0" w:space="0" w:color="auto"/>
      </w:divBdr>
    </w:div>
    <w:div w:id="442263460">
      <w:bodyDiv w:val="1"/>
      <w:marLeft w:val="0"/>
      <w:marRight w:val="0"/>
      <w:marTop w:val="0"/>
      <w:marBottom w:val="0"/>
      <w:divBdr>
        <w:top w:val="none" w:sz="0" w:space="0" w:color="auto"/>
        <w:left w:val="none" w:sz="0" w:space="0" w:color="auto"/>
        <w:bottom w:val="none" w:sz="0" w:space="0" w:color="auto"/>
        <w:right w:val="none" w:sz="0" w:space="0" w:color="auto"/>
      </w:divBdr>
    </w:div>
    <w:div w:id="501162976">
      <w:bodyDiv w:val="1"/>
      <w:marLeft w:val="0"/>
      <w:marRight w:val="0"/>
      <w:marTop w:val="0"/>
      <w:marBottom w:val="0"/>
      <w:divBdr>
        <w:top w:val="none" w:sz="0" w:space="0" w:color="auto"/>
        <w:left w:val="none" w:sz="0" w:space="0" w:color="auto"/>
        <w:bottom w:val="none" w:sz="0" w:space="0" w:color="auto"/>
        <w:right w:val="none" w:sz="0" w:space="0" w:color="auto"/>
      </w:divBdr>
    </w:div>
    <w:div w:id="525682109">
      <w:bodyDiv w:val="1"/>
      <w:marLeft w:val="0"/>
      <w:marRight w:val="0"/>
      <w:marTop w:val="0"/>
      <w:marBottom w:val="0"/>
      <w:divBdr>
        <w:top w:val="none" w:sz="0" w:space="0" w:color="auto"/>
        <w:left w:val="none" w:sz="0" w:space="0" w:color="auto"/>
        <w:bottom w:val="none" w:sz="0" w:space="0" w:color="auto"/>
        <w:right w:val="none" w:sz="0" w:space="0" w:color="auto"/>
      </w:divBdr>
    </w:div>
    <w:div w:id="582184199">
      <w:bodyDiv w:val="1"/>
      <w:marLeft w:val="0"/>
      <w:marRight w:val="0"/>
      <w:marTop w:val="0"/>
      <w:marBottom w:val="0"/>
      <w:divBdr>
        <w:top w:val="none" w:sz="0" w:space="0" w:color="auto"/>
        <w:left w:val="none" w:sz="0" w:space="0" w:color="auto"/>
        <w:bottom w:val="none" w:sz="0" w:space="0" w:color="auto"/>
        <w:right w:val="none" w:sz="0" w:space="0" w:color="auto"/>
      </w:divBdr>
    </w:div>
    <w:div w:id="620697316">
      <w:bodyDiv w:val="1"/>
      <w:marLeft w:val="0"/>
      <w:marRight w:val="0"/>
      <w:marTop w:val="0"/>
      <w:marBottom w:val="0"/>
      <w:divBdr>
        <w:top w:val="none" w:sz="0" w:space="0" w:color="auto"/>
        <w:left w:val="none" w:sz="0" w:space="0" w:color="auto"/>
        <w:bottom w:val="none" w:sz="0" w:space="0" w:color="auto"/>
        <w:right w:val="none" w:sz="0" w:space="0" w:color="auto"/>
      </w:divBdr>
    </w:div>
    <w:div w:id="664939122">
      <w:bodyDiv w:val="1"/>
      <w:marLeft w:val="0"/>
      <w:marRight w:val="0"/>
      <w:marTop w:val="0"/>
      <w:marBottom w:val="0"/>
      <w:divBdr>
        <w:top w:val="none" w:sz="0" w:space="0" w:color="auto"/>
        <w:left w:val="none" w:sz="0" w:space="0" w:color="auto"/>
        <w:bottom w:val="none" w:sz="0" w:space="0" w:color="auto"/>
        <w:right w:val="none" w:sz="0" w:space="0" w:color="auto"/>
      </w:divBdr>
    </w:div>
    <w:div w:id="708606017">
      <w:bodyDiv w:val="1"/>
      <w:marLeft w:val="0"/>
      <w:marRight w:val="0"/>
      <w:marTop w:val="0"/>
      <w:marBottom w:val="0"/>
      <w:divBdr>
        <w:top w:val="none" w:sz="0" w:space="0" w:color="auto"/>
        <w:left w:val="none" w:sz="0" w:space="0" w:color="auto"/>
        <w:bottom w:val="none" w:sz="0" w:space="0" w:color="auto"/>
        <w:right w:val="none" w:sz="0" w:space="0" w:color="auto"/>
      </w:divBdr>
    </w:div>
    <w:div w:id="960111927">
      <w:bodyDiv w:val="1"/>
      <w:marLeft w:val="0"/>
      <w:marRight w:val="0"/>
      <w:marTop w:val="0"/>
      <w:marBottom w:val="0"/>
      <w:divBdr>
        <w:top w:val="none" w:sz="0" w:space="0" w:color="auto"/>
        <w:left w:val="none" w:sz="0" w:space="0" w:color="auto"/>
        <w:bottom w:val="none" w:sz="0" w:space="0" w:color="auto"/>
        <w:right w:val="none" w:sz="0" w:space="0" w:color="auto"/>
      </w:divBdr>
    </w:div>
    <w:div w:id="1074933241">
      <w:bodyDiv w:val="1"/>
      <w:marLeft w:val="0"/>
      <w:marRight w:val="0"/>
      <w:marTop w:val="0"/>
      <w:marBottom w:val="0"/>
      <w:divBdr>
        <w:top w:val="none" w:sz="0" w:space="0" w:color="auto"/>
        <w:left w:val="none" w:sz="0" w:space="0" w:color="auto"/>
        <w:bottom w:val="none" w:sz="0" w:space="0" w:color="auto"/>
        <w:right w:val="none" w:sz="0" w:space="0" w:color="auto"/>
      </w:divBdr>
    </w:div>
    <w:div w:id="1082142996">
      <w:bodyDiv w:val="1"/>
      <w:marLeft w:val="0"/>
      <w:marRight w:val="0"/>
      <w:marTop w:val="0"/>
      <w:marBottom w:val="0"/>
      <w:divBdr>
        <w:top w:val="none" w:sz="0" w:space="0" w:color="auto"/>
        <w:left w:val="none" w:sz="0" w:space="0" w:color="auto"/>
        <w:bottom w:val="none" w:sz="0" w:space="0" w:color="auto"/>
        <w:right w:val="none" w:sz="0" w:space="0" w:color="auto"/>
      </w:divBdr>
    </w:div>
    <w:div w:id="1228346490">
      <w:bodyDiv w:val="1"/>
      <w:marLeft w:val="0"/>
      <w:marRight w:val="0"/>
      <w:marTop w:val="0"/>
      <w:marBottom w:val="0"/>
      <w:divBdr>
        <w:top w:val="none" w:sz="0" w:space="0" w:color="auto"/>
        <w:left w:val="none" w:sz="0" w:space="0" w:color="auto"/>
        <w:bottom w:val="none" w:sz="0" w:space="0" w:color="auto"/>
        <w:right w:val="none" w:sz="0" w:space="0" w:color="auto"/>
      </w:divBdr>
    </w:div>
    <w:div w:id="1264994568">
      <w:bodyDiv w:val="1"/>
      <w:marLeft w:val="0"/>
      <w:marRight w:val="0"/>
      <w:marTop w:val="0"/>
      <w:marBottom w:val="0"/>
      <w:divBdr>
        <w:top w:val="none" w:sz="0" w:space="0" w:color="auto"/>
        <w:left w:val="none" w:sz="0" w:space="0" w:color="auto"/>
        <w:bottom w:val="none" w:sz="0" w:space="0" w:color="auto"/>
        <w:right w:val="none" w:sz="0" w:space="0" w:color="auto"/>
      </w:divBdr>
    </w:div>
    <w:div w:id="1380931068">
      <w:bodyDiv w:val="1"/>
      <w:marLeft w:val="0"/>
      <w:marRight w:val="0"/>
      <w:marTop w:val="0"/>
      <w:marBottom w:val="0"/>
      <w:divBdr>
        <w:top w:val="none" w:sz="0" w:space="0" w:color="auto"/>
        <w:left w:val="none" w:sz="0" w:space="0" w:color="auto"/>
        <w:bottom w:val="none" w:sz="0" w:space="0" w:color="auto"/>
        <w:right w:val="none" w:sz="0" w:space="0" w:color="auto"/>
      </w:divBdr>
    </w:div>
    <w:div w:id="1697609878">
      <w:bodyDiv w:val="1"/>
      <w:marLeft w:val="0"/>
      <w:marRight w:val="0"/>
      <w:marTop w:val="0"/>
      <w:marBottom w:val="0"/>
      <w:divBdr>
        <w:top w:val="none" w:sz="0" w:space="0" w:color="auto"/>
        <w:left w:val="none" w:sz="0" w:space="0" w:color="auto"/>
        <w:bottom w:val="none" w:sz="0" w:space="0" w:color="auto"/>
        <w:right w:val="none" w:sz="0" w:space="0" w:color="auto"/>
      </w:divBdr>
    </w:div>
    <w:div w:id="1747650759">
      <w:bodyDiv w:val="1"/>
      <w:marLeft w:val="0"/>
      <w:marRight w:val="0"/>
      <w:marTop w:val="0"/>
      <w:marBottom w:val="0"/>
      <w:divBdr>
        <w:top w:val="none" w:sz="0" w:space="0" w:color="auto"/>
        <w:left w:val="none" w:sz="0" w:space="0" w:color="auto"/>
        <w:bottom w:val="none" w:sz="0" w:space="0" w:color="auto"/>
        <w:right w:val="none" w:sz="0" w:space="0" w:color="auto"/>
      </w:divBdr>
    </w:div>
    <w:div w:id="1762482497">
      <w:bodyDiv w:val="1"/>
      <w:marLeft w:val="0"/>
      <w:marRight w:val="0"/>
      <w:marTop w:val="0"/>
      <w:marBottom w:val="0"/>
      <w:divBdr>
        <w:top w:val="none" w:sz="0" w:space="0" w:color="auto"/>
        <w:left w:val="none" w:sz="0" w:space="0" w:color="auto"/>
        <w:bottom w:val="none" w:sz="0" w:space="0" w:color="auto"/>
        <w:right w:val="none" w:sz="0" w:space="0" w:color="auto"/>
      </w:divBdr>
    </w:div>
    <w:div w:id="1829445172">
      <w:bodyDiv w:val="1"/>
      <w:marLeft w:val="0"/>
      <w:marRight w:val="0"/>
      <w:marTop w:val="0"/>
      <w:marBottom w:val="0"/>
      <w:divBdr>
        <w:top w:val="none" w:sz="0" w:space="0" w:color="auto"/>
        <w:left w:val="none" w:sz="0" w:space="0" w:color="auto"/>
        <w:bottom w:val="none" w:sz="0" w:space="0" w:color="auto"/>
        <w:right w:val="none" w:sz="0" w:space="0" w:color="auto"/>
      </w:divBdr>
    </w:div>
    <w:div w:id="186693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55244-A0C8-49F3-AD05-E2122AD1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0</TotalTime>
  <Pages>9</Pages>
  <Words>2993</Words>
  <Characters>17064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Lam</dc:creator>
  <cp:lastModifiedBy>Deidre Steain</cp:lastModifiedBy>
  <cp:revision>2</cp:revision>
  <cp:lastPrinted>2016-06-07T06:13:00Z</cp:lastPrinted>
  <dcterms:created xsi:type="dcterms:W3CDTF">2016-07-27T04:44:00Z</dcterms:created>
  <dcterms:modified xsi:type="dcterms:W3CDTF">2016-07-27T04:44:00Z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0745118c-3b5b-4d59-9d85-6e3daa054494</vt:lpwstr>
  </property>
  <property fmtid="{D5CDD505-2E9C-101B-9397-08002B2CF9AE}" pid="3" name="PSPFClassification">
    <vt:lpwstr>Do Not Mark</vt:lpwstr>
  </property>
</Properties>
</file>