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4C" w:rsidRPr="00294B56" w:rsidRDefault="00A40F4C" w:rsidP="00A40F4C">
      <w:pPr>
        <w:pStyle w:val="Header"/>
        <w:rPr>
          <w:rFonts w:cs="Arial"/>
          <w:b/>
        </w:rPr>
      </w:pPr>
      <w:r w:rsidRPr="00294B56">
        <w:rPr>
          <w:rFonts w:cs="Arial"/>
          <w:b/>
        </w:rPr>
        <w:t>Community Support Fund</w:t>
      </w:r>
    </w:p>
    <w:p w:rsidR="00E23EBB" w:rsidRDefault="00E4232D" w:rsidP="002E2F3E">
      <w:pPr>
        <w:pStyle w:val="Header"/>
        <w:spacing w:after="120"/>
        <w:rPr>
          <w:rFonts w:cs="Arial"/>
          <w:b/>
        </w:rPr>
      </w:pPr>
      <w:r w:rsidRPr="00E4232D">
        <w:rPr>
          <w:rFonts w:cs="Arial"/>
          <w:b/>
        </w:rPr>
        <w:t xml:space="preserve">Expenditure by program </w:t>
      </w:r>
      <w:r w:rsidR="0018250E">
        <w:rPr>
          <w:rFonts w:cs="Arial"/>
          <w:b/>
        </w:rPr>
        <w:t>from 1 July 2014 to 30 June 2015</w:t>
      </w:r>
    </w:p>
    <w:tbl>
      <w:tblPr>
        <w:tblW w:w="1037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A0" w:firstRow="1" w:lastRow="0" w:firstColumn="1" w:lastColumn="0" w:noHBand="0" w:noVBand="0"/>
      </w:tblPr>
      <w:tblGrid>
        <w:gridCol w:w="2581"/>
        <w:gridCol w:w="4536"/>
        <w:gridCol w:w="1417"/>
        <w:gridCol w:w="1843"/>
      </w:tblGrid>
      <w:tr w:rsidR="00F667A2" w:rsidRPr="00E449EC" w:rsidTr="00D32318">
        <w:trPr>
          <w:cantSplit/>
          <w:tblHeader/>
        </w:trPr>
        <w:tc>
          <w:tcPr>
            <w:tcW w:w="2581" w:type="dxa"/>
            <w:tcBorders>
              <w:top w:val="single" w:sz="4" w:space="0" w:color="auto"/>
              <w:left w:val="single" w:sz="4" w:space="0" w:color="auto"/>
              <w:bottom w:val="single" w:sz="4" w:space="0" w:color="auto"/>
              <w:right w:val="single" w:sz="4" w:space="0" w:color="auto"/>
            </w:tcBorders>
            <w:shd w:val="clear" w:color="auto" w:fill="1665A1"/>
          </w:tcPr>
          <w:p w:rsidR="00F667A2" w:rsidRPr="00E449EC" w:rsidRDefault="00F667A2" w:rsidP="00A37B61">
            <w:pPr>
              <w:rPr>
                <w:color w:val="FFFFFF"/>
              </w:rPr>
            </w:pPr>
            <w:r w:rsidRPr="00E449EC">
              <w:rPr>
                <w:color w:val="FFFFFF"/>
              </w:rPr>
              <w:t>Program name</w:t>
            </w:r>
          </w:p>
        </w:tc>
        <w:tc>
          <w:tcPr>
            <w:tcW w:w="4536" w:type="dxa"/>
            <w:tcBorders>
              <w:top w:val="single" w:sz="4" w:space="0" w:color="auto"/>
              <w:left w:val="single" w:sz="4" w:space="0" w:color="auto"/>
              <w:bottom w:val="single" w:sz="4" w:space="0" w:color="auto"/>
              <w:right w:val="single" w:sz="4" w:space="0" w:color="auto"/>
            </w:tcBorders>
            <w:shd w:val="clear" w:color="auto" w:fill="1665A1"/>
          </w:tcPr>
          <w:p w:rsidR="00F667A2" w:rsidRPr="00E449EC" w:rsidRDefault="00F667A2" w:rsidP="00A37B61">
            <w:pPr>
              <w:rPr>
                <w:color w:val="FFFFFF"/>
              </w:rPr>
            </w:pPr>
            <w:r w:rsidRPr="00E449EC">
              <w:rPr>
                <w:color w:val="FFFFFF"/>
              </w:rPr>
              <w:t>Program description and links</w:t>
            </w:r>
          </w:p>
        </w:tc>
        <w:tc>
          <w:tcPr>
            <w:tcW w:w="1417" w:type="dxa"/>
            <w:tcBorders>
              <w:top w:val="single" w:sz="4" w:space="0" w:color="auto"/>
              <w:left w:val="single" w:sz="4" w:space="0" w:color="auto"/>
              <w:bottom w:val="single" w:sz="4" w:space="0" w:color="auto"/>
              <w:right w:val="single" w:sz="4" w:space="0" w:color="auto"/>
            </w:tcBorders>
            <w:shd w:val="clear" w:color="auto" w:fill="1665A1"/>
          </w:tcPr>
          <w:p w:rsidR="00F667A2" w:rsidRPr="00E449EC" w:rsidRDefault="00F667A2" w:rsidP="00A37B61">
            <w:pPr>
              <w:rPr>
                <w:color w:val="FFFFFF"/>
              </w:rPr>
            </w:pPr>
            <w:r w:rsidRPr="00E449EC">
              <w:rPr>
                <w:color w:val="FFFFFF"/>
              </w:rPr>
              <w:t>Portfolio</w:t>
            </w:r>
          </w:p>
        </w:tc>
        <w:tc>
          <w:tcPr>
            <w:tcW w:w="1843" w:type="dxa"/>
            <w:tcBorders>
              <w:top w:val="single" w:sz="4" w:space="0" w:color="auto"/>
              <w:left w:val="single" w:sz="4" w:space="0" w:color="auto"/>
              <w:bottom w:val="single" w:sz="4" w:space="0" w:color="auto"/>
              <w:right w:val="single" w:sz="4" w:space="0" w:color="auto"/>
            </w:tcBorders>
            <w:shd w:val="clear" w:color="auto" w:fill="1665A1"/>
          </w:tcPr>
          <w:p w:rsidR="00F667A2" w:rsidRPr="00DD5E2A" w:rsidRDefault="00F667A2" w:rsidP="00A37B61">
            <w:pPr>
              <w:jc w:val="center"/>
              <w:rPr>
                <w:color w:val="FFFFFF"/>
                <w:highlight w:val="yellow"/>
              </w:rPr>
            </w:pPr>
            <w:r w:rsidRPr="00DD5E2A">
              <w:rPr>
                <w:color w:val="FFFFFF"/>
              </w:rPr>
              <w:t>$</w:t>
            </w:r>
          </w:p>
        </w:tc>
      </w:tr>
      <w:tr w:rsidR="00F667A2"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Victorian Responsible Gambling Foundation</w:t>
            </w:r>
          </w:p>
        </w:tc>
        <w:tc>
          <w:tcPr>
            <w:tcW w:w="4536"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 xml:space="preserve">The Foundation is </w:t>
            </w:r>
            <w:bookmarkStart w:id="0" w:name="_GoBack"/>
            <w:bookmarkEnd w:id="0"/>
            <w:r w:rsidRPr="00EA2FFF">
              <w:t>a statutory authority with the objectives of reducing the prevalence of problem gambling and the severity of harm related to gambling, and of fostering responsible gambling.</w:t>
            </w:r>
          </w:p>
          <w:p w:rsidR="00F667A2" w:rsidRPr="00EA2FFF" w:rsidRDefault="00F667A2" w:rsidP="00C36010">
            <w:r w:rsidRPr="00EA2FFF">
              <w:t xml:space="preserve">Link to </w:t>
            </w:r>
            <w:hyperlink r:id="rId9" w:history="1">
              <w:r w:rsidR="00C36010" w:rsidRPr="00B45412">
                <w:rPr>
                  <w:rStyle w:val="Hyperlink"/>
                </w:rPr>
                <w:t>grants</w:t>
              </w:r>
              <w:r w:rsidR="00D64793" w:rsidRPr="00B45412">
                <w:rPr>
                  <w:rStyle w:val="Hyperlink"/>
                </w:rPr>
                <w:t xml:space="preserve"> approved in 2014</w:t>
              </w:r>
              <w:r w:rsidR="00D32318" w:rsidRPr="00B45412">
                <w:rPr>
                  <w:rStyle w:val="Hyperlink"/>
                </w:rPr>
                <w:noBreakHyphen/>
              </w:r>
              <w:r w:rsidR="00D64793" w:rsidRPr="00B45412">
                <w:rPr>
                  <w:rStyle w:val="Hyperlink"/>
                </w:rPr>
                <w:t>15</w:t>
              </w:r>
            </w:hyperlink>
          </w:p>
        </w:tc>
        <w:tc>
          <w:tcPr>
            <w:tcW w:w="1417"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Gaming</w:t>
            </w:r>
          </w:p>
        </w:tc>
        <w:tc>
          <w:tcPr>
            <w:tcW w:w="1843" w:type="dxa"/>
            <w:tcBorders>
              <w:top w:val="single" w:sz="4" w:space="0" w:color="auto"/>
              <w:left w:val="single" w:sz="4" w:space="0" w:color="auto"/>
              <w:bottom w:val="single" w:sz="4" w:space="0" w:color="auto"/>
              <w:right w:val="single" w:sz="4" w:space="0" w:color="auto"/>
            </w:tcBorders>
          </w:tcPr>
          <w:p w:rsidR="00F667A2" w:rsidRPr="00EA2FFF" w:rsidRDefault="00D64793" w:rsidP="00A37B61">
            <w:pPr>
              <w:jc w:val="right"/>
            </w:pPr>
            <w:r w:rsidRPr="00EA2FFF">
              <w:t>43 347</w:t>
            </w:r>
            <w:r w:rsidR="007A527B" w:rsidRPr="00EA2FFF">
              <w:t> 000</w:t>
            </w:r>
            <w:r w:rsidR="00F7495A" w:rsidRPr="00EA2FFF">
              <w:t>.00</w:t>
            </w:r>
            <w:r w:rsidR="007A527B" w:rsidRPr="00EA2FFF">
              <w:t xml:space="preserve"> </w:t>
            </w:r>
          </w:p>
        </w:tc>
      </w:tr>
      <w:tr w:rsidR="00872FE8" w:rsidRPr="00EA2FFF" w:rsidTr="00D32318">
        <w:trPr>
          <w:cantSplit/>
        </w:trPr>
        <w:tc>
          <w:tcPr>
            <w:tcW w:w="2581" w:type="dxa"/>
            <w:tcBorders>
              <w:top w:val="single" w:sz="4" w:space="0" w:color="auto"/>
              <w:left w:val="single" w:sz="4" w:space="0" w:color="auto"/>
              <w:right w:val="single" w:sz="4" w:space="0" w:color="auto"/>
            </w:tcBorders>
          </w:tcPr>
          <w:p w:rsidR="00872FE8" w:rsidRPr="00EA2FFF" w:rsidRDefault="00872FE8" w:rsidP="00A37B61">
            <w:r w:rsidRPr="00EA2FFF">
              <w:t>Alcohol and Other Drugs Strategy – Treatment Services</w:t>
            </w:r>
          </w:p>
        </w:tc>
        <w:tc>
          <w:tcPr>
            <w:tcW w:w="4536" w:type="dxa"/>
            <w:tcBorders>
              <w:top w:val="single" w:sz="4" w:space="0" w:color="auto"/>
              <w:left w:val="single" w:sz="4" w:space="0" w:color="auto"/>
              <w:right w:val="single" w:sz="4" w:space="0" w:color="auto"/>
            </w:tcBorders>
          </w:tcPr>
          <w:p w:rsidR="00872FE8" w:rsidRPr="00EA2FFF" w:rsidRDefault="00BB71E6" w:rsidP="0053514C">
            <w:r w:rsidRPr="00EA2FFF">
              <w:t>This funding provides for a range of services under the Drug Prevention and Control and Drug Treatment and R</w:t>
            </w:r>
            <w:r w:rsidR="00D64793" w:rsidRPr="00EA2FFF">
              <w:t>ehabilitation outputs in 2014</w:t>
            </w:r>
            <w:r w:rsidR="00D32318">
              <w:noBreakHyphen/>
            </w:r>
            <w:r w:rsidR="00D64793" w:rsidRPr="00EA2FFF">
              <w:t>15</w:t>
            </w:r>
            <w:r w:rsidRPr="00EA2FFF">
              <w:t>. These include education, prevention, early intervention, treatment and sup</w:t>
            </w:r>
            <w:r w:rsidR="0053514C" w:rsidRPr="00EA2FFF">
              <w:t>po</w:t>
            </w:r>
            <w:r w:rsidR="00601C1A" w:rsidRPr="00EA2FFF">
              <w:t xml:space="preserve">rt programs and activities, and </w:t>
            </w:r>
            <w:r w:rsidRPr="00EA2FFF">
              <w:t>targeted services for homeless, youth, forensic, Aboriginal and CALD population groups. Services are delivered both in the community and residential treatment settings.</w:t>
            </w:r>
          </w:p>
        </w:tc>
        <w:tc>
          <w:tcPr>
            <w:tcW w:w="1417" w:type="dxa"/>
            <w:tcBorders>
              <w:top w:val="single" w:sz="4" w:space="0" w:color="auto"/>
              <w:left w:val="single" w:sz="4" w:space="0" w:color="auto"/>
              <w:right w:val="single" w:sz="4" w:space="0" w:color="auto"/>
            </w:tcBorders>
          </w:tcPr>
          <w:p w:rsidR="00872FE8" w:rsidRPr="00EA2FFF" w:rsidRDefault="00872FE8" w:rsidP="00A37B61">
            <w:r w:rsidRPr="00EA2FFF">
              <w:t>Health</w:t>
            </w:r>
          </w:p>
        </w:tc>
        <w:tc>
          <w:tcPr>
            <w:tcW w:w="1843" w:type="dxa"/>
            <w:tcBorders>
              <w:top w:val="single" w:sz="4" w:space="0" w:color="auto"/>
              <w:left w:val="single" w:sz="4" w:space="0" w:color="auto"/>
              <w:right w:val="single" w:sz="4" w:space="0" w:color="auto"/>
            </w:tcBorders>
          </w:tcPr>
          <w:p w:rsidR="00872FE8" w:rsidRPr="00EA2FFF" w:rsidRDefault="00D64793" w:rsidP="00A37B61">
            <w:pPr>
              <w:jc w:val="right"/>
            </w:pPr>
            <w:r w:rsidRPr="00EA2FFF">
              <w:t>4</w:t>
            </w:r>
            <w:r w:rsidR="00872FE8" w:rsidRPr="00EA2FFF">
              <w:t>0 000 000</w:t>
            </w:r>
            <w:r w:rsidR="00F7495A" w:rsidRPr="00EA2FFF">
              <w:t>.00</w:t>
            </w:r>
          </w:p>
        </w:tc>
      </w:tr>
      <w:tr w:rsidR="003A1359"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3A1359" w:rsidRPr="00EA2FFF" w:rsidRDefault="003A1359" w:rsidP="0063273B">
            <w:r w:rsidRPr="00EA2FFF">
              <w:t>Aquatic Access</w:t>
            </w:r>
            <w:r w:rsidR="00D32318">
              <w:t>/</w:t>
            </w:r>
            <w:r w:rsidRPr="00EA2FFF">
              <w:t>Better Pools</w:t>
            </w:r>
          </w:p>
        </w:tc>
        <w:tc>
          <w:tcPr>
            <w:tcW w:w="4536" w:type="dxa"/>
            <w:tcBorders>
              <w:top w:val="single" w:sz="4" w:space="0" w:color="auto"/>
              <w:left w:val="single" w:sz="4" w:space="0" w:color="auto"/>
              <w:bottom w:val="single" w:sz="4" w:space="0" w:color="auto"/>
              <w:right w:val="single" w:sz="4" w:space="0" w:color="auto"/>
            </w:tcBorders>
          </w:tcPr>
          <w:p w:rsidR="003A1359" w:rsidRPr="00EA2FFF" w:rsidRDefault="003A1359" w:rsidP="0063273B">
            <w:r w:rsidRPr="00EA2FFF">
              <w:t>This initiative forms part of the ‘Go For Your Life’ strategy. It contributes to community aquatic recreation projects tha</w:t>
            </w:r>
            <w:r w:rsidR="00EA2FFF">
              <w:t>t increase participation/</w:t>
            </w:r>
            <w:r w:rsidRPr="00EA2FFF">
              <w:t>improve access to aquatic based sport and recreation activities, particularly in disadvantaged areas. Projects supported include new major aquatic centres and the redevelopment of existing swimming pools.</w:t>
            </w:r>
          </w:p>
        </w:tc>
        <w:tc>
          <w:tcPr>
            <w:tcW w:w="1417" w:type="dxa"/>
            <w:tcBorders>
              <w:top w:val="single" w:sz="4" w:space="0" w:color="auto"/>
              <w:left w:val="single" w:sz="4" w:space="0" w:color="auto"/>
              <w:bottom w:val="single" w:sz="4" w:space="0" w:color="auto"/>
              <w:right w:val="single" w:sz="4" w:space="0" w:color="auto"/>
            </w:tcBorders>
          </w:tcPr>
          <w:p w:rsidR="003A1359" w:rsidRPr="00EA2FFF" w:rsidRDefault="003A1359" w:rsidP="0063273B">
            <w:r w:rsidRPr="00EA2FFF">
              <w:t>Sport and Recreation</w:t>
            </w:r>
          </w:p>
        </w:tc>
        <w:tc>
          <w:tcPr>
            <w:tcW w:w="1843" w:type="dxa"/>
            <w:tcBorders>
              <w:top w:val="single" w:sz="4" w:space="0" w:color="auto"/>
              <w:left w:val="single" w:sz="4" w:space="0" w:color="auto"/>
              <w:bottom w:val="single" w:sz="4" w:space="0" w:color="auto"/>
              <w:right w:val="single" w:sz="4" w:space="0" w:color="auto"/>
            </w:tcBorders>
          </w:tcPr>
          <w:p w:rsidR="003A1359" w:rsidRPr="00EA2FFF" w:rsidRDefault="003A1359" w:rsidP="0063273B">
            <w:pPr>
              <w:jc w:val="right"/>
            </w:pPr>
            <w:r w:rsidRPr="00EA2FFF">
              <w:t>1 250 000.00</w:t>
            </w:r>
          </w:p>
        </w:tc>
      </w:tr>
      <w:tr w:rsidR="00F667A2"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Better Facilities – Stronger Communities</w:t>
            </w:r>
          </w:p>
        </w:tc>
        <w:tc>
          <w:tcPr>
            <w:tcW w:w="4536"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This initiative provides communities with revitalised facilities, extending the functional life of buildings and ensuring continued access and use by the broader community. Around 35 RSL Sub</w:t>
            </w:r>
            <w:r w:rsidR="00D32318">
              <w:noBreakHyphen/>
            </w:r>
            <w:r w:rsidRPr="00EA2FFF">
              <w:t>Branches and CFA stations will benefit from upgrade and redevelopment works in areas of disadvantage, growth or decline across Victoria over the life of the program.</w:t>
            </w:r>
          </w:p>
          <w:p w:rsidR="001800B9" w:rsidRPr="00EA2FFF" w:rsidRDefault="001800B9" w:rsidP="00A37B61">
            <w:r w:rsidRPr="00EA2FFF">
              <w:t xml:space="preserve">Link to </w:t>
            </w:r>
            <w:hyperlink r:id="rId10" w:history="1">
              <w:r w:rsidRPr="00B45412">
                <w:rPr>
                  <w:rStyle w:val="Hyperlink"/>
                </w:rPr>
                <w:t>grants</w:t>
              </w:r>
              <w:r w:rsidR="00D64793" w:rsidRPr="00B45412">
                <w:rPr>
                  <w:rStyle w:val="Hyperlink"/>
                </w:rPr>
                <w:t xml:space="preserve"> approved in 2014</w:t>
              </w:r>
              <w:r w:rsidR="00D32318" w:rsidRPr="00B45412">
                <w:rPr>
                  <w:rStyle w:val="Hyperlink"/>
                </w:rPr>
                <w:noBreakHyphen/>
              </w:r>
              <w:r w:rsidR="00D64793" w:rsidRPr="00B45412">
                <w:rPr>
                  <w:rStyle w:val="Hyperlink"/>
                </w:rPr>
                <w:t>15</w:t>
              </w:r>
            </w:hyperlink>
          </w:p>
        </w:tc>
        <w:tc>
          <w:tcPr>
            <w:tcW w:w="1417"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Veterans Affairs</w:t>
            </w:r>
          </w:p>
        </w:tc>
        <w:tc>
          <w:tcPr>
            <w:tcW w:w="1843" w:type="dxa"/>
            <w:tcBorders>
              <w:top w:val="single" w:sz="4" w:space="0" w:color="auto"/>
              <w:left w:val="single" w:sz="4" w:space="0" w:color="auto"/>
              <w:bottom w:val="single" w:sz="4" w:space="0" w:color="auto"/>
              <w:right w:val="single" w:sz="4" w:space="0" w:color="auto"/>
            </w:tcBorders>
          </w:tcPr>
          <w:p w:rsidR="00F667A2" w:rsidRPr="00EA2FFF" w:rsidRDefault="00D64793" w:rsidP="00A37B61">
            <w:pPr>
              <w:jc w:val="right"/>
            </w:pPr>
            <w:r w:rsidRPr="00EA2FFF">
              <w:t>377 401</w:t>
            </w:r>
            <w:r w:rsidR="00F7495A" w:rsidRPr="00EA2FFF">
              <w:t>.00</w:t>
            </w:r>
          </w:p>
        </w:tc>
      </w:tr>
      <w:tr w:rsidR="00277517"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277517" w:rsidRPr="00EA2FFF" w:rsidRDefault="00277517" w:rsidP="00601C1A">
            <w:r w:rsidRPr="00EA2FFF">
              <w:t>Children and Youth Area Partnerships</w:t>
            </w:r>
          </w:p>
        </w:tc>
        <w:tc>
          <w:tcPr>
            <w:tcW w:w="4536" w:type="dxa"/>
            <w:tcBorders>
              <w:top w:val="single" w:sz="4" w:space="0" w:color="auto"/>
              <w:left w:val="single" w:sz="4" w:space="0" w:color="auto"/>
              <w:bottom w:val="single" w:sz="4" w:space="0" w:color="auto"/>
              <w:right w:val="single" w:sz="4" w:space="0" w:color="auto"/>
            </w:tcBorders>
          </w:tcPr>
          <w:p w:rsidR="00A36DCF" w:rsidRPr="00EA2FFF" w:rsidRDefault="0025353F" w:rsidP="00EA2FFF">
            <w:r w:rsidRPr="00EA2FFF">
              <w:rPr>
                <w:bCs/>
              </w:rPr>
              <w:t>Children and Youth Area Partnerships (Area Partnerships) is a Victorian Government initiative to improve outcomes for vulnerable children, young people and their families at the local level.</w:t>
            </w:r>
            <w:r w:rsidRPr="00EA2FFF">
              <w:rPr>
                <w:lang w:val="en-US"/>
              </w:rPr>
              <w:t xml:space="preserve">  </w:t>
            </w:r>
            <w:r w:rsidRPr="00EA2FFF">
              <w:t>Area Partnerships bring together representatives in a local area from Commonwealth, State and local governments, the community sector and the broader community, who are most able to impact the outcomes for children and young people</w:t>
            </w:r>
            <w:r w:rsidR="00EA2FFF">
              <w:t>.</w:t>
            </w:r>
            <w:r w:rsidRPr="00EA2FFF">
              <w:t xml:space="preserve"> </w:t>
            </w:r>
          </w:p>
        </w:tc>
        <w:tc>
          <w:tcPr>
            <w:tcW w:w="1417" w:type="dxa"/>
            <w:tcBorders>
              <w:top w:val="single" w:sz="4" w:space="0" w:color="auto"/>
              <w:left w:val="single" w:sz="4" w:space="0" w:color="auto"/>
              <w:bottom w:val="single" w:sz="4" w:space="0" w:color="auto"/>
              <w:right w:val="single" w:sz="4" w:space="0" w:color="auto"/>
            </w:tcBorders>
          </w:tcPr>
          <w:p w:rsidR="00277517" w:rsidRPr="00EA2FFF" w:rsidRDefault="00F66157" w:rsidP="00A37B61">
            <w:r w:rsidRPr="00EA2FFF">
              <w:t>Families and Children</w:t>
            </w:r>
          </w:p>
        </w:tc>
        <w:tc>
          <w:tcPr>
            <w:tcW w:w="1843" w:type="dxa"/>
            <w:tcBorders>
              <w:top w:val="single" w:sz="4" w:space="0" w:color="auto"/>
              <w:left w:val="single" w:sz="4" w:space="0" w:color="auto"/>
              <w:bottom w:val="single" w:sz="4" w:space="0" w:color="auto"/>
              <w:right w:val="single" w:sz="4" w:space="0" w:color="auto"/>
            </w:tcBorders>
          </w:tcPr>
          <w:p w:rsidR="00277517" w:rsidRPr="00EA2FFF" w:rsidRDefault="00277517" w:rsidP="00A37B61">
            <w:pPr>
              <w:jc w:val="right"/>
            </w:pPr>
            <w:r w:rsidRPr="00EA2FFF">
              <w:t>302 791.55</w:t>
            </w:r>
          </w:p>
        </w:tc>
      </w:tr>
      <w:tr w:rsidR="00F667A2"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F667A2" w:rsidRPr="00EA2FFF" w:rsidRDefault="00F667A2" w:rsidP="00601C1A">
            <w:r w:rsidRPr="00EA2FFF">
              <w:t>Community Advancement Fund</w:t>
            </w:r>
            <w:r w:rsidR="009A3719" w:rsidRPr="00EA2FFF">
              <w:t xml:space="preserve"> </w:t>
            </w:r>
          </w:p>
        </w:tc>
        <w:tc>
          <w:tcPr>
            <w:tcW w:w="4536" w:type="dxa"/>
            <w:tcBorders>
              <w:top w:val="single" w:sz="4" w:space="0" w:color="auto"/>
              <w:left w:val="single" w:sz="4" w:space="0" w:color="auto"/>
              <w:bottom w:val="single" w:sz="4" w:space="0" w:color="auto"/>
              <w:right w:val="single" w:sz="4" w:space="0" w:color="auto"/>
            </w:tcBorders>
          </w:tcPr>
          <w:p w:rsidR="00F667A2" w:rsidRPr="00EA2FFF" w:rsidRDefault="007A665A" w:rsidP="00A37B61">
            <w:r w:rsidRPr="00EA2FFF">
              <w:t>This fund</w:t>
            </w:r>
            <w:r w:rsidR="00F667A2" w:rsidRPr="00EA2FFF">
              <w:t xml:space="preserve"> provides funding for a limited number of initiatives that relate to the support and advancement of the community.</w:t>
            </w:r>
          </w:p>
          <w:p w:rsidR="00F667A2" w:rsidRPr="00EA2FFF" w:rsidRDefault="00B111C4" w:rsidP="00C367C8">
            <w:r w:rsidRPr="00EA2FFF">
              <w:t xml:space="preserve">Link to </w:t>
            </w:r>
            <w:hyperlink r:id="rId11" w:history="1">
              <w:r w:rsidRPr="00B45412">
                <w:rPr>
                  <w:rStyle w:val="Hyperlink"/>
                </w:rPr>
                <w:t xml:space="preserve">grants approved in </w:t>
              </w:r>
              <w:r w:rsidR="00D64793" w:rsidRPr="00B45412">
                <w:rPr>
                  <w:rStyle w:val="Hyperlink"/>
                </w:rPr>
                <w:t>2014</w:t>
              </w:r>
              <w:r w:rsidR="00D32318" w:rsidRPr="00B45412">
                <w:rPr>
                  <w:rStyle w:val="Hyperlink"/>
                </w:rPr>
                <w:noBreakHyphen/>
              </w:r>
              <w:r w:rsidR="00D64793" w:rsidRPr="00B45412">
                <w:rPr>
                  <w:rStyle w:val="Hyperlink"/>
                </w:rPr>
                <w:t>15</w:t>
              </w:r>
            </w:hyperlink>
          </w:p>
        </w:tc>
        <w:tc>
          <w:tcPr>
            <w:tcW w:w="1417"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Premier</w:t>
            </w:r>
          </w:p>
        </w:tc>
        <w:tc>
          <w:tcPr>
            <w:tcW w:w="1843" w:type="dxa"/>
            <w:tcBorders>
              <w:top w:val="single" w:sz="4" w:space="0" w:color="auto"/>
              <w:left w:val="single" w:sz="4" w:space="0" w:color="auto"/>
              <w:bottom w:val="single" w:sz="4" w:space="0" w:color="auto"/>
              <w:right w:val="single" w:sz="4" w:space="0" w:color="auto"/>
            </w:tcBorders>
          </w:tcPr>
          <w:p w:rsidR="00F667A2" w:rsidRPr="00EA2FFF" w:rsidRDefault="00F667A2" w:rsidP="00A37B61">
            <w:pPr>
              <w:jc w:val="right"/>
            </w:pPr>
            <w:r w:rsidRPr="00EA2FFF">
              <w:t>1 000 000</w:t>
            </w:r>
            <w:r w:rsidR="00F7495A" w:rsidRPr="00EA2FFF">
              <w:t>.00</w:t>
            </w:r>
          </w:p>
        </w:tc>
      </w:tr>
      <w:tr w:rsidR="00F667A2"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lastRenderedPageBreak/>
              <w:t>Community Commitments</w:t>
            </w:r>
          </w:p>
        </w:tc>
        <w:tc>
          <w:tcPr>
            <w:tcW w:w="4536"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Community Commitments program</w:t>
            </w:r>
          </w:p>
        </w:tc>
        <w:tc>
          <w:tcPr>
            <w:tcW w:w="1417" w:type="dxa"/>
            <w:tcBorders>
              <w:top w:val="single" w:sz="4" w:space="0" w:color="auto"/>
              <w:left w:val="single" w:sz="4" w:space="0" w:color="auto"/>
              <w:bottom w:val="single" w:sz="4" w:space="0" w:color="auto"/>
              <w:right w:val="single" w:sz="4" w:space="0" w:color="auto"/>
            </w:tcBorders>
          </w:tcPr>
          <w:p w:rsidR="00F667A2" w:rsidRPr="00EA2FFF" w:rsidRDefault="00F66157" w:rsidP="00A37B61">
            <w:r w:rsidRPr="00EA2FFF">
              <w:t>Families and Children</w:t>
            </w:r>
          </w:p>
        </w:tc>
        <w:tc>
          <w:tcPr>
            <w:tcW w:w="1843" w:type="dxa"/>
            <w:tcBorders>
              <w:top w:val="single" w:sz="4" w:space="0" w:color="auto"/>
              <w:left w:val="single" w:sz="4" w:space="0" w:color="auto"/>
              <w:bottom w:val="single" w:sz="4" w:space="0" w:color="auto"/>
              <w:right w:val="single" w:sz="4" w:space="0" w:color="auto"/>
            </w:tcBorders>
          </w:tcPr>
          <w:p w:rsidR="00F667A2" w:rsidRPr="00EA2FFF" w:rsidRDefault="006D3AC0" w:rsidP="00A37B61">
            <w:pPr>
              <w:jc w:val="right"/>
            </w:pPr>
            <w:r w:rsidRPr="00EA2FFF">
              <w:t>25</w:t>
            </w:r>
            <w:r w:rsidR="00F667A2" w:rsidRPr="00EA2FFF">
              <w:t> 000</w:t>
            </w:r>
            <w:r w:rsidR="00F7495A" w:rsidRPr="00EA2FFF">
              <w:t>.00</w:t>
            </w:r>
          </w:p>
        </w:tc>
      </w:tr>
      <w:tr w:rsidR="00F55681" w:rsidRPr="00EA2FFF" w:rsidTr="00D32318">
        <w:trPr>
          <w:cantSplit/>
        </w:trPr>
        <w:tc>
          <w:tcPr>
            <w:tcW w:w="2581" w:type="dxa"/>
            <w:tcBorders>
              <w:top w:val="single" w:sz="4" w:space="0" w:color="auto"/>
              <w:left w:val="single" w:sz="4" w:space="0" w:color="auto"/>
              <w:right w:val="single" w:sz="4" w:space="0" w:color="auto"/>
            </w:tcBorders>
          </w:tcPr>
          <w:p w:rsidR="00F55681" w:rsidRPr="00EA2FFF" w:rsidRDefault="00F55681" w:rsidP="00F55681">
            <w:r w:rsidRPr="00EA2FFF">
              <w:t xml:space="preserve">Community Commitments </w:t>
            </w:r>
          </w:p>
        </w:tc>
        <w:tc>
          <w:tcPr>
            <w:tcW w:w="4536" w:type="dxa"/>
            <w:tcBorders>
              <w:top w:val="single" w:sz="4" w:space="0" w:color="auto"/>
              <w:left w:val="single" w:sz="4" w:space="0" w:color="auto"/>
              <w:right w:val="single" w:sz="4" w:space="0" w:color="auto"/>
            </w:tcBorders>
          </w:tcPr>
          <w:p w:rsidR="00F55681" w:rsidRPr="00EA2FFF" w:rsidRDefault="00F55681" w:rsidP="00A37B61">
            <w:r w:rsidRPr="00EA2FFF">
              <w:t>Community Commitments program</w:t>
            </w:r>
          </w:p>
        </w:tc>
        <w:tc>
          <w:tcPr>
            <w:tcW w:w="1417" w:type="dxa"/>
            <w:tcBorders>
              <w:top w:val="single" w:sz="4" w:space="0" w:color="auto"/>
              <w:left w:val="single" w:sz="4" w:space="0" w:color="auto"/>
              <w:right w:val="single" w:sz="4" w:space="0" w:color="auto"/>
            </w:tcBorders>
          </w:tcPr>
          <w:p w:rsidR="00F55681" w:rsidRPr="00EA2FFF" w:rsidRDefault="00F55681" w:rsidP="00A37B61">
            <w:r w:rsidRPr="00EA2FFF">
              <w:t>Regional and Rural Development</w:t>
            </w:r>
          </w:p>
        </w:tc>
        <w:tc>
          <w:tcPr>
            <w:tcW w:w="1843" w:type="dxa"/>
            <w:tcBorders>
              <w:top w:val="single" w:sz="4" w:space="0" w:color="auto"/>
              <w:left w:val="single" w:sz="4" w:space="0" w:color="auto"/>
              <w:right w:val="single" w:sz="4" w:space="0" w:color="auto"/>
            </w:tcBorders>
          </w:tcPr>
          <w:p w:rsidR="00F55681" w:rsidRPr="00EA2FFF" w:rsidRDefault="00D64793" w:rsidP="003F79CF">
            <w:pPr>
              <w:jc w:val="right"/>
            </w:pPr>
            <w:r w:rsidRPr="00EA2FFF">
              <w:t> 156</w:t>
            </w:r>
            <w:r w:rsidR="00F55681" w:rsidRPr="00EA2FFF">
              <w:t> </w:t>
            </w:r>
            <w:r w:rsidRPr="00EA2FFF">
              <w:t>000</w:t>
            </w:r>
            <w:r w:rsidR="00F7495A" w:rsidRPr="00EA2FFF">
              <w:t>.00</w:t>
            </w:r>
          </w:p>
        </w:tc>
      </w:tr>
      <w:tr w:rsidR="00D05B64"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D05B64" w:rsidRPr="00EA2FFF" w:rsidRDefault="00D05B64" w:rsidP="0063273B">
            <w:r w:rsidRPr="00EA2FFF">
              <w:t xml:space="preserve">Community Commitments </w:t>
            </w:r>
          </w:p>
        </w:tc>
        <w:tc>
          <w:tcPr>
            <w:tcW w:w="4536" w:type="dxa"/>
            <w:tcBorders>
              <w:top w:val="single" w:sz="4" w:space="0" w:color="auto"/>
              <w:left w:val="single" w:sz="4" w:space="0" w:color="auto"/>
              <w:bottom w:val="single" w:sz="4" w:space="0" w:color="auto"/>
              <w:right w:val="single" w:sz="4" w:space="0" w:color="auto"/>
            </w:tcBorders>
          </w:tcPr>
          <w:p w:rsidR="00D05B64" w:rsidRPr="00EA2FFF" w:rsidRDefault="008F3A9C" w:rsidP="0063273B">
            <w:r w:rsidRPr="00EA2FFF">
              <w:t>This initiative responds to community sport and recreation needs by building and upgrading sports facilities; providing accessible, high quality facilities and building healthy, active communities for all Victorians.</w:t>
            </w:r>
          </w:p>
        </w:tc>
        <w:tc>
          <w:tcPr>
            <w:tcW w:w="1417" w:type="dxa"/>
            <w:tcBorders>
              <w:top w:val="single" w:sz="4" w:space="0" w:color="auto"/>
              <w:left w:val="single" w:sz="4" w:space="0" w:color="auto"/>
              <w:bottom w:val="single" w:sz="4" w:space="0" w:color="auto"/>
              <w:right w:val="single" w:sz="4" w:space="0" w:color="auto"/>
            </w:tcBorders>
          </w:tcPr>
          <w:p w:rsidR="00D05B64" w:rsidRPr="00EA2FFF" w:rsidRDefault="00D05B64" w:rsidP="0063273B">
            <w:r w:rsidRPr="00EA2FFF">
              <w:t>Sport and Recreation</w:t>
            </w:r>
          </w:p>
        </w:tc>
        <w:tc>
          <w:tcPr>
            <w:tcW w:w="1843" w:type="dxa"/>
            <w:tcBorders>
              <w:top w:val="single" w:sz="4" w:space="0" w:color="auto"/>
              <w:left w:val="single" w:sz="4" w:space="0" w:color="auto"/>
              <w:bottom w:val="single" w:sz="4" w:space="0" w:color="auto"/>
              <w:right w:val="single" w:sz="4" w:space="0" w:color="auto"/>
            </w:tcBorders>
          </w:tcPr>
          <w:p w:rsidR="00D05B64" w:rsidRPr="00EA2FFF" w:rsidRDefault="003F67A2" w:rsidP="00D05B64">
            <w:pPr>
              <w:jc w:val="right"/>
            </w:pPr>
            <w:r w:rsidRPr="00EA2FFF">
              <w:t> 1 00</w:t>
            </w:r>
            <w:r w:rsidR="00D05B64" w:rsidRPr="00EA2FFF">
              <w:t>0 000</w:t>
            </w:r>
            <w:r w:rsidR="00F7495A" w:rsidRPr="00EA2FFF">
              <w:t>.00</w:t>
            </w:r>
          </w:p>
        </w:tc>
      </w:tr>
      <w:tr w:rsidR="00F667A2"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 xml:space="preserve">Community </w:t>
            </w:r>
            <w:r w:rsidR="006F48D7" w:rsidRPr="00EA2FFF">
              <w:t>Facility Funding Program 2011</w:t>
            </w:r>
            <w:r w:rsidR="00D32318">
              <w:noBreakHyphen/>
            </w:r>
            <w:r w:rsidR="006F48D7" w:rsidRPr="00EA2FFF">
              <w:t>12</w:t>
            </w:r>
          </w:p>
        </w:tc>
        <w:tc>
          <w:tcPr>
            <w:tcW w:w="4536" w:type="dxa"/>
            <w:tcBorders>
              <w:top w:val="single" w:sz="4" w:space="0" w:color="auto"/>
              <w:left w:val="single" w:sz="4" w:space="0" w:color="auto"/>
              <w:bottom w:val="single" w:sz="4" w:space="0" w:color="auto"/>
              <w:right w:val="single" w:sz="4" w:space="0" w:color="auto"/>
            </w:tcBorders>
          </w:tcPr>
          <w:p w:rsidR="002E2F3E" w:rsidRPr="00EA2FFF" w:rsidRDefault="00F667A2" w:rsidP="00A37B61">
            <w:pPr>
              <w:rPr>
                <w:rFonts w:cs="Calibri"/>
                <w:color w:val="000000"/>
              </w:rPr>
            </w:pPr>
            <w:r w:rsidRPr="00EA2FFF">
              <w:rPr>
                <w:rFonts w:cs="Calibri"/>
                <w:color w:val="000000"/>
              </w:rPr>
              <w:t>This initiative contributes to community sport and recreation projects that increase participation and/or improve access to sport and recreation activities.  Projects supported include sporting facility developments and improvements, including but not limited to aquatic leisure centre developments, multi</w:t>
            </w:r>
            <w:r w:rsidR="00D32318">
              <w:rPr>
                <w:rFonts w:cs="Calibri"/>
                <w:color w:val="000000"/>
              </w:rPr>
              <w:noBreakHyphen/>
            </w:r>
            <w:r w:rsidRPr="00EA2FFF">
              <w:rPr>
                <w:rFonts w:cs="Calibri"/>
                <w:color w:val="000000"/>
              </w:rPr>
              <w:t>purpose indoor stadiums, sports pavilions, playing surfaces, youth recreation facilities, and planning initiatives.</w:t>
            </w:r>
          </w:p>
        </w:tc>
        <w:tc>
          <w:tcPr>
            <w:tcW w:w="1417" w:type="dxa"/>
            <w:tcBorders>
              <w:top w:val="single" w:sz="4" w:space="0" w:color="auto"/>
              <w:left w:val="single" w:sz="4" w:space="0" w:color="auto"/>
              <w:bottom w:val="single" w:sz="4" w:space="0" w:color="auto"/>
              <w:right w:val="single" w:sz="4" w:space="0" w:color="auto"/>
            </w:tcBorders>
          </w:tcPr>
          <w:p w:rsidR="00F667A2" w:rsidRPr="00EA2FFF" w:rsidRDefault="00F667A2" w:rsidP="00A37B61">
            <w:r w:rsidRPr="00EA2FFF">
              <w:t>Sport and Recreation</w:t>
            </w:r>
          </w:p>
        </w:tc>
        <w:tc>
          <w:tcPr>
            <w:tcW w:w="1843" w:type="dxa"/>
            <w:tcBorders>
              <w:top w:val="single" w:sz="4" w:space="0" w:color="auto"/>
              <w:left w:val="single" w:sz="4" w:space="0" w:color="auto"/>
              <w:bottom w:val="single" w:sz="4" w:space="0" w:color="auto"/>
              <w:right w:val="single" w:sz="4" w:space="0" w:color="auto"/>
            </w:tcBorders>
          </w:tcPr>
          <w:p w:rsidR="00F667A2" w:rsidRPr="00EA2FFF" w:rsidRDefault="003F67A2" w:rsidP="00A37B61">
            <w:pPr>
              <w:jc w:val="right"/>
            </w:pPr>
            <w:r w:rsidRPr="00EA2FFF">
              <w:t>2</w:t>
            </w:r>
            <w:r w:rsidR="00F667A2" w:rsidRPr="00EA2FFF">
              <w:t>00 000</w:t>
            </w:r>
            <w:r w:rsidR="00F7495A" w:rsidRPr="00EA2FFF">
              <w:t>.00</w:t>
            </w:r>
          </w:p>
        </w:tc>
      </w:tr>
      <w:tr w:rsidR="006F48D7"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6F48D7" w:rsidRPr="00EA2FFF" w:rsidRDefault="006F48D7" w:rsidP="00A37B61">
            <w:r w:rsidRPr="00EA2FFF">
              <w:t>Community Facility Funding Program 2012</w:t>
            </w:r>
            <w:r w:rsidR="00D32318">
              <w:noBreakHyphen/>
            </w:r>
            <w:r w:rsidRPr="00EA2FFF">
              <w:t>13</w:t>
            </w:r>
          </w:p>
        </w:tc>
        <w:tc>
          <w:tcPr>
            <w:tcW w:w="4536" w:type="dxa"/>
            <w:tcBorders>
              <w:top w:val="single" w:sz="4" w:space="0" w:color="auto"/>
              <w:left w:val="single" w:sz="4" w:space="0" w:color="auto"/>
              <w:bottom w:val="single" w:sz="4" w:space="0" w:color="auto"/>
              <w:right w:val="single" w:sz="4" w:space="0" w:color="auto"/>
            </w:tcBorders>
          </w:tcPr>
          <w:p w:rsidR="00B111C4" w:rsidRPr="00EA2FFF" w:rsidRDefault="006F48D7" w:rsidP="00A37B61">
            <w:r w:rsidRPr="00EA2FFF">
              <w:t xml:space="preserve">This Program aims to increase participation in sport and recreation and to address a shortfall in the quantity, quality and range of community sport and recreation facilities across Victorian </w:t>
            </w:r>
            <w:r w:rsidR="002E2F3E" w:rsidRPr="00EA2FFF">
              <w:t>communities.</w:t>
            </w:r>
          </w:p>
        </w:tc>
        <w:tc>
          <w:tcPr>
            <w:tcW w:w="1417" w:type="dxa"/>
            <w:tcBorders>
              <w:top w:val="single" w:sz="4" w:space="0" w:color="auto"/>
              <w:left w:val="single" w:sz="4" w:space="0" w:color="auto"/>
              <w:bottom w:val="single" w:sz="4" w:space="0" w:color="auto"/>
              <w:right w:val="single" w:sz="4" w:space="0" w:color="auto"/>
            </w:tcBorders>
          </w:tcPr>
          <w:p w:rsidR="006F48D7" w:rsidRPr="00EA2FFF" w:rsidRDefault="006F48D7" w:rsidP="00A37B61">
            <w:r w:rsidRPr="00EA2FFF">
              <w:t>Sport and Recreation</w:t>
            </w:r>
          </w:p>
        </w:tc>
        <w:tc>
          <w:tcPr>
            <w:tcW w:w="1843" w:type="dxa"/>
            <w:tcBorders>
              <w:top w:val="single" w:sz="4" w:space="0" w:color="auto"/>
              <w:left w:val="single" w:sz="4" w:space="0" w:color="auto"/>
              <w:bottom w:val="single" w:sz="4" w:space="0" w:color="auto"/>
              <w:right w:val="single" w:sz="4" w:space="0" w:color="auto"/>
            </w:tcBorders>
          </w:tcPr>
          <w:p w:rsidR="006F48D7" w:rsidRPr="00EA2FFF" w:rsidRDefault="003F67A2" w:rsidP="00A37B61">
            <w:pPr>
              <w:jc w:val="right"/>
            </w:pPr>
            <w:r w:rsidRPr="00EA2FFF">
              <w:t>3 1</w:t>
            </w:r>
            <w:r w:rsidR="006F48D7" w:rsidRPr="00EA2FFF">
              <w:t>00 000</w:t>
            </w:r>
            <w:r w:rsidR="00F7495A" w:rsidRPr="00EA2FFF">
              <w:t>.00</w:t>
            </w:r>
          </w:p>
        </w:tc>
      </w:tr>
      <w:tr w:rsidR="006D0F4D"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6D0F4D" w:rsidRPr="00EA2FFF" w:rsidRDefault="006D0F4D" w:rsidP="0063273B">
            <w:r w:rsidRPr="00EA2FFF">
              <w:t>Community Facility Funding Program 2013</w:t>
            </w:r>
            <w:r w:rsidR="00D32318">
              <w:noBreakHyphen/>
            </w:r>
            <w:r w:rsidRPr="00EA2FFF">
              <w:t>14</w:t>
            </w:r>
          </w:p>
        </w:tc>
        <w:tc>
          <w:tcPr>
            <w:tcW w:w="4536" w:type="dxa"/>
            <w:tcBorders>
              <w:top w:val="single" w:sz="4" w:space="0" w:color="auto"/>
              <w:left w:val="single" w:sz="4" w:space="0" w:color="auto"/>
              <w:bottom w:val="single" w:sz="4" w:space="0" w:color="auto"/>
              <w:right w:val="single" w:sz="4" w:space="0" w:color="auto"/>
            </w:tcBorders>
          </w:tcPr>
          <w:p w:rsidR="006D0F4D" w:rsidRPr="00EA2FFF" w:rsidRDefault="006D0F4D" w:rsidP="0063273B">
            <w:r w:rsidRPr="00EA2FFF">
              <w:t>This Program aims to increase participation in sport and recreation and to address a shortfall in the quantity, quality and range of community sport and recreation facilities across Victorian communities.</w:t>
            </w:r>
          </w:p>
        </w:tc>
        <w:tc>
          <w:tcPr>
            <w:tcW w:w="1417" w:type="dxa"/>
            <w:tcBorders>
              <w:top w:val="single" w:sz="4" w:space="0" w:color="auto"/>
              <w:left w:val="single" w:sz="4" w:space="0" w:color="auto"/>
              <w:bottom w:val="single" w:sz="4" w:space="0" w:color="auto"/>
              <w:right w:val="single" w:sz="4" w:space="0" w:color="auto"/>
            </w:tcBorders>
          </w:tcPr>
          <w:p w:rsidR="006D0F4D" w:rsidRPr="00EA2FFF" w:rsidRDefault="006D0F4D" w:rsidP="0063273B">
            <w:r w:rsidRPr="00EA2FFF">
              <w:t>Sport and Recreation</w:t>
            </w:r>
          </w:p>
        </w:tc>
        <w:tc>
          <w:tcPr>
            <w:tcW w:w="1843" w:type="dxa"/>
            <w:tcBorders>
              <w:top w:val="single" w:sz="4" w:space="0" w:color="auto"/>
              <w:left w:val="single" w:sz="4" w:space="0" w:color="auto"/>
              <w:bottom w:val="single" w:sz="4" w:space="0" w:color="auto"/>
              <w:right w:val="single" w:sz="4" w:space="0" w:color="auto"/>
            </w:tcBorders>
          </w:tcPr>
          <w:p w:rsidR="006D0F4D" w:rsidRPr="00EA2FFF" w:rsidRDefault="003F67A2" w:rsidP="0063273B">
            <w:pPr>
              <w:jc w:val="right"/>
            </w:pPr>
            <w:r w:rsidRPr="00EA2FFF">
              <w:t>3</w:t>
            </w:r>
            <w:r w:rsidR="006D0F4D" w:rsidRPr="00EA2FFF">
              <w:t> </w:t>
            </w:r>
            <w:r w:rsidRPr="00EA2FFF">
              <w:t>68</w:t>
            </w:r>
            <w:r w:rsidR="006D0F4D" w:rsidRPr="00EA2FFF">
              <w:t>0 000</w:t>
            </w:r>
            <w:r w:rsidR="00F7495A" w:rsidRPr="00EA2FFF">
              <w:t>.00</w:t>
            </w:r>
          </w:p>
        </w:tc>
      </w:tr>
      <w:tr w:rsidR="00277517"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277517" w:rsidRPr="00EA2FFF" w:rsidRDefault="00277517" w:rsidP="00A37B61">
            <w:r w:rsidRPr="00EA2FFF">
              <w:t>Community Facility Funding Program 2014</w:t>
            </w:r>
            <w:r w:rsidR="00D32318">
              <w:noBreakHyphen/>
            </w:r>
            <w:r w:rsidRPr="00EA2FFF">
              <w:t>15</w:t>
            </w:r>
          </w:p>
        </w:tc>
        <w:tc>
          <w:tcPr>
            <w:tcW w:w="4536" w:type="dxa"/>
            <w:tcBorders>
              <w:top w:val="single" w:sz="4" w:space="0" w:color="auto"/>
              <w:left w:val="single" w:sz="4" w:space="0" w:color="auto"/>
              <w:bottom w:val="single" w:sz="4" w:space="0" w:color="auto"/>
              <w:right w:val="single" w:sz="4" w:space="0" w:color="auto"/>
            </w:tcBorders>
          </w:tcPr>
          <w:p w:rsidR="00277517" w:rsidRPr="00EA2FFF" w:rsidRDefault="00277517" w:rsidP="00A37B61">
            <w:r w:rsidRPr="00EA2FFF">
              <w:t>This Program aims to increase participation in sport and recreation and to address a shortfall in the quantity, quality and range of community sport and recreation facilities across Victorian communities.</w:t>
            </w:r>
          </w:p>
        </w:tc>
        <w:tc>
          <w:tcPr>
            <w:tcW w:w="1417" w:type="dxa"/>
            <w:tcBorders>
              <w:top w:val="single" w:sz="4" w:space="0" w:color="auto"/>
              <w:left w:val="single" w:sz="4" w:space="0" w:color="auto"/>
              <w:bottom w:val="single" w:sz="4" w:space="0" w:color="auto"/>
              <w:right w:val="single" w:sz="4" w:space="0" w:color="auto"/>
            </w:tcBorders>
          </w:tcPr>
          <w:p w:rsidR="00277517" w:rsidRPr="00EA2FFF" w:rsidRDefault="00277517" w:rsidP="00A37B61">
            <w:r w:rsidRPr="00EA2FFF">
              <w:t>Sport and Recreation</w:t>
            </w:r>
          </w:p>
        </w:tc>
        <w:tc>
          <w:tcPr>
            <w:tcW w:w="1843" w:type="dxa"/>
            <w:tcBorders>
              <w:top w:val="single" w:sz="4" w:space="0" w:color="auto"/>
              <w:left w:val="single" w:sz="4" w:space="0" w:color="auto"/>
              <w:bottom w:val="single" w:sz="4" w:space="0" w:color="auto"/>
              <w:right w:val="single" w:sz="4" w:space="0" w:color="auto"/>
            </w:tcBorders>
          </w:tcPr>
          <w:p w:rsidR="00277517" w:rsidRPr="00EA2FFF" w:rsidRDefault="00277517" w:rsidP="00A37B61">
            <w:pPr>
              <w:jc w:val="right"/>
            </w:pPr>
            <w:r w:rsidRPr="00EA2FFF">
              <w:t>6 000 000.00</w:t>
            </w:r>
          </w:p>
        </w:tc>
      </w:tr>
      <w:tr w:rsidR="006D0F4D"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Community Facilities – Supporting Growing Communities</w:t>
            </w:r>
          </w:p>
        </w:tc>
        <w:tc>
          <w:tcPr>
            <w:tcW w:w="4536" w:type="dxa"/>
            <w:tcBorders>
              <w:top w:val="single" w:sz="4" w:space="0" w:color="auto"/>
              <w:left w:val="single" w:sz="4" w:space="0" w:color="auto"/>
              <w:bottom w:val="single" w:sz="4" w:space="0" w:color="auto"/>
              <w:right w:val="single" w:sz="4" w:space="0" w:color="auto"/>
            </w:tcBorders>
          </w:tcPr>
          <w:p w:rsidR="006D0F4D" w:rsidRPr="00EA2FFF" w:rsidRDefault="00227E47" w:rsidP="00A37B61">
            <w:r w:rsidRPr="00EA2FFF">
              <w:t>The Bushfire Areas component of this program was implemented in April 2010 to provide funding for community infrastructure as well as for capacity building initiatives in communities affected by the 2009 bushfires. These projects were unable to be funded by othe</w:t>
            </w:r>
            <w:r w:rsidR="00EA2FFF">
              <w:t xml:space="preserve">r government funding or </w:t>
            </w:r>
            <w:r w:rsidRPr="00EA2FFF">
              <w:t>the Victorian Bushfire Appeal Fund.</w:t>
            </w:r>
          </w:p>
        </w:tc>
        <w:tc>
          <w:tcPr>
            <w:tcW w:w="1417"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Regional and Rural Development</w:t>
            </w:r>
          </w:p>
        </w:tc>
        <w:tc>
          <w:tcPr>
            <w:tcW w:w="1843" w:type="dxa"/>
            <w:tcBorders>
              <w:top w:val="single" w:sz="4" w:space="0" w:color="auto"/>
              <w:left w:val="single" w:sz="4" w:space="0" w:color="auto"/>
              <w:bottom w:val="single" w:sz="4" w:space="0" w:color="auto"/>
              <w:right w:val="single" w:sz="4" w:space="0" w:color="auto"/>
            </w:tcBorders>
          </w:tcPr>
          <w:p w:rsidR="006D0F4D" w:rsidRPr="00EA2FFF" w:rsidRDefault="003F67A2" w:rsidP="00A37B61">
            <w:pPr>
              <w:jc w:val="right"/>
            </w:pPr>
            <w:r w:rsidRPr="00EA2FFF">
              <w:t> 49 809.17</w:t>
            </w:r>
          </w:p>
        </w:tc>
      </w:tr>
      <w:tr w:rsidR="006D0F4D" w:rsidRPr="00EA2FFF" w:rsidTr="00D32318">
        <w:trPr>
          <w:cantSplit/>
        </w:trPr>
        <w:tc>
          <w:tcPr>
            <w:tcW w:w="2581" w:type="dxa"/>
            <w:tcBorders>
              <w:top w:val="single" w:sz="4" w:space="0" w:color="auto"/>
              <w:left w:val="single" w:sz="4" w:space="0" w:color="auto"/>
              <w:right w:val="single" w:sz="4" w:space="0" w:color="auto"/>
            </w:tcBorders>
          </w:tcPr>
          <w:p w:rsidR="006D0F4D" w:rsidRPr="00EA2FFF" w:rsidRDefault="006D0F4D" w:rsidP="00A37B61">
            <w:r w:rsidRPr="00EA2FFF">
              <w:lastRenderedPageBreak/>
              <w:t>Community Renewal</w:t>
            </w:r>
          </w:p>
        </w:tc>
        <w:tc>
          <w:tcPr>
            <w:tcW w:w="4536" w:type="dxa"/>
            <w:tcBorders>
              <w:top w:val="single" w:sz="4" w:space="0" w:color="auto"/>
              <w:left w:val="single" w:sz="4" w:space="0" w:color="auto"/>
              <w:bottom w:val="single" w:sz="4" w:space="0" w:color="auto"/>
              <w:right w:val="single" w:sz="4" w:space="0" w:color="auto"/>
            </w:tcBorders>
          </w:tcPr>
          <w:p w:rsidR="006D0F4D" w:rsidRPr="00EA2FFF" w:rsidRDefault="006D0F4D" w:rsidP="003F67A2">
            <w:r w:rsidRPr="00EA2FFF">
              <w:t>This place</w:t>
            </w:r>
            <w:r w:rsidR="00D32318">
              <w:noBreakHyphen/>
            </w:r>
            <w:r w:rsidRPr="00EA2FFF">
              <w:t>based initiative enables residents, businesses, government and local organisations to come together to transform their community into a place of opportunity and activity. Community Renewal supports communities in urban neighbourhoods that are experiencing rapid change. It asks residents to make choices about how best to achieve new upgraded facilities and infrastructure,  ongoing community participation in local decision</w:t>
            </w:r>
            <w:r w:rsidR="00D32318">
              <w:noBreakHyphen/>
            </w:r>
            <w:r w:rsidRPr="00EA2FFF">
              <w:t xml:space="preserve">making, new job and learning opportunities, and neighbourhood volunteering. </w:t>
            </w:r>
          </w:p>
        </w:tc>
        <w:tc>
          <w:tcPr>
            <w:tcW w:w="1417" w:type="dxa"/>
            <w:tcBorders>
              <w:top w:val="single" w:sz="4" w:space="0" w:color="auto"/>
              <w:left w:val="single" w:sz="4" w:space="0" w:color="auto"/>
              <w:bottom w:val="single" w:sz="4" w:space="0" w:color="auto"/>
              <w:right w:val="single" w:sz="4" w:space="0" w:color="auto"/>
            </w:tcBorders>
          </w:tcPr>
          <w:p w:rsidR="006D0F4D" w:rsidRPr="00EA2FFF" w:rsidRDefault="003F6537" w:rsidP="00A37B61">
            <w:r w:rsidRPr="00EA2FFF">
              <w:t>Families and Children</w:t>
            </w:r>
          </w:p>
        </w:tc>
        <w:tc>
          <w:tcPr>
            <w:tcW w:w="1843" w:type="dxa"/>
            <w:tcBorders>
              <w:top w:val="single" w:sz="4" w:space="0" w:color="auto"/>
              <w:left w:val="single" w:sz="4" w:space="0" w:color="auto"/>
              <w:bottom w:val="single" w:sz="4" w:space="0" w:color="auto"/>
              <w:right w:val="single" w:sz="4" w:space="0" w:color="auto"/>
            </w:tcBorders>
          </w:tcPr>
          <w:p w:rsidR="006D0F4D" w:rsidRPr="00EA2FFF" w:rsidRDefault="003F67A2" w:rsidP="00A37B61">
            <w:pPr>
              <w:jc w:val="right"/>
            </w:pPr>
            <w:r w:rsidRPr="00EA2FFF">
              <w:t>133 683.28</w:t>
            </w:r>
          </w:p>
        </w:tc>
      </w:tr>
      <w:tr w:rsidR="00F8404B"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F8404B" w:rsidRPr="00EA2FFF" w:rsidRDefault="00F8404B" w:rsidP="00A37B61">
            <w:r w:rsidRPr="00EA2FFF">
              <w:t>Community Sports Grants</w:t>
            </w:r>
          </w:p>
        </w:tc>
        <w:tc>
          <w:tcPr>
            <w:tcW w:w="4536" w:type="dxa"/>
            <w:tcBorders>
              <w:top w:val="single" w:sz="4" w:space="0" w:color="auto"/>
              <w:left w:val="single" w:sz="4" w:space="0" w:color="auto"/>
              <w:bottom w:val="single" w:sz="4" w:space="0" w:color="auto"/>
              <w:right w:val="single" w:sz="4" w:space="0" w:color="auto"/>
            </w:tcBorders>
          </w:tcPr>
          <w:p w:rsidR="00F8404B" w:rsidRPr="00EA2FFF" w:rsidRDefault="008F3A9C" w:rsidP="0032314E">
            <w:r w:rsidRPr="00EA2FFF">
              <w:t>There are two categories available in this initiative, Planning and Building Community Infrastructure. This initiative helps to provide high quality, accessible community facilities across Victoria, that increases participation and improves access to sport and recreation facilities.</w:t>
            </w:r>
          </w:p>
        </w:tc>
        <w:tc>
          <w:tcPr>
            <w:tcW w:w="1417" w:type="dxa"/>
            <w:tcBorders>
              <w:top w:val="single" w:sz="4" w:space="0" w:color="auto"/>
              <w:left w:val="single" w:sz="4" w:space="0" w:color="auto"/>
              <w:bottom w:val="single" w:sz="4" w:space="0" w:color="auto"/>
              <w:right w:val="single" w:sz="4" w:space="0" w:color="auto"/>
            </w:tcBorders>
          </w:tcPr>
          <w:p w:rsidR="00F8404B" w:rsidRPr="00EA2FFF" w:rsidRDefault="00F8404B" w:rsidP="00A37B61">
            <w:r w:rsidRPr="00EA2FFF">
              <w:t>Sport and Recreation</w:t>
            </w:r>
          </w:p>
        </w:tc>
        <w:tc>
          <w:tcPr>
            <w:tcW w:w="1843" w:type="dxa"/>
            <w:tcBorders>
              <w:top w:val="single" w:sz="4" w:space="0" w:color="auto"/>
              <w:left w:val="single" w:sz="4" w:space="0" w:color="auto"/>
              <w:bottom w:val="single" w:sz="4" w:space="0" w:color="auto"/>
              <w:right w:val="single" w:sz="4" w:space="0" w:color="auto"/>
            </w:tcBorders>
          </w:tcPr>
          <w:p w:rsidR="00F8404B" w:rsidRPr="00EA2FFF" w:rsidRDefault="00F8404B" w:rsidP="00F8404B">
            <w:pPr>
              <w:jc w:val="right"/>
            </w:pPr>
            <w:r w:rsidRPr="00EA2FFF">
              <w:t>151 200.00</w:t>
            </w:r>
          </w:p>
        </w:tc>
      </w:tr>
      <w:tr w:rsidR="00872FE8"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872FE8" w:rsidRPr="00EA2FFF" w:rsidRDefault="00872FE8" w:rsidP="00A37B61">
            <w:r w:rsidRPr="00EA2FFF">
              <w:t>Community Strengthening through Men’s Sheds</w:t>
            </w:r>
          </w:p>
        </w:tc>
        <w:tc>
          <w:tcPr>
            <w:tcW w:w="4536" w:type="dxa"/>
            <w:tcBorders>
              <w:top w:val="single" w:sz="4" w:space="0" w:color="auto"/>
              <w:left w:val="single" w:sz="4" w:space="0" w:color="auto"/>
              <w:bottom w:val="single" w:sz="4" w:space="0" w:color="auto"/>
              <w:right w:val="single" w:sz="4" w:space="0" w:color="auto"/>
            </w:tcBorders>
          </w:tcPr>
          <w:p w:rsidR="00872FE8" w:rsidRPr="00EA2FFF" w:rsidRDefault="0032314E" w:rsidP="0032314E">
            <w:r w:rsidRPr="00EA2FFF">
              <w:t>This initiative provides grants for infrastructure to construct Men’s Shed facilities to improve older men’s health, wellbeing and increase access to life</w:t>
            </w:r>
            <w:r w:rsidR="00D32318">
              <w:noBreakHyphen/>
            </w:r>
            <w:r w:rsidRPr="00EA2FFF">
              <w:t>long learning opportunities. The Men’s Sheds Program provides infrastructure funding to not for profit organisations and local councils to construct a Men’s Shed building, modify an existing building to allow the establishment of a new Men’s Shed program, redevelop a building to allow for co</w:t>
            </w:r>
            <w:r w:rsidR="00D32318">
              <w:noBreakHyphen/>
            </w:r>
            <w:r w:rsidRPr="00EA2FFF">
              <w:t>location and redevelop leased premises where there is a substantial lease.</w:t>
            </w:r>
          </w:p>
        </w:tc>
        <w:tc>
          <w:tcPr>
            <w:tcW w:w="1417" w:type="dxa"/>
            <w:tcBorders>
              <w:top w:val="single" w:sz="4" w:space="0" w:color="auto"/>
              <w:left w:val="single" w:sz="4" w:space="0" w:color="auto"/>
              <w:bottom w:val="single" w:sz="4" w:space="0" w:color="auto"/>
              <w:right w:val="single" w:sz="4" w:space="0" w:color="auto"/>
            </w:tcBorders>
          </w:tcPr>
          <w:p w:rsidR="00872FE8" w:rsidRPr="00EA2FFF" w:rsidRDefault="003F6537" w:rsidP="00A37B61">
            <w:r w:rsidRPr="00EA2FFF">
              <w:t>Families and Children</w:t>
            </w:r>
          </w:p>
        </w:tc>
        <w:tc>
          <w:tcPr>
            <w:tcW w:w="1843" w:type="dxa"/>
            <w:tcBorders>
              <w:top w:val="single" w:sz="4" w:space="0" w:color="auto"/>
              <w:left w:val="single" w:sz="4" w:space="0" w:color="auto"/>
              <w:bottom w:val="single" w:sz="4" w:space="0" w:color="auto"/>
              <w:right w:val="single" w:sz="4" w:space="0" w:color="auto"/>
            </w:tcBorders>
          </w:tcPr>
          <w:p w:rsidR="00872FE8" w:rsidRPr="00EA2FFF" w:rsidRDefault="003F67A2" w:rsidP="00A37B61">
            <w:pPr>
              <w:jc w:val="right"/>
            </w:pPr>
            <w:r w:rsidRPr="00EA2FFF">
              <w:t>37 114</w:t>
            </w:r>
            <w:r w:rsidR="00F7495A" w:rsidRPr="00EA2FFF">
              <w:t>.00</w:t>
            </w:r>
          </w:p>
        </w:tc>
      </w:tr>
      <w:tr w:rsidR="00277517"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277517" w:rsidRPr="00EA2FFF" w:rsidRDefault="00277517" w:rsidP="00A37B61">
            <w:r w:rsidRPr="00EA2FFF">
              <w:t>Community Support and Recreational Sports Package</w:t>
            </w:r>
            <w:r w:rsidR="00D32318">
              <w:t xml:space="preserve"> – </w:t>
            </w:r>
            <w:r w:rsidRPr="00EA2FFF">
              <w:t>DHS</w:t>
            </w:r>
          </w:p>
        </w:tc>
        <w:tc>
          <w:tcPr>
            <w:tcW w:w="4536" w:type="dxa"/>
            <w:tcBorders>
              <w:top w:val="single" w:sz="4" w:space="0" w:color="auto"/>
              <w:left w:val="single" w:sz="4" w:space="0" w:color="auto"/>
              <w:bottom w:val="single" w:sz="4" w:space="0" w:color="auto"/>
              <w:right w:val="single" w:sz="4" w:space="0" w:color="auto"/>
            </w:tcBorders>
          </w:tcPr>
          <w:p w:rsidR="00EA2FFF" w:rsidRPr="00EA2FFF" w:rsidRDefault="00106F80" w:rsidP="00E76AEE">
            <w:r w:rsidRPr="00EA2FFF">
              <w:t>The program will support community service organisations to participate fully in delivering the Victorian Government’s drive to more effective service delivery that focusses on improving outcomes for vulnerable Victorians, building stronger communities and supporting families.</w:t>
            </w:r>
          </w:p>
        </w:tc>
        <w:tc>
          <w:tcPr>
            <w:tcW w:w="1417" w:type="dxa"/>
            <w:tcBorders>
              <w:top w:val="single" w:sz="4" w:space="0" w:color="auto"/>
              <w:left w:val="single" w:sz="4" w:space="0" w:color="auto"/>
              <w:bottom w:val="single" w:sz="4" w:space="0" w:color="auto"/>
              <w:right w:val="single" w:sz="4" w:space="0" w:color="auto"/>
            </w:tcBorders>
          </w:tcPr>
          <w:p w:rsidR="00277517" w:rsidRPr="00EA2FFF" w:rsidRDefault="00F66157" w:rsidP="00A37B61">
            <w:r w:rsidRPr="00EA2FFF">
              <w:t>Families and Children</w:t>
            </w:r>
          </w:p>
        </w:tc>
        <w:tc>
          <w:tcPr>
            <w:tcW w:w="1843" w:type="dxa"/>
            <w:tcBorders>
              <w:top w:val="single" w:sz="4" w:space="0" w:color="auto"/>
              <w:left w:val="single" w:sz="4" w:space="0" w:color="auto"/>
              <w:bottom w:val="single" w:sz="4" w:space="0" w:color="auto"/>
              <w:right w:val="single" w:sz="4" w:space="0" w:color="auto"/>
            </w:tcBorders>
          </w:tcPr>
          <w:p w:rsidR="00277517" w:rsidRPr="00EA2FFF" w:rsidRDefault="00277517" w:rsidP="00A37B61">
            <w:pPr>
              <w:jc w:val="right"/>
            </w:pPr>
            <w:r w:rsidRPr="00EA2FFF">
              <w:t>380 197.00</w:t>
            </w:r>
          </w:p>
        </w:tc>
      </w:tr>
      <w:tr w:rsidR="00D05B64"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D05B64" w:rsidRPr="00EA2FFF" w:rsidRDefault="00D05B64" w:rsidP="00A37B61">
            <w:r w:rsidRPr="00EA2FFF">
              <w:t>Community Support and Recreational Sports Package</w:t>
            </w:r>
            <w:r w:rsidR="00D32318">
              <w:t xml:space="preserve"> – </w:t>
            </w:r>
            <w:r w:rsidRPr="00EA2FFF">
              <w:t>DTPLI</w:t>
            </w:r>
          </w:p>
        </w:tc>
        <w:tc>
          <w:tcPr>
            <w:tcW w:w="4536" w:type="dxa"/>
            <w:tcBorders>
              <w:top w:val="single" w:sz="4" w:space="0" w:color="auto"/>
              <w:left w:val="single" w:sz="4" w:space="0" w:color="auto"/>
              <w:bottom w:val="single" w:sz="4" w:space="0" w:color="auto"/>
              <w:right w:val="single" w:sz="4" w:space="0" w:color="auto"/>
            </w:tcBorders>
          </w:tcPr>
          <w:p w:rsidR="00E76AEE" w:rsidRPr="00EA2FFF" w:rsidRDefault="00E76AEE" w:rsidP="00E76AEE">
            <w:r w:rsidRPr="00EA2FFF">
              <w:t>The Com</w:t>
            </w:r>
            <w:r w:rsidR="00AA39B3" w:rsidRPr="00EA2FFF">
              <w:t>munity Infrastructure Fund</w:t>
            </w:r>
            <w:r w:rsidRPr="00EA2FFF">
              <w:t xml:space="preserve"> is an initiative of Plan Melbourne. The fund will deliver liveable communities and neighbourhoods, and drive the vision for Melbourne as a global city of opportunity and choice.  This initiative invests in integrated planning and delivery of innovative local community infrastructure in growing areas of metropolitan Melbourne. </w:t>
            </w:r>
          </w:p>
          <w:p w:rsidR="00D05B64" w:rsidRPr="00EA2FFF" w:rsidRDefault="00D05B64" w:rsidP="00E76AEE">
            <w:r w:rsidRPr="00EA2FFF">
              <w:t xml:space="preserve">Link to </w:t>
            </w:r>
            <w:hyperlink r:id="rId12" w:history="1">
              <w:r w:rsidRPr="00B45412">
                <w:rPr>
                  <w:rStyle w:val="Hyperlink"/>
                </w:rPr>
                <w:t>grants</w:t>
              </w:r>
              <w:r w:rsidR="006E4C65" w:rsidRPr="00B45412">
                <w:rPr>
                  <w:rStyle w:val="Hyperlink"/>
                </w:rPr>
                <w:t xml:space="preserve"> approved in 2014</w:t>
              </w:r>
              <w:r w:rsidR="00D32318" w:rsidRPr="00B45412">
                <w:rPr>
                  <w:rStyle w:val="Hyperlink"/>
                </w:rPr>
                <w:noBreakHyphen/>
              </w:r>
              <w:r w:rsidR="006E4C65" w:rsidRPr="00B45412">
                <w:rPr>
                  <w:rStyle w:val="Hyperlink"/>
                </w:rPr>
                <w:t>15</w:t>
              </w:r>
            </w:hyperlink>
          </w:p>
        </w:tc>
        <w:tc>
          <w:tcPr>
            <w:tcW w:w="1417" w:type="dxa"/>
            <w:tcBorders>
              <w:top w:val="single" w:sz="4" w:space="0" w:color="auto"/>
              <w:left w:val="single" w:sz="4" w:space="0" w:color="auto"/>
              <w:bottom w:val="single" w:sz="4" w:space="0" w:color="auto"/>
              <w:right w:val="single" w:sz="4" w:space="0" w:color="auto"/>
            </w:tcBorders>
          </w:tcPr>
          <w:p w:rsidR="00D05B64" w:rsidRPr="00EA2FFF" w:rsidRDefault="00E76AEE" w:rsidP="00A37B61">
            <w:r w:rsidRPr="00EA2FFF">
              <w:t>Planning</w:t>
            </w:r>
          </w:p>
        </w:tc>
        <w:tc>
          <w:tcPr>
            <w:tcW w:w="1843" w:type="dxa"/>
            <w:tcBorders>
              <w:top w:val="single" w:sz="4" w:space="0" w:color="auto"/>
              <w:left w:val="single" w:sz="4" w:space="0" w:color="auto"/>
              <w:bottom w:val="single" w:sz="4" w:space="0" w:color="auto"/>
              <w:right w:val="single" w:sz="4" w:space="0" w:color="auto"/>
            </w:tcBorders>
          </w:tcPr>
          <w:p w:rsidR="00D05B64" w:rsidRPr="00EA2FFF" w:rsidRDefault="003A1359" w:rsidP="00A37B61">
            <w:pPr>
              <w:jc w:val="right"/>
            </w:pPr>
            <w:r w:rsidRPr="00EA2FFF">
              <w:t>1 5</w:t>
            </w:r>
            <w:r w:rsidR="00D05B64" w:rsidRPr="00EA2FFF">
              <w:t>00 000</w:t>
            </w:r>
            <w:r w:rsidR="00F7495A" w:rsidRPr="00EA2FFF">
              <w:t>.00</w:t>
            </w:r>
          </w:p>
        </w:tc>
      </w:tr>
      <w:tr w:rsidR="00277517"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277517" w:rsidRPr="00EA2FFF" w:rsidRDefault="00277517" w:rsidP="0063273B">
            <w:r w:rsidRPr="00EA2FFF">
              <w:lastRenderedPageBreak/>
              <w:t>Extending Support for Soccer Facilities Program</w:t>
            </w:r>
          </w:p>
        </w:tc>
        <w:tc>
          <w:tcPr>
            <w:tcW w:w="4536" w:type="dxa"/>
            <w:tcBorders>
              <w:top w:val="single" w:sz="4" w:space="0" w:color="auto"/>
              <w:left w:val="single" w:sz="4" w:space="0" w:color="auto"/>
              <w:bottom w:val="single" w:sz="4" w:space="0" w:color="auto"/>
              <w:right w:val="single" w:sz="4" w:space="0" w:color="auto"/>
            </w:tcBorders>
          </w:tcPr>
          <w:p w:rsidR="00A36DCF" w:rsidRPr="00EA2FFF" w:rsidRDefault="008F3A9C" w:rsidP="00E536AB">
            <w:r w:rsidRPr="00EA2FFF">
              <w:t>The objective of the program is to ensure that all Victorian municipalities have the appropriate facilities to develop soccer participation, including developing facilities, particularly where a club is not already in existence.</w:t>
            </w:r>
          </w:p>
        </w:tc>
        <w:tc>
          <w:tcPr>
            <w:tcW w:w="1417" w:type="dxa"/>
            <w:tcBorders>
              <w:top w:val="single" w:sz="4" w:space="0" w:color="auto"/>
              <w:left w:val="single" w:sz="4" w:space="0" w:color="auto"/>
              <w:bottom w:val="single" w:sz="4" w:space="0" w:color="auto"/>
              <w:right w:val="single" w:sz="4" w:space="0" w:color="auto"/>
            </w:tcBorders>
          </w:tcPr>
          <w:p w:rsidR="00277517" w:rsidRPr="00EA2FFF" w:rsidRDefault="00277517" w:rsidP="0063273B">
            <w:r w:rsidRPr="00EA2FFF">
              <w:t>Sport and Recreation</w:t>
            </w:r>
          </w:p>
        </w:tc>
        <w:tc>
          <w:tcPr>
            <w:tcW w:w="1843" w:type="dxa"/>
            <w:tcBorders>
              <w:top w:val="single" w:sz="4" w:space="0" w:color="auto"/>
              <w:left w:val="single" w:sz="4" w:space="0" w:color="auto"/>
              <w:bottom w:val="single" w:sz="4" w:space="0" w:color="auto"/>
              <w:right w:val="single" w:sz="4" w:space="0" w:color="auto"/>
            </w:tcBorders>
          </w:tcPr>
          <w:p w:rsidR="00277517" w:rsidRPr="00EA2FFF" w:rsidRDefault="006E4C65" w:rsidP="0063273B">
            <w:pPr>
              <w:jc w:val="right"/>
            </w:pPr>
            <w:r w:rsidRPr="00EA2FFF">
              <w:t>150 000.00</w:t>
            </w:r>
          </w:p>
        </w:tc>
      </w:tr>
      <w:tr w:rsidR="006E4C65"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6E4C65" w:rsidRPr="00EA2FFF" w:rsidRDefault="006E4C65" w:rsidP="0063273B">
            <w:r w:rsidRPr="00EA2FFF">
              <w:t>Foodbank</w:t>
            </w:r>
          </w:p>
        </w:tc>
        <w:tc>
          <w:tcPr>
            <w:tcW w:w="4536" w:type="dxa"/>
            <w:tcBorders>
              <w:top w:val="single" w:sz="4" w:space="0" w:color="auto"/>
              <w:left w:val="single" w:sz="4" w:space="0" w:color="auto"/>
              <w:bottom w:val="single" w:sz="4" w:space="0" w:color="auto"/>
              <w:right w:val="single" w:sz="4" w:space="0" w:color="auto"/>
            </w:tcBorders>
          </w:tcPr>
          <w:p w:rsidR="006E4C65" w:rsidRPr="00EA2FFF" w:rsidRDefault="00427B5F" w:rsidP="0063273B">
            <w:r w:rsidRPr="00EA2FFF">
              <w:t>Purchase of two refrigerated trucks</w:t>
            </w:r>
          </w:p>
          <w:p w:rsidR="00A36DCF" w:rsidRPr="00EA2FFF" w:rsidRDefault="00B45412" w:rsidP="0063273B">
            <w:r w:rsidRPr="00EA2FFF">
              <w:t xml:space="preserve">Link to </w:t>
            </w:r>
            <w:hyperlink r:id="rId13" w:history="1">
              <w:r w:rsidRPr="00B45412">
                <w:rPr>
                  <w:rStyle w:val="Hyperlink"/>
                </w:rPr>
                <w:t>grants approved in 2014</w:t>
              </w:r>
              <w:r w:rsidRPr="00B45412">
                <w:rPr>
                  <w:rStyle w:val="Hyperlink"/>
                </w:rPr>
                <w:noBreakHyphen/>
                <w:t>15</w:t>
              </w:r>
            </w:hyperlink>
          </w:p>
        </w:tc>
        <w:tc>
          <w:tcPr>
            <w:tcW w:w="1417" w:type="dxa"/>
            <w:tcBorders>
              <w:top w:val="single" w:sz="4" w:space="0" w:color="auto"/>
              <w:left w:val="single" w:sz="4" w:space="0" w:color="auto"/>
              <w:bottom w:val="single" w:sz="4" w:space="0" w:color="auto"/>
              <w:right w:val="single" w:sz="4" w:space="0" w:color="auto"/>
            </w:tcBorders>
          </w:tcPr>
          <w:p w:rsidR="006E4C65" w:rsidRPr="00EA2FFF" w:rsidRDefault="00F66157" w:rsidP="0063273B">
            <w:r w:rsidRPr="00EA2FFF">
              <w:t>Families and Children</w:t>
            </w:r>
          </w:p>
        </w:tc>
        <w:tc>
          <w:tcPr>
            <w:tcW w:w="1843" w:type="dxa"/>
            <w:tcBorders>
              <w:top w:val="single" w:sz="4" w:space="0" w:color="auto"/>
              <w:left w:val="single" w:sz="4" w:space="0" w:color="auto"/>
              <w:bottom w:val="single" w:sz="4" w:space="0" w:color="auto"/>
              <w:right w:val="single" w:sz="4" w:space="0" w:color="auto"/>
            </w:tcBorders>
          </w:tcPr>
          <w:p w:rsidR="006E4C65" w:rsidRPr="00EA2FFF" w:rsidRDefault="006E4C65" w:rsidP="0063273B">
            <w:pPr>
              <w:jc w:val="right"/>
            </w:pPr>
            <w:r w:rsidRPr="00EA2FFF">
              <w:t>417 347.15</w:t>
            </w:r>
          </w:p>
        </w:tc>
      </w:tr>
      <w:tr w:rsidR="008241E5"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8241E5" w:rsidRPr="00EA2FFF" w:rsidRDefault="008241E5" w:rsidP="0063273B">
            <w:r w:rsidRPr="00EA2FFF">
              <w:t>Healing the Stolen Generations</w:t>
            </w:r>
          </w:p>
        </w:tc>
        <w:tc>
          <w:tcPr>
            <w:tcW w:w="4536" w:type="dxa"/>
            <w:tcBorders>
              <w:top w:val="single" w:sz="4" w:space="0" w:color="auto"/>
              <w:left w:val="single" w:sz="4" w:space="0" w:color="auto"/>
              <w:bottom w:val="single" w:sz="4" w:space="0" w:color="auto"/>
              <w:right w:val="single" w:sz="4" w:space="0" w:color="auto"/>
            </w:tcBorders>
          </w:tcPr>
          <w:p w:rsidR="008241E5" w:rsidRPr="00EA2FFF" w:rsidRDefault="008241E5" w:rsidP="0063273B">
            <w:r w:rsidRPr="00EA2FFF">
              <w:t>This program supports the provision of services to members of the Stolen Generations to address the effects of removal, giving effect to the ongoing commitment to implement the recommendations of the National Inquiry into the Separation of Aboriginal and Torres Strait Islander Children from their Families, as articulated in the report titled Bringing Them Home.</w:t>
            </w:r>
          </w:p>
          <w:p w:rsidR="008241E5" w:rsidRPr="00EA2FFF" w:rsidRDefault="00B45412" w:rsidP="0063273B">
            <w:r w:rsidRPr="00EA2FFF">
              <w:t xml:space="preserve">Link to </w:t>
            </w:r>
            <w:hyperlink r:id="rId14" w:history="1">
              <w:r w:rsidRPr="00B45412">
                <w:rPr>
                  <w:rStyle w:val="Hyperlink"/>
                </w:rPr>
                <w:t>grants approved in 2014</w:t>
              </w:r>
              <w:r w:rsidRPr="00B45412">
                <w:rPr>
                  <w:rStyle w:val="Hyperlink"/>
                </w:rPr>
                <w:noBreakHyphen/>
                <w:t>15</w:t>
              </w:r>
            </w:hyperlink>
          </w:p>
        </w:tc>
        <w:tc>
          <w:tcPr>
            <w:tcW w:w="1417" w:type="dxa"/>
            <w:tcBorders>
              <w:top w:val="single" w:sz="4" w:space="0" w:color="auto"/>
              <w:left w:val="single" w:sz="4" w:space="0" w:color="auto"/>
              <w:bottom w:val="single" w:sz="4" w:space="0" w:color="auto"/>
              <w:right w:val="single" w:sz="4" w:space="0" w:color="auto"/>
            </w:tcBorders>
          </w:tcPr>
          <w:p w:rsidR="008241E5" w:rsidRPr="00EA2FFF" w:rsidRDefault="008241E5" w:rsidP="0063273B">
            <w:r w:rsidRPr="00EA2FFF">
              <w:t>Aboriginal Affairs</w:t>
            </w:r>
          </w:p>
        </w:tc>
        <w:tc>
          <w:tcPr>
            <w:tcW w:w="1843" w:type="dxa"/>
            <w:tcBorders>
              <w:top w:val="single" w:sz="4" w:space="0" w:color="auto"/>
              <w:left w:val="single" w:sz="4" w:space="0" w:color="auto"/>
              <w:bottom w:val="single" w:sz="4" w:space="0" w:color="auto"/>
              <w:right w:val="single" w:sz="4" w:space="0" w:color="auto"/>
            </w:tcBorders>
          </w:tcPr>
          <w:p w:rsidR="008241E5" w:rsidRPr="00EA2FFF" w:rsidRDefault="008241E5" w:rsidP="0063273B">
            <w:pPr>
              <w:jc w:val="right"/>
            </w:pPr>
            <w:r w:rsidRPr="00EA2FFF">
              <w:t>1 256 000.00</w:t>
            </w:r>
          </w:p>
        </w:tc>
      </w:tr>
      <w:tr w:rsidR="006D0F4D"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Imagination Unlimited</w:t>
            </w:r>
          </w:p>
        </w:tc>
        <w:tc>
          <w:tcPr>
            <w:tcW w:w="4536"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This initiative will take the arts to diverse communities across Victoria.  It will be delivered through a network of schools, other education settings, arts venues, arts companies and individual artists and will expand opportunities for all Victorians to participate in arts/cultural activity.</w:t>
            </w:r>
          </w:p>
        </w:tc>
        <w:tc>
          <w:tcPr>
            <w:tcW w:w="1417"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Arts</w:t>
            </w:r>
          </w:p>
        </w:tc>
        <w:tc>
          <w:tcPr>
            <w:tcW w:w="1843" w:type="dxa"/>
            <w:tcBorders>
              <w:top w:val="single" w:sz="4" w:space="0" w:color="auto"/>
              <w:left w:val="single" w:sz="4" w:space="0" w:color="auto"/>
              <w:bottom w:val="single" w:sz="4" w:space="0" w:color="auto"/>
              <w:right w:val="single" w:sz="4" w:space="0" w:color="auto"/>
            </w:tcBorders>
          </w:tcPr>
          <w:p w:rsidR="006D0F4D" w:rsidRPr="00EA2FFF" w:rsidRDefault="003A1359" w:rsidP="00A37B61">
            <w:pPr>
              <w:jc w:val="right"/>
            </w:pPr>
            <w:r w:rsidRPr="00EA2FFF">
              <w:t>35 500.00</w:t>
            </w:r>
          </w:p>
        </w:tc>
      </w:tr>
      <w:tr w:rsidR="008241E5"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8241E5" w:rsidRPr="00EA2FFF" w:rsidRDefault="008241E5" w:rsidP="00A37B61">
            <w:r w:rsidRPr="00EA2FFF">
              <w:t>Indigenous Cultural Strengthening Project</w:t>
            </w:r>
          </w:p>
        </w:tc>
        <w:tc>
          <w:tcPr>
            <w:tcW w:w="4536" w:type="dxa"/>
            <w:tcBorders>
              <w:top w:val="single" w:sz="4" w:space="0" w:color="auto"/>
              <w:left w:val="single" w:sz="4" w:space="0" w:color="auto"/>
              <w:bottom w:val="single" w:sz="4" w:space="0" w:color="auto"/>
              <w:right w:val="single" w:sz="4" w:space="0" w:color="auto"/>
            </w:tcBorders>
          </w:tcPr>
          <w:p w:rsidR="008241E5" w:rsidRPr="00EA2FFF" w:rsidRDefault="008426DD" w:rsidP="002F74E2">
            <w:pPr>
              <w:rPr>
                <w:lang w:val="en-GB"/>
              </w:rPr>
            </w:pPr>
            <w:r w:rsidRPr="00EA2FFF">
              <w:rPr>
                <w:lang w:val="en-GB"/>
              </w:rPr>
              <w:t xml:space="preserve">Connection to culture plans </w:t>
            </w:r>
            <w:r w:rsidR="005C6FEB" w:rsidRPr="00EA2FFF">
              <w:rPr>
                <w:lang w:val="en-GB"/>
              </w:rPr>
              <w:t xml:space="preserve">play </w:t>
            </w:r>
            <w:r w:rsidRPr="00EA2FFF">
              <w:rPr>
                <w:lang w:val="en-GB"/>
              </w:rPr>
              <w:t>an important roles in the lives of young Aboriginal Victorians. The Cult</w:t>
            </w:r>
            <w:r w:rsidR="005C6FEB" w:rsidRPr="00EA2FFF">
              <w:rPr>
                <w:lang w:val="en-GB"/>
              </w:rPr>
              <w:t xml:space="preserve">ural Strengthening Project </w:t>
            </w:r>
            <w:r w:rsidRPr="00EA2FFF">
              <w:rPr>
                <w:lang w:val="en-GB"/>
              </w:rPr>
              <w:t>showcase</w:t>
            </w:r>
            <w:r w:rsidR="005C6FEB" w:rsidRPr="00EA2FFF">
              <w:rPr>
                <w:lang w:val="en-GB"/>
              </w:rPr>
              <w:t>s</w:t>
            </w:r>
            <w:r w:rsidRPr="00EA2FFF">
              <w:rPr>
                <w:lang w:val="en-GB"/>
              </w:rPr>
              <w:t xml:space="preserve"> cultural initiatives that are being delivered by Aboriginal people or organisations and support</w:t>
            </w:r>
            <w:r w:rsidR="005C6FEB" w:rsidRPr="00EA2FFF">
              <w:rPr>
                <w:lang w:val="en-GB"/>
              </w:rPr>
              <w:t>s</w:t>
            </w:r>
            <w:r w:rsidRPr="00EA2FFF">
              <w:rPr>
                <w:lang w:val="en-GB"/>
              </w:rPr>
              <w:t xml:space="preserve"> the exchange of those practic</w:t>
            </w:r>
            <w:r w:rsidR="005C6FEB" w:rsidRPr="00EA2FFF">
              <w:rPr>
                <w:lang w:val="en-GB"/>
              </w:rPr>
              <w:t xml:space="preserve">es between communities. It </w:t>
            </w:r>
            <w:r w:rsidRPr="00EA2FFF">
              <w:rPr>
                <w:lang w:val="en-GB"/>
              </w:rPr>
              <w:t>fund</w:t>
            </w:r>
            <w:r w:rsidR="005C6FEB" w:rsidRPr="00EA2FFF">
              <w:rPr>
                <w:lang w:val="en-GB"/>
              </w:rPr>
              <w:t>s</w:t>
            </w:r>
            <w:r w:rsidRPr="00EA2FFF">
              <w:rPr>
                <w:lang w:val="en-GB"/>
              </w:rPr>
              <w:t xml:space="preserve"> small projects that fill gaps in cultural connection activities and collate</w:t>
            </w:r>
            <w:r w:rsidR="005C6FEB" w:rsidRPr="00EA2FFF">
              <w:rPr>
                <w:lang w:val="en-GB"/>
              </w:rPr>
              <w:t>s</w:t>
            </w:r>
            <w:r w:rsidRPr="00EA2FFF">
              <w:rPr>
                <w:lang w:val="en-GB"/>
              </w:rPr>
              <w:t xml:space="preserve"> evidence of ‘what works’ and ‘how’ in relation to culture. The Cultural Strengthening Project will also shape future Government efforts by building on the commitments in the Victorian Aboriginal Affairs Framework.</w:t>
            </w:r>
          </w:p>
          <w:p w:rsidR="00A36DCF" w:rsidRPr="00EA2FFF" w:rsidRDefault="00B45412" w:rsidP="002F74E2">
            <w:pPr>
              <w:rPr>
                <w:lang w:val="en-GB"/>
              </w:rPr>
            </w:pPr>
            <w:r w:rsidRPr="00EA2FFF">
              <w:t xml:space="preserve">Link to </w:t>
            </w:r>
            <w:hyperlink r:id="rId15" w:history="1">
              <w:r w:rsidRPr="00B45412">
                <w:rPr>
                  <w:rStyle w:val="Hyperlink"/>
                </w:rPr>
                <w:t>grants approved in 2014</w:t>
              </w:r>
              <w:r w:rsidRPr="00B45412">
                <w:rPr>
                  <w:rStyle w:val="Hyperlink"/>
                </w:rPr>
                <w:noBreakHyphen/>
                <w:t>15</w:t>
              </w:r>
            </w:hyperlink>
          </w:p>
        </w:tc>
        <w:tc>
          <w:tcPr>
            <w:tcW w:w="1417" w:type="dxa"/>
            <w:tcBorders>
              <w:top w:val="single" w:sz="4" w:space="0" w:color="auto"/>
              <w:left w:val="single" w:sz="4" w:space="0" w:color="auto"/>
              <w:bottom w:val="single" w:sz="4" w:space="0" w:color="auto"/>
              <w:right w:val="single" w:sz="4" w:space="0" w:color="auto"/>
            </w:tcBorders>
          </w:tcPr>
          <w:p w:rsidR="008241E5" w:rsidRPr="00EA2FFF" w:rsidRDefault="008241E5" w:rsidP="00A37B61">
            <w:r w:rsidRPr="00EA2FFF">
              <w:t>Aboriginal Affairs</w:t>
            </w:r>
          </w:p>
        </w:tc>
        <w:tc>
          <w:tcPr>
            <w:tcW w:w="1843" w:type="dxa"/>
            <w:tcBorders>
              <w:top w:val="single" w:sz="4" w:space="0" w:color="auto"/>
              <w:left w:val="single" w:sz="4" w:space="0" w:color="auto"/>
              <w:bottom w:val="single" w:sz="4" w:space="0" w:color="auto"/>
              <w:right w:val="single" w:sz="4" w:space="0" w:color="auto"/>
            </w:tcBorders>
          </w:tcPr>
          <w:p w:rsidR="008241E5" w:rsidRPr="00EA2FFF" w:rsidRDefault="008241E5" w:rsidP="00A37B61">
            <w:pPr>
              <w:jc w:val="right"/>
            </w:pPr>
            <w:r w:rsidRPr="00EA2FFF">
              <w:t>145 000.00</w:t>
            </w:r>
          </w:p>
        </w:tc>
      </w:tr>
      <w:tr w:rsidR="00F8404B"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F8404B" w:rsidRPr="00EA2FFF" w:rsidRDefault="00F8404B" w:rsidP="00A37B61">
            <w:r w:rsidRPr="00EA2FFF">
              <w:t>Our Watch</w:t>
            </w:r>
          </w:p>
        </w:tc>
        <w:tc>
          <w:tcPr>
            <w:tcW w:w="4536" w:type="dxa"/>
            <w:tcBorders>
              <w:top w:val="single" w:sz="4" w:space="0" w:color="auto"/>
              <w:left w:val="single" w:sz="4" w:space="0" w:color="auto"/>
              <w:bottom w:val="single" w:sz="4" w:space="0" w:color="auto"/>
              <w:right w:val="single" w:sz="4" w:space="0" w:color="auto"/>
            </w:tcBorders>
          </w:tcPr>
          <w:p w:rsidR="00A36DCF" w:rsidRPr="00EA2FFF" w:rsidRDefault="006E07DF" w:rsidP="002F74E2">
            <w:pPr>
              <w:rPr>
                <w:lang w:val="en-GB"/>
              </w:rPr>
            </w:pPr>
            <w:r w:rsidRPr="00EA2FFF">
              <w:rPr>
                <w:lang w:val="en-GB"/>
              </w:rPr>
              <w:t xml:space="preserve">Our Watch is the national violence prevention foundation (formerly called the Foundation to Prevent Violence Against Women and Children). It was established by the Commonwealth and Victorian Governments and launched </w:t>
            </w:r>
            <w:r w:rsidR="00EA2FFF">
              <w:rPr>
                <w:lang w:val="en-GB"/>
              </w:rPr>
              <w:t>in July 2013.  T</w:t>
            </w:r>
            <w:r w:rsidRPr="00EA2FFF">
              <w:rPr>
                <w:lang w:val="en-GB"/>
              </w:rPr>
              <w:t xml:space="preserve">he Northern Territory and South Australia have </w:t>
            </w:r>
            <w:r w:rsidR="00EA2FFF">
              <w:rPr>
                <w:lang w:val="en-GB"/>
              </w:rPr>
              <w:t>since joined</w:t>
            </w:r>
            <w:r w:rsidRPr="00EA2FFF">
              <w:rPr>
                <w:lang w:val="en-GB"/>
              </w:rPr>
              <w:t>. The key purpose of Our Watch is to promote t</w:t>
            </w:r>
            <w:r w:rsidR="00EA2FFF">
              <w:rPr>
                <w:lang w:val="en-GB"/>
              </w:rPr>
              <w:t>he prevention of emotional, sexual and physical abuse.</w:t>
            </w:r>
          </w:p>
        </w:tc>
        <w:tc>
          <w:tcPr>
            <w:tcW w:w="1417" w:type="dxa"/>
            <w:tcBorders>
              <w:top w:val="single" w:sz="4" w:space="0" w:color="auto"/>
              <w:left w:val="single" w:sz="4" w:space="0" w:color="auto"/>
              <w:bottom w:val="single" w:sz="4" w:space="0" w:color="auto"/>
              <w:right w:val="single" w:sz="4" w:space="0" w:color="auto"/>
            </w:tcBorders>
          </w:tcPr>
          <w:p w:rsidR="00F8404B" w:rsidRPr="00EA2FFF" w:rsidRDefault="00F8404B" w:rsidP="00A37B61">
            <w:r w:rsidRPr="00EA2FFF">
              <w:t>Women’s Affairs</w:t>
            </w:r>
          </w:p>
        </w:tc>
        <w:tc>
          <w:tcPr>
            <w:tcW w:w="1843" w:type="dxa"/>
            <w:tcBorders>
              <w:top w:val="single" w:sz="4" w:space="0" w:color="auto"/>
              <w:left w:val="single" w:sz="4" w:space="0" w:color="auto"/>
              <w:bottom w:val="single" w:sz="4" w:space="0" w:color="auto"/>
              <w:right w:val="single" w:sz="4" w:space="0" w:color="auto"/>
            </w:tcBorders>
          </w:tcPr>
          <w:p w:rsidR="00F8404B" w:rsidRPr="00EA2FFF" w:rsidRDefault="00F8404B" w:rsidP="00A37B61">
            <w:pPr>
              <w:jc w:val="right"/>
            </w:pPr>
            <w:r w:rsidRPr="00EA2FFF">
              <w:t>500 000.00</w:t>
            </w:r>
          </w:p>
        </w:tc>
      </w:tr>
      <w:tr w:rsidR="006D0F4D"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lastRenderedPageBreak/>
              <w:t>PilchConnect</w:t>
            </w:r>
            <w:r w:rsidR="00D32318">
              <w:t xml:space="preserve"> – </w:t>
            </w:r>
            <w:r w:rsidRPr="00EA2FFF">
              <w:t>Supporting Community Organisations</w:t>
            </w:r>
          </w:p>
        </w:tc>
        <w:tc>
          <w:tcPr>
            <w:tcW w:w="4536" w:type="dxa"/>
            <w:tcBorders>
              <w:top w:val="single" w:sz="4" w:space="0" w:color="auto"/>
              <w:left w:val="single" w:sz="4" w:space="0" w:color="auto"/>
              <w:bottom w:val="single" w:sz="4" w:space="0" w:color="auto"/>
              <w:right w:val="single" w:sz="4" w:space="0" w:color="auto"/>
            </w:tcBorders>
          </w:tcPr>
          <w:p w:rsidR="00A36DCF" w:rsidRPr="00EA2FFF" w:rsidRDefault="006D0F4D" w:rsidP="002F74E2">
            <w:pPr>
              <w:rPr>
                <w:lang w:val="en-GB"/>
              </w:rPr>
            </w:pPr>
            <w:r w:rsidRPr="00EA2FFF">
              <w:rPr>
                <w:lang w:val="en-GB"/>
              </w:rPr>
              <w:t>PilchConnect is a service that provides free or low</w:t>
            </w:r>
            <w:r w:rsidR="00D32318">
              <w:rPr>
                <w:lang w:val="en-GB"/>
              </w:rPr>
              <w:noBreakHyphen/>
            </w:r>
            <w:r w:rsidRPr="00EA2FFF">
              <w:rPr>
                <w:lang w:val="en-GB"/>
              </w:rPr>
              <w:t>cost support to not</w:t>
            </w:r>
            <w:r w:rsidR="00D32318">
              <w:rPr>
                <w:lang w:val="en-GB"/>
              </w:rPr>
              <w:noBreakHyphen/>
            </w:r>
            <w:r w:rsidRPr="00EA2FFF">
              <w:rPr>
                <w:lang w:val="en-GB"/>
              </w:rPr>
              <w:t>for</w:t>
            </w:r>
            <w:r w:rsidR="00D32318">
              <w:rPr>
                <w:lang w:val="en-GB"/>
              </w:rPr>
              <w:noBreakHyphen/>
            </w:r>
            <w:r w:rsidRPr="00EA2FFF">
              <w:rPr>
                <w:lang w:val="en-GB"/>
              </w:rPr>
              <w:t>profit community organisations on a range of legal and regulatory issues.  This initiative provides funding towards the operations of PilchConnect from 2012</w:t>
            </w:r>
            <w:r w:rsidR="00D32318">
              <w:rPr>
                <w:lang w:val="en-GB"/>
              </w:rPr>
              <w:noBreakHyphen/>
            </w:r>
            <w:r w:rsidRPr="00EA2FFF">
              <w:rPr>
                <w:lang w:val="en-GB"/>
              </w:rPr>
              <w:t>13 to 2015</w:t>
            </w:r>
            <w:r w:rsidR="00D32318">
              <w:rPr>
                <w:lang w:val="en-GB"/>
              </w:rPr>
              <w:noBreakHyphen/>
            </w:r>
            <w:r w:rsidRPr="00EA2FFF">
              <w:rPr>
                <w:lang w:val="en-GB"/>
              </w:rPr>
              <w:t xml:space="preserve">16. </w:t>
            </w:r>
          </w:p>
        </w:tc>
        <w:tc>
          <w:tcPr>
            <w:tcW w:w="1417" w:type="dxa"/>
            <w:tcBorders>
              <w:top w:val="single" w:sz="4" w:space="0" w:color="auto"/>
              <w:left w:val="single" w:sz="4" w:space="0" w:color="auto"/>
              <w:bottom w:val="single" w:sz="4" w:space="0" w:color="auto"/>
              <w:right w:val="single" w:sz="4" w:space="0" w:color="auto"/>
            </w:tcBorders>
          </w:tcPr>
          <w:p w:rsidR="006D0F4D" w:rsidRPr="00EA2FFF" w:rsidRDefault="00F66157" w:rsidP="00A37B61">
            <w:r w:rsidRPr="00EA2FFF">
              <w:t>Families and Children</w:t>
            </w:r>
          </w:p>
        </w:tc>
        <w:tc>
          <w:tcPr>
            <w:tcW w:w="1843" w:type="dxa"/>
            <w:tcBorders>
              <w:top w:val="single" w:sz="4" w:space="0" w:color="auto"/>
              <w:left w:val="single" w:sz="4" w:space="0" w:color="auto"/>
              <w:bottom w:val="single" w:sz="4" w:space="0" w:color="auto"/>
              <w:right w:val="single" w:sz="4" w:space="0" w:color="auto"/>
            </w:tcBorders>
          </w:tcPr>
          <w:p w:rsidR="006D0F4D" w:rsidRPr="00EA2FFF" w:rsidRDefault="006D0F4D" w:rsidP="00A37B61">
            <w:pPr>
              <w:jc w:val="right"/>
            </w:pPr>
            <w:r w:rsidRPr="00EA2FFF">
              <w:t>300 000</w:t>
            </w:r>
            <w:r w:rsidR="00F7495A" w:rsidRPr="00EA2FFF">
              <w:t>.00</w:t>
            </w:r>
          </w:p>
        </w:tc>
      </w:tr>
      <w:tr w:rsidR="009E7092"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9E7092" w:rsidRPr="00EA2FFF" w:rsidRDefault="009E7092" w:rsidP="0063273B">
            <w:r w:rsidRPr="00EA2FFF">
              <w:t>Pre</w:t>
            </w:r>
            <w:r w:rsidR="00D32318">
              <w:noBreakHyphen/>
            </w:r>
            <w:r w:rsidRPr="00EA2FFF">
              <w:t>commitment Implementation Project</w:t>
            </w:r>
          </w:p>
        </w:tc>
        <w:tc>
          <w:tcPr>
            <w:tcW w:w="4536" w:type="dxa"/>
            <w:tcBorders>
              <w:top w:val="single" w:sz="4" w:space="0" w:color="auto"/>
              <w:left w:val="single" w:sz="4" w:space="0" w:color="auto"/>
              <w:bottom w:val="single" w:sz="4" w:space="0" w:color="auto"/>
              <w:right w:val="single" w:sz="4" w:space="0" w:color="auto"/>
            </w:tcBorders>
          </w:tcPr>
          <w:p w:rsidR="009E7092" w:rsidRPr="00EA2FFF" w:rsidRDefault="009E7092" w:rsidP="0063273B">
            <w:pPr>
              <w:rPr>
                <w:lang w:val="en-GB"/>
              </w:rPr>
            </w:pPr>
            <w:r w:rsidRPr="00EA2FFF">
              <w:rPr>
                <w:lang w:val="en-GB"/>
              </w:rPr>
              <w:t>The Victorian Government is committed to implementing a voluntary Pre</w:t>
            </w:r>
            <w:r w:rsidR="00D32318">
              <w:rPr>
                <w:lang w:val="en-GB"/>
              </w:rPr>
              <w:noBreakHyphen/>
            </w:r>
            <w:r w:rsidRPr="00EA2FFF">
              <w:rPr>
                <w:lang w:val="en-GB"/>
              </w:rPr>
              <w:t>commitment scheme for Victorian electronic gaming machines. The policy objectives for the scheme are to minimise harm by providing a tool to assist players to control their gambling and avoid escalation into harmful levels.</w:t>
            </w:r>
          </w:p>
        </w:tc>
        <w:tc>
          <w:tcPr>
            <w:tcW w:w="1417" w:type="dxa"/>
            <w:tcBorders>
              <w:top w:val="single" w:sz="4" w:space="0" w:color="auto"/>
              <w:left w:val="single" w:sz="4" w:space="0" w:color="auto"/>
              <w:bottom w:val="single" w:sz="4" w:space="0" w:color="auto"/>
              <w:right w:val="single" w:sz="4" w:space="0" w:color="auto"/>
            </w:tcBorders>
          </w:tcPr>
          <w:p w:rsidR="009E7092" w:rsidRPr="00EA2FFF" w:rsidRDefault="009E7092" w:rsidP="0063273B">
            <w:r w:rsidRPr="00EA2FFF">
              <w:t>Gaming</w:t>
            </w:r>
          </w:p>
        </w:tc>
        <w:tc>
          <w:tcPr>
            <w:tcW w:w="1843" w:type="dxa"/>
            <w:tcBorders>
              <w:top w:val="single" w:sz="4" w:space="0" w:color="auto"/>
              <w:left w:val="single" w:sz="4" w:space="0" w:color="auto"/>
              <w:bottom w:val="single" w:sz="4" w:space="0" w:color="auto"/>
              <w:right w:val="single" w:sz="4" w:space="0" w:color="auto"/>
            </w:tcBorders>
          </w:tcPr>
          <w:p w:rsidR="009E7092" w:rsidRPr="00EA2FFF" w:rsidRDefault="009E7092" w:rsidP="0063273B">
            <w:pPr>
              <w:jc w:val="right"/>
            </w:pPr>
            <w:r w:rsidRPr="00EA2FFF">
              <w:t>2 337 600.00</w:t>
            </w:r>
          </w:p>
        </w:tc>
      </w:tr>
      <w:tr w:rsidR="006D0F4D"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Promotion of the Premier's Spirit of ANZAC Prize</w:t>
            </w:r>
          </w:p>
        </w:tc>
        <w:tc>
          <w:tcPr>
            <w:tcW w:w="4536" w:type="dxa"/>
            <w:tcBorders>
              <w:top w:val="single" w:sz="4" w:space="0" w:color="auto"/>
              <w:left w:val="single" w:sz="4" w:space="0" w:color="auto"/>
              <w:bottom w:val="single" w:sz="4" w:space="0" w:color="auto"/>
              <w:right w:val="single" w:sz="4" w:space="0" w:color="auto"/>
            </w:tcBorders>
          </w:tcPr>
          <w:p w:rsidR="00A36DCF" w:rsidRPr="00EA2FFF" w:rsidRDefault="009F470F" w:rsidP="009F470F">
            <w:pPr>
              <w:rPr>
                <w:lang w:val="en-GB"/>
              </w:rPr>
            </w:pPr>
            <w:r w:rsidRPr="00EA2FFF">
              <w:rPr>
                <w:lang w:val="en-GB"/>
              </w:rPr>
              <w:t>This initiative improves the promotion of the Spirit of ANZAC Prize to years 9 and 10 students across Victoria by developing and distributing promotional materials to all Victorian secondary schools, and by targeting schools in under</w:t>
            </w:r>
            <w:r w:rsidR="00D32318">
              <w:rPr>
                <w:lang w:val="en-GB"/>
              </w:rPr>
              <w:noBreakHyphen/>
            </w:r>
            <w:r w:rsidRPr="00EA2FFF">
              <w:rPr>
                <w:lang w:val="en-GB"/>
              </w:rPr>
              <w:t>represented regions.</w:t>
            </w:r>
          </w:p>
        </w:tc>
        <w:tc>
          <w:tcPr>
            <w:tcW w:w="1417"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Veterans Affairs</w:t>
            </w:r>
          </w:p>
        </w:tc>
        <w:tc>
          <w:tcPr>
            <w:tcW w:w="1843" w:type="dxa"/>
            <w:tcBorders>
              <w:top w:val="single" w:sz="4" w:space="0" w:color="auto"/>
              <w:left w:val="single" w:sz="4" w:space="0" w:color="auto"/>
              <w:bottom w:val="single" w:sz="4" w:space="0" w:color="auto"/>
              <w:right w:val="single" w:sz="4" w:space="0" w:color="auto"/>
            </w:tcBorders>
          </w:tcPr>
          <w:p w:rsidR="006D0F4D" w:rsidRPr="00EA2FFF" w:rsidRDefault="006D0F4D" w:rsidP="00A37B61">
            <w:pPr>
              <w:jc w:val="right"/>
            </w:pPr>
            <w:r w:rsidRPr="00EA2FFF">
              <w:t>100 000</w:t>
            </w:r>
            <w:r w:rsidR="00F7495A" w:rsidRPr="00EA2FFF">
              <w:t>.00</w:t>
            </w:r>
            <w:r w:rsidRPr="00EA2FFF">
              <w:t xml:space="preserve"> </w:t>
            </w:r>
          </w:p>
        </w:tc>
      </w:tr>
      <w:tr w:rsidR="006D0F4D"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Social Traders 2012</w:t>
            </w:r>
            <w:r w:rsidR="00D32318">
              <w:noBreakHyphen/>
            </w:r>
            <w:r w:rsidRPr="00EA2FFF">
              <w:t>13 to 2014</w:t>
            </w:r>
            <w:r w:rsidR="00D32318">
              <w:noBreakHyphen/>
            </w:r>
            <w:r w:rsidRPr="00EA2FFF">
              <w:t>15 Supporting Development of Social Traders</w:t>
            </w:r>
          </w:p>
        </w:tc>
        <w:tc>
          <w:tcPr>
            <w:tcW w:w="4536" w:type="dxa"/>
            <w:tcBorders>
              <w:top w:val="single" w:sz="4" w:space="0" w:color="auto"/>
              <w:left w:val="single" w:sz="4" w:space="0" w:color="auto"/>
              <w:bottom w:val="single" w:sz="4" w:space="0" w:color="auto"/>
              <w:right w:val="single" w:sz="4" w:space="0" w:color="auto"/>
            </w:tcBorders>
          </w:tcPr>
          <w:p w:rsidR="006D0F4D" w:rsidRPr="00EA2FFF" w:rsidRDefault="006D0F4D" w:rsidP="006C00FE">
            <w:pPr>
              <w:spacing w:before="0" w:after="0"/>
            </w:pPr>
            <w:r w:rsidRPr="00EA2FFF">
              <w:t>This program will increase the number and commercial viability of social enterprises across</w:t>
            </w:r>
          </w:p>
          <w:p w:rsidR="00277558" w:rsidRPr="00EA2FFF" w:rsidRDefault="006D0F4D" w:rsidP="0058781F">
            <w:pPr>
              <w:spacing w:before="0"/>
            </w:pPr>
            <w:r w:rsidRPr="00EA2FFF">
              <w:t xml:space="preserve">Victoria. It will provide social enterprises with business development support, analysis of market opportunities and seed funding. </w:t>
            </w:r>
          </w:p>
        </w:tc>
        <w:tc>
          <w:tcPr>
            <w:tcW w:w="1417" w:type="dxa"/>
            <w:tcBorders>
              <w:top w:val="single" w:sz="4" w:space="0" w:color="auto"/>
              <w:left w:val="single" w:sz="4" w:space="0" w:color="auto"/>
              <w:bottom w:val="single" w:sz="4" w:space="0" w:color="auto"/>
              <w:right w:val="single" w:sz="4" w:space="0" w:color="auto"/>
            </w:tcBorders>
          </w:tcPr>
          <w:p w:rsidR="006D0F4D" w:rsidRPr="00EA2FFF" w:rsidRDefault="00F66157" w:rsidP="00A37B61">
            <w:r w:rsidRPr="00EA2FFF">
              <w:t>Families and Children</w:t>
            </w:r>
          </w:p>
        </w:tc>
        <w:tc>
          <w:tcPr>
            <w:tcW w:w="1843" w:type="dxa"/>
            <w:tcBorders>
              <w:top w:val="single" w:sz="4" w:space="0" w:color="auto"/>
              <w:left w:val="single" w:sz="4" w:space="0" w:color="auto"/>
              <w:bottom w:val="single" w:sz="4" w:space="0" w:color="auto"/>
              <w:right w:val="single" w:sz="4" w:space="0" w:color="auto"/>
            </w:tcBorders>
          </w:tcPr>
          <w:p w:rsidR="006D0F4D" w:rsidRPr="00EA2FFF" w:rsidRDefault="008241E5" w:rsidP="00A37B61">
            <w:pPr>
              <w:jc w:val="right"/>
            </w:pPr>
            <w:r w:rsidRPr="00EA2FFF">
              <w:t>946</w:t>
            </w:r>
            <w:r w:rsidR="006D0F4D" w:rsidRPr="00EA2FFF">
              <w:t> 000</w:t>
            </w:r>
            <w:r w:rsidR="00F7495A" w:rsidRPr="00EA2FFF">
              <w:t>.00</w:t>
            </w:r>
          </w:p>
        </w:tc>
      </w:tr>
      <w:tr w:rsidR="00872FE8" w:rsidRPr="00EA2FFF" w:rsidTr="00D32318">
        <w:trPr>
          <w:cantSplit/>
        </w:trPr>
        <w:tc>
          <w:tcPr>
            <w:tcW w:w="2581" w:type="dxa"/>
            <w:tcBorders>
              <w:top w:val="single" w:sz="4" w:space="0" w:color="auto"/>
              <w:left w:val="single" w:sz="4" w:space="0" w:color="auto"/>
              <w:right w:val="single" w:sz="4" w:space="0" w:color="auto"/>
            </w:tcBorders>
          </w:tcPr>
          <w:p w:rsidR="00872FE8" w:rsidRPr="00EA2FFF" w:rsidRDefault="00872FE8" w:rsidP="00A37B61">
            <w:r w:rsidRPr="00EA2FFF">
              <w:t>Victorian Community Support Grants (and related administration)</w:t>
            </w:r>
          </w:p>
        </w:tc>
        <w:tc>
          <w:tcPr>
            <w:tcW w:w="4536" w:type="dxa"/>
            <w:tcBorders>
              <w:top w:val="single" w:sz="4" w:space="0" w:color="auto"/>
              <w:left w:val="single" w:sz="4" w:space="0" w:color="auto"/>
              <w:right w:val="single" w:sz="4" w:space="0" w:color="auto"/>
            </w:tcBorders>
          </w:tcPr>
          <w:p w:rsidR="00EA2FFF" w:rsidRPr="00EA2FFF" w:rsidRDefault="00872FE8" w:rsidP="00A37B61">
            <w:r w:rsidRPr="00EA2FFF">
              <w:t>Victorian Community Support Grants aim to build stronger, more active and inclusive neighbourhoods and communities. These grants support communities to build on their assets which range from local skills, knowledge and social connections through to facilities, buildings and other infrastructure.</w:t>
            </w:r>
          </w:p>
        </w:tc>
        <w:tc>
          <w:tcPr>
            <w:tcW w:w="1417" w:type="dxa"/>
            <w:tcBorders>
              <w:top w:val="single" w:sz="4" w:space="0" w:color="auto"/>
              <w:left w:val="single" w:sz="4" w:space="0" w:color="auto"/>
              <w:right w:val="single" w:sz="4" w:space="0" w:color="auto"/>
            </w:tcBorders>
          </w:tcPr>
          <w:p w:rsidR="00872FE8" w:rsidRPr="00EA2FFF" w:rsidRDefault="00872FE8" w:rsidP="00A37B61">
            <w:r w:rsidRPr="00EA2FFF">
              <w:t>Regional and Rural Development</w:t>
            </w:r>
          </w:p>
        </w:tc>
        <w:tc>
          <w:tcPr>
            <w:tcW w:w="1843" w:type="dxa"/>
            <w:tcBorders>
              <w:top w:val="single" w:sz="4" w:space="0" w:color="auto"/>
              <w:left w:val="single" w:sz="4" w:space="0" w:color="auto"/>
              <w:right w:val="single" w:sz="4" w:space="0" w:color="auto"/>
            </w:tcBorders>
          </w:tcPr>
          <w:p w:rsidR="00872FE8" w:rsidRPr="00EA2FFF" w:rsidRDefault="008241E5" w:rsidP="00A37B61">
            <w:pPr>
              <w:jc w:val="right"/>
            </w:pPr>
            <w:r w:rsidRPr="00EA2FFF">
              <w:t>478 156.00</w:t>
            </w:r>
          </w:p>
          <w:p w:rsidR="00872FE8" w:rsidRPr="00EA2FFF" w:rsidRDefault="00872FE8" w:rsidP="00A37B61">
            <w:pPr>
              <w:jc w:val="right"/>
            </w:pPr>
          </w:p>
        </w:tc>
      </w:tr>
      <w:tr w:rsidR="006D0F4D" w:rsidRPr="00EA2FFF" w:rsidTr="00D32318">
        <w:trPr>
          <w:cantSplit/>
        </w:trPr>
        <w:tc>
          <w:tcPr>
            <w:tcW w:w="2581"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VIYAC – Supporting Emerging Indigenous Leaders Prog</w:t>
            </w:r>
            <w:r w:rsidR="00277517" w:rsidRPr="00EA2FFF">
              <w:t>r</w:t>
            </w:r>
            <w:r w:rsidRPr="00EA2FFF">
              <w:t>am</w:t>
            </w:r>
          </w:p>
        </w:tc>
        <w:tc>
          <w:tcPr>
            <w:tcW w:w="4536" w:type="dxa"/>
            <w:tcBorders>
              <w:top w:val="single" w:sz="4" w:space="0" w:color="auto"/>
              <w:left w:val="single" w:sz="4" w:space="0" w:color="auto"/>
              <w:bottom w:val="single" w:sz="4" w:space="0" w:color="auto"/>
              <w:right w:val="single" w:sz="4" w:space="0" w:color="auto"/>
            </w:tcBorders>
          </w:tcPr>
          <w:p w:rsidR="006D0F4D" w:rsidRPr="00EA2FFF" w:rsidRDefault="00C0690E" w:rsidP="00A37B61">
            <w:r w:rsidRPr="00EA2FFF">
              <w:t>This program supports the delivery of youth leadership by supportin</w:t>
            </w:r>
            <w:r w:rsidR="00D454B6" w:rsidRPr="00EA2FFF">
              <w:t xml:space="preserve">g the Koorie Youth Council </w:t>
            </w:r>
            <w:r w:rsidRPr="00EA2FFF">
              <w:t xml:space="preserve"> to advocate on Aboriginal issues and advise government and community organisations on a range of policy areas.</w:t>
            </w:r>
          </w:p>
          <w:p w:rsidR="006D0F4D" w:rsidRPr="00EA2FFF" w:rsidRDefault="00B45412" w:rsidP="00A37B61">
            <w:r w:rsidRPr="00EA2FFF">
              <w:t xml:space="preserve">Link to </w:t>
            </w:r>
            <w:hyperlink r:id="rId16" w:history="1">
              <w:r w:rsidRPr="00B45412">
                <w:rPr>
                  <w:rStyle w:val="Hyperlink"/>
                </w:rPr>
                <w:t>grants approved in 2014</w:t>
              </w:r>
              <w:r w:rsidRPr="00B45412">
                <w:rPr>
                  <w:rStyle w:val="Hyperlink"/>
                </w:rPr>
                <w:noBreakHyphen/>
                <w:t>15</w:t>
              </w:r>
            </w:hyperlink>
          </w:p>
        </w:tc>
        <w:tc>
          <w:tcPr>
            <w:tcW w:w="1417" w:type="dxa"/>
            <w:tcBorders>
              <w:top w:val="single" w:sz="4" w:space="0" w:color="auto"/>
              <w:left w:val="single" w:sz="4" w:space="0" w:color="auto"/>
              <w:bottom w:val="single" w:sz="4" w:space="0" w:color="auto"/>
              <w:right w:val="single" w:sz="4" w:space="0" w:color="auto"/>
            </w:tcBorders>
          </w:tcPr>
          <w:p w:rsidR="006D0F4D" w:rsidRPr="00EA2FFF" w:rsidRDefault="006D0F4D" w:rsidP="00A37B61">
            <w:r w:rsidRPr="00EA2FFF">
              <w:t>Aboriginal Affairs</w:t>
            </w:r>
          </w:p>
        </w:tc>
        <w:tc>
          <w:tcPr>
            <w:tcW w:w="1843" w:type="dxa"/>
            <w:tcBorders>
              <w:top w:val="single" w:sz="4" w:space="0" w:color="auto"/>
              <w:left w:val="single" w:sz="4" w:space="0" w:color="auto"/>
              <w:bottom w:val="single" w:sz="4" w:space="0" w:color="auto"/>
              <w:right w:val="single" w:sz="4" w:space="0" w:color="auto"/>
            </w:tcBorders>
          </w:tcPr>
          <w:p w:rsidR="006D0F4D" w:rsidRPr="00EA2FFF" w:rsidRDefault="008241E5" w:rsidP="00872FE8">
            <w:pPr>
              <w:jc w:val="right"/>
            </w:pPr>
            <w:r w:rsidRPr="00EA2FFF">
              <w:t>194</w:t>
            </w:r>
            <w:r w:rsidR="006D0F4D" w:rsidRPr="00EA2FFF">
              <w:t> </w:t>
            </w:r>
            <w:r w:rsidRPr="00EA2FFF">
              <w:t>36</w:t>
            </w:r>
            <w:r w:rsidR="00872FE8" w:rsidRPr="00EA2FFF">
              <w:t>5</w:t>
            </w:r>
            <w:r w:rsidR="00F7495A" w:rsidRPr="00EA2FFF">
              <w:t>.00</w:t>
            </w:r>
          </w:p>
        </w:tc>
      </w:tr>
      <w:tr w:rsidR="00185AAD" w:rsidRPr="00EA2FFF" w:rsidTr="00D32318">
        <w:tblPrEx>
          <w:tblCellMar>
            <w:left w:w="108" w:type="dxa"/>
            <w:right w:w="108" w:type="dxa"/>
          </w:tblCellMar>
        </w:tblPrEx>
        <w:trPr>
          <w:cantSplit/>
        </w:trPr>
        <w:tc>
          <w:tcPr>
            <w:tcW w:w="8534" w:type="dxa"/>
            <w:gridSpan w:val="3"/>
            <w:tcBorders>
              <w:top w:val="single" w:sz="4" w:space="0" w:color="auto"/>
              <w:left w:val="single" w:sz="4" w:space="0" w:color="auto"/>
              <w:bottom w:val="single" w:sz="4" w:space="0" w:color="auto"/>
              <w:right w:val="single" w:sz="4" w:space="0" w:color="auto"/>
            </w:tcBorders>
          </w:tcPr>
          <w:p w:rsidR="00185AAD" w:rsidRPr="00EA2FFF" w:rsidRDefault="00185AAD" w:rsidP="00A37B61">
            <w:pPr>
              <w:spacing w:before="120" w:after="120"/>
              <w:rPr>
                <w:rFonts w:cs="Calibri"/>
                <w:lang w:val="en-CA" w:eastAsia="en-CA"/>
              </w:rPr>
            </w:pPr>
            <w:r w:rsidRPr="00EA2FFF">
              <w:rPr>
                <w:rFonts w:cs="Calibri"/>
                <w:b/>
                <w:bCs/>
                <w:lang w:val="en-CA" w:eastAsia="en-CA"/>
              </w:rPr>
              <w:t xml:space="preserve"> Total </w:t>
            </w:r>
            <w:r w:rsidR="00D32318" w:rsidRPr="00EA2FFF">
              <w:rPr>
                <w:rFonts w:cs="Calibri"/>
                <w:b/>
                <w:bCs/>
                <w:lang w:val="en-CA" w:eastAsia="en-CA"/>
              </w:rPr>
              <w:t>program expenditure</w:t>
            </w:r>
          </w:p>
        </w:tc>
        <w:tc>
          <w:tcPr>
            <w:tcW w:w="1843" w:type="dxa"/>
            <w:tcBorders>
              <w:top w:val="single" w:sz="4" w:space="0" w:color="auto"/>
              <w:left w:val="single" w:sz="4" w:space="0" w:color="auto"/>
              <w:bottom w:val="single" w:sz="4" w:space="0" w:color="auto"/>
              <w:right w:val="single" w:sz="4" w:space="0" w:color="auto"/>
            </w:tcBorders>
          </w:tcPr>
          <w:p w:rsidR="00185AAD" w:rsidRPr="00EA2FFF" w:rsidRDefault="00557F22" w:rsidP="00A37B61">
            <w:pPr>
              <w:spacing w:before="120" w:after="120"/>
              <w:jc w:val="right"/>
              <w:rPr>
                <w:rFonts w:cs="Calibri"/>
                <w:b/>
                <w:lang w:eastAsia="en-CA"/>
              </w:rPr>
            </w:pPr>
            <w:r>
              <w:rPr>
                <w:rFonts w:cs="Calibri"/>
                <w:b/>
                <w:lang w:eastAsia="en-CA"/>
              </w:rPr>
              <w:t>$109 550 164.15</w:t>
            </w:r>
          </w:p>
        </w:tc>
      </w:tr>
      <w:tr w:rsidR="00185AAD" w:rsidRPr="00EA2FFF" w:rsidTr="00D32318">
        <w:tblPrEx>
          <w:tblCellMar>
            <w:left w:w="108" w:type="dxa"/>
            <w:right w:w="108" w:type="dxa"/>
          </w:tblCellMar>
        </w:tblPrEx>
        <w:trPr>
          <w:cantSplit/>
        </w:trPr>
        <w:tc>
          <w:tcPr>
            <w:tcW w:w="2581" w:type="dxa"/>
            <w:tcBorders>
              <w:top w:val="single" w:sz="4" w:space="0" w:color="auto"/>
              <w:left w:val="single" w:sz="4" w:space="0" w:color="auto"/>
              <w:bottom w:val="single" w:sz="4" w:space="0" w:color="auto"/>
              <w:right w:val="single" w:sz="4" w:space="0" w:color="auto"/>
            </w:tcBorders>
          </w:tcPr>
          <w:p w:rsidR="00185AAD" w:rsidRPr="00EA2FFF" w:rsidRDefault="00185AAD" w:rsidP="00A37B61">
            <w:pPr>
              <w:spacing w:before="120" w:after="120"/>
              <w:rPr>
                <w:rFonts w:cs="Calibri"/>
                <w:lang w:val="en-CA" w:eastAsia="en-CA"/>
              </w:rPr>
            </w:pPr>
            <w:r w:rsidRPr="00EA2FFF">
              <w:rPr>
                <w:rFonts w:cs="Calibri"/>
                <w:bCs/>
                <w:lang w:val="en-CA" w:eastAsia="en-CA"/>
              </w:rPr>
              <w:t>ANZAC Day Revenue to Veterans Fund</w:t>
            </w:r>
          </w:p>
        </w:tc>
        <w:tc>
          <w:tcPr>
            <w:tcW w:w="5953" w:type="dxa"/>
            <w:gridSpan w:val="2"/>
            <w:tcBorders>
              <w:top w:val="single" w:sz="4" w:space="0" w:color="auto"/>
              <w:left w:val="single" w:sz="4" w:space="0" w:color="auto"/>
              <w:bottom w:val="single" w:sz="4" w:space="0" w:color="auto"/>
              <w:right w:val="single" w:sz="4" w:space="0" w:color="auto"/>
            </w:tcBorders>
          </w:tcPr>
          <w:p w:rsidR="00185AAD" w:rsidRPr="00EA2FFF" w:rsidRDefault="00185AAD" w:rsidP="00A37B61">
            <w:pPr>
              <w:spacing w:before="120" w:after="120"/>
              <w:rPr>
                <w:rFonts w:cs="Calibri"/>
                <w:lang w:val="en-CA" w:eastAsia="en-CA"/>
              </w:rPr>
            </w:pPr>
            <w:r w:rsidRPr="00EA2FFF">
              <w:rPr>
                <w:rFonts w:cs="Calibri"/>
                <w:lang w:val="en-CA" w:eastAsia="en-CA"/>
              </w:rPr>
              <w:t>Payment of one day’s revenue from the Community Support Fund to the Victorian Veterans Fund.</w:t>
            </w:r>
          </w:p>
        </w:tc>
        <w:tc>
          <w:tcPr>
            <w:tcW w:w="1843" w:type="dxa"/>
            <w:tcBorders>
              <w:top w:val="single" w:sz="4" w:space="0" w:color="auto"/>
              <w:left w:val="single" w:sz="4" w:space="0" w:color="auto"/>
              <w:bottom w:val="single" w:sz="4" w:space="0" w:color="auto"/>
              <w:right w:val="single" w:sz="4" w:space="0" w:color="auto"/>
            </w:tcBorders>
          </w:tcPr>
          <w:p w:rsidR="00185AAD" w:rsidRPr="00EA2FFF" w:rsidRDefault="008241E5" w:rsidP="00A37B61">
            <w:pPr>
              <w:spacing w:before="120" w:after="120"/>
              <w:jc w:val="right"/>
              <w:rPr>
                <w:rFonts w:cs="Calibri"/>
                <w:lang w:val="en-CA" w:eastAsia="en-CA"/>
              </w:rPr>
            </w:pPr>
            <w:r w:rsidRPr="00EA2FFF">
              <w:t>255</w:t>
            </w:r>
            <w:r w:rsidR="00277517" w:rsidRPr="00EA2FFF">
              <w:t> 371</w:t>
            </w:r>
            <w:r w:rsidRPr="00EA2FFF">
              <w:t>.94</w:t>
            </w:r>
          </w:p>
        </w:tc>
      </w:tr>
      <w:tr w:rsidR="00185AAD" w:rsidRPr="00EA2FFF" w:rsidTr="00D32318">
        <w:tblPrEx>
          <w:tblCellMar>
            <w:left w:w="108" w:type="dxa"/>
            <w:right w:w="108" w:type="dxa"/>
          </w:tblCellMar>
        </w:tblPrEx>
        <w:trPr>
          <w:cantSplit/>
        </w:trPr>
        <w:tc>
          <w:tcPr>
            <w:tcW w:w="2581" w:type="dxa"/>
            <w:tcBorders>
              <w:top w:val="single" w:sz="4" w:space="0" w:color="auto"/>
              <w:left w:val="single" w:sz="4" w:space="0" w:color="auto"/>
              <w:bottom w:val="single" w:sz="4" w:space="0" w:color="auto"/>
              <w:right w:val="single" w:sz="4" w:space="0" w:color="auto"/>
            </w:tcBorders>
          </w:tcPr>
          <w:p w:rsidR="00185AAD" w:rsidRPr="00EA2FFF" w:rsidRDefault="00185AAD" w:rsidP="00A37B61">
            <w:pPr>
              <w:spacing w:before="120" w:after="120"/>
              <w:rPr>
                <w:rFonts w:cs="Calibri"/>
                <w:lang w:val="en-CA" w:eastAsia="en-CA"/>
              </w:rPr>
            </w:pPr>
            <w:r w:rsidRPr="00EA2FFF">
              <w:rPr>
                <w:rFonts w:cs="Calibri"/>
                <w:bCs/>
                <w:lang w:val="en-CA" w:eastAsia="en-CA"/>
              </w:rPr>
              <w:t>CSF Administration</w:t>
            </w:r>
          </w:p>
        </w:tc>
        <w:tc>
          <w:tcPr>
            <w:tcW w:w="5953" w:type="dxa"/>
            <w:gridSpan w:val="2"/>
            <w:tcBorders>
              <w:top w:val="single" w:sz="4" w:space="0" w:color="auto"/>
              <w:left w:val="single" w:sz="4" w:space="0" w:color="auto"/>
              <w:bottom w:val="single" w:sz="4" w:space="0" w:color="auto"/>
              <w:right w:val="single" w:sz="4" w:space="0" w:color="auto"/>
            </w:tcBorders>
          </w:tcPr>
          <w:p w:rsidR="00185AAD" w:rsidRPr="00EA2FFF" w:rsidRDefault="00185AAD" w:rsidP="00A37B61">
            <w:pPr>
              <w:spacing w:before="120" w:after="120"/>
              <w:rPr>
                <w:rFonts w:cs="Calibri"/>
                <w:lang w:val="en-CA" w:eastAsia="en-CA"/>
              </w:rPr>
            </w:pPr>
            <w:r w:rsidRPr="00EA2FFF">
              <w:rPr>
                <w:rFonts w:cs="Calibri"/>
                <w:lang w:val="en-CA" w:eastAsia="en-CA"/>
              </w:rPr>
              <w:t>Expenditure incurred in administering and managing the Fund and monitoring and reporting on the application of money from the Fund.</w:t>
            </w:r>
          </w:p>
        </w:tc>
        <w:tc>
          <w:tcPr>
            <w:tcW w:w="1843" w:type="dxa"/>
          </w:tcPr>
          <w:p w:rsidR="00185AAD" w:rsidRPr="00EA2FFF" w:rsidRDefault="008241E5" w:rsidP="00817B8A">
            <w:pPr>
              <w:spacing w:before="120" w:after="120"/>
              <w:jc w:val="right"/>
              <w:rPr>
                <w:rFonts w:cs="Calibri"/>
                <w:lang w:val="en-CA" w:eastAsia="en-CA"/>
              </w:rPr>
            </w:pPr>
            <w:r w:rsidRPr="00EA2FFF">
              <w:rPr>
                <w:rFonts w:cs="Calibri"/>
                <w:lang w:val="en-CA" w:eastAsia="en-CA"/>
              </w:rPr>
              <w:t>360 90</w:t>
            </w:r>
            <w:r w:rsidR="00347470" w:rsidRPr="00EA2FFF">
              <w:rPr>
                <w:rFonts w:cs="Calibri"/>
                <w:lang w:val="en-CA" w:eastAsia="en-CA"/>
              </w:rPr>
              <w:t>0</w:t>
            </w:r>
            <w:r w:rsidR="00F7495A" w:rsidRPr="00EA2FFF">
              <w:rPr>
                <w:rFonts w:cs="Calibri"/>
                <w:lang w:val="en-CA" w:eastAsia="en-CA"/>
              </w:rPr>
              <w:t>.00</w:t>
            </w:r>
            <w:r w:rsidR="00C975D5" w:rsidRPr="00EA2FFF">
              <w:rPr>
                <w:rFonts w:cs="Calibri"/>
                <w:lang w:val="en-CA" w:eastAsia="en-CA"/>
              </w:rPr>
              <w:t xml:space="preserve"> </w:t>
            </w:r>
          </w:p>
        </w:tc>
      </w:tr>
      <w:tr w:rsidR="00B21492" w:rsidRPr="00EA2FFF" w:rsidTr="00D32318">
        <w:tblPrEx>
          <w:tblCellMar>
            <w:left w:w="108" w:type="dxa"/>
            <w:right w:w="108" w:type="dxa"/>
          </w:tblCellMar>
        </w:tblPrEx>
        <w:trPr>
          <w:cantSplit/>
        </w:trPr>
        <w:tc>
          <w:tcPr>
            <w:tcW w:w="8534" w:type="dxa"/>
            <w:gridSpan w:val="3"/>
            <w:tcBorders>
              <w:top w:val="single" w:sz="4" w:space="0" w:color="auto"/>
              <w:left w:val="single" w:sz="4" w:space="0" w:color="auto"/>
              <w:bottom w:val="single" w:sz="4" w:space="0" w:color="auto"/>
              <w:right w:val="single" w:sz="4" w:space="0" w:color="auto"/>
            </w:tcBorders>
          </w:tcPr>
          <w:p w:rsidR="00B21492" w:rsidRPr="00EA2FFF" w:rsidRDefault="00B21492" w:rsidP="00A37B61">
            <w:pPr>
              <w:spacing w:before="120" w:after="120"/>
              <w:rPr>
                <w:rFonts w:cs="Calibri"/>
                <w:b/>
                <w:lang w:val="en-CA" w:eastAsia="en-CA"/>
              </w:rPr>
            </w:pPr>
            <w:r w:rsidRPr="00EA2FFF">
              <w:rPr>
                <w:rFonts w:cs="Calibri"/>
                <w:b/>
                <w:lang w:val="en-CA" w:eastAsia="en-CA"/>
              </w:rPr>
              <w:t xml:space="preserve">Total </w:t>
            </w:r>
            <w:r w:rsidR="00D32318" w:rsidRPr="00EA2FFF">
              <w:rPr>
                <w:rFonts w:cs="Calibri"/>
                <w:b/>
                <w:lang w:val="en-CA" w:eastAsia="en-CA"/>
              </w:rPr>
              <w:t>operating expenditure</w:t>
            </w:r>
          </w:p>
        </w:tc>
        <w:tc>
          <w:tcPr>
            <w:tcW w:w="1843" w:type="dxa"/>
            <w:tcBorders>
              <w:top w:val="single" w:sz="4" w:space="0" w:color="auto"/>
              <w:left w:val="single" w:sz="4" w:space="0" w:color="auto"/>
              <w:bottom w:val="single" w:sz="4" w:space="0" w:color="auto"/>
              <w:right w:val="single" w:sz="4" w:space="0" w:color="auto"/>
            </w:tcBorders>
          </w:tcPr>
          <w:p w:rsidR="00B21492" w:rsidRPr="00EA2FFF" w:rsidRDefault="00557F22" w:rsidP="00A37B61">
            <w:pPr>
              <w:spacing w:before="120" w:after="120"/>
              <w:jc w:val="right"/>
              <w:rPr>
                <w:rFonts w:cs="Calibri"/>
                <w:b/>
                <w:lang w:val="en-CA" w:eastAsia="en-CA"/>
              </w:rPr>
            </w:pPr>
            <w:r>
              <w:rPr>
                <w:rFonts w:cs="Calibri"/>
                <w:b/>
                <w:lang w:val="en-CA" w:eastAsia="en-CA"/>
              </w:rPr>
              <w:t>$110 166 436.09</w:t>
            </w:r>
          </w:p>
        </w:tc>
      </w:tr>
    </w:tbl>
    <w:p w:rsidR="00E4232D" w:rsidRPr="00087413" w:rsidRDefault="00E4232D" w:rsidP="00087413">
      <w:pPr>
        <w:pStyle w:val="Bullet"/>
        <w:numPr>
          <w:ilvl w:val="0"/>
          <w:numId w:val="0"/>
        </w:numPr>
        <w:rPr>
          <w:rStyle w:val="Hyperlink"/>
        </w:rPr>
      </w:pPr>
    </w:p>
    <w:sectPr w:rsidR="00E4232D" w:rsidRPr="00087413" w:rsidSect="00156883">
      <w:headerReference w:type="default" r:id="rId17"/>
      <w:footerReference w:type="even" r:id="rId18"/>
      <w:footerReference w:type="default" r:id="rId19"/>
      <w:footerReference w:type="first" r:id="rId20"/>
      <w:pgSz w:w="11906" w:h="16838"/>
      <w:pgMar w:top="1080" w:right="864" w:bottom="864" w:left="864" w:header="288"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47" w:rsidRDefault="00FE2147">
      <w:r>
        <w:separator/>
      </w:r>
    </w:p>
  </w:endnote>
  <w:endnote w:type="continuationSeparator" w:id="0">
    <w:p w:rsidR="00FE2147" w:rsidRDefault="00FE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rsidP="009730B0">
    <w:pPr>
      <w:pStyle w:val="Footer"/>
      <w:spacing w:before="0" w:after="0"/>
      <w:jc w:val="center"/>
      <w:rPr>
        <w:rFonts w:ascii="Arial" w:hAnsi="Arial" w:cs="Arial"/>
        <w:b/>
        <w:color w:val="FF0000"/>
        <w:sz w:val="29"/>
      </w:rPr>
    </w:pPr>
    <w:bookmarkStart w:id="1" w:name="aliashProtectiveMarkings1FooterEvenPages"/>
  </w:p>
  <w:bookmarkEnd w:id="1"/>
  <w:p w:rsidR="00427B5F" w:rsidRDefault="00427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EB" w:rsidRPr="00EF02B4" w:rsidRDefault="000355EB" w:rsidP="00EF02B4">
    <w:pPr>
      <w:pStyle w:val="Footer"/>
      <w:jc w:val="right"/>
    </w:pPr>
    <w:r w:rsidRPr="00EF02B4">
      <w:t xml:space="preserve">Page </w:t>
    </w:r>
    <w:r w:rsidRPr="00EF02B4">
      <w:rPr>
        <w:rStyle w:val="PageNumber"/>
      </w:rPr>
      <w:fldChar w:fldCharType="begin"/>
    </w:r>
    <w:r w:rsidRPr="00EF02B4">
      <w:rPr>
        <w:rStyle w:val="PageNumber"/>
      </w:rPr>
      <w:instrText xml:space="preserve"> PAGE </w:instrText>
    </w:r>
    <w:r w:rsidRPr="00EF02B4">
      <w:rPr>
        <w:rStyle w:val="PageNumber"/>
      </w:rPr>
      <w:fldChar w:fldCharType="separate"/>
    </w:r>
    <w:r w:rsidR="004501FB">
      <w:rPr>
        <w:rStyle w:val="PageNumber"/>
        <w:noProof/>
      </w:rPr>
      <w:t>1</w:t>
    </w:r>
    <w:r w:rsidRPr="00EF02B4">
      <w:rPr>
        <w:rStyle w:val="PageNumber"/>
      </w:rPr>
      <w:fldChar w:fldCharType="end"/>
    </w:r>
    <w:r w:rsidRPr="00EF02B4">
      <w:rPr>
        <w:rStyle w:val="PageNumber"/>
      </w:rPr>
      <w:t xml:space="preserve"> of </w:t>
    </w:r>
    <w:r w:rsidRPr="00EF02B4">
      <w:rPr>
        <w:rStyle w:val="PageNumber"/>
      </w:rPr>
      <w:fldChar w:fldCharType="begin"/>
    </w:r>
    <w:r w:rsidRPr="00EF02B4">
      <w:rPr>
        <w:rStyle w:val="PageNumber"/>
      </w:rPr>
      <w:instrText xml:space="preserve"> NUMPAGES </w:instrText>
    </w:r>
    <w:r w:rsidRPr="00EF02B4">
      <w:rPr>
        <w:rStyle w:val="PageNumber"/>
      </w:rPr>
      <w:fldChar w:fldCharType="separate"/>
    </w:r>
    <w:r w:rsidR="004501FB">
      <w:rPr>
        <w:rStyle w:val="PageNumber"/>
        <w:noProof/>
      </w:rPr>
      <w:t>5</w:t>
    </w:r>
    <w:r w:rsidRPr="00EF02B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5F" w:rsidRDefault="00427B5F" w:rsidP="009730B0">
    <w:pPr>
      <w:pStyle w:val="Footer"/>
      <w:spacing w:before="0" w:after="0"/>
      <w:jc w:val="center"/>
      <w:rPr>
        <w:rFonts w:ascii="Arial" w:hAnsi="Arial" w:cs="Arial"/>
        <w:b/>
        <w:color w:val="FF0000"/>
        <w:sz w:val="29"/>
      </w:rPr>
    </w:pPr>
    <w:bookmarkStart w:id="2" w:name="aliashProtectiveMarkings1FooterFirstPage"/>
  </w:p>
  <w:bookmarkEnd w:id="2"/>
  <w:p w:rsidR="00427B5F" w:rsidRDefault="00427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47" w:rsidRDefault="00FE2147">
      <w:r>
        <w:separator/>
      </w:r>
    </w:p>
  </w:footnote>
  <w:footnote w:type="continuationSeparator" w:id="0">
    <w:p w:rsidR="00FE2147" w:rsidRDefault="00FE2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03" w:rsidRDefault="008E160E" w:rsidP="00941503">
    <w:pPr>
      <w:pStyle w:val="Header"/>
      <w:ind w:right="-6"/>
      <w:jc w:val="right"/>
      <w:rPr>
        <w:noProof/>
      </w:rPr>
    </w:pPr>
    <w:r>
      <w:rPr>
        <w:noProof/>
        <w:lang w:eastAsia="en-AU"/>
      </w:rPr>
      <w:drawing>
        <wp:anchor distT="0" distB="0" distL="114300" distR="114300" simplePos="0" relativeHeight="251657728" behindDoc="1" locked="0" layoutInCell="1" allowOverlap="1" wp14:anchorId="17730008" wp14:editId="31D502EE">
          <wp:simplePos x="0" y="0"/>
          <wp:positionH relativeFrom="page">
            <wp:posOffset>-635</wp:posOffset>
          </wp:positionH>
          <wp:positionV relativeFrom="page">
            <wp:posOffset>-635</wp:posOffset>
          </wp:positionV>
          <wp:extent cx="3484880" cy="367030"/>
          <wp:effectExtent l="0" t="0" r="1270" b="0"/>
          <wp:wrapNone/>
          <wp:docPr id="2" name="Picture 4" descr="Bann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4880" cy="36703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53DE3E00" wp14:editId="0FFD622A">
          <wp:extent cx="2164080" cy="135890"/>
          <wp:effectExtent l="0" t="0" r="762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135890"/>
                  </a:xfrm>
                  <a:prstGeom prst="rect">
                    <a:avLst/>
                  </a:prstGeom>
                  <a:noFill/>
                  <a:ln>
                    <a:noFill/>
                  </a:ln>
                </pic:spPr>
              </pic:pic>
            </a:graphicData>
          </a:graphic>
        </wp:inline>
      </w:drawing>
    </w:r>
  </w:p>
  <w:p w:rsidR="00941503" w:rsidRDefault="00941503" w:rsidP="00941503">
    <w:pPr>
      <w:pStyle w:val="Header"/>
      <w:ind w:right="-6"/>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6861"/>
    <w:multiLevelType w:val="hybridMultilevel"/>
    <w:tmpl w:val="8ABE426E"/>
    <w:lvl w:ilvl="0" w:tplc="D376EB3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031BA6"/>
    <w:multiLevelType w:val="hybridMultilevel"/>
    <w:tmpl w:val="C88EA1EE"/>
    <w:lvl w:ilvl="0" w:tplc="9544BC5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781F35"/>
    <w:multiLevelType w:val="hybridMultilevel"/>
    <w:tmpl w:val="F3C8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68161B"/>
    <w:multiLevelType w:val="hybridMultilevel"/>
    <w:tmpl w:val="81BC9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CA1483"/>
    <w:multiLevelType w:val="hybridMultilevel"/>
    <w:tmpl w:val="25601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D47255E"/>
    <w:multiLevelType w:val="hybridMultilevel"/>
    <w:tmpl w:val="65F2840C"/>
    <w:lvl w:ilvl="0" w:tplc="0C09000B">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5DDB732F"/>
    <w:multiLevelType w:val="hybridMultilevel"/>
    <w:tmpl w:val="279616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B">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65E07D6B"/>
    <w:multiLevelType w:val="hybridMultilevel"/>
    <w:tmpl w:val="8C5669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B7"/>
    <w:rsid w:val="00007C28"/>
    <w:rsid w:val="000233D8"/>
    <w:rsid w:val="00031534"/>
    <w:rsid w:val="000355EB"/>
    <w:rsid w:val="00041E91"/>
    <w:rsid w:val="00043185"/>
    <w:rsid w:val="00043D88"/>
    <w:rsid w:val="00050A64"/>
    <w:rsid w:val="00087413"/>
    <w:rsid w:val="000A5556"/>
    <w:rsid w:val="000A58A4"/>
    <w:rsid w:val="000F7271"/>
    <w:rsid w:val="00106F80"/>
    <w:rsid w:val="00121CF3"/>
    <w:rsid w:val="00122341"/>
    <w:rsid w:val="0015109E"/>
    <w:rsid w:val="001566AB"/>
    <w:rsid w:val="00156883"/>
    <w:rsid w:val="001648B8"/>
    <w:rsid w:val="00176929"/>
    <w:rsid w:val="001800B9"/>
    <w:rsid w:val="0018250E"/>
    <w:rsid w:val="00185AAD"/>
    <w:rsid w:val="001900E7"/>
    <w:rsid w:val="001912AA"/>
    <w:rsid w:val="001A550C"/>
    <w:rsid w:val="001B1BA2"/>
    <w:rsid w:val="001C0E16"/>
    <w:rsid w:val="001C763E"/>
    <w:rsid w:val="001D1F3F"/>
    <w:rsid w:val="001F2C17"/>
    <w:rsid w:val="001F33D6"/>
    <w:rsid w:val="001F66C6"/>
    <w:rsid w:val="00201389"/>
    <w:rsid w:val="002024E1"/>
    <w:rsid w:val="00215C9A"/>
    <w:rsid w:val="00216A7A"/>
    <w:rsid w:val="00217E5E"/>
    <w:rsid w:val="002214DB"/>
    <w:rsid w:val="00227E47"/>
    <w:rsid w:val="0023277B"/>
    <w:rsid w:val="00243093"/>
    <w:rsid w:val="0025353F"/>
    <w:rsid w:val="002556A6"/>
    <w:rsid w:val="00272657"/>
    <w:rsid w:val="00277517"/>
    <w:rsid w:val="00277558"/>
    <w:rsid w:val="0029011C"/>
    <w:rsid w:val="00294FB2"/>
    <w:rsid w:val="00295A24"/>
    <w:rsid w:val="00296E81"/>
    <w:rsid w:val="002A1130"/>
    <w:rsid w:val="002A6512"/>
    <w:rsid w:val="002B75A2"/>
    <w:rsid w:val="002C2D89"/>
    <w:rsid w:val="002C49DD"/>
    <w:rsid w:val="002D6BE1"/>
    <w:rsid w:val="002D76CF"/>
    <w:rsid w:val="002E2F3E"/>
    <w:rsid w:val="002F27B7"/>
    <w:rsid w:val="002F74E2"/>
    <w:rsid w:val="003037C0"/>
    <w:rsid w:val="00311B46"/>
    <w:rsid w:val="00313161"/>
    <w:rsid w:val="00313D74"/>
    <w:rsid w:val="0032314E"/>
    <w:rsid w:val="0033420D"/>
    <w:rsid w:val="00347470"/>
    <w:rsid w:val="003676D2"/>
    <w:rsid w:val="003934E2"/>
    <w:rsid w:val="003A1359"/>
    <w:rsid w:val="003C0935"/>
    <w:rsid w:val="003D1237"/>
    <w:rsid w:val="003E01B8"/>
    <w:rsid w:val="003E1E17"/>
    <w:rsid w:val="003F6537"/>
    <w:rsid w:val="003F67A2"/>
    <w:rsid w:val="003F79CF"/>
    <w:rsid w:val="00424201"/>
    <w:rsid w:val="00427B5F"/>
    <w:rsid w:val="00437AA9"/>
    <w:rsid w:val="004501FB"/>
    <w:rsid w:val="004575F9"/>
    <w:rsid w:val="0046082A"/>
    <w:rsid w:val="00467E91"/>
    <w:rsid w:val="00476AFD"/>
    <w:rsid w:val="004816E6"/>
    <w:rsid w:val="0049718D"/>
    <w:rsid w:val="004A1137"/>
    <w:rsid w:val="004A17EC"/>
    <w:rsid w:val="004B510A"/>
    <w:rsid w:val="004C4340"/>
    <w:rsid w:val="005014AD"/>
    <w:rsid w:val="00501E10"/>
    <w:rsid w:val="0052047A"/>
    <w:rsid w:val="0053514C"/>
    <w:rsid w:val="00543CCE"/>
    <w:rsid w:val="00553C0C"/>
    <w:rsid w:val="00556EEF"/>
    <w:rsid w:val="005575DC"/>
    <w:rsid w:val="00557F22"/>
    <w:rsid w:val="00583F89"/>
    <w:rsid w:val="00584A9D"/>
    <w:rsid w:val="005871CF"/>
    <w:rsid w:val="0058781F"/>
    <w:rsid w:val="005C6FEB"/>
    <w:rsid w:val="005D1B18"/>
    <w:rsid w:val="005E6FD0"/>
    <w:rsid w:val="005F3770"/>
    <w:rsid w:val="00601C1A"/>
    <w:rsid w:val="00613A52"/>
    <w:rsid w:val="0063273B"/>
    <w:rsid w:val="0064564B"/>
    <w:rsid w:val="00675CDD"/>
    <w:rsid w:val="00675D35"/>
    <w:rsid w:val="0068236C"/>
    <w:rsid w:val="006A0122"/>
    <w:rsid w:val="006C00FE"/>
    <w:rsid w:val="006D0F4D"/>
    <w:rsid w:val="006D1ABE"/>
    <w:rsid w:val="006D3AC0"/>
    <w:rsid w:val="006E07DF"/>
    <w:rsid w:val="006E4C65"/>
    <w:rsid w:val="006F27F6"/>
    <w:rsid w:val="006F48D7"/>
    <w:rsid w:val="006F7D10"/>
    <w:rsid w:val="00712853"/>
    <w:rsid w:val="00733AE9"/>
    <w:rsid w:val="00737BBA"/>
    <w:rsid w:val="00742DA3"/>
    <w:rsid w:val="007546F4"/>
    <w:rsid w:val="00761B15"/>
    <w:rsid w:val="00762D83"/>
    <w:rsid w:val="0076524D"/>
    <w:rsid w:val="007A527B"/>
    <w:rsid w:val="007A665A"/>
    <w:rsid w:val="007C0214"/>
    <w:rsid w:val="007D1A6E"/>
    <w:rsid w:val="007D6428"/>
    <w:rsid w:val="007E5A05"/>
    <w:rsid w:val="00806A88"/>
    <w:rsid w:val="008077B7"/>
    <w:rsid w:val="00817B8A"/>
    <w:rsid w:val="00821505"/>
    <w:rsid w:val="008241E5"/>
    <w:rsid w:val="00826FC0"/>
    <w:rsid w:val="008426DD"/>
    <w:rsid w:val="00845B41"/>
    <w:rsid w:val="00872FE8"/>
    <w:rsid w:val="0088450E"/>
    <w:rsid w:val="008949C4"/>
    <w:rsid w:val="008A016C"/>
    <w:rsid w:val="008A0204"/>
    <w:rsid w:val="008A5284"/>
    <w:rsid w:val="008E160E"/>
    <w:rsid w:val="008F1C6B"/>
    <w:rsid w:val="008F3A9C"/>
    <w:rsid w:val="00941503"/>
    <w:rsid w:val="00944640"/>
    <w:rsid w:val="009721A8"/>
    <w:rsid w:val="009730B0"/>
    <w:rsid w:val="009A3719"/>
    <w:rsid w:val="009E19A0"/>
    <w:rsid w:val="009E7092"/>
    <w:rsid w:val="009F470F"/>
    <w:rsid w:val="00A00A93"/>
    <w:rsid w:val="00A07941"/>
    <w:rsid w:val="00A1045F"/>
    <w:rsid w:val="00A158A4"/>
    <w:rsid w:val="00A33353"/>
    <w:rsid w:val="00A36DCF"/>
    <w:rsid w:val="00A378AE"/>
    <w:rsid w:val="00A37B61"/>
    <w:rsid w:val="00A4013A"/>
    <w:rsid w:val="00A40EDF"/>
    <w:rsid w:val="00A40F4C"/>
    <w:rsid w:val="00AA39B3"/>
    <w:rsid w:val="00AA4A94"/>
    <w:rsid w:val="00AB2C3F"/>
    <w:rsid w:val="00AC065B"/>
    <w:rsid w:val="00AE3615"/>
    <w:rsid w:val="00B05EFA"/>
    <w:rsid w:val="00B111C4"/>
    <w:rsid w:val="00B21492"/>
    <w:rsid w:val="00B45412"/>
    <w:rsid w:val="00B50E4C"/>
    <w:rsid w:val="00B621C5"/>
    <w:rsid w:val="00BA19A2"/>
    <w:rsid w:val="00BB4DBE"/>
    <w:rsid w:val="00BB71E6"/>
    <w:rsid w:val="00BC3291"/>
    <w:rsid w:val="00BC4224"/>
    <w:rsid w:val="00BF74B7"/>
    <w:rsid w:val="00C0224F"/>
    <w:rsid w:val="00C05651"/>
    <w:rsid w:val="00C0690E"/>
    <w:rsid w:val="00C36010"/>
    <w:rsid w:val="00C367C8"/>
    <w:rsid w:val="00C4010D"/>
    <w:rsid w:val="00C4599E"/>
    <w:rsid w:val="00C64092"/>
    <w:rsid w:val="00C72CC6"/>
    <w:rsid w:val="00C83D8A"/>
    <w:rsid w:val="00C939CA"/>
    <w:rsid w:val="00C975D5"/>
    <w:rsid w:val="00CA312B"/>
    <w:rsid w:val="00CB29B3"/>
    <w:rsid w:val="00CD1087"/>
    <w:rsid w:val="00CE5E43"/>
    <w:rsid w:val="00CE6C2C"/>
    <w:rsid w:val="00CF1704"/>
    <w:rsid w:val="00CF7762"/>
    <w:rsid w:val="00D038FC"/>
    <w:rsid w:val="00D05B64"/>
    <w:rsid w:val="00D07F65"/>
    <w:rsid w:val="00D10B55"/>
    <w:rsid w:val="00D17DB4"/>
    <w:rsid w:val="00D32318"/>
    <w:rsid w:val="00D416CF"/>
    <w:rsid w:val="00D442BE"/>
    <w:rsid w:val="00D454B6"/>
    <w:rsid w:val="00D57743"/>
    <w:rsid w:val="00D64793"/>
    <w:rsid w:val="00D74F8D"/>
    <w:rsid w:val="00DA491E"/>
    <w:rsid w:val="00DC2B5C"/>
    <w:rsid w:val="00DF60AB"/>
    <w:rsid w:val="00E11B50"/>
    <w:rsid w:val="00E12540"/>
    <w:rsid w:val="00E23EBB"/>
    <w:rsid w:val="00E4232D"/>
    <w:rsid w:val="00E43E26"/>
    <w:rsid w:val="00E449EC"/>
    <w:rsid w:val="00E536AB"/>
    <w:rsid w:val="00E55278"/>
    <w:rsid w:val="00E62749"/>
    <w:rsid w:val="00E7117A"/>
    <w:rsid w:val="00E76AEE"/>
    <w:rsid w:val="00E96E8A"/>
    <w:rsid w:val="00EA195F"/>
    <w:rsid w:val="00EA2FFF"/>
    <w:rsid w:val="00EE64C7"/>
    <w:rsid w:val="00EF02B4"/>
    <w:rsid w:val="00F0649D"/>
    <w:rsid w:val="00F13830"/>
    <w:rsid w:val="00F171E1"/>
    <w:rsid w:val="00F24800"/>
    <w:rsid w:val="00F30B1A"/>
    <w:rsid w:val="00F3388E"/>
    <w:rsid w:val="00F36A5E"/>
    <w:rsid w:val="00F523CF"/>
    <w:rsid w:val="00F53A5B"/>
    <w:rsid w:val="00F55681"/>
    <w:rsid w:val="00F66157"/>
    <w:rsid w:val="00F667A2"/>
    <w:rsid w:val="00F7495A"/>
    <w:rsid w:val="00F80F49"/>
    <w:rsid w:val="00F8404B"/>
    <w:rsid w:val="00F91335"/>
    <w:rsid w:val="00FA0C11"/>
    <w:rsid w:val="00FD45B7"/>
    <w:rsid w:val="00FD74AC"/>
    <w:rsid w:val="00FE2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24"/>
    <w:lsdException w:name="footer" w:uiPriority="99"/>
    <w:lsdException w:name="caption" w:semiHidden="1" w:unhideWhenUsed="1" w:qFormat="1"/>
    <w:lsdException w:name="Default Paragraph Font" w:uiPriority="1"/>
    <w:lsdException w:name="Hyperlink"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62749"/>
    <w:pPr>
      <w:spacing w:before="80" w:after="80"/>
    </w:pPr>
    <w:rPr>
      <w:rFonts w:ascii="Calibri" w:hAnsi="Calibri"/>
      <w:sz w:val="22"/>
      <w:szCs w:val="22"/>
    </w:rPr>
  </w:style>
  <w:style w:type="paragraph" w:styleId="Heading1">
    <w:name w:val="heading 1"/>
    <w:basedOn w:val="Normal"/>
    <w:next w:val="Normal"/>
    <w:link w:val="Heading1Char"/>
    <w:qFormat/>
    <w:rsid w:val="00EF02B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unhideWhenUsed/>
    <w:rsid w:val="00C72CC6"/>
    <w:pPr>
      <w:tabs>
        <w:tab w:val="center" w:pos="4513"/>
        <w:tab w:val="right" w:pos="9026"/>
      </w:tabs>
      <w:spacing w:before="0" w:after="0"/>
    </w:pPr>
    <w:rPr>
      <w:sz w:val="24"/>
      <w:szCs w:val="20"/>
      <w:lang w:eastAsia="en-US"/>
    </w:rPr>
  </w:style>
  <w:style w:type="paragraph" w:styleId="Footer">
    <w:name w:val="footer"/>
    <w:basedOn w:val="Normal"/>
    <w:link w:val="FooterChar"/>
    <w:uiPriority w:val="99"/>
    <w:unhideWhenUsed/>
    <w:rsid w:val="00EF02B4"/>
    <w:pPr>
      <w:tabs>
        <w:tab w:val="center" w:pos="4513"/>
        <w:tab w:val="right" w:pos="9026"/>
      </w:tabs>
    </w:pPr>
  </w:style>
  <w:style w:type="character" w:styleId="PageNumber">
    <w:name w:val="page number"/>
    <w:rsid w:val="00EF02B4"/>
    <w:rPr>
      <w:rFonts w:ascii="Calibri" w:hAnsi="Calibri"/>
    </w:rPr>
  </w:style>
  <w:style w:type="paragraph" w:styleId="BalloonText">
    <w:name w:val="Balloon Text"/>
    <w:basedOn w:val="Normal"/>
    <w:semiHidden/>
    <w:rsid w:val="00AA4A94"/>
    <w:rPr>
      <w:rFonts w:ascii="Tahoma" w:hAnsi="Tahoma" w:cs="Tahoma"/>
      <w:sz w:val="16"/>
      <w:szCs w:val="16"/>
    </w:rPr>
  </w:style>
  <w:style w:type="character" w:styleId="Hyperlink">
    <w:name w:val="Hyperlink"/>
    <w:qFormat/>
    <w:rsid w:val="002556A6"/>
    <w:rPr>
      <w:color w:val="7F7F7F"/>
      <w:u w:val="none"/>
    </w:rPr>
  </w:style>
  <w:style w:type="character" w:customStyle="1" w:styleId="FooterChar">
    <w:name w:val="Footer Char"/>
    <w:link w:val="Footer"/>
    <w:uiPriority w:val="99"/>
    <w:rsid w:val="00EF02B4"/>
    <w:rPr>
      <w:rFonts w:ascii="Calibri" w:hAnsi="Calibri"/>
      <w:sz w:val="22"/>
      <w:szCs w:val="22"/>
    </w:rPr>
  </w:style>
  <w:style w:type="character" w:customStyle="1" w:styleId="HeaderChar">
    <w:name w:val="Header Char"/>
    <w:link w:val="Header"/>
    <w:uiPriority w:val="99"/>
    <w:rsid w:val="00C72CC6"/>
    <w:rPr>
      <w:rFonts w:ascii="Calibri" w:hAnsi="Calibri"/>
      <w:sz w:val="24"/>
      <w:lang w:eastAsia="en-US"/>
    </w:rPr>
  </w:style>
  <w:style w:type="table" w:styleId="TableGrid">
    <w:name w:val="Table Grid"/>
    <w:basedOn w:val="TableNormal"/>
    <w:uiPriority w:val="59"/>
    <w:rsid w:val="00A40F4C"/>
    <w:rPr>
      <w:rFonts w:ascii="Calibri" w:hAnsi="Calibri"/>
    </w:rPr>
    <w:tblPr>
      <w:tblStyleRowBandSize w:val="1"/>
      <w:tblBorders>
        <w:bottom w:val="single" w:sz="4" w:space="0" w:color="auto"/>
        <w:insideH w:val="single" w:sz="4" w:space="0" w:color="auto"/>
      </w:tblBorders>
    </w:tblPr>
    <w:trPr>
      <w:cantSplit/>
    </w:trPr>
    <w:tcPr>
      <w:shd w:val="clear" w:color="auto" w:fill="auto"/>
    </w:tcPr>
    <w:tblStylePr w:type="firstRow">
      <w:rPr>
        <w:color w:val="FFFFFF"/>
      </w:rPr>
      <w:tblPr/>
      <w:tcPr>
        <w:tcBorders>
          <w:top w:val="nil"/>
          <w:left w:val="nil"/>
          <w:bottom w:val="nil"/>
          <w:right w:val="nil"/>
        </w:tcBorders>
        <w:shd w:val="clear" w:color="auto" w:fill="1665A1"/>
      </w:tcPr>
    </w:tblStylePr>
    <w:tblStylePr w:type="band2Horz">
      <w:pPr>
        <w:wordWrap/>
        <w:spacing w:beforeLines="0" w:before="40" w:beforeAutospacing="0" w:afterLines="0" w:after="40" w:afterAutospacing="0"/>
      </w:pPr>
      <w:tblPr/>
      <w:tcPr>
        <w:shd w:val="clear" w:color="auto" w:fill="F2F2F2"/>
      </w:tcPr>
    </w:tblStylePr>
  </w:style>
  <w:style w:type="paragraph" w:customStyle="1" w:styleId="Notes">
    <w:name w:val="Notes"/>
    <w:basedOn w:val="Normal"/>
    <w:qFormat/>
    <w:rsid w:val="00845B41"/>
    <w:rPr>
      <w:rFonts w:ascii="Arial" w:hAnsi="Arial" w:cs="Arial"/>
      <w:sz w:val="16"/>
      <w:szCs w:val="16"/>
    </w:rPr>
  </w:style>
  <w:style w:type="character" w:customStyle="1" w:styleId="Heading1Char">
    <w:name w:val="Heading 1 Char"/>
    <w:link w:val="Heading1"/>
    <w:rsid w:val="00EF02B4"/>
    <w:rPr>
      <w:rFonts w:ascii="Calibri" w:eastAsia="Times New Roman" w:hAnsi="Calibri" w:cs="Times New Roman"/>
      <w:b/>
      <w:bCs/>
      <w:kern w:val="32"/>
      <w:sz w:val="32"/>
      <w:szCs w:val="32"/>
    </w:rPr>
  </w:style>
  <w:style w:type="paragraph" w:customStyle="1" w:styleId="Bullet">
    <w:name w:val="Bullet"/>
    <w:basedOn w:val="Normal"/>
    <w:qFormat/>
    <w:rsid w:val="00087413"/>
    <w:pPr>
      <w:numPr>
        <w:numId w:val="3"/>
      </w:num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24"/>
    <w:lsdException w:name="footer" w:uiPriority="99"/>
    <w:lsdException w:name="caption" w:semiHidden="1" w:unhideWhenUsed="1" w:qFormat="1"/>
    <w:lsdException w:name="Default Paragraph Font" w:uiPriority="1"/>
    <w:lsdException w:name="Hyperlink"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62749"/>
    <w:pPr>
      <w:spacing w:before="80" w:after="80"/>
    </w:pPr>
    <w:rPr>
      <w:rFonts w:ascii="Calibri" w:hAnsi="Calibri"/>
      <w:sz w:val="22"/>
      <w:szCs w:val="22"/>
    </w:rPr>
  </w:style>
  <w:style w:type="paragraph" w:styleId="Heading1">
    <w:name w:val="heading 1"/>
    <w:basedOn w:val="Normal"/>
    <w:next w:val="Normal"/>
    <w:link w:val="Heading1Char"/>
    <w:qFormat/>
    <w:rsid w:val="00EF02B4"/>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unhideWhenUsed/>
    <w:rsid w:val="00C72CC6"/>
    <w:pPr>
      <w:tabs>
        <w:tab w:val="center" w:pos="4513"/>
        <w:tab w:val="right" w:pos="9026"/>
      </w:tabs>
      <w:spacing w:before="0" w:after="0"/>
    </w:pPr>
    <w:rPr>
      <w:sz w:val="24"/>
      <w:szCs w:val="20"/>
      <w:lang w:eastAsia="en-US"/>
    </w:rPr>
  </w:style>
  <w:style w:type="paragraph" w:styleId="Footer">
    <w:name w:val="footer"/>
    <w:basedOn w:val="Normal"/>
    <w:link w:val="FooterChar"/>
    <w:uiPriority w:val="99"/>
    <w:unhideWhenUsed/>
    <w:rsid w:val="00EF02B4"/>
    <w:pPr>
      <w:tabs>
        <w:tab w:val="center" w:pos="4513"/>
        <w:tab w:val="right" w:pos="9026"/>
      </w:tabs>
    </w:pPr>
  </w:style>
  <w:style w:type="character" w:styleId="PageNumber">
    <w:name w:val="page number"/>
    <w:rsid w:val="00EF02B4"/>
    <w:rPr>
      <w:rFonts w:ascii="Calibri" w:hAnsi="Calibri"/>
    </w:rPr>
  </w:style>
  <w:style w:type="paragraph" w:styleId="BalloonText">
    <w:name w:val="Balloon Text"/>
    <w:basedOn w:val="Normal"/>
    <w:semiHidden/>
    <w:rsid w:val="00AA4A94"/>
    <w:rPr>
      <w:rFonts w:ascii="Tahoma" w:hAnsi="Tahoma" w:cs="Tahoma"/>
      <w:sz w:val="16"/>
      <w:szCs w:val="16"/>
    </w:rPr>
  </w:style>
  <w:style w:type="character" w:styleId="Hyperlink">
    <w:name w:val="Hyperlink"/>
    <w:qFormat/>
    <w:rsid w:val="002556A6"/>
    <w:rPr>
      <w:color w:val="7F7F7F"/>
      <w:u w:val="none"/>
    </w:rPr>
  </w:style>
  <w:style w:type="character" w:customStyle="1" w:styleId="FooterChar">
    <w:name w:val="Footer Char"/>
    <w:link w:val="Footer"/>
    <w:uiPriority w:val="99"/>
    <w:rsid w:val="00EF02B4"/>
    <w:rPr>
      <w:rFonts w:ascii="Calibri" w:hAnsi="Calibri"/>
      <w:sz w:val="22"/>
      <w:szCs w:val="22"/>
    </w:rPr>
  </w:style>
  <w:style w:type="character" w:customStyle="1" w:styleId="HeaderChar">
    <w:name w:val="Header Char"/>
    <w:link w:val="Header"/>
    <w:uiPriority w:val="99"/>
    <w:rsid w:val="00C72CC6"/>
    <w:rPr>
      <w:rFonts w:ascii="Calibri" w:hAnsi="Calibri"/>
      <w:sz w:val="24"/>
      <w:lang w:eastAsia="en-US"/>
    </w:rPr>
  </w:style>
  <w:style w:type="table" w:styleId="TableGrid">
    <w:name w:val="Table Grid"/>
    <w:basedOn w:val="TableNormal"/>
    <w:uiPriority w:val="59"/>
    <w:rsid w:val="00A40F4C"/>
    <w:rPr>
      <w:rFonts w:ascii="Calibri" w:hAnsi="Calibri"/>
    </w:rPr>
    <w:tblPr>
      <w:tblStyleRowBandSize w:val="1"/>
      <w:tblBorders>
        <w:bottom w:val="single" w:sz="4" w:space="0" w:color="auto"/>
        <w:insideH w:val="single" w:sz="4" w:space="0" w:color="auto"/>
      </w:tblBorders>
    </w:tblPr>
    <w:trPr>
      <w:cantSplit/>
    </w:trPr>
    <w:tcPr>
      <w:shd w:val="clear" w:color="auto" w:fill="auto"/>
    </w:tcPr>
    <w:tblStylePr w:type="firstRow">
      <w:rPr>
        <w:color w:val="FFFFFF"/>
      </w:rPr>
      <w:tblPr/>
      <w:tcPr>
        <w:tcBorders>
          <w:top w:val="nil"/>
          <w:left w:val="nil"/>
          <w:bottom w:val="nil"/>
          <w:right w:val="nil"/>
        </w:tcBorders>
        <w:shd w:val="clear" w:color="auto" w:fill="1665A1"/>
      </w:tcPr>
    </w:tblStylePr>
    <w:tblStylePr w:type="band2Horz">
      <w:pPr>
        <w:wordWrap/>
        <w:spacing w:beforeLines="0" w:before="40" w:beforeAutospacing="0" w:afterLines="0" w:after="40" w:afterAutospacing="0"/>
      </w:pPr>
      <w:tblPr/>
      <w:tcPr>
        <w:shd w:val="clear" w:color="auto" w:fill="F2F2F2"/>
      </w:tcPr>
    </w:tblStylePr>
  </w:style>
  <w:style w:type="paragraph" w:customStyle="1" w:styleId="Notes">
    <w:name w:val="Notes"/>
    <w:basedOn w:val="Normal"/>
    <w:qFormat/>
    <w:rsid w:val="00845B41"/>
    <w:rPr>
      <w:rFonts w:ascii="Arial" w:hAnsi="Arial" w:cs="Arial"/>
      <w:sz w:val="16"/>
      <w:szCs w:val="16"/>
    </w:rPr>
  </w:style>
  <w:style w:type="character" w:customStyle="1" w:styleId="Heading1Char">
    <w:name w:val="Heading 1 Char"/>
    <w:link w:val="Heading1"/>
    <w:rsid w:val="00EF02B4"/>
    <w:rPr>
      <w:rFonts w:ascii="Calibri" w:eastAsia="Times New Roman" w:hAnsi="Calibri" w:cs="Times New Roman"/>
      <w:b/>
      <w:bCs/>
      <w:kern w:val="32"/>
      <w:sz w:val="32"/>
      <w:szCs w:val="32"/>
    </w:rPr>
  </w:style>
  <w:style w:type="paragraph" w:customStyle="1" w:styleId="Bullet">
    <w:name w:val="Bullet"/>
    <w:basedOn w:val="Normal"/>
    <w:qFormat/>
    <w:rsid w:val="00087413"/>
    <w:pPr>
      <w:numPr>
        <w:numId w:val="3"/>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9775">
      <w:bodyDiv w:val="1"/>
      <w:marLeft w:val="0"/>
      <w:marRight w:val="0"/>
      <w:marTop w:val="0"/>
      <w:marBottom w:val="0"/>
      <w:divBdr>
        <w:top w:val="none" w:sz="0" w:space="0" w:color="auto"/>
        <w:left w:val="none" w:sz="0" w:space="0" w:color="auto"/>
        <w:bottom w:val="none" w:sz="0" w:space="0" w:color="auto"/>
        <w:right w:val="none" w:sz="0" w:space="0" w:color="auto"/>
      </w:divBdr>
    </w:div>
    <w:div w:id="827327899">
      <w:bodyDiv w:val="1"/>
      <w:marLeft w:val="0"/>
      <w:marRight w:val="0"/>
      <w:marTop w:val="0"/>
      <w:marBottom w:val="0"/>
      <w:divBdr>
        <w:top w:val="none" w:sz="0" w:space="0" w:color="auto"/>
        <w:left w:val="none" w:sz="0" w:space="0" w:color="auto"/>
        <w:bottom w:val="none" w:sz="0" w:space="0" w:color="auto"/>
        <w:right w:val="none" w:sz="0" w:space="0" w:color="auto"/>
      </w:divBdr>
    </w:div>
    <w:div w:id="922445651">
      <w:bodyDiv w:val="1"/>
      <w:marLeft w:val="0"/>
      <w:marRight w:val="0"/>
      <w:marTop w:val="0"/>
      <w:marBottom w:val="0"/>
      <w:divBdr>
        <w:top w:val="none" w:sz="0" w:space="0" w:color="auto"/>
        <w:left w:val="none" w:sz="0" w:space="0" w:color="auto"/>
        <w:bottom w:val="none" w:sz="0" w:space="0" w:color="auto"/>
        <w:right w:val="none" w:sz="0" w:space="0" w:color="auto"/>
      </w:divBdr>
    </w:div>
    <w:div w:id="948853123">
      <w:bodyDiv w:val="1"/>
      <w:marLeft w:val="0"/>
      <w:marRight w:val="0"/>
      <w:marTop w:val="0"/>
      <w:marBottom w:val="0"/>
      <w:divBdr>
        <w:top w:val="none" w:sz="0" w:space="0" w:color="auto"/>
        <w:left w:val="none" w:sz="0" w:space="0" w:color="auto"/>
        <w:bottom w:val="none" w:sz="0" w:space="0" w:color="auto"/>
        <w:right w:val="none" w:sz="0" w:space="0" w:color="auto"/>
      </w:divBdr>
    </w:div>
    <w:div w:id="12132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Publications/Victoria-Economy-publications/Community-Support-Fund-grant-approvals-2014-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tf.vic.gov.au/Publications/Victoria-Economy-publications/Community-Support-Fund-grant-approvals-2014-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tf.vic.gov.au/Publications/Victoria-Economy-publications/Community-Support-Fund-grant-approvals-2014-1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Publications/Victoria-Economy-publications/Community-Support-Fund-grant-approvals-2014-15" TargetMode="External"/><Relationship Id="rId5" Type="http://schemas.openxmlformats.org/officeDocument/2006/relationships/settings" Target="settings.xml"/><Relationship Id="rId15" Type="http://schemas.openxmlformats.org/officeDocument/2006/relationships/hyperlink" Target="http://www.dtf.vic.gov.au/Publications/Victoria-Economy-publications/Community-Support-Fund-grant-approvals-2014-15" TargetMode="External"/><Relationship Id="rId10" Type="http://schemas.openxmlformats.org/officeDocument/2006/relationships/hyperlink" Target="http://www.dtf.vic.gov.au/Publications/Victoria-Economy-publications/Community-Support-Fund-grant-approvals-2014-1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tf.vic.gov.au/Publications/Victoria-Economy-publications/Community-Support-Fund-grant-approvals-2014-15" TargetMode="External"/><Relationship Id="rId14" Type="http://schemas.openxmlformats.org/officeDocument/2006/relationships/hyperlink" Target="http://www.dtf.vic.gov.au/Publications/Victoria-Economy-publications/Community-Support-Fund-grant-approvals-2014-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E924-C43A-492A-912B-B6B361FF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11302</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Community Support Fund</vt:lpstr>
    </vt:vector>
  </TitlesOfParts>
  <Company>Department of Treasury and Finance</Company>
  <LinksUpToDate>false</LinksUpToDate>
  <CharactersWithSpaces>12942</CharactersWithSpaces>
  <SharedDoc>false</SharedDoc>
  <HLinks>
    <vt:vector size="36" baseType="variant">
      <vt:variant>
        <vt:i4>5701704</vt:i4>
      </vt:variant>
      <vt:variant>
        <vt:i4>15</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12</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9</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6</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3</vt:i4>
      </vt:variant>
      <vt:variant>
        <vt:i4>0</vt:i4>
      </vt:variant>
      <vt:variant>
        <vt:i4>5</vt:i4>
      </vt:variant>
      <vt:variant>
        <vt:lpwstr>http://www.dtf.vic.gov.au/CA25713E0002EF43/pages/community-support-fund-community-support-fund---grant-approvals-2011-12</vt:lpwstr>
      </vt:variant>
      <vt:variant>
        <vt:lpwstr/>
      </vt:variant>
      <vt:variant>
        <vt:i4>5701704</vt:i4>
      </vt:variant>
      <vt:variant>
        <vt:i4>0</vt:i4>
      </vt:variant>
      <vt:variant>
        <vt:i4>0</vt:i4>
      </vt:variant>
      <vt:variant>
        <vt:i4>5</vt:i4>
      </vt:variant>
      <vt:variant>
        <vt:lpwstr>http://www.dtf.vic.gov.au/CA25713E0002EF43/pages/community-support-fund-community-support-fund---grant-approvals-2011-12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Fund</dc:title>
  <dc:creator>CSQ</dc:creator>
  <cp:lastModifiedBy>Elizabeth Ascroft</cp:lastModifiedBy>
  <cp:revision>2</cp:revision>
  <cp:lastPrinted>2015-10-20T03:16:00Z</cp:lastPrinted>
  <dcterms:created xsi:type="dcterms:W3CDTF">2018-02-07T00:35:00Z</dcterms:created>
  <dcterms:modified xsi:type="dcterms:W3CDTF">2018-02-07T00:35:00Z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cae77143-b2c1-44cf-a643-31bb7cd4efb3</vt:lpwstr>
  </property>
  <property fmtid="{D5CDD505-2E9C-101B-9397-08002B2CF9AE}" pid="3" name="PSPFClassification">
    <vt:lpwstr>Do Not Mark</vt:lpwstr>
  </property>
</Properties>
</file>