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15" w:rsidRPr="000A296D" w:rsidRDefault="00C92F15" w:rsidP="00C92F15">
      <w:pPr>
        <w:pStyle w:val="Title"/>
        <w:rPr>
          <w:color w:val="201547" w:themeColor="text2"/>
        </w:rPr>
      </w:pPr>
      <w:bookmarkStart w:id="0" w:name="_Toc442780672"/>
      <w:r w:rsidRPr="000A296D">
        <w:rPr>
          <w:color w:val="201547" w:themeColor="text2"/>
        </w:rPr>
        <w:t xml:space="preserve">COMPASS </w:t>
      </w:r>
    </w:p>
    <w:p w:rsidR="00C92F15" w:rsidRPr="00C92F15" w:rsidRDefault="00C92F15" w:rsidP="00C92F15">
      <w:pPr>
        <w:pStyle w:val="Subtitle"/>
        <w:rPr>
          <w:color w:val="201547" w:themeColor="text2"/>
        </w:rPr>
      </w:pPr>
      <w:r w:rsidRPr="00C92F15">
        <w:rPr>
          <w:color w:val="201547" w:themeColor="text2"/>
        </w:rPr>
        <w:t>Achieving life outcomes for care leavers</w:t>
      </w:r>
    </w:p>
    <w:p w:rsidR="00946829" w:rsidRDefault="00946829" w:rsidP="00946829">
      <w:r w:rsidRPr="0068380D">
        <w:rPr>
          <w:b/>
        </w:rPr>
        <w:t>COMPASS</w:t>
      </w:r>
      <w:r>
        <w:t xml:space="preserve"> is an evidence-based two year program </w:t>
      </w:r>
      <w:r w:rsidR="00F32B10">
        <w:t>which will provide the Government with an</w:t>
      </w:r>
      <w:r w:rsidR="00E20CC7">
        <w:t xml:space="preserve"> opportunity to trial </w:t>
      </w:r>
      <w:r>
        <w:t xml:space="preserve">better support for care leavers in Victoria. </w:t>
      </w:r>
    </w:p>
    <w:p w:rsidR="00946829" w:rsidRDefault="00946829" w:rsidP="00946829">
      <w:r>
        <w:t xml:space="preserve">It is designed as a preventative program </w:t>
      </w:r>
      <w:r w:rsidR="00F32B10">
        <w:t>that</w:t>
      </w:r>
      <w:r>
        <w:t xml:space="preserve"> provides care leaver</w:t>
      </w:r>
      <w:r w:rsidR="00C13107">
        <w:t>s</w:t>
      </w:r>
      <w:r>
        <w:t xml:space="preserve"> with access to housing, a key worker to navigate the system</w:t>
      </w:r>
      <w:r w:rsidR="00F32B10">
        <w:t xml:space="preserve">, </w:t>
      </w:r>
      <w:r w:rsidR="008630FE">
        <w:t xml:space="preserve">support in accessing </w:t>
      </w:r>
      <w:r w:rsidR="004417EC">
        <w:t>education</w:t>
      </w:r>
      <w:r w:rsidR="00F32B10">
        <w:t xml:space="preserve">, </w:t>
      </w:r>
      <w:r w:rsidR="008630FE">
        <w:t xml:space="preserve">training and employment, </w:t>
      </w:r>
      <w:r w:rsidR="00F32B10">
        <w:t>and other s</w:t>
      </w:r>
      <w:r>
        <w:t>pecialist support services based on the level of assessed need.</w:t>
      </w:r>
    </w:p>
    <w:p w:rsidR="00946829" w:rsidRPr="00A91166" w:rsidRDefault="00946829" w:rsidP="00946829">
      <w:r>
        <w:t xml:space="preserve">The program </w:t>
      </w:r>
      <w:r w:rsidR="00F32B10">
        <w:t>aims</w:t>
      </w:r>
      <w:r>
        <w:t xml:space="preserve"> to prevent homelessness, improve educational attainment, create a positive transition from care and support, and lead to positive health and justice outcomes.</w:t>
      </w:r>
    </w:p>
    <w:p w:rsidR="00946829" w:rsidRDefault="00946829" w:rsidP="00946829">
      <w:pPr>
        <w:pStyle w:val="Heading1"/>
      </w:pPr>
      <w:r w:rsidRPr="00E20CC7">
        <w:t>Service delivery model</w:t>
      </w:r>
    </w:p>
    <w:p w:rsidR="00946829" w:rsidRDefault="008630FE" w:rsidP="00946829">
      <w:pPr>
        <w:pStyle w:val="NormalTight"/>
      </w:pPr>
      <w:r w:rsidRPr="00064FAC">
        <w:rPr>
          <w:noProof/>
          <w:lang w:eastAsia="en-AU"/>
        </w:rPr>
        <w:drawing>
          <wp:inline distT="0" distB="0" distL="0" distR="0" wp14:anchorId="6C557EA2" wp14:editId="26E8051D">
            <wp:extent cx="5502703" cy="5543550"/>
            <wp:effectExtent l="0" t="0" r="3175" b="0"/>
            <wp:docPr id="3" name="Picture 3" descr="C:\Users\bridget.weller\AppData\Local\Microsoft\Windows\INetCache\Content.Outlook\55LQ3S4X\SIB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weller\AppData\Local\Microsoft\Windows\INetCache\Content.Outlook\55LQ3S4X\SIB diag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0265" cy="5541094"/>
                    </a:xfrm>
                    <a:prstGeom prst="rect">
                      <a:avLst/>
                    </a:prstGeom>
                    <a:noFill/>
                    <a:ln>
                      <a:noFill/>
                    </a:ln>
                  </pic:spPr>
                </pic:pic>
              </a:graphicData>
            </a:graphic>
          </wp:inline>
        </w:drawing>
      </w:r>
    </w:p>
    <w:p w:rsidR="00FC73E1" w:rsidRDefault="00595804" w:rsidP="00FC73E1">
      <w:pPr>
        <w:pStyle w:val="Heading1"/>
      </w:pPr>
      <w:r>
        <w:lastRenderedPageBreak/>
        <w:t>A focus on all young care leavers</w:t>
      </w:r>
      <w:r w:rsidR="00FC73E1">
        <w:t xml:space="preserve"> </w:t>
      </w:r>
    </w:p>
    <w:p w:rsidR="00595804" w:rsidRDefault="00FD4D61" w:rsidP="00FC73E1">
      <w:pPr>
        <w:keepLines/>
      </w:pPr>
      <w:r>
        <w:t>COMPASS will be available to 202</w:t>
      </w:r>
      <w:r w:rsidR="00595804">
        <w:t xml:space="preserve"> care leavers from </w:t>
      </w:r>
      <w:r w:rsidR="00FC73E1">
        <w:t>Brimbank Melton, Western Melbourne, Lod</w:t>
      </w:r>
      <w:r w:rsidR="00595804">
        <w:t xml:space="preserve">don and North Eastern Melbourne. </w:t>
      </w:r>
      <w:r w:rsidR="00D4227E">
        <w:t xml:space="preserve">The broad eligibility </w:t>
      </w:r>
      <w:r w:rsidR="00B559F2">
        <w:t>criterion ensures</w:t>
      </w:r>
      <w:r w:rsidR="00D4227E">
        <w:t xml:space="preserve"> the intervention supports a range of young Victorian care leavers.</w:t>
      </w:r>
    </w:p>
    <w:p w:rsidR="00595804" w:rsidRPr="00595804" w:rsidRDefault="00595804" w:rsidP="00595804">
      <w:pPr>
        <w:keepLines/>
        <w:ind w:left="357"/>
        <w:rPr>
          <w:b/>
        </w:rPr>
      </w:pPr>
      <w:r>
        <w:rPr>
          <w:noProof/>
        </w:rPr>
        <mc:AlternateContent>
          <mc:Choice Requires="wps">
            <w:drawing>
              <wp:anchor distT="0" distB="0" distL="114300" distR="114300" simplePos="0" relativeHeight="251669504" behindDoc="1" locked="0" layoutInCell="1" allowOverlap="1" wp14:anchorId="2E18F18B" wp14:editId="0DF72A54">
                <wp:simplePos x="0" y="0"/>
                <wp:positionH relativeFrom="column">
                  <wp:posOffset>-180753</wp:posOffset>
                </wp:positionH>
                <wp:positionV relativeFrom="paragraph">
                  <wp:posOffset>22639</wp:posOffset>
                </wp:positionV>
                <wp:extent cx="6304915" cy="2498652"/>
                <wp:effectExtent l="57150" t="38100" r="76835" b="92710"/>
                <wp:wrapNone/>
                <wp:docPr id="2" name="Rectangle 2"/>
                <wp:cNvGraphicFramePr/>
                <a:graphic xmlns:a="http://schemas.openxmlformats.org/drawingml/2006/main">
                  <a:graphicData uri="http://schemas.microsoft.com/office/word/2010/wordprocessingShape">
                    <wps:wsp>
                      <wps:cNvSpPr/>
                      <wps:spPr>
                        <a:xfrm>
                          <a:off x="0" y="0"/>
                          <a:ext cx="6304915" cy="2498652"/>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25pt;margin-top:1.8pt;width:496.45pt;height:19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" fillcolor="#b9cde4 [1622]" strokecolor="#6893c4 [3046]">
                <v:fill color2="#eaf0f7 [502]" rotate="t" angle="180" colors="0 #add0ff;22938f #c5ddff;1 #e7f1ff" focus="100%" type="gradient"/>
                <v:shadow on="t" color="black" opacity="24903f" origin=",.5" offset="0,.55556mm"/>
              </v:rect>
            </w:pict>
          </mc:Fallback>
        </mc:AlternateContent>
      </w:r>
      <w:r>
        <w:tab/>
      </w:r>
    </w:p>
    <w:p w:rsidR="00595804" w:rsidRPr="00595804" w:rsidRDefault="00595804" w:rsidP="00595804">
      <w:pPr>
        <w:pStyle w:val="ListParagraph"/>
        <w:keepLines/>
        <w:numPr>
          <w:ilvl w:val="0"/>
          <w:numId w:val="28"/>
        </w:numPr>
        <w:ind w:left="714" w:hanging="357"/>
        <w:contextualSpacing w:val="0"/>
        <w:rPr>
          <w:b/>
        </w:rPr>
      </w:pPr>
      <w:r w:rsidRPr="00595804">
        <w:rPr>
          <w:b/>
        </w:rPr>
        <w:t>COMPASS will be available t</w:t>
      </w:r>
      <w:r w:rsidR="008630FE">
        <w:rPr>
          <w:b/>
        </w:rPr>
        <w:t>o young people of all complexities and from all out</w:t>
      </w:r>
      <w:r w:rsidR="008630FE">
        <w:rPr>
          <w:b/>
        </w:rPr>
        <w:noBreakHyphen/>
        <w:t>of</w:t>
      </w:r>
      <w:r w:rsidR="008630FE">
        <w:rPr>
          <w:b/>
        </w:rPr>
        <w:noBreakHyphen/>
      </w:r>
      <w:r w:rsidRPr="00595804">
        <w:rPr>
          <w:b/>
        </w:rPr>
        <w:t>home care backgrounds: foster, kinship, and residential care.</w:t>
      </w:r>
    </w:p>
    <w:p w:rsidR="00D4227E" w:rsidRDefault="00595804" w:rsidP="00595804">
      <w:pPr>
        <w:pStyle w:val="ListParagraph"/>
        <w:keepLines/>
        <w:numPr>
          <w:ilvl w:val="0"/>
          <w:numId w:val="28"/>
        </w:numPr>
        <w:ind w:left="714" w:hanging="357"/>
        <w:contextualSpacing w:val="0"/>
        <w:rPr>
          <w:b/>
        </w:rPr>
      </w:pPr>
      <w:r w:rsidRPr="00B871B3">
        <w:rPr>
          <w:b/>
        </w:rPr>
        <w:t xml:space="preserve">Young people aged 16.5-17.5 years in out-of-home care </w:t>
      </w:r>
      <w:r>
        <w:rPr>
          <w:b/>
        </w:rPr>
        <w:t>will</w:t>
      </w:r>
      <w:r w:rsidRPr="00B871B3">
        <w:rPr>
          <w:b/>
        </w:rPr>
        <w:t xml:space="preserve"> transition into the program</w:t>
      </w:r>
      <w:r>
        <w:rPr>
          <w:b/>
        </w:rPr>
        <w:t xml:space="preserve"> over six months. </w:t>
      </w:r>
    </w:p>
    <w:p w:rsidR="00595804" w:rsidRPr="00B871B3" w:rsidRDefault="00595804" w:rsidP="00595804">
      <w:pPr>
        <w:pStyle w:val="ListParagraph"/>
        <w:keepLines/>
        <w:numPr>
          <w:ilvl w:val="0"/>
          <w:numId w:val="28"/>
        </w:numPr>
        <w:ind w:left="714" w:hanging="357"/>
        <w:contextualSpacing w:val="0"/>
        <w:rPr>
          <w:b/>
        </w:rPr>
      </w:pPr>
      <w:r>
        <w:rPr>
          <w:b/>
        </w:rPr>
        <w:t>R</w:t>
      </w:r>
      <w:r w:rsidRPr="00B871B3">
        <w:rPr>
          <w:b/>
        </w:rPr>
        <w:t xml:space="preserve">ecent care leavers aged </w:t>
      </w:r>
      <w:r w:rsidR="00D4227E">
        <w:rPr>
          <w:b/>
        </w:rPr>
        <w:t>between 16.5 and 18.5 years can</w:t>
      </w:r>
      <w:r w:rsidRPr="00B871B3">
        <w:rPr>
          <w:b/>
        </w:rPr>
        <w:t xml:space="preserve"> </w:t>
      </w:r>
      <w:r w:rsidR="00D4227E">
        <w:rPr>
          <w:b/>
        </w:rPr>
        <w:t xml:space="preserve">access the </w:t>
      </w:r>
      <w:r w:rsidRPr="00B871B3">
        <w:rPr>
          <w:b/>
        </w:rPr>
        <w:t>program</w:t>
      </w:r>
      <w:r w:rsidR="00D4227E">
        <w:rPr>
          <w:b/>
        </w:rPr>
        <w:t xml:space="preserve"> through</w:t>
      </w:r>
      <w:r>
        <w:rPr>
          <w:b/>
        </w:rPr>
        <w:t xml:space="preserve"> community service organisations and government </w:t>
      </w:r>
      <w:r w:rsidRPr="00560315">
        <w:rPr>
          <w:b/>
        </w:rPr>
        <w:t>agencies</w:t>
      </w:r>
      <w:r w:rsidR="008630FE" w:rsidRPr="00560315">
        <w:rPr>
          <w:b/>
        </w:rPr>
        <w:t>.</w:t>
      </w:r>
    </w:p>
    <w:p w:rsidR="00595804" w:rsidRDefault="00595804" w:rsidP="00595804">
      <w:pPr>
        <w:pStyle w:val="ListParagraph"/>
        <w:keepLines/>
        <w:numPr>
          <w:ilvl w:val="0"/>
          <w:numId w:val="28"/>
        </w:numPr>
        <w:ind w:left="714" w:hanging="357"/>
        <w:contextualSpacing w:val="0"/>
        <w:rPr>
          <w:b/>
        </w:rPr>
      </w:pPr>
      <w:r w:rsidRPr="00B871B3">
        <w:rPr>
          <w:b/>
        </w:rPr>
        <w:t xml:space="preserve">No young person will be excluded due to </w:t>
      </w:r>
      <w:r>
        <w:rPr>
          <w:b/>
        </w:rPr>
        <w:t>prior criminal history, cultural background, parenthood or impending parenthood, gender iden</w:t>
      </w:r>
      <w:r w:rsidR="00C92F15">
        <w:rPr>
          <w:b/>
        </w:rPr>
        <w:t>tity or sexual orientation, pre</w:t>
      </w:r>
      <w:r w:rsidR="00C92F15">
        <w:rPr>
          <w:b/>
        </w:rPr>
        <w:noBreakHyphen/>
      </w:r>
      <w:r>
        <w:rPr>
          <w:b/>
        </w:rPr>
        <w:t>existing medical conditions or disability (with the exception of those eligible for specialist NDIS disability accommodation</w:t>
      </w:r>
      <w:r w:rsidRPr="00915DA5">
        <w:rPr>
          <w:b/>
        </w:rPr>
        <w:t>)</w:t>
      </w:r>
      <w:r>
        <w:rPr>
          <w:b/>
        </w:rPr>
        <w:t>.</w:t>
      </w:r>
    </w:p>
    <w:p w:rsidR="00595804" w:rsidRPr="00FC73E1" w:rsidRDefault="00595804" w:rsidP="00595804">
      <w:pPr>
        <w:pStyle w:val="ListParagraph"/>
        <w:keepLines/>
        <w:ind w:left="714"/>
        <w:contextualSpacing w:val="0"/>
        <w:rPr>
          <w:b/>
        </w:rPr>
      </w:pPr>
      <w:r w:rsidRPr="00915DA5">
        <w:rPr>
          <w:b/>
        </w:rPr>
        <w:t xml:space="preserve"> </w:t>
      </w:r>
    </w:p>
    <w:p w:rsidR="00A47CE5" w:rsidRDefault="00A47CE5" w:rsidP="00A47CE5">
      <w:pPr>
        <w:pStyle w:val="Heading1"/>
      </w:pPr>
      <w:r>
        <w:t>Key program innovations</w:t>
      </w:r>
    </w:p>
    <w:p w:rsidR="008630FE" w:rsidRPr="00595804" w:rsidRDefault="008630FE" w:rsidP="008630FE">
      <w:pPr>
        <w:pStyle w:val="ListParagraph"/>
        <w:keepLines/>
        <w:numPr>
          <w:ilvl w:val="0"/>
          <w:numId w:val="28"/>
        </w:numPr>
        <w:spacing w:before="120"/>
        <w:ind w:left="714" w:hanging="357"/>
        <w:contextualSpacing w:val="0"/>
      </w:pPr>
      <w:r w:rsidRPr="00025CC3">
        <w:rPr>
          <w:b/>
        </w:rPr>
        <w:t>‘</w:t>
      </w:r>
      <w:r>
        <w:rPr>
          <w:b/>
        </w:rPr>
        <w:t xml:space="preserve">Step-up, step-down’ </w:t>
      </w:r>
      <w:r w:rsidRPr="00025CC3">
        <w:rPr>
          <w:b/>
        </w:rPr>
        <w:t>housing</w:t>
      </w:r>
      <w:r w:rsidRPr="00A47CE5">
        <w:t xml:space="preserve"> </w:t>
      </w:r>
      <w:r>
        <w:t xml:space="preserve">– a flexible housing </w:t>
      </w:r>
      <w:r w:rsidRPr="00A47CE5">
        <w:t>model</w:t>
      </w:r>
      <w:r>
        <w:t xml:space="preserve"> </w:t>
      </w:r>
      <w:r w:rsidRPr="00A47CE5">
        <w:t xml:space="preserve">that will allow young people to engage with different housing options depending on their individual circumstances. Young people will have the option to remain with their current foster or kinship carer, </w:t>
      </w:r>
      <w:r>
        <w:t>or be supported to transition into independent housing through supported rental arrangements, with live-in</w:t>
      </w:r>
      <w:r w:rsidR="004417EC">
        <w:t xml:space="preserve"> support</w:t>
      </w:r>
      <w:r>
        <w:t xml:space="preserve"> options available as required. </w:t>
      </w:r>
    </w:p>
    <w:p w:rsidR="008630FE" w:rsidRPr="00A47CE5" w:rsidRDefault="008630FE" w:rsidP="008630FE">
      <w:pPr>
        <w:pStyle w:val="ListParagraph"/>
        <w:keepLines/>
        <w:numPr>
          <w:ilvl w:val="0"/>
          <w:numId w:val="28"/>
        </w:numPr>
        <w:ind w:left="714" w:hanging="357"/>
        <w:contextualSpacing w:val="0"/>
      </w:pPr>
      <w:r>
        <w:rPr>
          <w:b/>
        </w:rPr>
        <w:t>Individualised, tailored support</w:t>
      </w:r>
      <w:r>
        <w:t xml:space="preserve"> – th</w:t>
      </w:r>
      <w:r w:rsidRPr="00A47CE5">
        <w:t xml:space="preserve">e program will offer varying levels of support and intensity according to a young person’s needs. Key workers will </w:t>
      </w:r>
      <w:r>
        <w:t>support</w:t>
      </w:r>
      <w:r w:rsidRPr="00A47CE5">
        <w:t xml:space="preserve"> </w:t>
      </w:r>
      <w:r w:rsidRPr="00A47CE5">
        <w:t xml:space="preserve">young people to </w:t>
      </w:r>
      <w:r>
        <w:t xml:space="preserve">access the general and </w:t>
      </w:r>
      <w:r w:rsidRPr="00A47CE5">
        <w:t>specialist services</w:t>
      </w:r>
      <w:r>
        <w:t xml:space="preserve"> they need</w:t>
      </w:r>
      <w:r w:rsidRPr="00A47CE5">
        <w:t xml:space="preserve"> – such as educational and vocational s</w:t>
      </w:r>
      <w:r>
        <w:t>upport</w:t>
      </w:r>
      <w:r w:rsidRPr="00A47CE5">
        <w:t>, mental health, alcohol and other drug counselling or maternal and child nurses</w:t>
      </w:r>
      <w:r>
        <w:t>.</w:t>
      </w:r>
      <w:r w:rsidRPr="00A47CE5">
        <w:t xml:space="preserve">  </w:t>
      </w:r>
    </w:p>
    <w:p w:rsidR="00A47CE5" w:rsidRPr="00A47CE5" w:rsidRDefault="008630FE" w:rsidP="00A47CE5">
      <w:pPr>
        <w:pStyle w:val="ListParagraph"/>
        <w:keepLines/>
        <w:numPr>
          <w:ilvl w:val="0"/>
          <w:numId w:val="28"/>
        </w:numPr>
        <w:ind w:left="714" w:hanging="357"/>
        <w:contextualSpacing w:val="0"/>
      </w:pPr>
      <w:r>
        <w:rPr>
          <w:b/>
        </w:rPr>
        <w:t>Post-care</w:t>
      </w:r>
      <w:r w:rsidR="00025CC3" w:rsidRPr="00025CC3">
        <w:rPr>
          <w:b/>
        </w:rPr>
        <w:t xml:space="preserve"> transition support</w:t>
      </w:r>
      <w:r w:rsidR="00025CC3">
        <w:t xml:space="preserve"> – k</w:t>
      </w:r>
      <w:r w:rsidR="00A47CE5" w:rsidRPr="00A47CE5">
        <w:t xml:space="preserve">ey workers will </w:t>
      </w:r>
      <w:r>
        <w:t>work</w:t>
      </w:r>
      <w:r w:rsidR="00A47CE5" w:rsidRPr="00A47CE5">
        <w:t xml:space="preserve"> with young people right through the transition phase of ‘leaving care’ and for two years post-care</w:t>
      </w:r>
      <w:r>
        <w:t xml:space="preserve"> to ensure that they make a positive start to life as an independent adult</w:t>
      </w:r>
      <w:r w:rsidR="00A47CE5" w:rsidRPr="00A47CE5">
        <w:t>.</w:t>
      </w:r>
    </w:p>
    <w:p w:rsidR="00676DB4" w:rsidRDefault="008630FE" w:rsidP="00C92F15">
      <w:pPr>
        <w:pStyle w:val="Heading1"/>
        <w:spacing w:before="360"/>
      </w:pPr>
      <w:r w:rsidRPr="00025CC3" w:rsidDel="008630FE">
        <w:rPr>
          <w:b w:val="0"/>
        </w:rPr>
        <w:t xml:space="preserve"> </w:t>
      </w:r>
      <w:r w:rsidR="007F56E1">
        <w:t>Measurement of outcomes</w:t>
      </w:r>
      <w:r w:rsidR="00676DB4">
        <w:t xml:space="preserve"> </w:t>
      </w:r>
    </w:p>
    <w:p w:rsidR="00676DB4" w:rsidRDefault="003D4F64" w:rsidP="00676DB4">
      <w:r>
        <w:t>For the purposes of measurement</w:t>
      </w:r>
      <w:r w:rsidR="0093661E">
        <w:t xml:space="preserve"> and payment</w:t>
      </w:r>
      <w:r w:rsidR="00FD4D61">
        <w:t xml:space="preserve">, </w:t>
      </w:r>
      <w:r w:rsidR="00C92F15">
        <w:t xml:space="preserve">COMPASS </w:t>
      </w:r>
      <w:r>
        <w:t xml:space="preserve">will be measured on the following three outcomes: </w:t>
      </w:r>
    </w:p>
    <w:p w:rsidR="003D4F64" w:rsidRDefault="003D4F64" w:rsidP="003D4F64">
      <w:pPr>
        <w:pStyle w:val="ListParagraph"/>
        <w:numPr>
          <w:ilvl w:val="0"/>
          <w:numId w:val="29"/>
        </w:numPr>
        <w:ind w:left="714" w:hanging="357"/>
        <w:contextualSpacing w:val="0"/>
      </w:pPr>
      <w:r w:rsidRPr="003D4F64">
        <w:rPr>
          <w:b/>
        </w:rPr>
        <w:t>Achievement of</w:t>
      </w:r>
      <w:r>
        <w:t xml:space="preserve"> </w:t>
      </w:r>
      <w:r w:rsidRPr="003D4F64">
        <w:rPr>
          <w:b/>
        </w:rPr>
        <w:t>stable housing</w:t>
      </w:r>
      <w:r>
        <w:t xml:space="preserve"> – a decrease in homelessness as measured by access to short-term or emergency accommodation from Specialist Homelessness Services.</w:t>
      </w:r>
    </w:p>
    <w:p w:rsidR="003D4F64" w:rsidRDefault="003D4F64" w:rsidP="003D4F64">
      <w:pPr>
        <w:pStyle w:val="ListParagraph"/>
        <w:numPr>
          <w:ilvl w:val="0"/>
          <w:numId w:val="29"/>
        </w:numPr>
        <w:ind w:left="714" w:hanging="357"/>
        <w:contextualSpacing w:val="0"/>
      </w:pPr>
      <w:r w:rsidRPr="003D4F64">
        <w:rPr>
          <w:b/>
        </w:rPr>
        <w:t xml:space="preserve">Improved </w:t>
      </w:r>
      <w:bookmarkStart w:id="1" w:name="_GoBack"/>
      <w:bookmarkEnd w:id="1"/>
      <w:r w:rsidRPr="003D4F64">
        <w:rPr>
          <w:b/>
        </w:rPr>
        <w:t>health</w:t>
      </w:r>
      <w:r>
        <w:t xml:space="preserve"> – physical and mental health improvements as measured by emergency department presentations.</w:t>
      </w:r>
    </w:p>
    <w:p w:rsidR="00946829" w:rsidRDefault="003D4F64" w:rsidP="00017BCF">
      <w:pPr>
        <w:pStyle w:val="ListParagraph"/>
        <w:numPr>
          <w:ilvl w:val="0"/>
          <w:numId w:val="29"/>
        </w:numPr>
        <w:ind w:left="714" w:hanging="357"/>
        <w:contextualSpacing w:val="0"/>
      </w:pPr>
      <w:r>
        <w:rPr>
          <w:b/>
        </w:rPr>
        <w:t xml:space="preserve">Decrease in offending behaviour </w:t>
      </w:r>
      <w:r>
        <w:t>– as measured by the</w:t>
      </w:r>
      <w:r w:rsidR="00AB174F">
        <w:t xml:space="preserve"> number of convictions recorded.</w:t>
      </w:r>
    </w:p>
    <w:p w:rsidR="003D4F64" w:rsidRDefault="00017BCF" w:rsidP="003D4F64">
      <w:r>
        <w:lastRenderedPageBreak/>
        <w:t xml:space="preserve">Outcomes will be measured </w:t>
      </w:r>
      <w:r w:rsidR="003D4F64" w:rsidRPr="003D4F64">
        <w:t xml:space="preserve">against a complexity-matched control group of </w:t>
      </w:r>
      <w:r>
        <w:t xml:space="preserve">Victorian </w:t>
      </w:r>
      <w:r w:rsidR="003D4F64" w:rsidRPr="003D4F64">
        <w:t>care leave</w:t>
      </w:r>
      <w:r>
        <w:t xml:space="preserve">rs. Success rates will be determined by the relative improvements of the COMPASS participants </w:t>
      </w:r>
      <w:r w:rsidR="00A26BF5">
        <w:t>compared to the control group.</w:t>
      </w:r>
      <w:r w:rsidR="00FC73E1">
        <w:t xml:space="preserve"> All </w:t>
      </w:r>
      <w:r w:rsidR="00C92F15">
        <w:t>outcomes will be independently verified.</w:t>
      </w:r>
      <w:r w:rsidR="00FC73E1">
        <w:t xml:space="preserve"> </w:t>
      </w:r>
    </w:p>
    <w:p w:rsidR="00676DB4" w:rsidRDefault="00C613F7" w:rsidP="007F56E1">
      <w:r>
        <w:t>Broader collection of program outcomes not linked to payments (for example, education and employment outcomes</w:t>
      </w:r>
      <w:r w:rsidR="0093661E">
        <w:t xml:space="preserve">, </w:t>
      </w:r>
      <w:r w:rsidR="00D4227E">
        <w:t>and completion</w:t>
      </w:r>
      <w:r w:rsidR="0093661E">
        <w:t xml:space="preserve"> of personal wellbeing indices</w:t>
      </w:r>
      <w:r>
        <w:t>) will identify the broader impact of the program on young people</w:t>
      </w:r>
      <w:r w:rsidR="00AB174F">
        <w:t xml:space="preserve"> and the wider community</w:t>
      </w:r>
      <w:r>
        <w:t xml:space="preserve">. </w:t>
      </w:r>
    </w:p>
    <w:p w:rsidR="007F56E1" w:rsidRDefault="00906655" w:rsidP="007F56E1">
      <w:pPr>
        <w:pStyle w:val="Heading1"/>
      </w:pPr>
      <w:r w:rsidRPr="00A014DA">
        <w:t>Performance p</w:t>
      </w:r>
      <w:r w:rsidR="007F56E1" w:rsidRPr="00A014DA">
        <w:t>ayments</w:t>
      </w:r>
    </w:p>
    <w:p w:rsidR="00906655" w:rsidRDefault="008630FE" w:rsidP="0093661E">
      <w:r>
        <w:t xml:space="preserve">Performance payments are conditional on specified improvements being made. For example </w:t>
      </w:r>
      <w:r w:rsidR="00A014DA">
        <w:t>‘Very Good’</w:t>
      </w:r>
      <w:r w:rsidR="00906655">
        <w:t xml:space="preserve"> </w:t>
      </w:r>
      <w:r w:rsidR="00C92F15">
        <w:t xml:space="preserve">performance </w:t>
      </w:r>
      <w:r w:rsidR="000554B0">
        <w:t>success rates (as measured against the control group)</w:t>
      </w:r>
      <w:r>
        <w:t xml:space="preserve"> include</w:t>
      </w:r>
      <w:r w:rsidR="000554B0">
        <w:t>:</w:t>
      </w:r>
    </w:p>
    <w:p w:rsidR="000554B0" w:rsidRPr="00A014DA" w:rsidRDefault="00A014DA" w:rsidP="000554B0">
      <w:pPr>
        <w:pStyle w:val="ListParagraph"/>
        <w:numPr>
          <w:ilvl w:val="0"/>
          <w:numId w:val="31"/>
        </w:numPr>
      </w:pPr>
      <w:r w:rsidRPr="00A014DA">
        <w:t>45</w:t>
      </w:r>
      <w:r w:rsidR="000554B0" w:rsidRPr="00A014DA">
        <w:t>% decrease in access to short-term or emergency accommodation;</w:t>
      </w:r>
    </w:p>
    <w:p w:rsidR="000554B0" w:rsidRPr="00A014DA" w:rsidRDefault="00A014DA" w:rsidP="000554B0">
      <w:pPr>
        <w:pStyle w:val="ListParagraph"/>
        <w:numPr>
          <w:ilvl w:val="0"/>
          <w:numId w:val="31"/>
        </w:numPr>
      </w:pPr>
      <w:r w:rsidRPr="00A014DA">
        <w:t>23</w:t>
      </w:r>
      <w:r w:rsidR="000554B0" w:rsidRPr="00A014DA">
        <w:t>% decrease in emergency department presentations; and</w:t>
      </w:r>
    </w:p>
    <w:p w:rsidR="000554B0" w:rsidRPr="00A014DA" w:rsidRDefault="00A014DA" w:rsidP="0093661E">
      <w:pPr>
        <w:pStyle w:val="ListParagraph"/>
        <w:numPr>
          <w:ilvl w:val="0"/>
          <w:numId w:val="31"/>
        </w:numPr>
      </w:pPr>
      <w:r w:rsidRPr="00A014DA">
        <w:t>28</w:t>
      </w:r>
      <w:r w:rsidR="000554B0" w:rsidRPr="00A014DA">
        <w:t>% decrease in convictions recorded.</w:t>
      </w:r>
    </w:p>
    <w:p w:rsidR="00DB06F7" w:rsidRDefault="00DB06F7" w:rsidP="00C53C43"/>
    <w:p w:rsidR="00DB06F7" w:rsidRDefault="00573F79" w:rsidP="00DB06F7">
      <w:r>
        <w:rPr>
          <w:noProof/>
        </w:rPr>
        <mc:AlternateContent>
          <mc:Choice Requires="wps">
            <w:drawing>
              <wp:anchor distT="0" distB="0" distL="114300" distR="114300" simplePos="0" relativeHeight="251671552" behindDoc="0" locked="0" layoutInCell="1" allowOverlap="1" wp14:anchorId="5E1FA145" wp14:editId="7E7ABC37">
                <wp:simplePos x="0" y="0"/>
                <wp:positionH relativeFrom="column">
                  <wp:posOffset>120015</wp:posOffset>
                </wp:positionH>
                <wp:positionV relativeFrom="paragraph">
                  <wp:posOffset>36003</wp:posOffset>
                </wp:positionV>
                <wp:extent cx="5847715" cy="2094230"/>
                <wp:effectExtent l="57150" t="38100" r="76835" b="96520"/>
                <wp:wrapNone/>
                <wp:docPr id="7" name="Text Box 7"/>
                <wp:cNvGraphicFramePr/>
                <a:graphic xmlns:a="http://schemas.openxmlformats.org/drawingml/2006/main">
                  <a:graphicData uri="http://schemas.microsoft.com/office/word/2010/wordprocessingShape">
                    <wps:wsp>
                      <wps:cNvSpPr txBox="1"/>
                      <wps:spPr>
                        <a:xfrm>
                          <a:off x="0" y="0"/>
                          <a:ext cx="5847715" cy="209423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73F79" w:rsidRPr="002114AB" w:rsidRDefault="00573F79" w:rsidP="00573F79">
                            <w:pPr>
                              <w:rPr>
                                <w:b/>
                                <w:color w:val="201547" w:themeColor="text2"/>
                                <w:sz w:val="24"/>
                                <w:szCs w:val="24"/>
                              </w:rPr>
                            </w:pPr>
                            <w:r w:rsidRPr="002114AB">
                              <w:rPr>
                                <w:b/>
                                <w:color w:val="201547" w:themeColor="text2"/>
                                <w:sz w:val="24"/>
                                <w:szCs w:val="24"/>
                              </w:rPr>
                              <w:t>At target</w:t>
                            </w:r>
                            <w:r w:rsidR="00413AC4">
                              <w:rPr>
                                <w:b/>
                                <w:color w:val="201547" w:themeColor="text2"/>
                                <w:sz w:val="24"/>
                                <w:szCs w:val="24"/>
                              </w:rPr>
                              <w:t xml:space="preserve"> or ‘very good’</w:t>
                            </w:r>
                            <w:r w:rsidRPr="002114AB">
                              <w:rPr>
                                <w:b/>
                                <w:color w:val="201547" w:themeColor="text2"/>
                                <w:sz w:val="24"/>
                                <w:szCs w:val="24"/>
                              </w:rPr>
                              <w:t xml:space="preserve"> performance, some of the positive impacts are expected to be:</w:t>
                            </w:r>
                          </w:p>
                          <w:p w:rsidR="00573F79" w:rsidRPr="002926DB" w:rsidRDefault="00C61892" w:rsidP="00573F79">
                            <w:pPr>
                              <w:pStyle w:val="ListParagraph"/>
                              <w:keepLines/>
                              <w:numPr>
                                <w:ilvl w:val="0"/>
                                <w:numId w:val="28"/>
                              </w:numPr>
                              <w:spacing w:before="60" w:after="120"/>
                              <w:ind w:left="714" w:hanging="357"/>
                              <w:contextualSpacing w:val="0"/>
                            </w:pPr>
                            <w:r>
                              <w:t>200 fewer emergency department</w:t>
                            </w:r>
                            <w:r w:rsidRPr="00C61892">
                              <w:t xml:space="preserve"> presentations </w:t>
                            </w:r>
                            <w:r w:rsidR="00573F79">
                              <w:t xml:space="preserve">over the four-year measurement period post-referral. </w:t>
                            </w:r>
                          </w:p>
                          <w:p w:rsidR="00573F79" w:rsidRPr="00C61892" w:rsidRDefault="00C61892" w:rsidP="00573F79">
                            <w:pPr>
                              <w:pStyle w:val="ListParagraph"/>
                              <w:keepLines/>
                              <w:numPr>
                                <w:ilvl w:val="0"/>
                                <w:numId w:val="28"/>
                              </w:numPr>
                              <w:spacing w:before="60" w:after="120"/>
                              <w:ind w:left="714" w:hanging="357"/>
                              <w:contextualSpacing w:val="0"/>
                            </w:pPr>
                            <w:r w:rsidRPr="00C61892">
                              <w:t xml:space="preserve">300 fewer days </w:t>
                            </w:r>
                            <w:r w:rsidR="00AF4DB8">
                              <w:t xml:space="preserve">spent admitted to hospital </w:t>
                            </w:r>
                            <w:r w:rsidR="00573F79" w:rsidRPr="00C61892">
                              <w:t>over the fo</w:t>
                            </w:r>
                            <w:r w:rsidR="00663091">
                              <w:t>ur-year measurement period post</w:t>
                            </w:r>
                            <w:r w:rsidR="00663091">
                              <w:noBreakHyphen/>
                            </w:r>
                            <w:r w:rsidR="00573F79" w:rsidRPr="00C61892">
                              <w:t>referral.</w:t>
                            </w:r>
                          </w:p>
                          <w:p w:rsidR="00573F79" w:rsidRPr="00C61892" w:rsidRDefault="00C61892" w:rsidP="00573F79">
                            <w:pPr>
                              <w:pStyle w:val="ListParagraph"/>
                              <w:keepLines/>
                              <w:numPr>
                                <w:ilvl w:val="0"/>
                                <w:numId w:val="28"/>
                              </w:numPr>
                              <w:spacing w:before="60" w:after="120"/>
                              <w:ind w:left="714" w:hanging="357"/>
                              <w:contextualSpacing w:val="0"/>
                            </w:pPr>
                            <w:r w:rsidRPr="00C61892">
                              <w:t>35</w:t>
                            </w:r>
                            <w:r w:rsidR="00573F79" w:rsidRPr="00C61892">
                              <w:t xml:space="preserve"> </w:t>
                            </w:r>
                            <w:r w:rsidR="00413AC4" w:rsidRPr="00C61892">
                              <w:t xml:space="preserve">young people being </w:t>
                            </w:r>
                            <w:r w:rsidRPr="00C61892">
                              <w:t>diverted away from the social housing system as a result of COMPASS</w:t>
                            </w:r>
                            <w:r w:rsidR="00573F79" w:rsidRPr="00C61892">
                              <w:t>.</w:t>
                            </w:r>
                          </w:p>
                          <w:p w:rsidR="00413AC4" w:rsidRDefault="00C61892" w:rsidP="00413AC4">
                            <w:pPr>
                              <w:pStyle w:val="ListParagraph"/>
                              <w:keepLines/>
                              <w:numPr>
                                <w:ilvl w:val="0"/>
                                <w:numId w:val="28"/>
                              </w:numPr>
                              <w:spacing w:before="60" w:after="120"/>
                              <w:ind w:left="714" w:hanging="357"/>
                              <w:contextualSpacing w:val="0"/>
                            </w:pPr>
                            <w:r w:rsidRPr="00C61892">
                              <w:t>600</w:t>
                            </w:r>
                            <w:r w:rsidR="00413AC4" w:rsidRPr="00C61892">
                              <w:t xml:space="preserve"> fewer </w:t>
                            </w:r>
                            <w:r w:rsidRPr="00C61892">
                              <w:t>interactions</w:t>
                            </w:r>
                            <w:r>
                              <w:t xml:space="preserve"> with police across the </w:t>
                            </w:r>
                            <w:r w:rsidR="00413AC4">
                              <w:t>four-year measurement period post-referral.</w:t>
                            </w:r>
                          </w:p>
                          <w:p w:rsidR="00573F79" w:rsidRDefault="00573F79" w:rsidP="00573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45pt;margin-top:2.85pt;width:460.45pt;height:16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" fillcolor="#b9cde4 [1622]" strokecolor="#6893c4 [3046]">
                <v:fill color2="#eaf0f7 [502]" rotate="t" angle="180" colors="0 #add0ff;22938f #c5ddff;1 #e7f1ff" focus="100%" type="gradient"/>
                <v:shadow on="t" color="black" opacity="24903f" origin=",.5" offset="0,.55556mm"/>
                <v:textbox>
                  <w:txbxContent>
                    <w:p w:rsidR="00573F79" w:rsidRPr="002114AB" w:rsidRDefault="00573F79" w:rsidP="00573F79">
                      <w:pPr>
                        <w:rPr>
                          <w:b/>
                          <w:color w:val="201547" w:themeColor="text2"/>
                          <w:sz w:val="24"/>
                          <w:szCs w:val="24"/>
                        </w:rPr>
                      </w:pPr>
                      <w:r w:rsidRPr="002114AB">
                        <w:rPr>
                          <w:b/>
                          <w:color w:val="201547" w:themeColor="text2"/>
                          <w:sz w:val="24"/>
                          <w:szCs w:val="24"/>
                        </w:rPr>
                        <w:t>At target</w:t>
                      </w:r>
                      <w:r w:rsidR="00413AC4">
                        <w:rPr>
                          <w:b/>
                          <w:color w:val="201547" w:themeColor="text2"/>
                          <w:sz w:val="24"/>
                          <w:szCs w:val="24"/>
                        </w:rPr>
                        <w:t xml:space="preserve"> or ‘very good’</w:t>
                      </w:r>
                      <w:r w:rsidRPr="002114AB">
                        <w:rPr>
                          <w:b/>
                          <w:color w:val="201547" w:themeColor="text2"/>
                          <w:sz w:val="24"/>
                          <w:szCs w:val="24"/>
                        </w:rPr>
                        <w:t xml:space="preserve"> performance, some of the positive impacts are expected to be:</w:t>
                      </w:r>
                    </w:p>
                    <w:p w:rsidR="00573F79" w:rsidRPr="002926DB" w:rsidRDefault="00C61892" w:rsidP="00573F79">
                      <w:pPr>
                        <w:pStyle w:val="ListParagraph"/>
                        <w:keepLines/>
                        <w:numPr>
                          <w:ilvl w:val="0"/>
                          <w:numId w:val="28"/>
                        </w:numPr>
                        <w:spacing w:before="60" w:after="120"/>
                        <w:ind w:left="714" w:hanging="357"/>
                        <w:contextualSpacing w:val="0"/>
                      </w:pPr>
                      <w:r>
                        <w:t>200 fewer emergency department</w:t>
                      </w:r>
                      <w:r w:rsidRPr="00C61892">
                        <w:t xml:space="preserve"> presentations </w:t>
                      </w:r>
                      <w:r w:rsidR="00573F79">
                        <w:t xml:space="preserve">over the four-year measurement period post-referral. </w:t>
                      </w:r>
                    </w:p>
                    <w:p w:rsidR="00573F79" w:rsidRPr="00C61892" w:rsidRDefault="00C61892" w:rsidP="00573F79">
                      <w:pPr>
                        <w:pStyle w:val="ListParagraph"/>
                        <w:keepLines/>
                        <w:numPr>
                          <w:ilvl w:val="0"/>
                          <w:numId w:val="28"/>
                        </w:numPr>
                        <w:spacing w:before="60" w:after="120"/>
                        <w:ind w:left="714" w:hanging="357"/>
                        <w:contextualSpacing w:val="0"/>
                      </w:pPr>
                      <w:r w:rsidRPr="00C61892">
                        <w:t xml:space="preserve">300 fewer days </w:t>
                      </w:r>
                      <w:r w:rsidR="00AF4DB8">
                        <w:t xml:space="preserve">spent admitted to hospital </w:t>
                      </w:r>
                      <w:r w:rsidR="00573F79" w:rsidRPr="00C61892">
                        <w:t>over the fo</w:t>
                      </w:r>
                      <w:r w:rsidR="00663091">
                        <w:t>ur-year measurement period post</w:t>
                      </w:r>
                      <w:r w:rsidR="00663091">
                        <w:noBreakHyphen/>
                      </w:r>
                      <w:r w:rsidR="00573F79" w:rsidRPr="00C61892">
                        <w:t>referral.</w:t>
                      </w:r>
                    </w:p>
                    <w:p w:rsidR="00573F79" w:rsidRPr="00C61892" w:rsidRDefault="00C61892" w:rsidP="00573F79">
                      <w:pPr>
                        <w:pStyle w:val="ListParagraph"/>
                        <w:keepLines/>
                        <w:numPr>
                          <w:ilvl w:val="0"/>
                          <w:numId w:val="28"/>
                        </w:numPr>
                        <w:spacing w:before="60" w:after="120"/>
                        <w:ind w:left="714" w:hanging="357"/>
                        <w:contextualSpacing w:val="0"/>
                      </w:pPr>
                      <w:r w:rsidRPr="00C61892">
                        <w:t>35</w:t>
                      </w:r>
                      <w:r w:rsidR="00573F79" w:rsidRPr="00C61892">
                        <w:t xml:space="preserve"> </w:t>
                      </w:r>
                      <w:r w:rsidR="00413AC4" w:rsidRPr="00C61892">
                        <w:t xml:space="preserve">young people being </w:t>
                      </w:r>
                      <w:r w:rsidRPr="00C61892">
                        <w:t>diverted away from the social housing system as a result of COMPASS</w:t>
                      </w:r>
                      <w:r w:rsidR="00573F79" w:rsidRPr="00C61892">
                        <w:t>.</w:t>
                      </w:r>
                    </w:p>
                    <w:p w:rsidR="00413AC4" w:rsidRDefault="00C61892" w:rsidP="00413AC4">
                      <w:pPr>
                        <w:pStyle w:val="ListParagraph"/>
                        <w:keepLines/>
                        <w:numPr>
                          <w:ilvl w:val="0"/>
                          <w:numId w:val="28"/>
                        </w:numPr>
                        <w:spacing w:before="60" w:after="120"/>
                        <w:ind w:left="714" w:hanging="357"/>
                        <w:contextualSpacing w:val="0"/>
                      </w:pPr>
                      <w:r w:rsidRPr="00C61892">
                        <w:t>600</w:t>
                      </w:r>
                      <w:r w:rsidR="00413AC4" w:rsidRPr="00C61892">
                        <w:t xml:space="preserve"> fewer </w:t>
                      </w:r>
                      <w:r w:rsidRPr="00C61892">
                        <w:t>interactions</w:t>
                      </w:r>
                      <w:r>
                        <w:t xml:space="preserve"> with police across the </w:t>
                      </w:r>
                      <w:r w:rsidR="00413AC4">
                        <w:t>four-year measurement period post-referral.</w:t>
                      </w:r>
                    </w:p>
                    <w:p w:rsidR="00573F79" w:rsidRDefault="00573F79" w:rsidP="00573F79"/>
                  </w:txbxContent>
                </v:textbox>
              </v:shape>
            </w:pict>
          </mc:Fallback>
        </mc:AlternateContent>
      </w:r>
    </w:p>
    <w:p w:rsidR="00DB06F7" w:rsidRDefault="00DB06F7" w:rsidP="00DB06F7"/>
    <w:p w:rsidR="00DB06F7" w:rsidRDefault="00DB06F7" w:rsidP="00DB06F7"/>
    <w:p w:rsidR="00DB06F7" w:rsidRDefault="00DB06F7" w:rsidP="00DB06F7"/>
    <w:p w:rsidR="00DB06F7" w:rsidRDefault="00DB06F7" w:rsidP="00DB06F7"/>
    <w:p w:rsidR="00DB06F7" w:rsidRDefault="00DB06F7" w:rsidP="00DB06F7"/>
    <w:bookmarkEnd w:id="0"/>
    <w:p w:rsidR="00ED170C" w:rsidRDefault="00ED170C" w:rsidP="00ED170C">
      <w:pPr>
        <w:rPr>
          <w:rFonts w:eastAsiaTheme="majorEastAsia"/>
        </w:rPr>
      </w:pPr>
    </w:p>
    <w:p w:rsidR="00E256AB" w:rsidRDefault="00E256AB" w:rsidP="00ED170C">
      <w:pPr>
        <w:rPr>
          <w:rFonts w:eastAsiaTheme="majorEastAsia"/>
        </w:rPr>
      </w:pPr>
    </w:p>
    <w:p w:rsidR="00E256AB" w:rsidRDefault="00E256AB" w:rsidP="00ED170C">
      <w:pPr>
        <w:rPr>
          <w:rFonts w:eastAsiaTheme="majorEastAsia"/>
        </w:rPr>
      </w:pPr>
    </w:p>
    <w:p w:rsidR="00ED170C" w:rsidRDefault="00ED170C" w:rsidP="00E256AB">
      <w:pPr>
        <w:rPr>
          <w:rFonts w:eastAsiaTheme="majorEastAsia"/>
        </w:rPr>
      </w:pPr>
    </w:p>
    <w:sectPr w:rsidR="00ED170C" w:rsidSect="00E256AB">
      <w:headerReference w:type="even" r:id="rId10"/>
      <w:headerReference w:type="default" r:id="rId11"/>
      <w:footerReference w:type="even" r:id="rId12"/>
      <w:footerReference w:type="default" r:id="rId13"/>
      <w:headerReference w:type="first" r:id="rId14"/>
      <w:footerReference w:type="first" r:id="rId15"/>
      <w:pgSz w:w="11906" w:h="16838" w:code="9"/>
      <w:pgMar w:top="2160" w:right="1440" w:bottom="1134" w:left="1440" w:header="709" w:footer="45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F4" w:rsidRDefault="000277F4" w:rsidP="002D711A">
      <w:pPr>
        <w:spacing w:after="0" w:line="240" w:lineRule="auto"/>
      </w:pPr>
      <w:r>
        <w:separator/>
      </w:r>
    </w:p>
  </w:endnote>
  <w:endnote w:type="continuationSeparator" w:id="0">
    <w:p w:rsidR="000277F4" w:rsidRDefault="000277F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AB" w:rsidRDefault="00E25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6738C4" w:rsidP="0041689E">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AB" w:rsidRDefault="00E2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F4" w:rsidRDefault="000277F4" w:rsidP="002D711A">
      <w:pPr>
        <w:spacing w:after="0" w:line="240" w:lineRule="auto"/>
      </w:pPr>
      <w:r>
        <w:separator/>
      </w:r>
    </w:p>
  </w:footnote>
  <w:footnote w:type="continuationSeparator" w:id="0">
    <w:p w:rsidR="000277F4" w:rsidRDefault="000277F4"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AB" w:rsidRDefault="00E25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AB" w:rsidRDefault="00E25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AB" w:rsidRDefault="00E25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36C4FDC"/>
    <w:multiLevelType w:val="hybridMultilevel"/>
    <w:tmpl w:val="D9AC5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36B20"/>
    <w:multiLevelType w:val="hybridMultilevel"/>
    <w:tmpl w:val="E6D0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C3301D"/>
    <w:multiLevelType w:val="hybridMultilevel"/>
    <w:tmpl w:val="1C54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AD36D2"/>
    <w:multiLevelType w:val="hybridMultilevel"/>
    <w:tmpl w:val="ACA81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461C5874"/>
    <w:multiLevelType w:val="hybridMultilevel"/>
    <w:tmpl w:val="6896E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634611"/>
    <w:multiLevelType w:val="hybridMultilevel"/>
    <w:tmpl w:val="7982E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2B0D34"/>
    <w:multiLevelType w:val="hybridMultilevel"/>
    <w:tmpl w:val="6062E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B049C5"/>
    <w:multiLevelType w:val="hybridMultilevel"/>
    <w:tmpl w:val="829AC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CB04E84"/>
    <w:multiLevelType w:val="hybridMultilevel"/>
    <w:tmpl w:val="C9486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4"/>
  </w:num>
  <w:num w:numId="5">
    <w:abstractNumId w:val="6"/>
  </w:num>
  <w:num w:numId="6">
    <w:abstractNumId w:val="6"/>
  </w:num>
  <w:num w:numId="7">
    <w:abstractNumId w:val="6"/>
  </w:num>
  <w:num w:numId="8">
    <w:abstractNumId w:val="6"/>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3"/>
  </w:num>
  <w:num w:numId="18">
    <w:abstractNumId w:val="3"/>
  </w:num>
  <w:num w:numId="19">
    <w:abstractNumId w:val="12"/>
  </w:num>
  <w:num w:numId="20">
    <w:abstractNumId w:val="11"/>
  </w:num>
  <w:num w:numId="21">
    <w:abstractNumId w:val="0"/>
  </w:num>
  <w:num w:numId="22">
    <w:abstractNumId w:val="0"/>
  </w:num>
  <w:num w:numId="23">
    <w:abstractNumId w:val="0"/>
  </w:num>
  <w:num w:numId="24">
    <w:abstractNumId w:val="12"/>
  </w:num>
  <w:num w:numId="25">
    <w:abstractNumId w:val="14"/>
  </w:num>
  <w:num w:numId="26">
    <w:abstractNumId w:val="3"/>
  </w:num>
  <w:num w:numId="27">
    <w:abstractNumId w:val="3"/>
  </w:num>
  <w:num w:numId="28">
    <w:abstractNumId w:val="5"/>
  </w:num>
  <w:num w:numId="29">
    <w:abstractNumId w:val="9"/>
  </w:num>
  <w:num w:numId="30">
    <w:abstractNumId w:val="8"/>
  </w:num>
  <w:num w:numId="31">
    <w:abstractNumId w:val="2"/>
  </w:num>
  <w:num w:numId="32">
    <w:abstractNumId w:val="1"/>
  </w:num>
  <w:num w:numId="33">
    <w:abstractNumId w:val="7"/>
  </w:num>
  <w:num w:numId="34">
    <w:abstractNumId w:val="10"/>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29"/>
    <w:rsid w:val="00012F6F"/>
    <w:rsid w:val="00014213"/>
    <w:rsid w:val="00014B55"/>
    <w:rsid w:val="00017BCF"/>
    <w:rsid w:val="00020E3E"/>
    <w:rsid w:val="00023BF3"/>
    <w:rsid w:val="00025CC3"/>
    <w:rsid w:val="00026811"/>
    <w:rsid w:val="000277F4"/>
    <w:rsid w:val="00043296"/>
    <w:rsid w:val="0004356D"/>
    <w:rsid w:val="00043F95"/>
    <w:rsid w:val="00045296"/>
    <w:rsid w:val="000554B0"/>
    <w:rsid w:val="00075E6C"/>
    <w:rsid w:val="000A296D"/>
    <w:rsid w:val="000B29AD"/>
    <w:rsid w:val="000C6372"/>
    <w:rsid w:val="000D593F"/>
    <w:rsid w:val="000D6017"/>
    <w:rsid w:val="000E392D"/>
    <w:rsid w:val="000E7F63"/>
    <w:rsid w:val="000F4288"/>
    <w:rsid w:val="000F7165"/>
    <w:rsid w:val="00100726"/>
    <w:rsid w:val="00102379"/>
    <w:rsid w:val="001065D6"/>
    <w:rsid w:val="00114B76"/>
    <w:rsid w:val="00121252"/>
    <w:rsid w:val="00124609"/>
    <w:rsid w:val="00124DFE"/>
    <w:rsid w:val="001254CE"/>
    <w:rsid w:val="00126AF9"/>
    <w:rsid w:val="00134CEA"/>
    <w:rsid w:val="001422CC"/>
    <w:rsid w:val="00144E9D"/>
    <w:rsid w:val="0016003D"/>
    <w:rsid w:val="00160F14"/>
    <w:rsid w:val="001617B6"/>
    <w:rsid w:val="00165E66"/>
    <w:rsid w:val="00176CAA"/>
    <w:rsid w:val="001835BC"/>
    <w:rsid w:val="001A3DD1"/>
    <w:rsid w:val="001B1258"/>
    <w:rsid w:val="001B6442"/>
    <w:rsid w:val="001C0692"/>
    <w:rsid w:val="001C5432"/>
    <w:rsid w:val="001C7BAE"/>
    <w:rsid w:val="001D461B"/>
    <w:rsid w:val="001D717E"/>
    <w:rsid w:val="001E31FA"/>
    <w:rsid w:val="001E64F6"/>
    <w:rsid w:val="00200BB3"/>
    <w:rsid w:val="00201932"/>
    <w:rsid w:val="00212614"/>
    <w:rsid w:val="00222BEB"/>
    <w:rsid w:val="00225E60"/>
    <w:rsid w:val="00227C39"/>
    <w:rsid w:val="0023202C"/>
    <w:rsid w:val="00236203"/>
    <w:rsid w:val="00245043"/>
    <w:rsid w:val="00257760"/>
    <w:rsid w:val="00264219"/>
    <w:rsid w:val="0028423A"/>
    <w:rsid w:val="00292D36"/>
    <w:rsid w:val="00293A84"/>
    <w:rsid w:val="00297281"/>
    <w:rsid w:val="002B0543"/>
    <w:rsid w:val="002B239B"/>
    <w:rsid w:val="002B3779"/>
    <w:rsid w:val="002C1070"/>
    <w:rsid w:val="002C54E0"/>
    <w:rsid w:val="002D711A"/>
    <w:rsid w:val="002D716A"/>
    <w:rsid w:val="002D7336"/>
    <w:rsid w:val="002D7855"/>
    <w:rsid w:val="002E3396"/>
    <w:rsid w:val="002F1564"/>
    <w:rsid w:val="0030495B"/>
    <w:rsid w:val="0031149C"/>
    <w:rsid w:val="00312FAC"/>
    <w:rsid w:val="003249EA"/>
    <w:rsid w:val="00330045"/>
    <w:rsid w:val="00331547"/>
    <w:rsid w:val="00340F5B"/>
    <w:rsid w:val="003513A7"/>
    <w:rsid w:val="00356636"/>
    <w:rsid w:val="00371EE6"/>
    <w:rsid w:val="00372177"/>
    <w:rsid w:val="0038771C"/>
    <w:rsid w:val="00392A8F"/>
    <w:rsid w:val="0039405B"/>
    <w:rsid w:val="003A1C92"/>
    <w:rsid w:val="003A541A"/>
    <w:rsid w:val="003A6923"/>
    <w:rsid w:val="003C2C67"/>
    <w:rsid w:val="003C2EA2"/>
    <w:rsid w:val="003C5BA4"/>
    <w:rsid w:val="003D4F64"/>
    <w:rsid w:val="003E3E26"/>
    <w:rsid w:val="003F1295"/>
    <w:rsid w:val="003F5EB9"/>
    <w:rsid w:val="003F76FC"/>
    <w:rsid w:val="004002EB"/>
    <w:rsid w:val="00405C57"/>
    <w:rsid w:val="00413AC4"/>
    <w:rsid w:val="0041689E"/>
    <w:rsid w:val="00421781"/>
    <w:rsid w:val="004236C8"/>
    <w:rsid w:val="00427681"/>
    <w:rsid w:val="004334EC"/>
    <w:rsid w:val="00433DB7"/>
    <w:rsid w:val="00436E7F"/>
    <w:rsid w:val="004417EC"/>
    <w:rsid w:val="00453750"/>
    <w:rsid w:val="00456941"/>
    <w:rsid w:val="0046685C"/>
    <w:rsid w:val="004669E3"/>
    <w:rsid w:val="004702EA"/>
    <w:rsid w:val="00481BBB"/>
    <w:rsid w:val="00482D02"/>
    <w:rsid w:val="004A7519"/>
    <w:rsid w:val="004B41CA"/>
    <w:rsid w:val="004B6F60"/>
    <w:rsid w:val="004C33E3"/>
    <w:rsid w:val="004D2CD2"/>
    <w:rsid w:val="004D3518"/>
    <w:rsid w:val="004D3823"/>
    <w:rsid w:val="004D62D6"/>
    <w:rsid w:val="0053416C"/>
    <w:rsid w:val="00541C2F"/>
    <w:rsid w:val="0054335A"/>
    <w:rsid w:val="00553805"/>
    <w:rsid w:val="00560315"/>
    <w:rsid w:val="005630D1"/>
    <w:rsid w:val="00563527"/>
    <w:rsid w:val="00573F79"/>
    <w:rsid w:val="0058124E"/>
    <w:rsid w:val="00584301"/>
    <w:rsid w:val="00587487"/>
    <w:rsid w:val="005875A3"/>
    <w:rsid w:val="00595804"/>
    <w:rsid w:val="005A3416"/>
    <w:rsid w:val="005B27FE"/>
    <w:rsid w:val="005B6C52"/>
    <w:rsid w:val="005C230B"/>
    <w:rsid w:val="005C3E6D"/>
    <w:rsid w:val="005F331D"/>
    <w:rsid w:val="005F61DF"/>
    <w:rsid w:val="006023F9"/>
    <w:rsid w:val="00610559"/>
    <w:rsid w:val="00620809"/>
    <w:rsid w:val="006249CF"/>
    <w:rsid w:val="006332F6"/>
    <w:rsid w:val="006361E7"/>
    <w:rsid w:val="00652625"/>
    <w:rsid w:val="006534B2"/>
    <w:rsid w:val="00655C22"/>
    <w:rsid w:val="0065615D"/>
    <w:rsid w:val="00657011"/>
    <w:rsid w:val="00663091"/>
    <w:rsid w:val="006650B5"/>
    <w:rsid w:val="006651B1"/>
    <w:rsid w:val="00665778"/>
    <w:rsid w:val="006738C4"/>
    <w:rsid w:val="00676DB4"/>
    <w:rsid w:val="006866C8"/>
    <w:rsid w:val="00691C09"/>
    <w:rsid w:val="006A5B34"/>
    <w:rsid w:val="006A5F5B"/>
    <w:rsid w:val="006B1E06"/>
    <w:rsid w:val="006C77A9"/>
    <w:rsid w:val="006F1336"/>
    <w:rsid w:val="006F6693"/>
    <w:rsid w:val="00707FE8"/>
    <w:rsid w:val="00714A62"/>
    <w:rsid w:val="00724962"/>
    <w:rsid w:val="00724A0F"/>
    <w:rsid w:val="0073072C"/>
    <w:rsid w:val="007320B4"/>
    <w:rsid w:val="00732162"/>
    <w:rsid w:val="00736732"/>
    <w:rsid w:val="00750CBE"/>
    <w:rsid w:val="00760318"/>
    <w:rsid w:val="0076157B"/>
    <w:rsid w:val="00766B5A"/>
    <w:rsid w:val="007832BF"/>
    <w:rsid w:val="007834F2"/>
    <w:rsid w:val="00787F68"/>
    <w:rsid w:val="00791020"/>
    <w:rsid w:val="00794FA5"/>
    <w:rsid w:val="007A3BD3"/>
    <w:rsid w:val="007A5F82"/>
    <w:rsid w:val="007B75A4"/>
    <w:rsid w:val="007C0D9C"/>
    <w:rsid w:val="007D6CBE"/>
    <w:rsid w:val="007F1A4C"/>
    <w:rsid w:val="007F56E1"/>
    <w:rsid w:val="008022C3"/>
    <w:rsid w:val="008041E6"/>
    <w:rsid w:val="008065D2"/>
    <w:rsid w:val="0082194C"/>
    <w:rsid w:val="008220C4"/>
    <w:rsid w:val="008222FF"/>
    <w:rsid w:val="008241FF"/>
    <w:rsid w:val="00831905"/>
    <w:rsid w:val="00834CDA"/>
    <w:rsid w:val="008411E9"/>
    <w:rsid w:val="0084200F"/>
    <w:rsid w:val="00843B2C"/>
    <w:rsid w:val="008471C4"/>
    <w:rsid w:val="008570D0"/>
    <w:rsid w:val="00857E2A"/>
    <w:rsid w:val="00861852"/>
    <w:rsid w:val="008630FE"/>
    <w:rsid w:val="00866DA2"/>
    <w:rsid w:val="00880623"/>
    <w:rsid w:val="00882474"/>
    <w:rsid w:val="008A4900"/>
    <w:rsid w:val="008C1FEC"/>
    <w:rsid w:val="008D0281"/>
    <w:rsid w:val="008D763F"/>
    <w:rsid w:val="008E3C4E"/>
    <w:rsid w:val="008F6D45"/>
    <w:rsid w:val="00906655"/>
    <w:rsid w:val="00915DA5"/>
    <w:rsid w:val="0093661E"/>
    <w:rsid w:val="00946829"/>
    <w:rsid w:val="009534A9"/>
    <w:rsid w:val="0097045E"/>
    <w:rsid w:val="009834C0"/>
    <w:rsid w:val="00984C95"/>
    <w:rsid w:val="00986AAC"/>
    <w:rsid w:val="009A1DA2"/>
    <w:rsid w:val="009A3704"/>
    <w:rsid w:val="009A4739"/>
    <w:rsid w:val="009A674F"/>
    <w:rsid w:val="009B08B2"/>
    <w:rsid w:val="009B199C"/>
    <w:rsid w:val="009B54C8"/>
    <w:rsid w:val="009B61F1"/>
    <w:rsid w:val="009B62E0"/>
    <w:rsid w:val="009C3D88"/>
    <w:rsid w:val="009D340C"/>
    <w:rsid w:val="009E3858"/>
    <w:rsid w:val="009E70DD"/>
    <w:rsid w:val="009F2ED9"/>
    <w:rsid w:val="009F3231"/>
    <w:rsid w:val="009F5C58"/>
    <w:rsid w:val="00A014DA"/>
    <w:rsid w:val="00A023A0"/>
    <w:rsid w:val="00A1562B"/>
    <w:rsid w:val="00A170F4"/>
    <w:rsid w:val="00A2559E"/>
    <w:rsid w:val="00A25FD9"/>
    <w:rsid w:val="00A26BF5"/>
    <w:rsid w:val="00A46BA8"/>
    <w:rsid w:val="00A47634"/>
    <w:rsid w:val="00A47CE5"/>
    <w:rsid w:val="00A54B36"/>
    <w:rsid w:val="00A612FE"/>
    <w:rsid w:val="00AA0700"/>
    <w:rsid w:val="00AA1A41"/>
    <w:rsid w:val="00AA26B8"/>
    <w:rsid w:val="00AA6FB5"/>
    <w:rsid w:val="00AB174F"/>
    <w:rsid w:val="00AB3FE2"/>
    <w:rsid w:val="00AB799A"/>
    <w:rsid w:val="00AD3322"/>
    <w:rsid w:val="00AD7E4E"/>
    <w:rsid w:val="00AE248A"/>
    <w:rsid w:val="00AE4613"/>
    <w:rsid w:val="00AF34DE"/>
    <w:rsid w:val="00AF4D58"/>
    <w:rsid w:val="00AF4DB8"/>
    <w:rsid w:val="00AF6666"/>
    <w:rsid w:val="00B10154"/>
    <w:rsid w:val="00B156E9"/>
    <w:rsid w:val="00B23DE3"/>
    <w:rsid w:val="00B26C50"/>
    <w:rsid w:val="00B312C5"/>
    <w:rsid w:val="00B32125"/>
    <w:rsid w:val="00B559F2"/>
    <w:rsid w:val="00B80FE8"/>
    <w:rsid w:val="00B81B44"/>
    <w:rsid w:val="00B85BA0"/>
    <w:rsid w:val="00B871B3"/>
    <w:rsid w:val="00B9053B"/>
    <w:rsid w:val="00B9395F"/>
    <w:rsid w:val="00BA24A5"/>
    <w:rsid w:val="00BB61CA"/>
    <w:rsid w:val="00BC3422"/>
    <w:rsid w:val="00BC665C"/>
    <w:rsid w:val="00BF741C"/>
    <w:rsid w:val="00C015B9"/>
    <w:rsid w:val="00C022F9"/>
    <w:rsid w:val="00C032EA"/>
    <w:rsid w:val="00C06EB5"/>
    <w:rsid w:val="00C07A19"/>
    <w:rsid w:val="00C1145F"/>
    <w:rsid w:val="00C13107"/>
    <w:rsid w:val="00C14E36"/>
    <w:rsid w:val="00C53C43"/>
    <w:rsid w:val="00C613F7"/>
    <w:rsid w:val="00C61892"/>
    <w:rsid w:val="00C637E1"/>
    <w:rsid w:val="00C64C41"/>
    <w:rsid w:val="00C70D50"/>
    <w:rsid w:val="00C8243E"/>
    <w:rsid w:val="00C907D7"/>
    <w:rsid w:val="00C92338"/>
    <w:rsid w:val="00C92F15"/>
    <w:rsid w:val="00CA7C3A"/>
    <w:rsid w:val="00CB34ED"/>
    <w:rsid w:val="00CB7CD6"/>
    <w:rsid w:val="00CC2DB2"/>
    <w:rsid w:val="00CC4F9A"/>
    <w:rsid w:val="00CD0307"/>
    <w:rsid w:val="00CD3D1B"/>
    <w:rsid w:val="00CD3E67"/>
    <w:rsid w:val="00CE115C"/>
    <w:rsid w:val="00CE62B3"/>
    <w:rsid w:val="00CF0063"/>
    <w:rsid w:val="00CF2EA8"/>
    <w:rsid w:val="00CF5C09"/>
    <w:rsid w:val="00CF7DCA"/>
    <w:rsid w:val="00D019D4"/>
    <w:rsid w:val="00D211E9"/>
    <w:rsid w:val="00D2312F"/>
    <w:rsid w:val="00D269C1"/>
    <w:rsid w:val="00D4227E"/>
    <w:rsid w:val="00D42D4E"/>
    <w:rsid w:val="00D431A8"/>
    <w:rsid w:val="00D432D8"/>
    <w:rsid w:val="00D44953"/>
    <w:rsid w:val="00D542F3"/>
    <w:rsid w:val="00D543E5"/>
    <w:rsid w:val="00D5644B"/>
    <w:rsid w:val="00D56E25"/>
    <w:rsid w:val="00D66EE8"/>
    <w:rsid w:val="00D71896"/>
    <w:rsid w:val="00D718D7"/>
    <w:rsid w:val="00D73212"/>
    <w:rsid w:val="00D75824"/>
    <w:rsid w:val="00D76AB0"/>
    <w:rsid w:val="00D814B7"/>
    <w:rsid w:val="00D86FA3"/>
    <w:rsid w:val="00D876CD"/>
    <w:rsid w:val="00D876F0"/>
    <w:rsid w:val="00D87DEB"/>
    <w:rsid w:val="00D90688"/>
    <w:rsid w:val="00D920F3"/>
    <w:rsid w:val="00D97EBC"/>
    <w:rsid w:val="00DA3AAD"/>
    <w:rsid w:val="00DB06F7"/>
    <w:rsid w:val="00DB312B"/>
    <w:rsid w:val="00DC5654"/>
    <w:rsid w:val="00DC658F"/>
    <w:rsid w:val="00DD79AB"/>
    <w:rsid w:val="00DE60CC"/>
    <w:rsid w:val="00DF0F35"/>
    <w:rsid w:val="00E04FDA"/>
    <w:rsid w:val="00E10281"/>
    <w:rsid w:val="00E13595"/>
    <w:rsid w:val="00E20CC7"/>
    <w:rsid w:val="00E23613"/>
    <w:rsid w:val="00E256AB"/>
    <w:rsid w:val="00E26B32"/>
    <w:rsid w:val="00E31444"/>
    <w:rsid w:val="00E33743"/>
    <w:rsid w:val="00E407B6"/>
    <w:rsid w:val="00E41EF1"/>
    <w:rsid w:val="00E42942"/>
    <w:rsid w:val="00E468A6"/>
    <w:rsid w:val="00E57D6E"/>
    <w:rsid w:val="00E71BDF"/>
    <w:rsid w:val="00E723EE"/>
    <w:rsid w:val="00E73769"/>
    <w:rsid w:val="00E83CA7"/>
    <w:rsid w:val="00EB2F1E"/>
    <w:rsid w:val="00EC171D"/>
    <w:rsid w:val="00ED170C"/>
    <w:rsid w:val="00ED487E"/>
    <w:rsid w:val="00ED4E8B"/>
    <w:rsid w:val="00EE7A0D"/>
    <w:rsid w:val="00EF0D21"/>
    <w:rsid w:val="00EF428D"/>
    <w:rsid w:val="00F17CE1"/>
    <w:rsid w:val="00F2115C"/>
    <w:rsid w:val="00F22ABA"/>
    <w:rsid w:val="00F32B10"/>
    <w:rsid w:val="00F36B12"/>
    <w:rsid w:val="00F417C3"/>
    <w:rsid w:val="00F60F9F"/>
    <w:rsid w:val="00F64F08"/>
    <w:rsid w:val="00F734F5"/>
    <w:rsid w:val="00F90317"/>
    <w:rsid w:val="00F95DB6"/>
    <w:rsid w:val="00F966B1"/>
    <w:rsid w:val="00F97D48"/>
    <w:rsid w:val="00FA0311"/>
    <w:rsid w:val="00FB3DF3"/>
    <w:rsid w:val="00FC42E5"/>
    <w:rsid w:val="00FC73E1"/>
    <w:rsid w:val="00FD4D61"/>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10" w:qFormat="1"/>
    <w:lsdException w:name="Default Paragraph Font" w:uiPriority="1" w:unhideWhenUsed="1"/>
    <w:lsdException w:name="Body Text" w:uiPriority="49"/>
    <w:lsdException w:name="Subtitle" w:semiHidden="0"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C53C43"/>
    <w:pPr>
      <w:keepNext/>
      <w:keepLines/>
      <w:spacing w:before="480" w:after="12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B2F1E"/>
    <w:pPr>
      <w:keepNext/>
      <w:keepLines/>
      <w:spacing w:after="120"/>
      <w:outlineLvl w:val="1"/>
    </w:pPr>
    <w:rPr>
      <w:rFonts w:asciiTheme="majorHAnsi" w:eastAsiaTheme="majorEastAsia" w:hAnsiTheme="majorHAnsi" w:cstheme="majorBidi"/>
      <w:b/>
      <w:bCs/>
      <w:color w:val="201547" w:themeColor="text2"/>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C53C4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B2F1E"/>
    <w:rPr>
      <w:rFonts w:asciiTheme="majorHAnsi" w:eastAsiaTheme="majorEastAsia" w:hAnsiTheme="majorHAnsi" w:cstheme="majorBidi"/>
      <w:b/>
      <w:bCs/>
      <w:color w:val="201547" w:themeColor="text2"/>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11"/>
    <w:qFormat/>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11"/>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10"/>
    <w:qFormat/>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10"/>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Spacing">
    <w:name w:val="No Spacing"/>
    <w:link w:val="NoSpacingChar"/>
    <w:uiPriority w:val="1"/>
    <w:qFormat/>
    <w:rsid w:val="00620809"/>
    <w:pPr>
      <w:spacing w:after="0" w:line="240" w:lineRule="auto"/>
    </w:pPr>
    <w:rPr>
      <w:sz w:val="22"/>
      <w:szCs w:val="22"/>
      <w:lang w:val="en-US" w:eastAsia="ja-JP"/>
    </w:rPr>
  </w:style>
  <w:style w:type="character" w:customStyle="1" w:styleId="NoSpacingChar">
    <w:name w:val="No Spacing Char"/>
    <w:basedOn w:val="DefaultParagraphFont"/>
    <w:link w:val="NoSpacing"/>
    <w:uiPriority w:val="1"/>
    <w:rsid w:val="00620809"/>
    <w:rPr>
      <w:sz w:val="22"/>
      <w:szCs w:val="22"/>
      <w:lang w:val="en-US" w:eastAsia="ja-JP"/>
    </w:rPr>
  </w:style>
  <w:style w:type="table" w:styleId="LightList-Accent2">
    <w:name w:val="Light List Accent 2"/>
    <w:basedOn w:val="TableNormal"/>
    <w:uiPriority w:val="61"/>
    <w:rsid w:val="00D97EBC"/>
    <w:pPr>
      <w:spacing w:after="0" w:line="240" w:lineRule="auto"/>
    </w:pPr>
    <w:tblPr>
      <w:tblStyleRowBandSize w:val="1"/>
      <w:tblStyleColBandSize w:val="1"/>
      <w:tblBorders>
        <w:top w:val="single" w:sz="8" w:space="0" w:color="0F0248" w:themeColor="accent2"/>
        <w:left w:val="single" w:sz="8" w:space="0" w:color="0F0248" w:themeColor="accent2"/>
        <w:bottom w:val="single" w:sz="8" w:space="0" w:color="0F0248" w:themeColor="accent2"/>
        <w:right w:val="single" w:sz="8" w:space="0" w:color="0F0248" w:themeColor="accent2"/>
      </w:tblBorders>
    </w:tblPr>
    <w:tblStylePr w:type="firstRow">
      <w:pPr>
        <w:spacing w:before="0" w:after="0" w:line="240" w:lineRule="auto"/>
      </w:pPr>
      <w:rPr>
        <w:b/>
        <w:bCs/>
        <w:color w:val="FFFFFF" w:themeColor="background1"/>
      </w:rPr>
      <w:tblPr/>
      <w:tcPr>
        <w:shd w:val="clear" w:color="auto" w:fill="0F0248" w:themeFill="accent2"/>
      </w:tcPr>
    </w:tblStylePr>
    <w:tblStylePr w:type="lastRow">
      <w:pPr>
        <w:spacing w:before="0" w:after="0" w:line="240" w:lineRule="auto"/>
      </w:pPr>
      <w:rPr>
        <w:b/>
        <w:bCs/>
      </w:rPr>
      <w:tblPr/>
      <w:tcPr>
        <w:tcBorders>
          <w:top w:val="double" w:sz="6" w:space="0" w:color="0F0248" w:themeColor="accent2"/>
          <w:left w:val="single" w:sz="8" w:space="0" w:color="0F0248" w:themeColor="accent2"/>
          <w:bottom w:val="single" w:sz="8" w:space="0" w:color="0F0248" w:themeColor="accent2"/>
          <w:right w:val="single" w:sz="8" w:space="0" w:color="0F0248" w:themeColor="accent2"/>
        </w:tcBorders>
      </w:tcPr>
    </w:tblStylePr>
    <w:tblStylePr w:type="firstCol">
      <w:rPr>
        <w:b/>
        <w:bCs/>
      </w:rPr>
    </w:tblStylePr>
    <w:tblStylePr w:type="lastCol">
      <w:rPr>
        <w:b/>
        <w:bCs/>
      </w:rPr>
    </w:tblStylePr>
    <w:tblStylePr w:type="band1Vert">
      <w:tblPr/>
      <w:tcPr>
        <w:tcBorders>
          <w:top w:val="single" w:sz="8" w:space="0" w:color="0F0248" w:themeColor="accent2"/>
          <w:left w:val="single" w:sz="8" w:space="0" w:color="0F0248" w:themeColor="accent2"/>
          <w:bottom w:val="single" w:sz="8" w:space="0" w:color="0F0248" w:themeColor="accent2"/>
          <w:right w:val="single" w:sz="8" w:space="0" w:color="0F0248" w:themeColor="accent2"/>
        </w:tcBorders>
      </w:tcPr>
    </w:tblStylePr>
    <w:tblStylePr w:type="band1Horz">
      <w:tblPr/>
      <w:tcPr>
        <w:tcBorders>
          <w:top w:val="single" w:sz="8" w:space="0" w:color="0F0248" w:themeColor="accent2"/>
          <w:left w:val="single" w:sz="8" w:space="0" w:color="0F0248" w:themeColor="accent2"/>
          <w:bottom w:val="single" w:sz="8" w:space="0" w:color="0F0248" w:themeColor="accent2"/>
          <w:right w:val="single" w:sz="8" w:space="0" w:color="0F0248" w:themeColor="accent2"/>
        </w:tcBorders>
      </w:tcPr>
    </w:tblStylePr>
  </w:style>
  <w:style w:type="character" w:styleId="CommentReference">
    <w:name w:val="annotation reference"/>
    <w:basedOn w:val="DefaultParagraphFont"/>
    <w:uiPriority w:val="99"/>
    <w:semiHidden/>
    <w:rsid w:val="00D432D8"/>
    <w:rPr>
      <w:sz w:val="16"/>
      <w:szCs w:val="16"/>
    </w:rPr>
  </w:style>
  <w:style w:type="paragraph" w:styleId="CommentText">
    <w:name w:val="annotation text"/>
    <w:basedOn w:val="Normal"/>
    <w:link w:val="CommentTextChar"/>
    <w:uiPriority w:val="99"/>
    <w:semiHidden/>
    <w:rsid w:val="00D432D8"/>
    <w:pPr>
      <w:spacing w:line="240" w:lineRule="auto"/>
    </w:pPr>
  </w:style>
  <w:style w:type="character" w:customStyle="1" w:styleId="CommentTextChar">
    <w:name w:val="Comment Text Char"/>
    <w:basedOn w:val="DefaultParagraphFont"/>
    <w:link w:val="CommentText"/>
    <w:uiPriority w:val="99"/>
    <w:semiHidden/>
    <w:rsid w:val="00D432D8"/>
    <w:rPr>
      <w:spacing w:val="2"/>
    </w:rPr>
  </w:style>
  <w:style w:type="paragraph" w:styleId="CommentSubject">
    <w:name w:val="annotation subject"/>
    <w:basedOn w:val="CommentText"/>
    <w:next w:val="CommentText"/>
    <w:link w:val="CommentSubjectChar"/>
    <w:uiPriority w:val="99"/>
    <w:semiHidden/>
    <w:rsid w:val="00D432D8"/>
    <w:rPr>
      <w:b/>
      <w:bCs/>
    </w:rPr>
  </w:style>
  <w:style w:type="character" w:customStyle="1" w:styleId="CommentSubjectChar">
    <w:name w:val="Comment Subject Char"/>
    <w:basedOn w:val="CommentTextChar"/>
    <w:link w:val="CommentSubject"/>
    <w:uiPriority w:val="99"/>
    <w:semiHidden/>
    <w:rsid w:val="00D432D8"/>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10" w:qFormat="1"/>
    <w:lsdException w:name="Default Paragraph Font" w:uiPriority="1" w:unhideWhenUsed="1"/>
    <w:lsdException w:name="Body Text" w:uiPriority="49"/>
    <w:lsdException w:name="Subtitle" w:semiHidden="0"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C53C43"/>
    <w:pPr>
      <w:keepNext/>
      <w:keepLines/>
      <w:spacing w:before="480" w:after="12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B2F1E"/>
    <w:pPr>
      <w:keepNext/>
      <w:keepLines/>
      <w:spacing w:after="120"/>
      <w:outlineLvl w:val="1"/>
    </w:pPr>
    <w:rPr>
      <w:rFonts w:asciiTheme="majorHAnsi" w:eastAsiaTheme="majorEastAsia" w:hAnsiTheme="majorHAnsi" w:cstheme="majorBidi"/>
      <w:b/>
      <w:bCs/>
      <w:color w:val="201547" w:themeColor="text2"/>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C53C4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B2F1E"/>
    <w:rPr>
      <w:rFonts w:asciiTheme="majorHAnsi" w:eastAsiaTheme="majorEastAsia" w:hAnsiTheme="majorHAnsi" w:cstheme="majorBidi"/>
      <w:b/>
      <w:bCs/>
      <w:color w:val="201547" w:themeColor="text2"/>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11"/>
    <w:qFormat/>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11"/>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10"/>
    <w:qFormat/>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10"/>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Spacing">
    <w:name w:val="No Spacing"/>
    <w:link w:val="NoSpacingChar"/>
    <w:uiPriority w:val="1"/>
    <w:qFormat/>
    <w:rsid w:val="00620809"/>
    <w:pPr>
      <w:spacing w:after="0" w:line="240" w:lineRule="auto"/>
    </w:pPr>
    <w:rPr>
      <w:sz w:val="22"/>
      <w:szCs w:val="22"/>
      <w:lang w:val="en-US" w:eastAsia="ja-JP"/>
    </w:rPr>
  </w:style>
  <w:style w:type="character" w:customStyle="1" w:styleId="NoSpacingChar">
    <w:name w:val="No Spacing Char"/>
    <w:basedOn w:val="DefaultParagraphFont"/>
    <w:link w:val="NoSpacing"/>
    <w:uiPriority w:val="1"/>
    <w:rsid w:val="00620809"/>
    <w:rPr>
      <w:sz w:val="22"/>
      <w:szCs w:val="22"/>
      <w:lang w:val="en-US" w:eastAsia="ja-JP"/>
    </w:rPr>
  </w:style>
  <w:style w:type="table" w:styleId="LightList-Accent2">
    <w:name w:val="Light List Accent 2"/>
    <w:basedOn w:val="TableNormal"/>
    <w:uiPriority w:val="61"/>
    <w:rsid w:val="00D97EBC"/>
    <w:pPr>
      <w:spacing w:after="0" w:line="240" w:lineRule="auto"/>
    </w:pPr>
    <w:tblPr>
      <w:tblStyleRowBandSize w:val="1"/>
      <w:tblStyleColBandSize w:val="1"/>
      <w:tblBorders>
        <w:top w:val="single" w:sz="8" w:space="0" w:color="0F0248" w:themeColor="accent2"/>
        <w:left w:val="single" w:sz="8" w:space="0" w:color="0F0248" w:themeColor="accent2"/>
        <w:bottom w:val="single" w:sz="8" w:space="0" w:color="0F0248" w:themeColor="accent2"/>
        <w:right w:val="single" w:sz="8" w:space="0" w:color="0F0248" w:themeColor="accent2"/>
      </w:tblBorders>
    </w:tblPr>
    <w:tblStylePr w:type="firstRow">
      <w:pPr>
        <w:spacing w:before="0" w:after="0" w:line="240" w:lineRule="auto"/>
      </w:pPr>
      <w:rPr>
        <w:b/>
        <w:bCs/>
        <w:color w:val="FFFFFF" w:themeColor="background1"/>
      </w:rPr>
      <w:tblPr/>
      <w:tcPr>
        <w:shd w:val="clear" w:color="auto" w:fill="0F0248" w:themeFill="accent2"/>
      </w:tcPr>
    </w:tblStylePr>
    <w:tblStylePr w:type="lastRow">
      <w:pPr>
        <w:spacing w:before="0" w:after="0" w:line="240" w:lineRule="auto"/>
      </w:pPr>
      <w:rPr>
        <w:b/>
        <w:bCs/>
      </w:rPr>
      <w:tblPr/>
      <w:tcPr>
        <w:tcBorders>
          <w:top w:val="double" w:sz="6" w:space="0" w:color="0F0248" w:themeColor="accent2"/>
          <w:left w:val="single" w:sz="8" w:space="0" w:color="0F0248" w:themeColor="accent2"/>
          <w:bottom w:val="single" w:sz="8" w:space="0" w:color="0F0248" w:themeColor="accent2"/>
          <w:right w:val="single" w:sz="8" w:space="0" w:color="0F0248" w:themeColor="accent2"/>
        </w:tcBorders>
      </w:tcPr>
    </w:tblStylePr>
    <w:tblStylePr w:type="firstCol">
      <w:rPr>
        <w:b/>
        <w:bCs/>
      </w:rPr>
    </w:tblStylePr>
    <w:tblStylePr w:type="lastCol">
      <w:rPr>
        <w:b/>
        <w:bCs/>
      </w:rPr>
    </w:tblStylePr>
    <w:tblStylePr w:type="band1Vert">
      <w:tblPr/>
      <w:tcPr>
        <w:tcBorders>
          <w:top w:val="single" w:sz="8" w:space="0" w:color="0F0248" w:themeColor="accent2"/>
          <w:left w:val="single" w:sz="8" w:space="0" w:color="0F0248" w:themeColor="accent2"/>
          <w:bottom w:val="single" w:sz="8" w:space="0" w:color="0F0248" w:themeColor="accent2"/>
          <w:right w:val="single" w:sz="8" w:space="0" w:color="0F0248" w:themeColor="accent2"/>
        </w:tcBorders>
      </w:tcPr>
    </w:tblStylePr>
    <w:tblStylePr w:type="band1Horz">
      <w:tblPr/>
      <w:tcPr>
        <w:tcBorders>
          <w:top w:val="single" w:sz="8" w:space="0" w:color="0F0248" w:themeColor="accent2"/>
          <w:left w:val="single" w:sz="8" w:space="0" w:color="0F0248" w:themeColor="accent2"/>
          <w:bottom w:val="single" w:sz="8" w:space="0" w:color="0F0248" w:themeColor="accent2"/>
          <w:right w:val="single" w:sz="8" w:space="0" w:color="0F0248" w:themeColor="accent2"/>
        </w:tcBorders>
      </w:tcPr>
    </w:tblStylePr>
  </w:style>
  <w:style w:type="character" w:styleId="CommentReference">
    <w:name w:val="annotation reference"/>
    <w:basedOn w:val="DefaultParagraphFont"/>
    <w:uiPriority w:val="99"/>
    <w:semiHidden/>
    <w:rsid w:val="00D432D8"/>
    <w:rPr>
      <w:sz w:val="16"/>
      <w:szCs w:val="16"/>
    </w:rPr>
  </w:style>
  <w:style w:type="paragraph" w:styleId="CommentText">
    <w:name w:val="annotation text"/>
    <w:basedOn w:val="Normal"/>
    <w:link w:val="CommentTextChar"/>
    <w:uiPriority w:val="99"/>
    <w:semiHidden/>
    <w:rsid w:val="00D432D8"/>
    <w:pPr>
      <w:spacing w:line="240" w:lineRule="auto"/>
    </w:pPr>
  </w:style>
  <w:style w:type="character" w:customStyle="1" w:styleId="CommentTextChar">
    <w:name w:val="Comment Text Char"/>
    <w:basedOn w:val="DefaultParagraphFont"/>
    <w:link w:val="CommentText"/>
    <w:uiPriority w:val="99"/>
    <w:semiHidden/>
    <w:rsid w:val="00D432D8"/>
    <w:rPr>
      <w:spacing w:val="2"/>
    </w:rPr>
  </w:style>
  <w:style w:type="paragraph" w:styleId="CommentSubject">
    <w:name w:val="annotation subject"/>
    <w:basedOn w:val="CommentText"/>
    <w:next w:val="CommentText"/>
    <w:link w:val="CommentSubjectChar"/>
    <w:uiPriority w:val="99"/>
    <w:semiHidden/>
    <w:rsid w:val="00D432D8"/>
    <w:rPr>
      <w:b/>
      <w:bCs/>
    </w:rPr>
  </w:style>
  <w:style w:type="character" w:customStyle="1" w:styleId="CommentSubjectChar">
    <w:name w:val="Comment Subject Char"/>
    <w:basedOn w:val="CommentTextChar"/>
    <w:link w:val="CommentSubject"/>
    <w:uiPriority w:val="99"/>
    <w:semiHidden/>
    <w:rsid w:val="00D432D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88C4-F4FA-4D36-A1D0-8B86C1E2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20</TotalTime>
  <Pages>3</Pages>
  <Words>577</Words>
  <Characters>3416</Characters>
  <Application>Microsoft Office Word</Application>
  <DocSecurity>0</DocSecurity>
  <Lines>77</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Korb</dc:creator>
  <cp:lastModifiedBy>Sonia Tobolov (DTF)</cp:lastModifiedBy>
  <cp:revision>6</cp:revision>
  <cp:lastPrinted>2018-02-06T07:03:00Z</cp:lastPrinted>
  <dcterms:created xsi:type="dcterms:W3CDTF">2018-02-13T01:11:00Z</dcterms:created>
  <dcterms:modified xsi:type="dcterms:W3CDTF">2018-02-13T02:51:00Z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3218d1e4-6ed7-4f40-a381-298bb5e297cc</vt:lpwstr>
  </property>
  <property fmtid="{D5CDD505-2E9C-101B-9397-08002B2CF9AE}" pid="3" name="PSPFClassification">
    <vt:lpwstr>Do Not Mark</vt:lpwstr>
  </property>
</Properties>
</file>